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193040</wp:posOffset>
            </wp:positionH>
            <wp:positionV relativeFrom="page">
              <wp:posOffset>261620</wp:posOffset>
            </wp:positionV>
            <wp:extent cx="7163435" cy="19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19685"/>
                    </a:xfrm>
                    <a:prstGeom prst="rect">
                      <a:avLst/>
                    </a:prstGeom>
                    <a:noFill/>
                  </pic:spPr>
                </pic:pic>
              </a:graphicData>
            </a:graphic>
          </wp:anchor>
        </w:drawing>
        <w:drawing>
          <wp:anchor simplePos="0" relativeHeight="251657728" behindDoc="1" locked="0" layoutInCell="0" allowOverlap="1">
            <wp:simplePos x="0" y="0"/>
            <wp:positionH relativeFrom="page">
              <wp:posOffset>193040</wp:posOffset>
            </wp:positionH>
            <wp:positionV relativeFrom="page">
              <wp:posOffset>287655</wp:posOffset>
            </wp:positionV>
            <wp:extent cx="716343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6350"/>
                    </a:xfrm>
                    <a:prstGeom prst="rect">
                      <a:avLst/>
                    </a:prstGeom>
                    <a:noFill/>
                  </pic:spPr>
                </pic:pic>
              </a:graphicData>
            </a:graphic>
          </wp:anchor>
        </w:drawing>
        <w:t>UNITED STATES</w:t>
      </w:r>
    </w:p>
    <w:p>
      <w:pPr>
        <w:spacing w:after="0" w:line="33" w:lineRule="exact"/>
        <w:rPr>
          <w:sz w:val="24"/>
          <w:szCs w:val="24"/>
          <w:color w:val="auto"/>
        </w:rPr>
      </w:pPr>
    </w:p>
    <w:p>
      <w:pPr>
        <w:jc w:val="center"/>
        <w:ind w:right="-379"/>
        <w:spacing w:after="0"/>
        <w:rPr>
          <w:sz w:val="20"/>
          <w:szCs w:val="20"/>
          <w:color w:val="auto"/>
        </w:rPr>
      </w:pPr>
      <w:r>
        <w:rPr>
          <w:rFonts w:ascii="Arial" w:cs="Arial" w:eastAsia="Arial" w:hAnsi="Arial"/>
          <w:sz w:val="19"/>
          <w:szCs w:val="19"/>
          <w:b w:val="1"/>
          <w:bCs w:val="1"/>
          <w:color w:val="auto"/>
        </w:rPr>
        <w:t>SECURITIES AND EXCHANGE COMMISSION</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Washington, D.C. 20549</w:t>
      </w:r>
    </w:p>
    <w:p>
      <w:pPr>
        <w:spacing w:after="0" w:line="140" w:lineRule="exact"/>
        <w:rPr>
          <w:sz w:val="24"/>
          <w:szCs w:val="24"/>
          <w:color w:val="auto"/>
        </w:rPr>
      </w:pPr>
    </w:p>
    <w:p>
      <w:pPr>
        <w:jc w:val="center"/>
        <w:ind w:right="-379"/>
        <w:spacing w:after="0"/>
        <w:rPr>
          <w:sz w:val="20"/>
          <w:szCs w:val="20"/>
          <w:color w:val="auto"/>
        </w:rPr>
      </w:pPr>
      <w:r>
        <w:rPr>
          <w:rFonts w:ascii="Arial" w:cs="Arial" w:eastAsia="Arial" w:hAnsi="Arial"/>
          <w:sz w:val="25"/>
          <w:szCs w:val="25"/>
          <w:b w:val="1"/>
          <w:bCs w:val="1"/>
          <w:color w:val="auto"/>
        </w:rPr>
        <w:t>FORM 8-K</w:t>
      </w:r>
    </w:p>
    <w:p>
      <w:pPr>
        <w:spacing w:after="0" w:line="294"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CURRENT REPORT</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Pursuant to Section 13 or 15(d) of the</w:t>
      </w:r>
    </w:p>
    <w:p>
      <w:pPr>
        <w:spacing w:after="0" w:line="6"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Securities Exchange Act of 1934</w:t>
      </w:r>
    </w:p>
    <w:p>
      <w:pPr>
        <w:spacing w:after="0" w:line="158" w:lineRule="exact"/>
        <w:rPr>
          <w:sz w:val="24"/>
          <w:szCs w:val="24"/>
          <w:color w:val="auto"/>
        </w:rPr>
      </w:pPr>
    </w:p>
    <w:p>
      <w:pPr>
        <w:ind w:left="3820"/>
        <w:spacing w:after="0"/>
        <w:rPr>
          <w:sz w:val="20"/>
          <w:szCs w:val="20"/>
          <w:color w:val="auto"/>
        </w:rPr>
      </w:pPr>
      <w:r>
        <w:rPr>
          <w:rFonts w:ascii="Arial" w:cs="Arial" w:eastAsia="Arial" w:hAnsi="Arial"/>
          <w:sz w:val="13"/>
          <w:szCs w:val="13"/>
          <w:b w:val="1"/>
          <w:bCs w:val="1"/>
          <w:color w:val="auto"/>
        </w:rPr>
        <w:t>Date of Report (Date of earliest event reported): July 12, 2021</w:t>
      </w:r>
    </w:p>
    <w:p>
      <w:pPr>
        <w:spacing w:after="0" w:line="167" w:lineRule="exact"/>
        <w:rPr>
          <w:sz w:val="24"/>
          <w:szCs w:val="24"/>
          <w:color w:val="auto"/>
        </w:rPr>
      </w:pPr>
    </w:p>
    <w:p>
      <w:pPr>
        <w:jc w:val="center"/>
        <w:ind w:right="-379"/>
        <w:spacing w:after="0"/>
        <w:rPr>
          <w:sz w:val="20"/>
          <w:szCs w:val="20"/>
          <w:color w:val="auto"/>
        </w:rPr>
      </w:pPr>
      <w:r>
        <w:rPr>
          <w:rFonts w:ascii="Arial" w:cs="Arial" w:eastAsia="Arial" w:hAnsi="Arial"/>
          <w:sz w:val="33"/>
          <w:szCs w:val="33"/>
          <w:b w:val="1"/>
          <w:bCs w:val="1"/>
          <w:color w:val="auto"/>
        </w:rPr>
        <w:t>XPO LOGISTICS, INC.</w:t>
      </w:r>
    </w:p>
    <w:p>
      <w:pPr>
        <w:spacing w:after="0" w:line="41" w:lineRule="exact"/>
        <w:rPr>
          <w:sz w:val="24"/>
          <w:szCs w:val="24"/>
          <w:color w:val="auto"/>
        </w:rPr>
      </w:pPr>
    </w:p>
    <w:p>
      <w:pPr>
        <w:jc w:val="center"/>
        <w:ind w:right="-37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900"/>
          </w:cols>
          <w:pgMar w:left="300" w:top="633" w:right="699" w:bottom="1440" w:gutter="0" w:footer="0" w:header="0"/>
        </w:sectPr>
      </w:pPr>
    </w:p>
    <w:p>
      <w:pPr>
        <w:spacing w:after="0" w:line="178" w:lineRule="exact"/>
        <w:rPr>
          <w:sz w:val="24"/>
          <w:szCs w:val="24"/>
          <w:color w:val="auto"/>
        </w:rPr>
      </w:pPr>
    </w:p>
    <w:p>
      <w:pPr>
        <w:ind w:left="142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center"/>
        <w:ind w:right="2580"/>
        <w:spacing w:after="0"/>
        <w:rPr>
          <w:sz w:val="20"/>
          <w:szCs w:val="20"/>
          <w:color w:val="auto"/>
        </w:rPr>
      </w:pPr>
      <w:r>
        <w:rPr>
          <w:rFonts w:ascii="Arial" w:cs="Arial" w:eastAsia="Arial" w:hAnsi="Arial"/>
          <w:sz w:val="12"/>
          <w:szCs w:val="12"/>
          <w:b w:val="1"/>
          <w:bCs w:val="1"/>
          <w:color w:val="auto"/>
        </w:rPr>
        <w:t>001-32172</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03-0450326</w:t>
      </w:r>
    </w:p>
    <w:p>
      <w:pPr>
        <w:spacing w:after="0" w:line="71" w:lineRule="exact"/>
        <w:rPr>
          <w:sz w:val="24"/>
          <w:szCs w:val="24"/>
          <w:color w:val="auto"/>
        </w:rPr>
      </w:pPr>
    </w:p>
    <w:p>
      <w:pPr>
        <w:sectPr>
          <w:pgSz w:w="11900" w:h="16838" w:orient="portrait"/>
          <w:cols w:equalWidth="0" w:num="3">
            <w:col w:w="4620" w:space="720"/>
            <w:col w:w="3180" w:space="720"/>
            <w:col w:w="1660"/>
          </w:cols>
          <w:pgMar w:left="300" w:top="633" w:right="699" w:bottom="1440" w:gutter="0" w:footer="0" w:header="0"/>
          <w:type w:val="continuous"/>
        </w:sectPr>
      </w:pPr>
    </w:p>
    <w:p>
      <w:pPr>
        <w:jc w:val="center"/>
        <w:ind w:right="720"/>
        <w:spacing w:after="0"/>
        <w:rPr>
          <w:sz w:val="20"/>
          <w:szCs w:val="20"/>
          <w:color w:val="auto"/>
        </w:rPr>
      </w:pPr>
      <w:r>
        <w:rPr>
          <w:rFonts w:ascii="Arial" w:cs="Arial" w:eastAsia="Arial" w:hAnsi="Arial"/>
          <w:sz w:val="12"/>
          <w:szCs w:val="12"/>
          <w:b w:val="1"/>
          <w:bCs w:val="1"/>
          <w:color w:val="auto"/>
        </w:rPr>
        <w:t>(State or other jurisdiction of</w:t>
      </w:r>
    </w:p>
    <w:p>
      <w:pPr>
        <w:spacing w:after="0" w:line="44"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3"/>
          <w:szCs w:val="13"/>
          <w:b w:val="1"/>
          <w:bCs w:val="1"/>
          <w:color w:val="auto"/>
        </w:rPr>
        <w:t>(I.R.S. Employer</w:t>
      </w:r>
    </w:p>
    <w:p>
      <w:pPr>
        <w:spacing w:after="0" w:line="3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02" w:lineRule="exact"/>
        <w:rPr>
          <w:sz w:val="24"/>
          <w:szCs w:val="24"/>
          <w:color w:val="auto"/>
        </w:rPr>
      </w:pPr>
    </w:p>
    <w:p>
      <w:pPr>
        <w:sectPr>
          <w:pgSz w:w="11900" w:h="16838" w:orient="portrait"/>
          <w:cols w:equalWidth="0" w:num="3">
            <w:col w:w="4100" w:space="720"/>
            <w:col w:w="3500" w:space="720"/>
            <w:col w:w="1860"/>
          </w:cols>
          <w:pgMar w:left="300" w:top="633" w:right="699" w:bottom="1440" w:gutter="0" w:footer="0" w:header="0"/>
          <w:type w:val="continuous"/>
        </w:sectPr>
      </w:pPr>
    </w:p>
    <w:p>
      <w:pPr>
        <w:jc w:val="center"/>
        <w:ind w:right="-359"/>
        <w:spacing w:after="0"/>
        <w:rPr>
          <w:sz w:val="20"/>
          <w:szCs w:val="20"/>
          <w:color w:val="auto"/>
        </w:rPr>
      </w:pPr>
      <w:r>
        <w:rPr>
          <w:rFonts w:ascii="Arial" w:cs="Arial" w:eastAsia="Arial" w:hAnsi="Arial"/>
          <w:sz w:val="12"/>
          <w:szCs w:val="12"/>
          <w:b w:val="1"/>
          <w:bCs w:val="1"/>
          <w:color w:val="auto"/>
        </w:rPr>
        <w:t>Five American Lane, Greenwich, Connecticut 06831</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8" w:lineRule="exact"/>
        <w:rPr>
          <w:sz w:val="24"/>
          <w:szCs w:val="24"/>
          <w:color w:val="auto"/>
        </w:rPr>
      </w:pPr>
    </w:p>
    <w:p>
      <w:pPr>
        <w:jc w:val="center"/>
        <w:ind w:right="-359"/>
        <w:spacing w:after="0"/>
        <w:rPr>
          <w:sz w:val="20"/>
          <w:szCs w:val="20"/>
          <w:color w:val="auto"/>
        </w:rPr>
      </w:pPr>
      <w:r>
        <w:rPr>
          <w:rFonts w:ascii="Arial" w:cs="Arial" w:eastAsia="Arial" w:hAnsi="Arial"/>
          <w:sz w:val="14"/>
          <w:szCs w:val="14"/>
          <w:b w:val="1"/>
          <w:bCs w:val="1"/>
          <w:color w:val="auto"/>
        </w:rPr>
        <w:t>(855) 976-6951</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0900"/>
          </w:cols>
          <w:pgMar w:left="300" w:top="633" w:right="699" w:bottom="1440" w:gutter="0" w:footer="0" w:header="0"/>
          <w:type w:val="continuous"/>
        </w:sectPr>
      </w:pPr>
    </w:p>
    <w:p>
      <w:pPr>
        <w:spacing w:after="0" w:line="18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280" w:hanging="256"/>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47" w:lineRule="exact"/>
        <w:rPr>
          <w:rFonts w:ascii="MS PGothic" w:cs="MS PGothic" w:eastAsia="MS PGothic" w:hAnsi="MS PGothic"/>
          <w:sz w:val="14"/>
          <w:szCs w:val="14"/>
          <w:color w:val="auto"/>
        </w:rPr>
      </w:pPr>
    </w:p>
    <w:p>
      <w:pPr>
        <w:ind w:left="280" w:hanging="256"/>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47" w:lineRule="exact"/>
        <w:rPr>
          <w:rFonts w:ascii="MS PGothic" w:cs="MS PGothic" w:eastAsia="MS PGothic" w:hAnsi="MS PGothic"/>
          <w:sz w:val="14"/>
          <w:szCs w:val="14"/>
          <w:color w:val="auto"/>
        </w:rPr>
      </w:pPr>
    </w:p>
    <w:p>
      <w:pPr>
        <w:ind w:left="280" w:hanging="256"/>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47" w:lineRule="exact"/>
        <w:rPr>
          <w:rFonts w:ascii="MS PGothic" w:cs="MS PGothic" w:eastAsia="MS PGothic" w:hAnsi="MS PGothic"/>
          <w:sz w:val="14"/>
          <w:szCs w:val="14"/>
          <w:color w:val="auto"/>
        </w:rPr>
      </w:pPr>
    </w:p>
    <w:p>
      <w:pPr>
        <w:ind w:left="280" w:hanging="256"/>
        <w:spacing w:after="0"/>
        <w:tabs>
          <w:tab w:leader="none" w:pos="2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0" w:lineRule="exact"/>
        <w:rPr>
          <w:sz w:val="24"/>
          <w:szCs w:val="24"/>
          <w:color w:val="auto"/>
        </w:rPr>
      </w:pPr>
    </w:p>
    <w:tbl>
      <w:tblPr>
        <w:tblLayout w:type="fixed"/>
        <w:tblInd w:w="1020" w:type="dxa"/>
        <w:tblCellMar>
          <w:top w:w="0" w:type="dxa"/>
          <w:left w:w="0" w:type="dxa"/>
          <w:bottom w:w="0" w:type="dxa"/>
          <w:right w:w="0" w:type="dxa"/>
        </w:tblCellMar>
      </w:tblPr>
      <w:tr>
        <w:trPr>
          <w:trHeight w:val="182"/>
        </w:trPr>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40" w:type="dxa"/>
            <w:vAlign w:val="bottom"/>
            <w:gridSpan w:val="3"/>
          </w:tcPr>
          <w:p>
            <w:pPr>
              <w:ind w:left="260"/>
              <w:spacing w:after="0"/>
              <w:rPr>
                <w:sz w:val="20"/>
                <w:szCs w:val="20"/>
                <w:color w:val="auto"/>
              </w:rPr>
            </w:pPr>
            <w:r>
              <w:rPr>
                <w:rFonts w:ascii="Arial" w:cs="Arial" w:eastAsia="Arial" w:hAnsi="Arial"/>
                <w:sz w:val="14"/>
                <w:szCs w:val="14"/>
                <w:b w:val="1"/>
                <w:bCs w:val="1"/>
                <w:color w:val="auto"/>
                <w:w w:val="92"/>
              </w:rPr>
              <w:t>Securities registered pursuant to Section 12(b) of the Act:</w:t>
            </w:r>
          </w:p>
        </w:tc>
        <w:tc>
          <w:tcPr>
            <w:tcW w:w="2580" w:type="dxa"/>
            <w:vAlign w:val="bottom"/>
          </w:tcPr>
          <w:p>
            <w:pPr>
              <w:spacing w:after="0"/>
              <w:rPr>
                <w:sz w:val="15"/>
                <w:szCs w:val="15"/>
                <w:color w:val="auto"/>
              </w:rPr>
            </w:pPr>
          </w:p>
        </w:tc>
      </w:tr>
      <w:tr>
        <w:trPr>
          <w:trHeight w:val="324"/>
        </w:trPr>
        <w:tc>
          <w:tcPr>
            <w:tcW w:w="6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940" w:type="dxa"/>
            <w:vAlign w:val="bottom"/>
          </w:tcPr>
          <w:p>
            <w:pPr>
              <w:spacing w:after="0"/>
              <w:rPr>
                <w:sz w:val="24"/>
                <w:szCs w:val="24"/>
                <w:color w:val="auto"/>
              </w:rPr>
            </w:pPr>
          </w:p>
        </w:tc>
        <w:tc>
          <w:tcPr>
            <w:tcW w:w="38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Trading symbol(s)</w:t>
            </w:r>
          </w:p>
        </w:tc>
        <w:tc>
          <w:tcPr>
            <w:tcW w:w="258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r>
      <w:tr>
        <w:trPr>
          <w:trHeight w:val="220"/>
        </w:trPr>
        <w:tc>
          <w:tcPr>
            <w:tcW w:w="2660" w:type="dxa"/>
            <w:vAlign w:val="bottom"/>
            <w:gridSpan w:val="3"/>
          </w:tcPr>
          <w:p>
            <w:pPr>
              <w:jc w:val="center"/>
              <w:ind w:right="280"/>
              <w:spacing w:after="0"/>
              <w:rPr>
                <w:sz w:val="20"/>
                <w:szCs w:val="20"/>
                <w:color w:val="auto"/>
              </w:rPr>
            </w:pPr>
            <w:r>
              <w:rPr>
                <w:rFonts w:ascii="Arial" w:cs="Arial" w:eastAsia="Arial" w:hAnsi="Arial"/>
                <w:sz w:val="14"/>
                <w:szCs w:val="14"/>
                <w:color w:val="auto"/>
                <w:w w:val="88"/>
              </w:rPr>
              <w:t>Common stock, par value $0.001 per share</w:t>
            </w:r>
          </w:p>
        </w:tc>
        <w:tc>
          <w:tcPr>
            <w:tcW w:w="1160" w:type="dxa"/>
            <w:vAlign w:val="bottom"/>
          </w:tcPr>
          <w:p>
            <w:pPr>
              <w:spacing w:after="0"/>
              <w:rPr>
                <w:sz w:val="19"/>
                <w:szCs w:val="19"/>
                <w:color w:val="auto"/>
              </w:rPr>
            </w:pPr>
          </w:p>
        </w:tc>
        <w:tc>
          <w:tcPr>
            <w:tcW w:w="2680" w:type="dxa"/>
            <w:vAlign w:val="bottom"/>
            <w:gridSpan w:val="2"/>
          </w:tcPr>
          <w:p>
            <w:pPr>
              <w:jc w:val="center"/>
              <w:ind w:right="1600"/>
              <w:spacing w:after="0"/>
              <w:rPr>
                <w:sz w:val="20"/>
                <w:szCs w:val="20"/>
                <w:color w:val="auto"/>
              </w:rPr>
            </w:pPr>
            <w:r>
              <w:rPr>
                <w:rFonts w:ascii="Arial" w:cs="Arial" w:eastAsia="Arial" w:hAnsi="Arial"/>
                <w:sz w:val="14"/>
                <w:szCs w:val="14"/>
                <w:color w:val="auto"/>
                <w:w w:val="94"/>
              </w:rPr>
              <w:t>XPO</w:t>
            </w:r>
          </w:p>
        </w:tc>
        <w:tc>
          <w:tcPr>
            <w:tcW w:w="2580" w:type="dxa"/>
            <w:vAlign w:val="bottom"/>
          </w:tcPr>
          <w:p>
            <w:pPr>
              <w:jc w:val="center"/>
              <w:spacing w:after="0"/>
              <w:rPr>
                <w:sz w:val="20"/>
                <w:szCs w:val="20"/>
                <w:color w:val="auto"/>
              </w:rPr>
            </w:pPr>
            <w:r>
              <w:rPr>
                <w:rFonts w:ascii="Arial" w:cs="Arial" w:eastAsia="Arial" w:hAnsi="Arial"/>
                <w:sz w:val="14"/>
                <w:szCs w:val="14"/>
                <w:color w:val="auto"/>
                <w:w w:val="90"/>
              </w:rPr>
              <w:t>New York Stock Exchange</w:t>
            </w:r>
          </w:p>
        </w:tc>
      </w:tr>
    </w:tbl>
    <w:p>
      <w:pPr>
        <w:spacing w:after="0" w:line="198" w:lineRule="exact"/>
        <w:rPr>
          <w:sz w:val="24"/>
          <w:szCs w:val="24"/>
          <w:color w:val="auto"/>
        </w:rPr>
      </w:pPr>
    </w:p>
    <w:p>
      <w:pPr>
        <w:ind w:left="20" w:right="180"/>
        <w:spacing w:after="0" w:line="261" w:lineRule="auto"/>
        <w:rPr>
          <w:sz w:val="20"/>
          <w:szCs w:val="20"/>
          <w:color w:val="auto"/>
        </w:rPr>
      </w:pPr>
      <w:r>
        <w:rPr>
          <w:rFonts w:ascii="Arial" w:cs="Arial" w:eastAsia="Arial" w:hAnsi="Arial"/>
          <w:sz w:val="14"/>
          <w:szCs w:val="14"/>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73" w:lineRule="exact"/>
        <w:rPr>
          <w:sz w:val="24"/>
          <w:szCs w:val="24"/>
          <w:color w:val="auto"/>
        </w:rPr>
      </w:pPr>
    </w:p>
    <w:p>
      <w:pPr>
        <w:ind w:lef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71634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124460</wp:posOffset>
            </wp:positionV>
            <wp:extent cx="716343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196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475615</wp:posOffset>
            </wp:positionV>
            <wp:extent cx="71634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0900"/>
          </w:cols>
          <w:pgMar w:left="300" w:top="633" w:right="6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On July 13, 2021, XPO Logistics, Inc. (“XPO” or the “company”) issued a press release announcing, among other things, that Gena Ashe, Marlene Colucci and Oren Shaffer plan to resign as members of the board of directors of XPO in connection with, conditioned upon, and effective as of, the closing of the company’s previously announced proposed spin-off (the “Spin-Off”) of GXO Logistics, Inc. (“GXO”). As mutually agreed upon by the parties involved, Ms. Ashe, Ms. Colucci and Mr. Shaffer are expected to be appointed to the board of directors of GXO, conditioned upon, and effective as of, the closing of the Spin-Off.</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GXO held its investor day on July 13, 2021. A copy of the presentation slide deck is furnished hereto as Exhibit 99.1.</w:t>
      </w:r>
    </w:p>
    <w:p>
      <w:pPr>
        <w:spacing w:after="0" w:line="173"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The information furnished pursuant to this Item 7.01,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(the “Securities Act”) or the Exchange Act, except as shall be expressly set forth by specific reference in such filing.</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8.01. Other Events.</w:t>
      </w:r>
    </w:p>
    <w:p>
      <w:pPr>
        <w:spacing w:after="0" w:line="177" w:lineRule="exact"/>
        <w:rPr>
          <w:sz w:val="20"/>
          <w:szCs w:val="20"/>
          <w:color w:val="auto"/>
        </w:rPr>
      </w:pPr>
    </w:p>
    <w:p>
      <w:pPr>
        <w:ind w:right="20"/>
        <w:spacing w:after="0" w:line="257" w:lineRule="auto"/>
        <w:rPr>
          <w:sz w:val="20"/>
          <w:szCs w:val="20"/>
          <w:color w:val="auto"/>
        </w:rPr>
      </w:pPr>
      <w:r>
        <w:rPr>
          <w:rFonts w:ascii="Arial" w:cs="Arial" w:eastAsia="Arial" w:hAnsi="Arial"/>
          <w:sz w:val="14"/>
          <w:szCs w:val="14"/>
          <w:color w:val="auto"/>
        </w:rPr>
        <w:t>On July 12, 2021, the board of directors of XPO established the close of business on July 23, 2021 (the “record date”) as the record date for the Spin-Off. If the Spin-Off occurs, the company will distribute one share of common stock of GXO for every one share of common stock of XPO held by the company’s stockholders of record as of the record date. The distribution of shares of GXO common stock is expected to occur at 12:01 a.m. Eastern Time on August 2, 2021, and is subject to the satisfaction or waiver of certain conditions (as more fully described in the preliminary information statement included in GXO’s Registration Statement on Form 10 filed with the U.S. Securities and Exchange Commission).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The press release announcing certain details of the Spin-Off is filed as Exhibit 99.2 to this Current Report on Form 8-K and is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40" w:type="dxa"/>
            <w:vAlign w:val="bottom"/>
            <w:gridSpan w:val="3"/>
          </w:tcPr>
          <w:p>
            <w:pPr>
              <w:spacing w:after="0"/>
              <w:rPr>
                <w:sz w:val="20"/>
                <w:szCs w:val="20"/>
                <w:color w:val="auto"/>
              </w:rPr>
            </w:pPr>
            <w:r>
              <w:rPr>
                <w:rFonts w:ascii="Arial" w:cs="Arial" w:eastAsia="Arial" w:hAnsi="Arial"/>
                <w:sz w:val="14"/>
                <w:szCs w:val="14"/>
                <w:color w:val="auto"/>
              </w:rPr>
              <w:t>(d) Exhibits.</w:t>
            </w: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360" w:type="dxa"/>
            <w:vAlign w:val="bottom"/>
          </w:tcPr>
          <w:p>
            <w:pPr>
              <w:spacing w:after="0"/>
              <w:rPr>
                <w:sz w:val="15"/>
                <w:szCs w:val="15"/>
                <w:color w:val="auto"/>
              </w:rPr>
            </w:pPr>
          </w:p>
        </w:tc>
      </w:tr>
      <w:tr>
        <w:trPr>
          <w:trHeight w:val="334"/>
        </w:trPr>
        <w:tc>
          <w:tcPr>
            <w:tcW w:w="11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10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126"/>
        </w:trPr>
        <w:tc>
          <w:tcPr>
            <w:tcW w:w="700" w:type="dxa"/>
            <w:vAlign w:val="bottom"/>
            <w:gridSpan w:val="2"/>
          </w:tcPr>
          <w:p>
            <w:pPr>
              <w:jc w:val="center"/>
              <w:ind w:left="390"/>
              <w:spacing w:after="0" w:line="127" w:lineRule="exact"/>
              <w:rPr>
                <w:rFonts w:ascii="Arial" w:cs="Arial" w:eastAsia="Arial" w:hAnsi="Arial"/>
                <w:sz w:val="14"/>
                <w:szCs w:val="14"/>
                <w:color w:val="0000EE"/>
                <w:w w:val="87"/>
              </w:rPr>
            </w:pPr>
            <w:hyperlink w:anchor="page5">
              <w:r>
                <w:rPr>
                  <w:rFonts w:ascii="Arial" w:cs="Arial" w:eastAsia="Arial" w:hAnsi="Arial"/>
                  <w:sz w:val="14"/>
                  <w:szCs w:val="14"/>
                  <w:color w:val="0000EE"/>
                  <w:w w:val="87"/>
                </w:rPr>
                <w:t>99.</w:t>
              </w:r>
              <w:r>
                <w:rPr>
                  <w:rFonts w:ascii="Arial" w:cs="Arial" w:eastAsia="Arial" w:hAnsi="Arial"/>
                  <w:sz w:val="14"/>
                  <w:szCs w:val="14"/>
                  <w:u w:val="single" w:color="auto"/>
                  <w:color w:val="0000EE"/>
                  <w:w w:val="87"/>
                </w:rPr>
                <w:t>1</w:t>
              </w:r>
            </w:hyperlink>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40" w:type="dxa"/>
            <w:vAlign w:val="bottom"/>
            <w:gridSpan w:val="3"/>
          </w:tcPr>
          <w:p>
            <w:pPr>
              <w:spacing w:after="0" w:line="127" w:lineRule="exact"/>
              <w:rPr>
                <w:rFonts w:ascii="Arial" w:cs="Arial" w:eastAsia="Arial" w:hAnsi="Arial"/>
                <w:sz w:val="14"/>
                <w:szCs w:val="14"/>
                <w:color w:val="0000EE"/>
              </w:rPr>
            </w:pPr>
            <w:hyperlink w:anchor="page5">
              <w:r>
                <w:rPr>
                  <w:rFonts w:ascii="Arial" w:cs="Arial" w:eastAsia="Arial" w:hAnsi="Arial"/>
                  <w:sz w:val="14"/>
                  <w:szCs w:val="14"/>
                  <w:color w:val="0000EE"/>
                </w:rPr>
                <w:t>GXO Investor Presentation, dated July 13, 2021</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147"/>
        </w:trPr>
        <w:tc>
          <w:tcPr>
            <w:tcW w:w="700" w:type="dxa"/>
            <w:vAlign w:val="bottom"/>
            <w:gridSpan w:val="2"/>
          </w:tcPr>
          <w:p>
            <w:pPr>
              <w:jc w:val="center"/>
              <w:ind w:left="390"/>
              <w:spacing w:after="0" w:line="147" w:lineRule="exact"/>
              <w:rPr>
                <w:rFonts w:ascii="Arial" w:cs="Arial" w:eastAsia="Arial" w:hAnsi="Arial"/>
                <w:sz w:val="14"/>
                <w:szCs w:val="14"/>
                <w:color w:val="0000EE"/>
                <w:w w:val="87"/>
              </w:rPr>
            </w:pPr>
            <w:hyperlink w:anchor="page83">
              <w:r>
                <w:rPr>
                  <w:rFonts w:ascii="Arial" w:cs="Arial" w:eastAsia="Arial" w:hAnsi="Arial"/>
                  <w:sz w:val="14"/>
                  <w:szCs w:val="14"/>
                  <w:color w:val="0000EE"/>
                  <w:w w:val="87"/>
                </w:rPr>
                <w:t>99.</w:t>
              </w:r>
              <w:r>
                <w:rPr>
                  <w:rFonts w:ascii="Arial" w:cs="Arial" w:eastAsia="Arial" w:hAnsi="Arial"/>
                  <w:sz w:val="14"/>
                  <w:szCs w:val="14"/>
                  <w:u w:val="single" w:color="auto"/>
                  <w:color w:val="0000EE"/>
                  <w:w w:val="87"/>
                </w:rPr>
                <w:t>2</w:t>
              </w:r>
            </w:hyperlink>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40" w:type="dxa"/>
            <w:vAlign w:val="bottom"/>
            <w:gridSpan w:val="3"/>
          </w:tcPr>
          <w:p>
            <w:pPr>
              <w:spacing w:after="0" w:line="147" w:lineRule="exact"/>
              <w:rPr>
                <w:rFonts w:ascii="Arial" w:cs="Arial" w:eastAsia="Arial" w:hAnsi="Arial"/>
                <w:sz w:val="14"/>
                <w:szCs w:val="14"/>
                <w:color w:val="0000EE"/>
              </w:rPr>
            </w:pPr>
            <w:hyperlink w:anchor="page83">
              <w:r>
                <w:rPr>
                  <w:rFonts w:ascii="Arial" w:cs="Arial" w:eastAsia="Arial" w:hAnsi="Arial"/>
                  <w:sz w:val="14"/>
                  <w:szCs w:val="14"/>
                  <w:color w:val="0000EE"/>
                </w:rPr>
                <w:t>Press Release, dated July 13, 2021</w:t>
              </w:r>
            </w:hyperlink>
          </w:p>
        </w:tc>
      </w:tr>
      <w:tr>
        <w:trPr>
          <w:trHeight w:val="20"/>
        </w:trPr>
        <w:tc>
          <w:tcPr>
            <w:tcW w:w="4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120" w:type="dxa"/>
            <w:vAlign w:val="bottom"/>
            <w:gridSpan w:val="2"/>
          </w:tcPr>
          <w:p>
            <w:pPr>
              <w:spacing w:after="0" w:line="20" w:lineRule="exact"/>
              <w:rPr>
                <w:sz w:val="1"/>
                <w:szCs w:val="1"/>
                <w:color w:val="auto"/>
              </w:rPr>
            </w:pPr>
          </w:p>
        </w:tc>
      </w:tr>
      <w:tr>
        <w:trPr>
          <w:trHeight w:val="179"/>
        </w:trPr>
        <w:tc>
          <w:tcPr>
            <w:tcW w:w="1140" w:type="dxa"/>
            <w:vAlign w:val="bottom"/>
            <w:gridSpan w:val="3"/>
          </w:tcPr>
          <w:p>
            <w:pPr>
              <w:jc w:val="center"/>
              <w:spacing w:after="0"/>
              <w:rPr>
                <w:sz w:val="20"/>
                <w:szCs w:val="20"/>
                <w:color w:val="auto"/>
              </w:rPr>
            </w:pPr>
            <w:r>
              <w:rPr>
                <w:rFonts w:ascii="Arial" w:cs="Arial" w:eastAsia="Arial" w:hAnsi="Arial"/>
                <w:sz w:val="14"/>
                <w:szCs w:val="14"/>
                <w:color w:val="auto"/>
                <w:w w:val="85"/>
              </w:rPr>
              <w:t>104.1</w:t>
            </w:r>
          </w:p>
        </w:tc>
        <w:tc>
          <w:tcPr>
            <w:tcW w:w="100" w:type="dxa"/>
            <w:vAlign w:val="bottom"/>
          </w:tcPr>
          <w:p>
            <w:pPr>
              <w:spacing w:after="0"/>
              <w:rPr>
                <w:sz w:val="15"/>
                <w:szCs w:val="15"/>
                <w:color w:val="auto"/>
              </w:rPr>
            </w:pPr>
          </w:p>
        </w:tc>
        <w:tc>
          <w:tcPr>
            <w:tcW w:w="10040" w:type="dxa"/>
            <w:vAlign w:val="bottom"/>
            <w:gridSpan w:val="3"/>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7" w:lineRule="exact"/>
        <w:rPr>
          <w:sz w:val="20"/>
          <w:szCs w:val="20"/>
          <w:color w:val="auto"/>
        </w:rPr>
      </w:pPr>
    </w:p>
    <w:p>
      <w:pPr>
        <w:ind w:right="100"/>
        <w:spacing w:after="0" w:line="304" w:lineRule="auto"/>
        <w:rPr>
          <w:sz w:val="20"/>
          <w:szCs w:val="20"/>
          <w:color w:val="auto"/>
        </w:rPr>
      </w:pPr>
      <w:r>
        <w:rPr>
          <w:rFonts w:ascii="Arial" w:cs="Arial" w:eastAsia="Arial" w:hAnsi="Arial"/>
          <w:sz w:val="12"/>
          <w:szCs w:val="12"/>
          <w:color w:val="auto"/>
        </w:rPr>
        <w:t>This Current Report on Form 8-K includes forward-looking statements within the meaning of Section 27A of the Securities Act, and Section 21E of the Exchange Act. All statements other than statements of historical fact are, or may be deemed to be, forward-looking statements, including the statements above regarding plans, benefits and timing of the contemplated spin-off transaction.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309245</wp:posOffset>
            </wp:positionV>
            <wp:extent cx="71634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 w:name="page3"/>
    <w:bookmarkEnd w:id="2"/>
    <w:p>
      <w:pPr>
        <w:ind w:right="60"/>
        <w:spacing w:after="0" w:line="296" w:lineRule="auto"/>
        <w:rPr>
          <w:sz w:val="20"/>
          <w:szCs w:val="20"/>
          <w:color w:val="auto"/>
        </w:rPr>
      </w:pPr>
      <w:r>
        <w:rPr>
          <w:rFonts w:ascii="Arial" w:cs="Arial" w:eastAsia="Arial" w:hAnsi="Arial"/>
          <w:sz w:val="12"/>
          <w:szCs w:val="12"/>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the risks discussed in our filings with the SEC and the following: economic conditions generally; the severity, magnitude, duration and aftereffects of the COVID-19 pandemic and government responses to the COVID-19 pandemic; our ability to align our investments in capital assets, including equipment, service centers and warehouses, to our customers’ demands; our ability to implement our cost and revenue initiatives; our ability to successfully integrate and realize anticipated synergies, cost savings and profit improvement opportunities with respect to acquired companies; matters related to our intellectual property rights; fluctuations in currency exchange rates; fuel price and fuel surcharge changes; natural disasters, terrorist attacks or similar incidents; risks and uncertainties regarding the potential timing and expected benefits of the proposed spin-off of our logistics segment, including final approval for the proposed spin-off and the risk that the spin-off may not be completed on the terms or timeline currently contemplated, if at all; the impact of the proposed spin-off on the size and business diversity of our company; the ability of the proposed spin-off to qualify for tax-free treatment for U.S. federal income tax purposes; our ability to develop and implement suitable information technology systems and prevent failures in or breaches of such systems; our substantial indebtedness; our ability to raise debt and equity capital; fluctuations in fixed and floating interest rates; our ability to maintain positive relationships with our network of third-party transportation providers; our ability to attract and retain qualified drivers; labor matters, including our ability to manage our subcontractors, and risks associated with labor disputes at our customers and efforts by labor organizations to organize our employees; litigation, including litigation related to alleged misclassification of independent contractors and securities class actions; risks associated with our self-insured claims; risks associated with defined benefit plans for our current and former employees; and governmental regulation, including trade compliance laws, as well as changes in international trade policies and tax regimes; governmental or political actions, including the United Kingdom’s exit from the European Union; and competition and pricing pressures.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All forward-looking statements set forth in this Current Report on Form 8-K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Current Report on Form 8-K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325120</wp:posOffset>
            </wp:positionV>
            <wp:extent cx="716343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735" w:right="31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4"/>
          <w:szCs w:val="14"/>
          <w:b w:val="1"/>
          <w:bCs w:val="1"/>
          <w:color w:val="auto"/>
        </w:rPr>
        <w:t>SIGNATURE</w:t>
      </w:r>
    </w:p>
    <w:p>
      <w:pPr>
        <w:spacing w:after="0" w:line="177" w:lineRule="exact"/>
        <w:rPr>
          <w:sz w:val="20"/>
          <w:szCs w:val="20"/>
          <w:color w:val="auto"/>
        </w:rPr>
      </w:pPr>
    </w:p>
    <w:p>
      <w:pPr>
        <w:ind w:firstLine="501"/>
        <w:spacing w:after="0" w:line="274" w:lineRule="auto"/>
        <w:rPr>
          <w:sz w:val="20"/>
          <w:szCs w:val="20"/>
          <w:color w:val="auto"/>
        </w:rPr>
      </w:pPr>
      <w:r>
        <w:rPr>
          <w:rFonts w:ascii="Arial" w:cs="Arial" w:eastAsia="Arial" w:hAnsi="Arial"/>
          <w:sz w:val="14"/>
          <w:szCs w:val="14"/>
          <w:color w:val="auto"/>
        </w:rPr>
        <w:t>Pursuant to the requirements of the Securities Exchange Act of 1934, as amended, the registrant has duly caused this Current Report on Form 8-K to be signed on its behalf by the undersigned hereunto duly authorized.</w:t>
      </w:r>
    </w:p>
    <w:p>
      <w:pPr>
        <w:spacing w:after="0" w:line="134" w:lineRule="exact"/>
        <w:rPr>
          <w:sz w:val="20"/>
          <w:szCs w:val="20"/>
          <w:color w:val="auto"/>
        </w:rPr>
      </w:pPr>
    </w:p>
    <w:p>
      <w:pPr>
        <w:spacing w:after="0"/>
        <w:tabs>
          <w:tab w:leader="none" w:pos="5640" w:val="left"/>
        </w:tabs>
        <w:rPr>
          <w:sz w:val="20"/>
          <w:szCs w:val="20"/>
          <w:color w:val="auto"/>
        </w:rPr>
      </w:pPr>
      <w:r>
        <w:rPr>
          <w:rFonts w:ascii="Arial" w:cs="Arial" w:eastAsia="Arial" w:hAnsi="Arial"/>
          <w:sz w:val="14"/>
          <w:szCs w:val="14"/>
          <w:color w:val="auto"/>
        </w:rPr>
        <w:t>Date: July 13, 2021</w:t>
      </w:r>
      <w:r>
        <w:rPr>
          <w:sz w:val="20"/>
          <w:szCs w:val="20"/>
          <w:color w:val="auto"/>
        </w:rPr>
        <w:tab/>
      </w:r>
      <w:r>
        <w:rPr>
          <w:rFonts w:ascii="Arial" w:cs="Arial" w:eastAsia="Arial" w:hAnsi="Arial"/>
          <w:sz w:val="13"/>
          <w:szCs w:val="13"/>
          <w:color w:val="auto"/>
        </w:rPr>
        <w:t>XPO LOGISTICS, INC.</w:t>
      </w:r>
    </w:p>
    <w:p>
      <w:pPr>
        <w:spacing w:after="0" w:line="340" w:lineRule="exact"/>
        <w:rPr>
          <w:sz w:val="20"/>
          <w:szCs w:val="20"/>
          <w:color w:val="auto"/>
        </w:rPr>
      </w:pPr>
    </w:p>
    <w:p>
      <w:pPr>
        <w:ind w:left="5660"/>
        <w:spacing w:after="0"/>
        <w:tabs>
          <w:tab w:leader="none" w:pos="5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3"/>
          <w:szCs w:val="13"/>
          <w:color w:val="auto"/>
        </w:rPr>
        <w:t>/s/ Karlis P. Kirsis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10795</wp:posOffset>
            </wp:positionV>
            <wp:extent cx="336296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2960" cy="6350"/>
                    </a:xfrm>
                    <a:prstGeom prst="rect">
                      <a:avLst/>
                    </a:prstGeom>
                    <a:noFill/>
                  </pic:spPr>
                </pic:pic>
              </a:graphicData>
            </a:graphic>
          </wp:anchor>
        </w:drawing>
      </w:r>
    </w:p>
    <w:p>
      <w:pPr>
        <w:ind w:left="5980"/>
        <w:spacing w:after="0"/>
        <w:rPr>
          <w:sz w:val="20"/>
          <w:szCs w:val="20"/>
          <w:color w:val="auto"/>
        </w:rPr>
      </w:pPr>
      <w:r>
        <w:rPr>
          <w:rFonts w:ascii="Arial" w:cs="Arial" w:eastAsia="Arial" w:hAnsi="Arial"/>
          <w:sz w:val="14"/>
          <w:szCs w:val="14"/>
          <w:color w:val="auto"/>
        </w:rPr>
        <w:t>Karlis P. Kirsis</w:t>
      </w:r>
    </w:p>
    <w:p>
      <w:pPr>
        <w:spacing w:after="0" w:line="17" w:lineRule="exact"/>
        <w:rPr>
          <w:sz w:val="20"/>
          <w:szCs w:val="20"/>
          <w:color w:val="auto"/>
        </w:rPr>
      </w:pPr>
    </w:p>
    <w:p>
      <w:pPr>
        <w:ind w:left="5980"/>
        <w:spacing w:after="0"/>
        <w:rPr>
          <w:sz w:val="20"/>
          <w:szCs w:val="20"/>
          <w:color w:val="auto"/>
        </w:rPr>
      </w:pPr>
      <w:r>
        <w:rPr>
          <w:rFonts w:ascii="Arial" w:cs="Arial" w:eastAsia="Arial" w:hAnsi="Arial"/>
          <w:sz w:val="14"/>
          <w:szCs w:val="14"/>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441325</wp:posOffset>
            </wp:positionV>
            <wp:extent cx="716343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160"/>
          </w:cols>
          <w:pgMar w:left="300" w:top="731" w:right="439" w:bottom="1440" w:gutter="0" w:footer="0" w:header="0"/>
        </w:sectPr>
      </w:pPr>
    </w:p>
    <w:bookmarkStart w:id="4" w:name="page5"/>
    <w:bookmarkEnd w:id="4"/>
    <w:p>
      <w:pPr>
        <w:ind w:left="928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143510</wp:posOffset>
            </wp:positionV>
            <wp:extent cx="7163435" cy="5511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0" w:num="1">
            <w:col w:w="10140"/>
          </w:cols>
          <w:pgMar w:left="1440" w:top="118" w:right="3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367665</wp:posOffset>
            </wp:positionV>
            <wp:extent cx="7163435" cy="5511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551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right"/>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1892300</wp:posOffset>
            </wp:positionH>
            <wp:positionV relativeFrom="paragraph">
              <wp:posOffset>128270</wp:posOffset>
            </wp:positionV>
            <wp:extent cx="3382645"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82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XPO Logistics Board of Directors Approves Separation of GXO Logistics and Declares the Distribution of GXO Shares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Record date for the distribution of GXO shares will be July 23, 2021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“When-Issued” trading expected to begin on or about July 22, 2021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Distribution expected to be completed on August 2, 2021</w:t>
      </w:r>
    </w:p>
    <w:p>
      <w:pPr>
        <w:spacing w:after="0" w:line="169" w:lineRule="exact"/>
        <w:rPr>
          <w:sz w:val="20"/>
          <w:szCs w:val="20"/>
          <w:color w:val="auto"/>
        </w:rPr>
      </w:pPr>
    </w:p>
    <w:p>
      <w:pPr>
        <w:ind w:right="120"/>
        <w:spacing w:after="0" w:line="280" w:lineRule="auto"/>
        <w:rPr>
          <w:sz w:val="20"/>
          <w:szCs w:val="20"/>
          <w:color w:val="auto"/>
        </w:rPr>
      </w:pPr>
      <w:r>
        <w:rPr>
          <w:rFonts w:ascii="Arial" w:cs="Arial" w:eastAsia="Arial" w:hAnsi="Arial"/>
          <w:sz w:val="14"/>
          <w:szCs w:val="14"/>
          <w:b w:val="1"/>
          <w:bCs w:val="1"/>
          <w:color w:val="auto"/>
        </w:rPr>
        <w:t xml:space="preserve">GREENWICH, Conn. – July 13, 2021 </w:t>
      </w:r>
      <w:r>
        <w:rPr>
          <w:rFonts w:ascii="Arial" w:cs="Arial" w:eastAsia="Arial" w:hAnsi="Arial"/>
          <w:sz w:val="14"/>
          <w:szCs w:val="14"/>
          <w:color w:val="auto"/>
        </w:rPr>
        <w:t>– XPO Logistics, Inc. (NYSE: XPO) today announced that its board of directors approved the previously announced separation of its logistics segment through</w:t>
      </w:r>
      <w:r>
        <w:rPr>
          <w:rFonts w:ascii="Arial" w:cs="Arial" w:eastAsia="Arial" w:hAnsi="Arial"/>
          <w:sz w:val="14"/>
          <w:szCs w:val="14"/>
          <w:b w:val="1"/>
          <w:bCs w:val="1"/>
          <w:color w:val="auto"/>
        </w:rPr>
        <w:t xml:space="preserve"> </w:t>
      </w:r>
      <w:r>
        <w:rPr>
          <w:rFonts w:ascii="Arial" w:cs="Arial" w:eastAsia="Arial" w:hAnsi="Arial"/>
          <w:sz w:val="14"/>
          <w:szCs w:val="14"/>
          <w:color w:val="auto"/>
        </w:rPr>
        <w:t>the distribution of all of the outstanding shares of common stock of its wholly owned subsidiary, GXO Logistics, Inc. (“GXO”), to holders of XPO common stock.</w:t>
      </w:r>
    </w:p>
    <w:p>
      <w:pPr>
        <w:spacing w:after="0" w:line="130" w:lineRule="exact"/>
        <w:rPr>
          <w:sz w:val="20"/>
          <w:szCs w:val="20"/>
          <w:color w:val="auto"/>
        </w:rPr>
      </w:pPr>
    </w:p>
    <w:p>
      <w:pPr>
        <w:ind w:right="180"/>
        <w:spacing w:after="0" w:line="314" w:lineRule="auto"/>
        <w:rPr>
          <w:sz w:val="20"/>
          <w:szCs w:val="20"/>
          <w:color w:val="auto"/>
        </w:rPr>
      </w:pPr>
      <w:r>
        <w:rPr>
          <w:rFonts w:ascii="Arial" w:cs="Arial" w:eastAsia="Arial" w:hAnsi="Arial"/>
          <w:sz w:val="13"/>
          <w:szCs w:val="13"/>
          <w:color w:val="auto"/>
        </w:rPr>
        <w:t>Following the separation, GXO and XPO will be independent public companies with distinct investment identities and service offerings in vast addressable markets. GXO will be the largest pure-play contract logistics provider in the world, and XPO will be a leading provider of transportation services, primarily less-than-truckload transportation and truck brokerage services.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Details of the Distribution</w:t>
      </w:r>
    </w:p>
    <w:p>
      <w:pPr>
        <w:spacing w:after="0" w:line="177" w:lineRule="exact"/>
        <w:rPr>
          <w:sz w:val="20"/>
          <w:szCs w:val="20"/>
          <w:color w:val="auto"/>
        </w:rPr>
      </w:pPr>
    </w:p>
    <w:p>
      <w:pPr>
        <w:ind w:right="120"/>
        <w:spacing w:after="0" w:line="360" w:lineRule="auto"/>
        <w:rPr>
          <w:sz w:val="20"/>
          <w:szCs w:val="20"/>
          <w:color w:val="auto"/>
        </w:rPr>
      </w:pPr>
      <w:r>
        <w:rPr>
          <w:rFonts w:ascii="Arial" w:cs="Arial" w:eastAsia="Arial" w:hAnsi="Arial"/>
          <w:sz w:val="12"/>
          <w:szCs w:val="12"/>
          <w:color w:val="auto"/>
        </w:rPr>
        <w:t>The separation will be effected through a pro rata distribution of all outstanding shares of GXO common stock to XPO’s stockholders of record at the close of business on July 23, 2021, the record date for the distribution. If the distribution is completed, each XPO stockholder will receive one (1) share of GXO common stock for every one (1) share of XPO common stock held on the record date.</w:t>
      </w:r>
    </w:p>
    <w:p>
      <w:pPr>
        <w:spacing w:after="0" w:line="87" w:lineRule="exact"/>
        <w:rPr>
          <w:sz w:val="20"/>
          <w:szCs w:val="20"/>
          <w:color w:val="auto"/>
        </w:rPr>
      </w:pPr>
    </w:p>
    <w:p>
      <w:pPr>
        <w:jc w:val="both"/>
        <w:ind w:right="20"/>
        <w:spacing w:after="0" w:line="325" w:lineRule="auto"/>
        <w:rPr>
          <w:sz w:val="20"/>
          <w:szCs w:val="20"/>
          <w:color w:val="auto"/>
        </w:rPr>
      </w:pPr>
      <w:r>
        <w:rPr>
          <w:rFonts w:ascii="Arial" w:cs="Arial" w:eastAsia="Arial" w:hAnsi="Arial"/>
          <w:sz w:val="12"/>
          <w:szCs w:val="12"/>
          <w:color w:val="auto"/>
        </w:rPr>
        <w:t>The distribution does not require shareholder approval, nor is any shareholder action necessary to receive shares in the distribution of GXO common stock. XPO will distribute an information statement to all XPO shareholders entitled to receive the distribution of GXO shares. The preliminary information statement has been included as an exhibit to GXO’s Registration Statement on Form 10 filed with the U.S. Securities and Exchange Commission and describes GXO’s business, certain risks of owning GXO common stock and other details regarding the separation and distribution.</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Upon completion of the distribution, XPO will continue to trade on the New York Stock Exchange under the ticker symbol “XPO” and GXO will trade regular way on the New York Stock Exchange under the symbol “GXO”. Beginning on or about July 22, 2021 and expected to continue up to August 2, 2021, there will be two markets in XPO common stock on the NYSE: a “regular-way” market and an “ex-distribution” market. XPO common stock that trades in the “regular-way” market will trade with an entitlement to shares of GXO common stock distributed pursuant to the distribution, such that holders of XPO common stock who sell XPO shares regular way before August 2, 2021 will also be selling their right to receive shares of GXO common stock in the distribution. Shares that trade in the “ex-distribution” market will trade without an entitlement to GXO common stock distributed pursuant to the distribution. XPO investors are encouraged to consult with their financial and tax advisers regarding the specific implications of buying or selling XPO common stock on or before the distribution date and the U.S. federal, state and local or foreign tax consequences of the GXO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7163435"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80"/>
          </w:cols>
          <w:pgMar w:left="300" w:top="118" w:right="319" w:bottom="1440" w:gutter="0" w:footer="0" w:header="0"/>
        </w:sectPr>
      </w:pPr>
    </w:p>
    <w:bookmarkStart w:id="83" w:name="page84"/>
    <w:bookmarkEnd w:id="83"/>
    <w:p>
      <w:pPr>
        <w:ind w:right="140"/>
        <w:spacing w:after="0" w:line="257" w:lineRule="auto"/>
        <w:rPr>
          <w:sz w:val="20"/>
          <w:szCs w:val="20"/>
          <w:color w:val="auto"/>
        </w:rPr>
      </w:pPr>
      <w:r>
        <w:rPr>
          <w:rFonts w:ascii="Arial" w:cs="Arial" w:eastAsia="Arial" w:hAnsi="Arial"/>
          <w:sz w:val="14"/>
          <w:szCs w:val="14"/>
          <w:color w:val="auto"/>
        </w:rPr>
        <w:t>The distribution of GXO common stock is expected to be completed at 12:01 am, Eastern Time, on August 2, 2021, subject to the satisfaction or waiver of certain conditions, including, but not limited to, the Registration Statement on Form 10 for GXO common stock being declared effective by the U.S. Securities and Exchange Commission and other conditions described in the preliminary information statement included in GXO’s Registration Statement on Form 10 filed with the U.S. Securities and Exchange Commission. There can be no assurance regarding the ultimate timing of the distribution or that the distribution will be completed.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GXO Board of Directors</w:t>
      </w:r>
    </w:p>
    <w:p>
      <w:pPr>
        <w:spacing w:after="0" w:line="177" w:lineRule="exact"/>
        <w:rPr>
          <w:sz w:val="20"/>
          <w:szCs w:val="20"/>
          <w:color w:val="auto"/>
        </w:rPr>
      </w:pPr>
    </w:p>
    <w:p>
      <w:pPr>
        <w:ind w:right="260"/>
        <w:spacing w:after="0" w:line="274" w:lineRule="auto"/>
        <w:rPr>
          <w:sz w:val="20"/>
          <w:szCs w:val="20"/>
          <w:color w:val="auto"/>
        </w:rPr>
      </w:pPr>
      <w:r>
        <w:rPr>
          <w:rFonts w:ascii="Arial" w:cs="Arial" w:eastAsia="Arial" w:hAnsi="Arial"/>
          <w:sz w:val="14"/>
          <w:szCs w:val="14"/>
          <w:color w:val="auto"/>
        </w:rPr>
        <w:t>As previously announced, Brad Jacobs will serve as chairman of GXO’s board of directors. Additionally, as of the date of separation, current XPO directors Oren Shaffer, Marlene Colucci and Gena Ashe will resign from the XPO board to serve as directors of GXO. Mr. Shaffer will serve as lead independent director and Ms. Colucci will serve as vice chair.</w:t>
      </w:r>
    </w:p>
    <w:p>
      <w:pPr>
        <w:spacing w:after="0" w:line="134" w:lineRule="exact"/>
        <w:rPr>
          <w:sz w:val="20"/>
          <w:szCs w:val="20"/>
          <w:color w:val="auto"/>
        </w:rPr>
      </w:pPr>
    </w:p>
    <w:p>
      <w:pPr>
        <w:ind w:right="100"/>
        <w:spacing w:after="0" w:line="261" w:lineRule="auto"/>
        <w:rPr>
          <w:sz w:val="20"/>
          <w:szCs w:val="20"/>
          <w:color w:val="auto"/>
        </w:rPr>
      </w:pPr>
      <w:r>
        <w:rPr>
          <w:rFonts w:ascii="Arial" w:cs="Arial" w:eastAsia="Arial" w:hAnsi="Arial"/>
          <w:sz w:val="14"/>
          <w:szCs w:val="14"/>
          <w:color w:val="auto"/>
        </w:rPr>
        <w:t>Additionally, Clare Chatfield, senior partner with L.E.K. Consulting; Joli Gross, general counsel of United Rentals, Inc.; and Malcolm Wilson, CEO of GXO, will serve as directors of GXO, with a further appointment to follow. Biographies of GXO’s directors and executive officers are or will be included in the preliminary or final information statement that has been or will be filed with the U.S. Securities and Exchange Commission.</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GXO Investor Day Presentation Online</w:t>
      </w:r>
    </w:p>
    <w:p>
      <w:pPr>
        <w:spacing w:after="0" w:line="177" w:lineRule="exact"/>
        <w:rPr>
          <w:sz w:val="20"/>
          <w:szCs w:val="20"/>
          <w:color w:val="auto"/>
        </w:rPr>
      </w:pPr>
    </w:p>
    <w:p>
      <w:pPr>
        <w:ind w:right="460"/>
        <w:spacing w:after="0" w:line="274" w:lineRule="auto"/>
        <w:rPr>
          <w:sz w:val="20"/>
          <w:szCs w:val="20"/>
          <w:color w:val="auto"/>
        </w:rPr>
      </w:pPr>
      <w:r>
        <w:rPr>
          <w:rFonts w:ascii="Arial" w:cs="Arial" w:eastAsia="Arial" w:hAnsi="Arial"/>
          <w:sz w:val="14"/>
          <w:szCs w:val="14"/>
          <w:color w:val="auto"/>
        </w:rPr>
        <w:t>On July 13, 2021, XPO hosted a GXO Investor Day webcast that included management’s presentation of GXO’s investment highlights, operations, technology, financial performance and growth prospects, as well as a Q&amp;A session. Interested parties can access an archive of the webcast on gxo.com/investors from July 14 forward.</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Advisors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Goldman Sachs &amp; Co. LLC is acting as financial advisor for the separation transaction and Wachtell, Lipton, Rosen &amp; Katz is acting as legal advisor.</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About XPO Logistics</w:t>
      </w:r>
    </w:p>
    <w:p>
      <w:pPr>
        <w:spacing w:after="0" w:line="177" w:lineRule="exact"/>
        <w:rPr>
          <w:sz w:val="20"/>
          <w:szCs w:val="20"/>
          <w:color w:val="auto"/>
        </w:rPr>
      </w:pPr>
    </w:p>
    <w:p>
      <w:pPr>
        <w:ind w:right="80"/>
        <w:spacing w:after="0" w:line="257" w:lineRule="auto"/>
        <w:rPr>
          <w:sz w:val="20"/>
          <w:szCs w:val="20"/>
          <w:color w:val="auto"/>
        </w:rPr>
      </w:pPr>
      <w:r>
        <w:rPr>
          <w:rFonts w:ascii="Arial" w:cs="Arial" w:eastAsia="Arial" w:hAnsi="Arial"/>
          <w:sz w:val="14"/>
          <w:szCs w:val="14"/>
          <w:color w:val="auto"/>
        </w:rPr>
        <w:t>XPO Logistics, Inc. provides cutting-edge supply chain solutions to the most successful companies in the world, with two business segments: transportation and logistics. The company helps more than 50,000 customers manage their supply chains most efficiently, using a network of 1,621 locations in 30 countries and approximately 140,000 team members, including 108,000 employees and 32,000 temporary workers. The company’s corporate headquarters are in Greenwich, Conn., USA. Visit xpo.com for more information, and connect with XPO on Facebook, Twitter, LinkedIn, Instagram and YouTube.</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Forward-looking Statements</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4"/>
          <w:szCs w:val="14"/>
          <w:i w:val="1"/>
          <w:iCs w:val="1"/>
          <w:color w:val="auto"/>
        </w:rPr>
        <w:t>This press release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including the statements above regarding plans, benefits and timing of the contemplated spin-off transaction.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7163435"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ectPr>
          <w:pgSz w:w="11900" w:h="16838" w:orient="portrait"/>
          <w:cols w:equalWidth="0" w:num="1">
            <w:col w:w="11260"/>
          </w:cols>
          <w:pgMar w:left="300" w:top="735" w:right="339" w:bottom="1440" w:gutter="0" w:footer="0" w:header="0"/>
        </w:sectPr>
      </w:pPr>
    </w:p>
    <w:bookmarkStart w:id="84" w:name="page85"/>
    <w:bookmarkEnd w:id="84"/>
    <w:p>
      <w:pPr>
        <w:spacing w:after="0" w:line="296" w:lineRule="auto"/>
        <w:rPr>
          <w:sz w:val="20"/>
          <w:szCs w:val="20"/>
          <w:color w:val="auto"/>
        </w:rPr>
      </w:pPr>
      <w:r>
        <w:rPr>
          <w:rFonts w:ascii="Arial" w:cs="Arial" w:eastAsia="Arial" w:hAnsi="Arial"/>
          <w:sz w:val="12"/>
          <w:szCs w:val="12"/>
          <w:i w:val="1"/>
          <w:iCs w:val="1"/>
          <w:color w:val="auto"/>
        </w:rPr>
        <w:t>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the risks discussed in our filings with the SEC and the following: economic conditions generally; the severity, magnitude, duration and aftereffects of the COVID-19 pandemic and government responses to the COVID-19 pandemic; our ability to align our investments in capital assets, including equipment, service centers and warehouses, to our customers’ demands; our ability to implement our cost and revenue initiatives; our ability to successfully integrate and realize anticipated synergies, cost savings and profit improvement opportunities with respect to acquired companies; matters related to our intellectual property rights; fluctuations in currency exchange rates; fuel price and fuel surcharge changes; natural disasters, terrorist attacks or similar incidents; risks and uncertainties regarding the potential timing and expected benefits of the proposed spin-off of our logistics segment, including final approval for the proposed spin-off and the risk that the spin-off may not be completed on the terms or timeline currently contemplated, if at all; the impact of the proposed spin-off on the size and business diversity of our company; the ability of the proposed spin-off to qualify for tax-free treatment for U.S. federal income tax purposes; our ability to develop and implement suitable information technology systems and prevent failures in or breaches of such systems; our substantial indebtedness; our ability to raise debt and equity capital; fluctuations in fixed and floating interest rates; our ability to maintain positive relationships with our network of third-party transportation providers; our ability to attract and retain qualified drivers; labor matters, including our ability to manage our subcontractors, and risks associated with labor disputes at our customers and efforts by labor organizations to organize our employees; litigation, including litigation related to alleged misclassification of independent contractors and securities class actions; risks associated with our self-insured claims; risks associated with defined benefit plans for our current and former employees; and governmental regulation, including trade compliance laws, as well as changes in international trade policies and tax regimes; governmental or political actions, including the United Kingdom’s exit from the European Union; and competition and pricing pressures.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 Contacts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Tavio Headley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+1-203-413-4006</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tavio.headley@xpo.com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Angus Tweedie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+44 (0) 7841-53-06-00</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angus.tweedie@gxo.com</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 Contacts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Joe Checkler</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+1-203-423-2098</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joe.checkler@xpo.com</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Anne Lafourcade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+33 (0)6 75 22 52 90</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anne.lafourcade@gxo.com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335280</wp:posOffset>
            </wp:positionV>
            <wp:extent cx="716343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sectPr>
      <w:pgSz w:w="11900" w:h="16838" w:orient="portrait"/>
      <w:cols w:equalWidth="0" w:num="1">
        <w:col w:w="11280"/>
      </w:cols>
      <w:pgMar w:left="300" w:top="73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2021-07-13T16:36:57Z</dcterms:created>
  <dcterms:modified xsi:type="dcterms:W3CDTF">2021-07-13T16:36:57Z</dcterms:modified>
</cp:coreProperties>
</file>