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175895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199390</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191135</wp:posOffset>
            </wp:positionV>
            <wp:extent cx="720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XPO LOGISTICS,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175895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33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001-32172</w:t>
            </w:r>
          </w:p>
        </w:tc>
        <w:tc>
          <w:tcPr>
            <w:tcW w:w="28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03-0450326</w:t>
            </w:r>
          </w:p>
        </w:tc>
      </w:tr>
      <w:tr>
        <w:trPr>
          <w:trHeight w:val="216"/>
        </w:trPr>
        <w:tc>
          <w:tcPr>
            <w:tcW w:w="33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8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3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240" w:type="dxa"/>
            <w:vAlign w:val="bottom"/>
          </w:tcPr>
          <w:p>
            <w:pPr>
              <w:spacing w:after="0"/>
              <w:rPr>
                <w:sz w:val="20"/>
                <w:szCs w:val="20"/>
                <w:color w:val="auto"/>
              </w:rPr>
            </w:pPr>
          </w:p>
        </w:tc>
        <w:tc>
          <w:tcPr>
            <w:tcW w:w="28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32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Five American Lane,</w:t>
            </w:r>
          </w:p>
        </w:tc>
        <w:tc>
          <w:tcPr>
            <w:tcW w:w="3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0"/>
        </w:trPr>
        <w:tc>
          <w:tcPr>
            <w:tcW w:w="332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Greenwich, CT</w:t>
            </w:r>
          </w:p>
        </w:tc>
        <w:tc>
          <w:tcPr>
            <w:tcW w:w="3240" w:type="dxa"/>
            <w:vAlign w:val="bottom"/>
          </w:tcPr>
          <w:p>
            <w:pPr>
              <w:spacing w:after="0"/>
              <w:rPr>
                <w:sz w:val="19"/>
                <w:szCs w:val="19"/>
                <w:color w:val="auto"/>
              </w:rPr>
            </w:pPr>
          </w:p>
        </w:tc>
        <w:tc>
          <w:tcPr>
            <w:tcW w:w="280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216"/>
        </w:trPr>
        <w:tc>
          <w:tcPr>
            <w:tcW w:w="332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(Address of principal</w:t>
            </w:r>
          </w:p>
        </w:tc>
        <w:tc>
          <w:tcPr>
            <w:tcW w:w="3240" w:type="dxa"/>
            <w:vAlign w:val="bottom"/>
          </w:tcPr>
          <w:p>
            <w:pPr>
              <w:spacing w:after="0"/>
              <w:rPr>
                <w:sz w:val="18"/>
                <w:szCs w:val="18"/>
                <w:color w:val="auto"/>
              </w:rPr>
            </w:pPr>
          </w:p>
        </w:tc>
        <w:tc>
          <w:tcPr>
            <w:tcW w:w="28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332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executive offices)</w:t>
            </w:r>
          </w:p>
        </w:tc>
        <w:tc>
          <w:tcPr>
            <w:tcW w:w="324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(855) 976-6951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191135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8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20" w:type="dxa"/>
            <w:vAlign w:val="bottom"/>
            <w:gridSpan w:val="2"/>
            <w:vMerge w:val="restart"/>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gridSpan w:val="2"/>
          </w:tcPr>
          <w:p>
            <w:pPr>
              <w:jc w:val="center"/>
              <w:ind w:right="700"/>
              <w:spacing w:after="0" w:line="196" w:lineRule="exact"/>
              <w:rPr>
                <w:sz w:val="20"/>
                <w:szCs w:val="20"/>
                <w:color w:val="auto"/>
              </w:rPr>
            </w:pPr>
            <w:r>
              <w:rPr>
                <w:rFonts w:ascii="Times New Roman" w:cs="Times New Roman" w:eastAsia="Times New Roman" w:hAnsi="Times New Roman"/>
                <w:sz w:val="18"/>
                <w:szCs w:val="18"/>
                <w:b w:val="1"/>
                <w:bCs w:val="1"/>
                <w:color w:val="auto"/>
                <w:w w:val="91"/>
              </w:rPr>
              <w:t>symbol(s)</w:t>
            </w:r>
          </w:p>
        </w:tc>
        <w:tc>
          <w:tcPr>
            <w:tcW w:w="4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680" w:type="dxa"/>
            <w:vAlign w:val="bottom"/>
          </w:tcPr>
          <w:p>
            <w:pPr>
              <w:spacing w:after="0"/>
              <w:rPr>
                <w:sz w:val="20"/>
                <w:szCs w:val="20"/>
                <w:color w:val="auto"/>
              </w:rPr>
            </w:pPr>
          </w:p>
        </w:tc>
        <w:tc>
          <w:tcPr>
            <w:tcW w:w="13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XPO</w:t>
            </w:r>
          </w:p>
        </w:tc>
        <w:tc>
          <w:tcPr>
            <w:tcW w:w="6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u w:val="single" w:color="auto"/>
          <w:color w:val="auto"/>
        </w:rPr>
        <w:t>Entry into a Material Definitive Agreement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Offering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25, 2022, XPO Escrow Sub, LLC (the “</w:t>
      </w:r>
      <w:r>
        <w:rPr>
          <w:rFonts w:ascii="Times New Roman" w:cs="Times New Roman" w:eastAsia="Times New Roman" w:hAnsi="Times New Roman"/>
          <w:sz w:val="18"/>
          <w:szCs w:val="18"/>
          <w:u w:val="single" w:color="auto"/>
          <w:color w:val="auto"/>
        </w:rPr>
        <w:t>Escrow Issuer</w:t>
      </w:r>
      <w:r>
        <w:rPr>
          <w:rFonts w:ascii="Times New Roman" w:cs="Times New Roman" w:eastAsia="Times New Roman" w:hAnsi="Times New Roman"/>
          <w:sz w:val="18"/>
          <w:szCs w:val="18"/>
          <w:color w:val="auto"/>
        </w:rPr>
        <w:t>”), a wholly owned subsidiary of XPO Logistics, Inc. (“</w:t>
      </w:r>
      <w:r>
        <w:rPr>
          <w:rFonts w:ascii="Times New Roman" w:cs="Times New Roman" w:eastAsia="Times New Roman" w:hAnsi="Times New Roman"/>
          <w:sz w:val="18"/>
          <w:szCs w:val="18"/>
          <w:u w:val="single" w:color="auto"/>
          <w:color w:val="auto"/>
        </w:rPr>
        <w:t>XPO</w:t>
      </w:r>
      <w:r>
        <w:rPr>
          <w:rFonts w:ascii="Times New Roman" w:cs="Times New Roman" w:eastAsia="Times New Roman" w:hAnsi="Times New Roman"/>
          <w:sz w:val="18"/>
          <w:szCs w:val="18"/>
          <w:color w:val="auto"/>
        </w:rPr>
        <w:t>”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completed its previously announced private offering of $355 million in aggregate principal amount of 7.500% notes due 2027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were issued pursuant to an indenture dated as of October 25, 2022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supplemented by the First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October 25, 2022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the Base Indenture as amended or supplemented by the Supplemental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in each case between the Escrow Issuer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 notes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at an issue price of 98.962% of par. Substantially concurrently with or prior to the consummation of the distribution of shares of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RXO, Inc. (“</w:t>
      </w:r>
      <w:r>
        <w:rPr>
          <w:rFonts w:ascii="Times New Roman" w:cs="Times New Roman" w:eastAsia="Times New Roman" w:hAnsi="Times New Roman"/>
          <w:sz w:val="18"/>
          <w:szCs w:val="18"/>
          <w:u w:val="single" w:color="auto"/>
          <w:color w:val="auto"/>
        </w:rPr>
        <w:t>RXO</w:t>
      </w:r>
      <w:r>
        <w:rPr>
          <w:rFonts w:ascii="Times New Roman" w:cs="Times New Roman" w:eastAsia="Times New Roman" w:hAnsi="Times New Roman"/>
          <w:sz w:val="18"/>
          <w:szCs w:val="18"/>
          <w:color w:val="auto"/>
        </w:rPr>
        <w:t>”) to XPO’s stockholders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in connection with the previously announced planned separation of RXO from XPO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the Escrow Issuer will merge with and into RXO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date of such Merger, the “</w:t>
      </w:r>
      <w:r>
        <w:rPr>
          <w:rFonts w:ascii="Times New Roman" w:cs="Times New Roman" w:eastAsia="Times New Roman" w:hAnsi="Times New Roman"/>
          <w:sz w:val="18"/>
          <w:szCs w:val="18"/>
          <w:u w:val="single" w:color="auto"/>
          <w:color w:val="auto"/>
        </w:rPr>
        <w:t>Merger Date</w:t>
      </w:r>
      <w:r>
        <w:rPr>
          <w:rFonts w:ascii="Times New Roman" w:cs="Times New Roman" w:eastAsia="Times New Roman" w:hAnsi="Times New Roman"/>
          <w:sz w:val="18"/>
          <w:szCs w:val="18"/>
          <w:color w:val="auto"/>
        </w:rPr>
        <w:t>”), and RXO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 a supplemental indenture to the Indenture (the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as a result of which the notes will become the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RXO (the Escrow Issuer prior to the Merger, and RXO after the Merger,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notes were offered in the United States only to qualified institutional buyers in reliance on Rule 144A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outside the United States, only to non-U.S. investors pursuant to Regulation S under the Securities Act. The offering of the notes has not been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notes will accrue interest at a rate of 7.500% per year, payable semi-annually in cash in arrears on May 15 and November 15 of each year, beginning on May 15, 2023. The notes will mature on November 15, 2027, unless earlier repurchased or redeemed, if applicable. The Issuer may redeem some or all of the notes at the applicable redemption price, as described in the Supplemental Indenture.</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From and after the Merger Date until, subject to certain conditions, the first date on which the notes have an investment grade rating by at least two rating agencies, the notes will be guaranteed, jointly and severally, by each of the Issuer’s direct and indirect wholly owned domestic subsidiaries (other than certain excluded subsidiaries) that guarantees or is or becomes a borrower in respect of certain other indebtedness of the Issuer or any guarantor of the notes. Prior to the Merger Date and the execution by RXO and the guarantors of the Second Supplemental Indenture, no entity other than the Escrow Issuer will have any obligation to make payment on the notes.</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including failure to make required payments, failure to comply with certain agreements or covenants and certain events of bankruptcy and insolvency. Events of default under the Indenture arising from certain events of bankruptcy or insolvency will automatically cause the acceleration of the amounts due under the notes. If any other event of default under the Indenture occurs and is continuing with respect to the notes, the Trustee or the holders of at least 25% in aggregate principal amount of the then outstanding notes may declare the acceleration of the amounts due under the applicable notes.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notes are the Issuer’s unsecured, unsubordinated debt obligations, and rank equally with the Issuer’s other existing and future unsecured, unsubordinated obligations. The net proceeds from the notes will be placed in an escrow account to be released, subject to the satisfaction of certain terms and conditions, prior to the distribution. RXO intends to use the net proceeds of the notes to (i) fund a cash distribution to XPO (which XPO intends to use to repay existing indebtedness prior to the 12-month anniversary of the distribution), (ii) pay fees, costs and expenses incurred in connection with the separation, distribution, such financing transactions and related transactions and/or (iii) provide working capital to RXO.</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set forth in the Supplemental Indenture relating to the failure of the distribution to be consummated or the Issuer’s notice to the Trustee that it will not pursue the spin-off, the Issuer will be required to redeem the notes then outstanding at a redemption price equal to 101% of the principal amount of the notes to be redeemed, plus accrued and unpaid interest thereon to, but excluding, the special mandatory redemption date, in accordance with the terms of the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Base Indenture and Supplemental Indenture do not purport to be complete and are qualified in their entirety by reference to the Base Indenture and the Supplemental Indenture, copies of which are filed as Exhibit 4.1 and Exhibit 4.2 hereto, respectively, and are incorporated into this Item 1.01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October 24, 2022, in connection with the previously announced planned separation of RXO from XPO, XPO NAT Solutions, LLC ("NAT Solutions"), which became a wholly-owned subsidiary of RXO on October 25, 2022, entered into an Intellectual Property License Agreement (the "Intellectual Property License Agreement") with XPO. The Intellectual Property License Agreement provides NAT Solutions a non-exclusive license to certain XPO software platforms for use in the operation of RXO's businesses, and XPO has (i) licenses to certain software platforms owned by RXO subsidiaries for use in the operation of XPO's retained businesses in Europe and Africa, which shall be exclusive (including with respect to the RXO subsidiaries and their affiliates) for the first three years of the term of the Intellectual Property License Agreement and will be non-exclusive thereafter, (ii) non-exclusive licenses to certain software platforms owned by RXO subsidiaries for use in the operation of XPO's retained businesses in North America and the Caribbean countries and (iii) non-exclusive licenses to certain patents owned by RXO subsidiaries for use in the operation of XPO's retained businesses. The Intellectual Property License Agreement also provides the parties with reciprocal, non-exclusive licenses under certain intellectual property rights owned by RXO subsidiaries and certain intellectual property rights retained by XPO in order to provide the parties freedom to operate their respective businesses.</w:t>
      </w:r>
    </w:p>
    <w:p>
      <w:pPr>
        <w:spacing w:after="0" w:line="192" w:lineRule="exact"/>
        <w:rPr>
          <w:sz w:val="20"/>
          <w:szCs w:val="20"/>
          <w:color w:val="auto"/>
        </w:rPr>
      </w:pPr>
    </w:p>
    <w:p>
      <w:pPr>
        <w:ind w:right="200"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Intellectual Property License Agreement does not purport to be complete and is qualified in its entirety by reference to the Intellectual Property License Agreement, a copy of which is filed as Exhibit 10.1 hereto and is incorporated into this Item 1.01 by reference. Additional information regarding the separation and distribution can be found in RXO's information statement, dated October 17, 2022, which was furnished as </w:t>
      </w:r>
      <w:hyperlink r:id="rId19">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XPO's Current Report on Form 8-K previously filed with the SEC on October 20, 2022.</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u w:val="single" w:color="auto"/>
          <w:color w:val="auto"/>
        </w:rPr>
        <w:t>Creation of a Direct Financial Obligation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 w:type="dxa"/>
            <w:vAlign w:val="bottom"/>
          </w:tcPr>
          <w:p>
            <w:pPr>
              <w:spacing w:after="0"/>
              <w:rPr>
                <w:sz w:val="18"/>
                <w:szCs w:val="18"/>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Indenture, dated as of October 25, 2022, between XPO Escrow Sub, LLC and U.S. Bank Trust Company, National Association, as Trustee</w:t>
            </w: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First Supplemental Indenture, dated as of October 25, 2022, between XPO Escrow Sub, LLC and U.S. Bank, National Association, as</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Trustee</w:t>
            </w:r>
          </w:p>
        </w:tc>
        <w:tc>
          <w:tcPr>
            <w:tcW w:w="9100" w:type="dxa"/>
            <w:vAlign w:val="bottom"/>
            <w:tcBorders>
              <w:top w:val="single" w:sz="8" w:color="0000EE"/>
            </w:tcBorders>
            <w:gridSpan w:val="3"/>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Intellectual Property License Agreement dated as of October 24, 2022, between XPO NAT Solutions, LLC and XPO Logistics, Inc.</w:t>
            </w:r>
          </w:p>
        </w:tc>
        <w:tc>
          <w:tcPr>
            <w:tcW w:w="520" w:type="dxa"/>
            <w:vAlign w:val="bottom"/>
            <w:gridSpan w:val="2"/>
          </w:tcPr>
          <w:p>
            <w:pPr>
              <w:spacing w:after="0"/>
              <w:rPr>
                <w:sz w:val="17"/>
                <w:szCs w:val="17"/>
                <w:color w:val="auto"/>
              </w:rPr>
            </w:pPr>
          </w:p>
        </w:tc>
      </w:tr>
      <w:tr>
        <w:trPr>
          <w:trHeight w:val="237"/>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104.1</w:t>
            </w:r>
          </w:p>
        </w:tc>
        <w:tc>
          <w:tcPr>
            <w:tcW w:w="56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Section 27A of the Securities Act and Section 21E of the Securities Exchange Act of 1934, as amended, including statements relating to the planned spin-off and the expected timing of the spin-off and the anticipated benefits of the spin-off.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firstLine="648"/>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our ability to effect the spin-off of our tech-enabled brokered transportation platform and meet the related conditions of the spin-off, the expected timing of the completion of the spin-off and the terms of the spin-off, our ability to achieve the expected benefits of the spin-off, our ability to retain and attract key personnel for the separate businesses, the risks discussed in our filings with the SEC, and the following: economic conditions generally; the severity, magnitude, duration and aftereffects of the COVID-19 pandemic, including supply chain disruptions due to plant and port shutdowns and transportation delays, the global shortage of certain components such as semiconductor chips, strains on production or extraction of raw materials, cost inflation and labor and equipment shortages, which may lower levels of service, including the timeliness, productivity and quality of service, and government responses to these factors; our ability to align our investments in capital assets, including equipment, service centers and warehouses, to our customers’ demands; our ability to implement our cost and revenue initiatives; our ability to benefit from the proposed spin-off; our ability to successfully integrate and realize anticipated synergies, cost savings and profit improvement opportunities with respect to acquired companies; goodwill impairment, including in connection with the proposed spin-off; matters related to our intellectual property rights; fluctuations in currency exchange rates; fuel price and fuel surcharge changes; natural disasters, terrorist attacks, wars or similar incidents, including the conflict between Russia and Ukraine and increased tensions between Taiwan and China; risks and uncertainties regarding the potential timing and expected benefits of the proposed spin-off of our tech-enabled brokered transportation platform, including the risk that the spin-off may not be completed on the terms or timeline currently contemplated, if at all; the impact of the proposed spin-off of our tech-enabled brokered transportation platform on the size and business diversity of our company; the ability of the proposed spin-off of our tech-enabled brokered transportation platform to qualify for tax-free treatment for U.S. federal income tax purposes; our ability to develop and implement suitable information technology systems and prevent failures in or breaches of such systems; our indebtedness; our ability to raise debt and equity capital; fluctuations in fixed and floating interest rates; our ability to maintain positive relationships with our network of third-party transportation providers; our ability to attract and retain qualified drivers; labor matters, including our ability to manage our subcontractors, and risks associated with labor disputes at our customers and efforts by labor organizations to organize our employees and independent contractors; litigation, including litigation related to alleged misclassification of independent contractors and securities class actions; risks associated with our self-insured claims; risks associated with defined benefit plans for our current and former employees; the impact of potential sales of common stock by our chairman; governmental regulation, including trade compliance laws, as well as changes in international trade policies, sanctions and tax regimes; governmental or political actions, including the United Kingdom’s exit from the European Union; and competition and pricing pressures.</w:t>
      </w:r>
    </w:p>
    <w:p>
      <w:pPr>
        <w:spacing w:after="0" w:line="20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All forward-looking statements set forth in this Current Report on Form 8-K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Current Report on Form 8-K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XPO LOGISTICS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Ravi Tulsyan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Ravi Tulsyan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ind w:right="60"/>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XPO ESCROW SUB, LLC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to be merged with and into </w:t>
      </w:r>
      <w:r>
        <w:rPr>
          <w:rFonts w:ascii="Times New Roman" w:cs="Times New Roman" w:eastAsia="Times New Roman" w:hAnsi="Times New Roman"/>
          <w:sz w:val="18"/>
          <w:szCs w:val="18"/>
          <w:b w:val="1"/>
          <w:bCs w:val="1"/>
          <w:color w:val="auto"/>
        </w:rPr>
        <w:t>RXO,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Company</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GUARANTORS party hereto from time to time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DEBT SECURITIES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October 25, 2022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1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2"/>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53"/>
        </w:trPr>
        <w:tc>
          <w:tcPr>
            <w:tcW w:w="1040" w:type="dxa"/>
            <w:vAlign w:val="bottom"/>
          </w:tcPr>
          <w:p>
            <w:pPr>
              <w:spacing w:after="0"/>
              <w:rPr>
                <w:sz w:val="24"/>
                <w:szCs w:val="24"/>
                <w:color w:val="auto"/>
              </w:rPr>
            </w:pPr>
          </w:p>
        </w:tc>
        <w:tc>
          <w:tcPr>
            <w:tcW w:w="81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This Table of Contents is not a part of the Indenture</w:t>
            </w:r>
          </w:p>
        </w:tc>
        <w:tc>
          <w:tcPr>
            <w:tcW w:w="17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52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color w:val="auto"/>
                <w:w w:val="98"/>
              </w:rPr>
              <w:t>ARTICLE 1</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4"/>
        </w:trPr>
        <w:tc>
          <w:tcPr>
            <w:tcW w:w="1040" w:type="dxa"/>
            <w:vAlign w:val="bottom"/>
          </w:tcPr>
          <w:p>
            <w:pPr>
              <w:spacing w:after="0"/>
              <w:rPr>
                <w:sz w:val="18"/>
                <w:szCs w:val="18"/>
                <w:color w:val="auto"/>
              </w:rPr>
            </w:pPr>
          </w:p>
        </w:tc>
        <w:tc>
          <w:tcPr>
            <w:tcW w:w="814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ncorporation by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eference</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Other Definitions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52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color w:val="auto"/>
                <w:w w:val="98"/>
              </w:rPr>
              <w:t>ARTICLE 2</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52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Registrar and Paying Agent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Paying Agent to Hold Money in Trust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Securityholder Lists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Transfer and Exchange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Replacement Securities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Outstanding Securities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Temporary Securities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Cancellation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Defaulted Interest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Treasury Securities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CUSIP/ISIN Numbers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Deposit of Moneys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Book-Entry Provisions for Global Security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i w:val="1"/>
                <w:iCs w:val="1"/>
                <w:color w:val="auto"/>
              </w:rPr>
              <w:t>No Duty to Monitor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52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color w:val="auto"/>
                <w:w w:val="98"/>
              </w:rPr>
              <w:t>ARTICLE 3</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52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edemption</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Notices to Trustee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Selection of Securities to be Redeemed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Securities Redeemed in Part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8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ARTICLE 4</w:t>
            </w:r>
          </w:p>
        </w:tc>
        <w:tc>
          <w:tcPr>
            <w:tcW w:w="178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84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p>
        </w:tc>
        <w:tc>
          <w:tcPr>
            <w:tcW w:w="1780" w:type="dxa"/>
            <w:vAlign w:val="bottom"/>
          </w:tcPr>
          <w:p>
            <w:pPr>
              <w:spacing w:after="0"/>
              <w:rPr>
                <w:sz w:val="20"/>
                <w:szCs w:val="20"/>
                <w:color w:val="auto"/>
              </w:rPr>
            </w:pPr>
          </w:p>
        </w:tc>
      </w:tr>
      <w:tr>
        <w:trPr>
          <w:trHeight w:val="41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Compliance Certificate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Waiver of Stay, Extension or Usury Laws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Reports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Limitation on Liens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Future Guarantors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1040" w:type="dxa"/>
            <w:vAlign w:val="bottom"/>
          </w:tcPr>
          <w:p>
            <w:pPr>
              <w:spacing w:after="0"/>
              <w:rPr>
                <w:sz w:val="24"/>
                <w:szCs w:val="24"/>
                <w:color w:val="auto"/>
              </w:rPr>
            </w:pPr>
          </w:p>
        </w:tc>
        <w:tc>
          <w:tcPr>
            <w:tcW w:w="8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ARTICLE 5</w:t>
            </w:r>
          </w:p>
        </w:tc>
        <w:tc>
          <w:tcPr>
            <w:tcW w:w="178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uccessor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tc>
        <w:tc>
          <w:tcPr>
            <w:tcW w:w="1780" w:type="dxa"/>
            <w:vAlign w:val="bottom"/>
          </w:tcPr>
          <w:p>
            <w:pPr>
              <w:spacing w:after="0"/>
              <w:rPr>
                <w:sz w:val="20"/>
                <w:szCs w:val="20"/>
                <w:color w:val="auto"/>
              </w:rPr>
            </w:pPr>
          </w:p>
        </w:tc>
      </w:tr>
      <w:tr>
        <w:trPr>
          <w:trHeight w:val="43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When Company May Merge, etc.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1040" w:type="dxa"/>
            <w:vAlign w:val="bottom"/>
          </w:tcPr>
          <w:p>
            <w:pPr>
              <w:spacing w:after="0"/>
              <w:rPr>
                <w:sz w:val="24"/>
                <w:szCs w:val="24"/>
                <w:color w:val="auto"/>
              </w:rPr>
            </w:pPr>
          </w:p>
        </w:tc>
        <w:tc>
          <w:tcPr>
            <w:tcW w:w="8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ARTICLE 6</w:t>
            </w:r>
          </w:p>
        </w:tc>
        <w:tc>
          <w:tcPr>
            <w:tcW w:w="178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tc>
        <w:tc>
          <w:tcPr>
            <w:tcW w:w="1780" w:type="dxa"/>
            <w:vAlign w:val="bottom"/>
          </w:tcPr>
          <w:p>
            <w:pPr>
              <w:spacing w:after="0"/>
              <w:rPr>
                <w:sz w:val="20"/>
                <w:szCs w:val="20"/>
                <w:color w:val="auto"/>
              </w:rPr>
            </w:pPr>
          </w:p>
        </w:tc>
      </w:tr>
      <w:tr>
        <w:trPr>
          <w:trHeight w:val="41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Acceleration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Remedies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Existing Defaults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Control by Majority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to Receive Payment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Priorities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for Costs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4"/>
        </w:trPr>
        <w:tc>
          <w:tcPr>
            <w:tcW w:w="1040" w:type="dxa"/>
            <w:vAlign w:val="bottom"/>
          </w:tcPr>
          <w:p>
            <w:pPr>
              <w:spacing w:after="0"/>
              <w:rPr>
                <w:sz w:val="24"/>
                <w:szCs w:val="24"/>
                <w:color w:val="auto"/>
              </w:rPr>
            </w:pPr>
          </w:p>
        </w:tc>
        <w:tc>
          <w:tcPr>
            <w:tcW w:w="8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ARTICLE 7</w:t>
            </w:r>
          </w:p>
        </w:tc>
        <w:tc>
          <w:tcPr>
            <w:tcW w:w="178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rustee</w:t>
            </w:r>
          </w:p>
        </w:tc>
        <w:tc>
          <w:tcPr>
            <w:tcW w:w="1780" w:type="dxa"/>
            <w:vAlign w:val="bottom"/>
          </w:tcPr>
          <w:p>
            <w:pPr>
              <w:spacing w:after="0"/>
              <w:rPr>
                <w:sz w:val="20"/>
                <w:szCs w:val="20"/>
                <w:color w:val="auto"/>
              </w:rPr>
            </w:pPr>
          </w:p>
        </w:tc>
      </w:tr>
      <w:tr>
        <w:trPr>
          <w:trHeight w:val="41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Rights of Trustee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Trustee’s Disclaimer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Reports by Trustee to Holders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Successor Trustee by Merger, etc.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Eligibility; Disqualification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Preferential Collection of Claims Against Company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1040" w:type="dxa"/>
            <w:vAlign w:val="bottom"/>
          </w:tcPr>
          <w:p>
            <w:pPr>
              <w:spacing w:after="0"/>
              <w:rPr>
                <w:sz w:val="24"/>
                <w:szCs w:val="24"/>
                <w:color w:val="auto"/>
              </w:rPr>
            </w:pPr>
          </w:p>
        </w:tc>
        <w:tc>
          <w:tcPr>
            <w:tcW w:w="8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ARTICLE 8</w:t>
            </w:r>
          </w:p>
        </w:tc>
        <w:tc>
          <w:tcPr>
            <w:tcW w:w="178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ischarge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w:t>
            </w:r>
          </w:p>
        </w:tc>
        <w:tc>
          <w:tcPr>
            <w:tcW w:w="1780" w:type="dxa"/>
            <w:vAlign w:val="bottom"/>
          </w:tcPr>
          <w:p>
            <w:pPr>
              <w:spacing w:after="0"/>
              <w:rPr>
                <w:sz w:val="20"/>
                <w:szCs w:val="20"/>
                <w:color w:val="auto"/>
              </w:rPr>
            </w:pPr>
          </w:p>
        </w:tc>
      </w:tr>
      <w:tr>
        <w:trPr>
          <w:trHeight w:val="41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Defeasance upon Deposit of Moneys or Government Obligations; Satisfaction and Discharge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Survival of the Company’s Obligations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Application of Trust Money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Repayment to the Company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Reinstatement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80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ARTICLE 9</w:t>
            </w:r>
          </w:p>
        </w:tc>
        <w:tc>
          <w:tcPr>
            <w:tcW w:w="218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80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upplements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aivers</w:t>
            </w:r>
          </w:p>
        </w:tc>
        <w:tc>
          <w:tcPr>
            <w:tcW w:w="218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Without Consent of 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With Consent of 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Revocation and Effect of Consents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Notation on or Exchange of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Trustee to Sign Amendments,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1040" w:type="dxa"/>
            <w:vAlign w:val="bottom"/>
          </w:tcPr>
          <w:p>
            <w:pPr>
              <w:spacing w:after="0"/>
              <w:rPr>
                <w:sz w:val="24"/>
                <w:szCs w:val="24"/>
                <w:color w:val="auto"/>
              </w:rPr>
            </w:pPr>
          </w:p>
        </w:tc>
        <w:tc>
          <w:tcPr>
            <w:tcW w:w="80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ARTICLE 10</w:t>
            </w:r>
          </w:p>
        </w:tc>
        <w:tc>
          <w:tcPr>
            <w:tcW w:w="218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0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ecurities in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oreign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urrencies</w:t>
            </w:r>
          </w:p>
        </w:tc>
        <w:tc>
          <w:tcPr>
            <w:tcW w:w="2180" w:type="dxa"/>
            <w:vAlign w:val="bottom"/>
          </w:tcPr>
          <w:p>
            <w:pPr>
              <w:spacing w:after="0"/>
              <w:rPr>
                <w:sz w:val="20"/>
                <w:szCs w:val="20"/>
                <w:color w:val="auto"/>
              </w:rPr>
            </w:pPr>
          </w:p>
        </w:tc>
      </w:tr>
      <w:tr>
        <w:trPr>
          <w:trHeight w:val="43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Applicability of Article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1040" w:type="dxa"/>
            <w:vAlign w:val="bottom"/>
          </w:tcPr>
          <w:p>
            <w:pPr>
              <w:spacing w:after="0"/>
              <w:rPr>
                <w:sz w:val="24"/>
                <w:szCs w:val="24"/>
                <w:color w:val="auto"/>
              </w:rPr>
            </w:pPr>
          </w:p>
        </w:tc>
        <w:tc>
          <w:tcPr>
            <w:tcW w:w="80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ARTICLE 11</w:t>
            </w:r>
          </w:p>
        </w:tc>
        <w:tc>
          <w:tcPr>
            <w:tcW w:w="218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0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uarantee</w:t>
            </w:r>
          </w:p>
        </w:tc>
        <w:tc>
          <w:tcPr>
            <w:tcW w:w="2180" w:type="dxa"/>
            <w:vAlign w:val="bottom"/>
          </w:tcPr>
          <w:p>
            <w:pPr>
              <w:spacing w:after="0"/>
              <w:rPr>
                <w:sz w:val="20"/>
                <w:szCs w:val="20"/>
                <w:color w:val="auto"/>
              </w:rPr>
            </w:pPr>
          </w:p>
        </w:tc>
      </w:tr>
      <w:tr>
        <w:trPr>
          <w:trHeight w:val="41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Guarantee.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Limitation on Liability.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Non-Impairment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Successors and Assigns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No Waiver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Modification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Execution of Supplemental Indenture for Future Guarantors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1040" w:type="dxa"/>
            <w:vAlign w:val="bottom"/>
          </w:tcPr>
          <w:p>
            <w:pPr>
              <w:spacing w:after="0"/>
              <w:rPr>
                <w:sz w:val="24"/>
                <w:szCs w:val="24"/>
                <w:color w:val="auto"/>
              </w:rPr>
            </w:pPr>
          </w:p>
        </w:tc>
        <w:tc>
          <w:tcPr>
            <w:tcW w:w="80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ARTICLE 12</w:t>
            </w:r>
          </w:p>
        </w:tc>
        <w:tc>
          <w:tcPr>
            <w:tcW w:w="218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0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180" w:type="dxa"/>
            <w:vAlign w:val="bottom"/>
          </w:tcPr>
          <w:p>
            <w:pPr>
              <w:spacing w:after="0"/>
              <w:rPr>
                <w:sz w:val="20"/>
                <w:szCs w:val="20"/>
                <w:color w:val="auto"/>
              </w:rPr>
            </w:pPr>
          </w:p>
        </w:tc>
      </w:tr>
      <w:tr>
        <w:trPr>
          <w:trHeight w:val="41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Communications by Holders with Other 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Certificate and Opinion as to Conditions Precedent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Statements Required in Certificate or Opinion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Rules by Trustee and Agents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Legal Holidays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Governing Law</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No Adverse Interpretation of Other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No Recourse Against Others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Successors and Assigns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Duplicate Originals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PATRIOT ACT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Waiver of Jury Trial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i w:val="1"/>
                <w:iCs w:val="1"/>
                <w:color w:val="auto"/>
              </w:rPr>
              <w:t>Jurisdiction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Supplemental Indenture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right="340" w:firstLine="648"/>
        <w:spacing w:after="0" w:line="268" w:lineRule="auto"/>
        <w:rPr>
          <w:sz w:val="20"/>
          <w:szCs w:val="20"/>
          <w:color w:val="auto"/>
        </w:rPr>
      </w:pPr>
      <w:r>
        <w:rPr>
          <w:rFonts w:ascii="Times New Roman" w:cs="Times New Roman" w:eastAsia="Times New Roman" w:hAnsi="Times New Roman"/>
          <w:sz w:val="18"/>
          <w:szCs w:val="18"/>
          <w:color w:val="auto"/>
        </w:rPr>
        <w:t>INDENTURE dated as of October 25, 2022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XPO ESCROW SUB, LLC, a Delaware limited liability company (the “</w:t>
      </w:r>
      <w:r>
        <w:rPr>
          <w:rFonts w:ascii="Times New Roman" w:cs="Times New Roman" w:eastAsia="Times New Roman" w:hAnsi="Times New Roman"/>
          <w:sz w:val="18"/>
          <w:szCs w:val="18"/>
          <w:b w:val="1"/>
          <w:bCs w:val="1"/>
          <w:color w:val="auto"/>
        </w:rPr>
        <w:t>Escrow Issuer</w:t>
      </w:r>
      <w:r>
        <w:rPr>
          <w:rFonts w:ascii="Times New Roman" w:cs="Times New Roman" w:eastAsia="Times New Roman" w:hAnsi="Times New Roman"/>
          <w:sz w:val="18"/>
          <w:szCs w:val="18"/>
          <w:color w:val="auto"/>
        </w:rPr>
        <w:t>” and, prior to the Merger (as defined below),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Company’s debt securities issued under this Base Indenture: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ncorporation by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eference</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when used with reference to a specified Person, any Person directly or indirectly controlling or controlled by or under direct or indirect common control with the Person specified.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Registrar, Paying Agent or co-Registrar or agent for service of notices and demands.</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Authorizing Resolution</w:t>
      </w:r>
      <w:r>
        <w:rPr>
          <w:rFonts w:ascii="Times New Roman" w:cs="Times New Roman" w:eastAsia="Times New Roman" w:hAnsi="Times New Roman"/>
          <w:sz w:val="18"/>
          <w:szCs w:val="18"/>
          <w:color w:val="auto"/>
        </w:rPr>
        <w:t>” means a resolution adopted by the Board of Directors or by an Officer or committee of Officers pursuant to delegation by the Board of Directors authorizing a Series of Securities.</w:t>
      </w:r>
    </w:p>
    <w:p>
      <w:pPr>
        <w:spacing w:after="0" w:line="155"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Indebtedness</w:t>
      </w:r>
      <w:r>
        <w:rPr>
          <w:rFonts w:ascii="Times New Roman" w:cs="Times New Roman" w:eastAsia="Times New Roman" w:hAnsi="Times New Roman"/>
          <w:sz w:val="18"/>
          <w:szCs w:val="18"/>
          <w:color w:val="auto"/>
        </w:rPr>
        <w:t>” means any and all amounts payable under or in respect of (a) any Credit Agreement and the other Credit Agreement Documents, as amended, restated, supplemented, waived, replaced (whether or not upon termination, and whether with the original lenders or otherwise), restructured, repaid, refunded, refinanced or otherwise modified from time to time (including after termination of the Credit Agreement),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including principal, premium (if any), interest (including interest accruing on or after the filing of any petition in bankruptcy or for reorganization relating to the Company whether or not a claim for post-filing interest is allowed in such proceedings), fees, charges, expenses, reimbursement obligations, Guarantees and all other amounts payable thereunder or in respect thereof and</w:t>
      </w:r>
    </w:p>
    <w:p>
      <w:pPr>
        <w:spacing w:after="0" w:line="5" w:lineRule="exact"/>
        <w:rPr>
          <w:sz w:val="20"/>
          <w:szCs w:val="20"/>
          <w:color w:val="auto"/>
        </w:rPr>
      </w:pPr>
    </w:p>
    <w:p>
      <w:pPr>
        <w:ind w:firstLine="8"/>
        <w:spacing w:after="0" w:line="25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Indebtedness referred to in clause (a) remains outstanding, if designated by the Company to be included in this definition, one or more (A) debt facilities or commercial paper facilities, providing for revolving credit loans, term loans, reserve-based loans, securitization or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of the United States Code, as amended, or any similar federal or state law for the relief of debtors.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calendar day that is not a Saturday or a Sunday or a day on which banking institutions in the City of New York (or any other place of payment with respect to the applicable Security) are authorized or required by law, regulation or executive order to close.</w:t>
      </w:r>
    </w:p>
    <w:p>
      <w:pPr>
        <w:spacing w:after="0" w:line="15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Markets Indebtedness</w:t>
      </w:r>
      <w:r>
        <w:rPr>
          <w:rFonts w:ascii="Times New Roman" w:cs="Times New Roman" w:eastAsia="Times New Roman" w:hAnsi="Times New Roman"/>
          <w:sz w:val="18"/>
          <w:szCs w:val="18"/>
          <w:color w:val="auto"/>
        </w:rPr>
        <w:t>” means any Indebtedness consisting of bonds, debentures, notes or other similar debt securities issued in (a) a public offering registered under the Securities Act, (b) a private placement to institutional investors that is resold in accordance with Rule 144A or Regulation S of the Securities Act, whether or not it includes registration rights entitling the holders of such debt securities to registration thereof with the Commission or (c) a placement to institutional investors. The term “Capital Markets Indebtedness” shall not include any Indebtedness under commercial bank facilities or similar Indebtedness, Capitalized Lease Obligation or recourse transfer of any financial asset or any other type of Indebtedness incurred in a manner not customarily viewed as a “securities offering.”</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xml:space="preserve">” means, at the time any determination thereof is to be made, the amount of the liability in respect of a capital lease that would at such time be required to be capitalized and reflected as a liability on a balance sheet (excluding the footnotes thereto) in accordance with GAAP as in effect on December 31, 2018;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obligations of the Company or its Subsidiaries, or of a special purpose or other entity not consolidated with the Company and its Subsidiaries that (a) initially were not included on the consolidated balance sheet of the Company as capital lease obligations and were subsequently characterized as capital lease obligations or, in the case of such a special purpose or other entity becoming consolidated with the Company and its Subsidiaries were required to be characterized as capital lease obligations upon such consolidation, in either case, due to a change in accounting treatment or otherwise, or (b) were required to be characterized as capital lease obligations but would not have been required to be treated as capital lease obligations on December 31, 2018 had they existed at that time, shall for all purposes not be treated as Capitalized Lease Obligations or Indebtedness.</w:t>
      </w:r>
    </w:p>
    <w:p>
      <w:pPr>
        <w:spacing w:after="0" w:line="188"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with respect to any Person, any and all shares, interests, participations or other equivalents (however designated) of or in such Person’s capital stock or other Equity Interests.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within the meaning of Section 957 of the IRC.</w:t>
      </w:r>
    </w:p>
    <w:p>
      <w:pPr>
        <w:spacing w:after="0" w:line="22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Base Indenture such Commission is not existing and performing the duties now assigned to it under the TIA, then the body performing such duties at such time.</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(i) initially, the Escrow Issuer and (ii) from and after consummation of the Merger, RXO, until a successor replaces it pursuant to the Indenture and thereafter means the successor.</w:t>
      </w:r>
    </w:p>
    <w:p>
      <w:pPr>
        <w:spacing w:after="0" w:line="15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means, as of the time of determination, total assets as reflected on the Company’s most recent consolidated balance sheet prepared as at the end of a fiscal quarter in accordance with GAAP which the Company shall have most recently filed with the Commission (or, if the Company is not required to so file, as reflected on its most recent consolidated balance sheet prepared in accordance with GAAP) prior to the time at which Consolidated Total Assets is being determined. The calculation of Consolidated Total Assets shall give pro forma effect to any acquisition by or disposition of assets of the Company or any of its Subsidiaries involving the payment or receipt by the Company or any of its Subsidiaries, as applicable, of consideration (whether in the form of cash or non-cash consideration) in excess of $500,000,000 that has occurred since the end of such fiscal quarter, as if such acquisition or disposition had occurred on the last day of such fiscal quarter.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Entity</w:t>
      </w:r>
      <w:r>
        <w:rPr>
          <w:rFonts w:ascii="Times New Roman" w:cs="Times New Roman" w:eastAsia="Times New Roman" w:hAnsi="Times New Roman"/>
          <w:sz w:val="18"/>
          <w:szCs w:val="18"/>
          <w:color w:val="auto"/>
        </w:rPr>
        <w:t>” has the meaning set forth in Section‎ 5.01(a)(i).</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when used with respect to any Person,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(i) the credit agreement entered into in connection with the Revolving Credit Facility, as amended, restated, supplemented, waived, replaced (whether or not upon termination, and whether with the original lenders or otherwise), restructured, repaid, refunded, refinanced or otherwise modified from time to time,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Company to not be included in the definition of “Credit Agreement”), (ii) the credit agreement entered into in connection with the Term Loan Facility, as amended, restated, supplemented, waived, replaced (whether or not upon termination, and whether with the original lenders or otherwise), restructured, repaid, refunded, refinanced or otherwise modified from time to time,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Company to not be included in the definition of “Credit Agreement”), and (iii) whether or not the credit agreement referred to in clause (i) or (ii) remains outstanding, if designated by the Company to be included in the definition of “Credit Agreement,” one or more</w:t>
      </w:r>
    </w:p>
    <w:p>
      <w:pPr>
        <w:spacing w:after="0" w:line="5" w:lineRule="exact"/>
        <w:rPr>
          <w:sz w:val="20"/>
          <w:szCs w:val="20"/>
          <w:color w:val="auto"/>
        </w:rPr>
      </w:pPr>
    </w:p>
    <w:p>
      <w:pPr>
        <w:ind w:right="20" w:firstLine="8"/>
        <w:spacing w:after="0" w:line="252" w:lineRule="auto"/>
        <w:tabs>
          <w:tab w:leader="none" w:pos="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facilities or commercial paper facilities, providing for revolving credit loans, term loans, securitization or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as amended, supplemented, modified, waived, extended, restructured, repaid, renewed, refinanced, restated, replaced (whether or not upon termination, and whether with the original lenders or otherwise) or refunded in whole or in part from time to time.</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jc w:val="both"/>
        <w:ind w:right="10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Credit Agreement Documents</w:t>
      </w:r>
      <w:r>
        <w:rPr>
          <w:rFonts w:ascii="Times New Roman" w:cs="Times New Roman" w:eastAsia="Times New Roman" w:hAnsi="Times New Roman"/>
          <w:sz w:val="17"/>
          <w:szCs w:val="17"/>
          <w:color w:val="auto"/>
        </w:rPr>
        <w:t>” means the collective reference to any Credit Agreement, any notes issued pursuant thereto and the Guarantees thereof, and the collateral documents relating thereto, as amended, supplemented, restated, renewed, refunded, replaced (whether or not upon termination, and whether with the original lenders or otherwise), restructured, repaid, refinanced or otherwise modified, in whole or in part, from time to time.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act or condition that is, or after notice or the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Security</w:t>
      </w:r>
      <w:r>
        <w:rPr>
          <w:rFonts w:ascii="Times New Roman" w:cs="Times New Roman" w:eastAsia="Times New Roman" w:hAnsi="Times New Roman"/>
          <w:sz w:val="18"/>
          <w:szCs w:val="18"/>
          <w:color w:val="auto"/>
        </w:rPr>
        <w:t>” means a certificated Security registered in the name of the Securityholder thereof.</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Securities of any Series which the Company shall determine will be issued in whole or in part as a Global Security, DTC, another clearing agency, or any successor registered as a clearing agency under the Exchange Act, and any other applicable U.S. or foreign statute or regulation, which, in each case, shall be designated by the Company pursuant to ‎Section 2.01.</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United States Dollars.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Principal Subsidiary</w:t>
      </w:r>
      <w:r>
        <w:rPr>
          <w:rFonts w:ascii="Times New Roman" w:cs="Times New Roman" w:eastAsia="Times New Roman" w:hAnsi="Times New Roman"/>
          <w:sz w:val="18"/>
          <w:szCs w:val="18"/>
          <w:color w:val="auto"/>
        </w:rPr>
        <w:t>” means any Subsidiary of the Company of which, at the time of determination, all of the outstanding capital stock (other than directors’ qualifying shares) is owned by the Company directly and/or indirectly and which, at the time of determination, is primarily engaged in contract logistics, other than a Subsidiary that (a) neither transacts any substantial portion of its business nor regularly maintains any substantial portion of its fixed assets within the United States, (b) all or substantially all of whose assets consist of the capital stock of one or more Subsidiaries which are not Domestic Principal Subsidiaries, (c) a majority of whose Voting Stock is owned directly or indirectly by one or more Subsidiaries of the Company which are not Domestic Principal Subsidiaries or (d) does not own a Principal Property.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 Subsidiary that is not a Foreign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 with respect to any Series of Securities, (a) each Domestic Subsidiary that is prohibited from guaranteeing such Securities by any requirement of law or that would require consent, approval, license or authorization of a governmental authority to guarantee such Securities (unless such consent, approval, license or authorization has been received), (b) each Domestic Subsidiary that is prohibited by any applicable contractual requirement from guaranteeing such Securities on the Issue Date thereof or at the time such Subsidiary becomes a Subsidiary (to the extent not incurred in connection with becoming a Subsidiary and in each case for so long as such restriction or any replacement or renewal thereof is in effect),</w:t>
      </w:r>
    </w:p>
    <w:p>
      <w:pPr>
        <w:spacing w:after="0" w:line="3" w:lineRule="exact"/>
        <w:rPr>
          <w:sz w:val="20"/>
          <w:szCs w:val="20"/>
          <w:color w:val="auto"/>
        </w:rPr>
      </w:pPr>
    </w:p>
    <w:p>
      <w:pPr>
        <w:jc w:val="both"/>
        <w:ind w:right="520" w:firstLine="8"/>
        <w:spacing w:after="0" w:line="253"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(i) that owns no material assets (directly or through its subsidiaries) other than Equity Interests of one or more Foreign Subsidiaries or (ii) that is a direct or indirect subsidiary of a Foreign Subsidiary, (d) any Foreign Subsidiary, (e) any Subsidiary which engages in no activities other than in connection with any asset securitization or factoring transactions, (f) any CFC, (g) any Subsidiary that is a captive insurance company and (h) any not-for-profit subsidiary.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and its subsidiaries.</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means any currency, currency unit or composite currency, including, without limitation, the euro, issued by the government of one or more countries other than the United States of America or by any recognized confederation or association of such governments.</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 Subsidiary not organized or existing under the laws of the United States of America or any state thereof or the District of Columbia. For the avoidance of doubt, any Subsidiary incorporated or organized under the laws of a territory of the United States (including the Commonwealth of Puerto Rico) shall constitute a “Foreign Subsidiary”.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in effect from time to time.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4" w:name="page15"/>
    <w:bookmarkEnd w:id="14"/>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 or other obligations. The amount of any Guarantee shall be deemed to be an amount equal to the stated or determinable amount of the Indebtedness in respect of which such Guarantee is made or, if not stated or determinable, the maximum reasonably anticipated liability in respect thereof as determined by such person in good faith.</w:t>
      </w:r>
    </w:p>
    <w:p>
      <w:pPr>
        <w:spacing w:after="0" w:line="179"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means, with respect to any Series of Securities, any Subsidiary of the Company that provides a Securities Guarantee of such Series;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upon the release or discharge of such Person from its Securities Guarantee in accordance with the Indenture, such Person shall cease to be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 in respect of such Series.</w:t>
      </w:r>
    </w:p>
    <w:p>
      <w:pPr>
        <w:spacing w:after="0" w:line="171"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Obligations</w:t>
      </w:r>
      <w:r>
        <w:rPr>
          <w:rFonts w:ascii="Times New Roman" w:cs="Times New Roman" w:eastAsia="Times New Roman" w:hAnsi="Times New Roman"/>
          <w:sz w:val="18"/>
          <w:szCs w:val="18"/>
          <w:color w:val="auto"/>
        </w:rPr>
        <w:t xml:space="preserve">” means securities which are (i) direct obligations of the United States or the other government or governments in the confederation which issued the Foreign Currency in which the principal of or any interest on the Security of the applicable Series shall be payable, in each case for the payment of which its full faith and credit is pledged or (ii) obligations of a Person controlled or supervised by and acting as an agency or instrumentality of the United States or such other government or governments, in each case the payment of which is unconditionally guaranteed as a full faith and credit obligation by the United States or such other government or governments, which, in either case are not callable or redeemable at the option of the issuer or issuers thereof, and shall also include a depositary receipt issued by a bank or trust company as custodian with respect to any such Government Obligations or a specific payment of interest on or principal of any such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Government Obligation or the specific payment of interest on or principal of the Government Obligation evidenced by such depositary receipt.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means the Person in whose name a Security is registered on the Registrar’s books.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debt (other than Non-recourse Obligations) of such Person for borrowed money.</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Base Indenture as amended or supplemented from time to time, including pursuant to any Authorizing Resolution or supplemental indenture pertaining to any Series.</w:t>
      </w:r>
    </w:p>
    <w:p>
      <w:pPr>
        <w:spacing w:after="0" w:line="15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rating of BBB- or better by S&amp;P or Fitch (or its equivalent under any successor Rating Categories of S&amp;P or Fitch, respectively); a rating of Baa3 or better by Moody’s (or its equivalent under any successor Rating Categories of Moody’s); or the equivalent investment grade credit rating from any additional rating agency or rating agencies selected by the Company.</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with respect to any Series of Securities, the date on which the Securities of such Series are originally issued under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security interest, pledge, mortgage, conditional sale or other title retention agreement or other similar encumbrance.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the Escrow Issuer with and into RXO, with RXO surviving such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Date</w:t>
      </w:r>
      <w:r>
        <w:rPr>
          <w:rFonts w:ascii="Times New Roman" w:cs="Times New Roman" w:eastAsia="Times New Roman" w:hAnsi="Times New Roman"/>
          <w:sz w:val="18"/>
          <w:szCs w:val="18"/>
          <w:color w:val="auto"/>
        </w:rPr>
        <w:t>” means the time of the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or any successor to the rating agency business.</w:t>
      </w:r>
    </w:p>
    <w:p>
      <w:pPr>
        <w:spacing w:after="0" w:line="225"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Non-recourse Obligation</w:t>
      </w:r>
      <w:r>
        <w:rPr>
          <w:rFonts w:ascii="Times New Roman" w:cs="Times New Roman" w:eastAsia="Times New Roman" w:hAnsi="Times New Roman"/>
          <w:sz w:val="17"/>
          <w:szCs w:val="17"/>
          <w:color w:val="auto"/>
        </w:rPr>
        <w:t>” means Indebtedness (A) substantially related to (1) the acquisition of assets not previously owned by the Company or any of its Subsidiaries or (2) the financing of a project involving the development or expansion of properties of the Company or any of its Subsidiaries, or</w:t>
      </w:r>
    </w:p>
    <w:p>
      <w:pPr>
        <w:spacing w:after="0" w:line="1"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renewing, refinancing, replacing or extending any of the types of Indebtedness referred to in the preceding clause (A), in each case, as to which the</w:t>
      </w:r>
    </w:p>
    <w:p>
      <w:pPr>
        <w:spacing w:after="0" w:line="9"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obligee with respect to such Indebtedness has no recourse to the Company or its assets other than the assets which were acquired with the proceeds of such transaction or the project financed with the proceeds of such transaction (and the proceeds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will not fail to qualify as Non-recourse Obligations solely because the Company has indemnified any such obligee against damages resulting from or is otherwise obligated to such obligee in respect of exceptions to non-recourse liability in general usage (as determined in good faith by the Board of Directors or any Senior Officer of the Company) in the relevant industry at the time such Indebtedness is incurred (such as fraud, waste, misapplication of funds, failure to maintain insurance coverage, and environmental liability).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has the meaning specified in Section‎ 6.01(c).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NYUCC</w:t>
      </w:r>
      <w:r>
        <w:rPr>
          <w:rFonts w:ascii="Times New Roman" w:cs="Times New Roman" w:eastAsia="Times New Roman" w:hAnsi="Times New Roman"/>
          <w:sz w:val="18"/>
          <w:szCs w:val="18"/>
          <w:color w:val="auto"/>
        </w:rPr>
        <w:t>” means the New York Uniform Commercial Code, as in effect from time to time.</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the Chief Executive Officer, the Chief Financial Officer, the Chief Accounting Officer, the President, any Vice President, the Treasurer, the Assistant Treasurer, the Controller or the Secretary of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an Officer of the Company.</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of counsel, which may be an employee of or counsel for the Company, any Subsidiary of the Company or any Person of which the Company is a Subsidiary, and who shall be reasonably acceptable to the Trustee.</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6" w:name="page17"/>
    <w:bookmarkEnd w:id="16"/>
    <w:p>
      <w:pPr>
        <w:ind w:righ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political subdivision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xml:space="preserve">” of a debt security means the principal of the security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when appropriate, the premium, if any, on the security.</w:t>
      </w:r>
    </w:p>
    <w:p>
      <w:pPr>
        <w:spacing w:after="0" w:line="22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Property</w:t>
      </w:r>
      <w:r>
        <w:rPr>
          <w:rFonts w:ascii="Times New Roman" w:cs="Times New Roman" w:eastAsia="Times New Roman" w:hAnsi="Times New Roman"/>
          <w:sz w:val="18"/>
          <w:szCs w:val="18"/>
          <w:color w:val="auto"/>
        </w:rPr>
        <w:t>” means the land, improvements, buildings and fixtures constituting any research and development facility or service and support facility that is real property located within the territorial limits of the United States (excluding its territories and possessions and Puerto Rico) owned or leased by the Company or any of its Domestic Principal Subsidiaries and having a net book value which, on the date of determination as to whether a Property is a Principal Property is being made, exceeds 2% of Consolidated Total Assets, other than (a) any such facility as any of the Board of Directors determines in good faith is not of material importance to the total business conducted, or assets owned, by the Company and its Subsidiaries, taken as a whole, and (b) the Company’s principal corporate offices.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property or asset, whether real, personal or mixed, or tangible or intangible, including shares of capital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means (1) each of S&amp;P, Moody’s and Fitch, so long as such entity makes a rating of the Securities of the applicable</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Series publicly available; and, (2) at the Company’s option, if any of S&amp;P, Moody’s or Fitch ceases to rate the Securities of the applicable Series or fails to make a rating of such Securities publicly available, a “nationally recognized statistical rating organization” within the meaning of Section 3(a)(62) of the Exchange Act, selected by the Company (as certified by a resolution of the Board of Directors) as a replacement agency for S&amp;P, Moody’s or Fitch, or all of them, as the case may be.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Category</w:t>
      </w:r>
      <w:r>
        <w:rPr>
          <w:rFonts w:ascii="Times New Roman" w:cs="Times New Roman" w:eastAsia="Times New Roman" w:hAnsi="Times New Roman"/>
          <w:sz w:val="18"/>
          <w:szCs w:val="18"/>
          <w:color w:val="auto"/>
        </w:rPr>
        <w:t>” means (i) with respect to Moody’s, any of the following categories: Baa, Ba, B, Caa, Ca, C and D (or equivalent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categories); (ii) with respect to S&amp;P or Fitch, any of the following categories: BBB, BB, B, CCC, CC, C and D (or equivalent successor categories); and</w:t>
      </w:r>
    </w:p>
    <w:p>
      <w:pPr>
        <w:spacing w:after="0" w:line="9" w:lineRule="exact"/>
        <w:rPr>
          <w:sz w:val="20"/>
          <w:szCs w:val="20"/>
          <w:color w:val="auto"/>
        </w:rPr>
      </w:pPr>
    </w:p>
    <w:p>
      <w:pPr>
        <w:ind w:firstLine="8"/>
        <w:spacing w:after="0" w:line="253"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equivalent of any such category of Moody’s, Fitch or S&amp;P used by another rating agency. In determining whether the rating of the Securities of any applicable Series has decreased by one or more gradations, gradations within rating categories (1, 2 and 3 for Moody’s; + and - for S&amp;P and Fitch; or the equivalent gradations for another rating agency) shall be taken into account (e.g., with respect to S&amp;P and Fitch, a decline in a rating from BB+ to BB, as well as from BB- to B+, will constitute a decrease of one gradation).</w:t>
      </w:r>
    </w:p>
    <w:p>
      <w:pPr>
        <w:spacing w:after="0" w:line="18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Ratings Date</w:t>
      </w:r>
      <w:r>
        <w:rPr>
          <w:rFonts w:ascii="Times New Roman" w:cs="Times New Roman" w:eastAsia="Times New Roman" w:hAnsi="Times New Roman"/>
          <w:sz w:val="18"/>
          <w:szCs w:val="18"/>
          <w:color w:val="auto"/>
        </w:rPr>
        <w:t>” means, with respect to any Series of Securities, the first date after the Issue Date of such Securities on which such Securities have an Investment Grade Rating by at least two Rating Agencies and on which no Event of Default has occurred and is continuing under the Indenture in respect of such Series, and the Company shall have delivered notice of such event to the Trustee.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7" w:name="page18"/>
    <w:bookmarkEnd w:id="17"/>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Facility</w:t>
      </w:r>
      <w:r>
        <w:rPr>
          <w:rFonts w:ascii="Times New Roman" w:cs="Times New Roman" w:eastAsia="Times New Roman" w:hAnsi="Times New Roman"/>
          <w:sz w:val="18"/>
          <w:szCs w:val="18"/>
          <w:color w:val="auto"/>
        </w:rPr>
        <w:t>” means RXO’s revolving credit facility entered into on October 18, 2022 with Citibank, N.A., as administrative agent, and certain other parties from time to time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RXO</w:t>
      </w:r>
      <w:r>
        <w:rPr>
          <w:rFonts w:ascii="Times New Roman" w:cs="Times New Roman" w:eastAsia="Times New Roman" w:hAnsi="Times New Roman"/>
          <w:sz w:val="18"/>
          <w:szCs w:val="18"/>
          <w:color w:val="auto"/>
        </w:rPr>
        <w:t>” means RXO, Inc.,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Ratings Services, a division of The McGraw-Hill Companies,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securities that are issued under this Base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Guarantee</w:t>
      </w:r>
      <w:r>
        <w:rPr>
          <w:rFonts w:ascii="Times New Roman" w:cs="Times New Roman" w:eastAsia="Times New Roman" w:hAnsi="Times New Roman"/>
          <w:sz w:val="18"/>
          <w:szCs w:val="18"/>
          <w:color w:val="auto"/>
        </w:rPr>
        <w:t>” means, with respect to any Series of Securities, any guarantee of the obligations of the Company under the Indenture (in respect of such Series) and the applicable Securities by any Guarantor in accordance with the provisions of the Indenture.</w:t>
      </w:r>
    </w:p>
    <w:p>
      <w:pPr>
        <w:spacing w:after="0" w:line="15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Officer</w:t>
      </w:r>
      <w:r>
        <w:rPr>
          <w:rFonts w:ascii="Times New Roman" w:cs="Times New Roman" w:eastAsia="Times New Roman" w:hAnsi="Times New Roman"/>
          <w:sz w:val="18"/>
          <w:szCs w:val="18"/>
          <w:color w:val="auto"/>
        </w:rPr>
        <w:t>” of any specified Person means the Chief Executive Officer, any President, any Vice President, the Chief Financial Officer, the Treasurer, any Assistant Treasurer, the Secretary or any Assistant Secretary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w:t>
      </w:r>
      <w:r>
        <w:rPr>
          <w:rFonts w:ascii="Times New Roman" w:cs="Times New Roman" w:eastAsia="Times New Roman" w:hAnsi="Times New Roman"/>
          <w:sz w:val="18"/>
          <w:szCs w:val="18"/>
          <w:color w:val="auto"/>
        </w:rPr>
        <w:t>” means a series of Securities established under this Base Indenture.</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that would be a “significant subsidiary” within the meaning of Rule 1-02 under Regulation S-X promulgated by the Commission (or any successor provisions).</w:t>
      </w:r>
    </w:p>
    <w:p>
      <w:pPr>
        <w:spacing w:after="0" w:line="155"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of which at least a majority of the outstanding capital stock or other Equity Interests having by the terms thereof ordinary voting power to elect a majority of the directors, managers or trustees of such corporation or other entity, irrespective of whether or not at the time capital stock or other equity securities of any other class or classes of such corporation or other entity shall have or might have voting power by reason of the happening of any contingency, is at the time, directly or indirectly, owned or controlled by the Company or by one or more of its Subsidiaries, or by the Company and one or more of its Subsidiaries.</w:t>
      </w:r>
    </w:p>
    <w:p>
      <w:pPr>
        <w:spacing w:after="0" w:line="179"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Facility</w:t>
      </w:r>
      <w:r>
        <w:rPr>
          <w:rFonts w:ascii="Times New Roman" w:cs="Times New Roman" w:eastAsia="Times New Roman" w:hAnsi="Times New Roman"/>
          <w:sz w:val="18"/>
          <w:szCs w:val="18"/>
          <w:color w:val="auto"/>
        </w:rPr>
        <w:t>” means RXO’s term loan facility entered into on October 18, 2022 with Citibank, N.A., as administrative agent, and certain other parties from time to time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means the Trust Indenture Act of 1939, as amended.</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Officer</w:t>
      </w:r>
      <w:r>
        <w:rPr>
          <w:rFonts w:ascii="Times New Roman" w:cs="Times New Roman" w:eastAsia="Times New Roman" w:hAnsi="Times New Roman"/>
          <w:sz w:val="18"/>
          <w:szCs w:val="18"/>
          <w:color w:val="auto"/>
        </w:rPr>
        <w:t>”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in each case, shall have direct responsibility for the administration of this Indenture.</w:t>
      </w:r>
    </w:p>
    <w:p>
      <w:pPr>
        <w:spacing w:after="0" w:line="179"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means the party named as such in this Base Indenture until a successor replaces it pursuant to this Base Indenture and thereafter means the successor serving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time there is more than one such Person, “Trustee” as used with respect to the Securities of any Series shall mean only the Trustee with respect to Securities of that Series.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any Person means a Subsidiary of such Person 100% of the outstanding capital stock or other ownership interests of which (other than directors’ qualifying shares or shares required pursuant to applicable law) shall at the time be owned by such Person or by one or more Wholly Owned Subsidiaries of such Person.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946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w:t>
            </w:r>
          </w:p>
        </w:tc>
      </w:tr>
      <w:tr>
        <w:trPr>
          <w:trHeight w:val="439"/>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3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Defined in Section</w:t>
            </w:r>
          </w:p>
        </w:tc>
      </w:tr>
      <w:tr>
        <w:trPr>
          <w:trHeight w:val="198"/>
        </w:trPr>
        <w:tc>
          <w:tcPr>
            <w:tcW w:w="1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Agent Members</w:t>
            </w: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‎2.15(a)</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Applicable Deficit</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‎8.01(e)</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Base Indenture</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‎8.01(c)</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11.01(b)</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‎8.01(b)</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Legal Holiday</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‎12.07</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Registrar</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Security Register</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Signature Law</w:t>
            </w:r>
          </w:p>
        </w:tc>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‎12.12</w:t>
            </w:r>
          </w:p>
        </w:tc>
      </w:tr>
      <w:tr>
        <w:trPr>
          <w:trHeight w:val="432"/>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9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[Reserved].</w:t>
            </w:r>
          </w:p>
        </w:tc>
      </w:tr>
      <w:tr>
        <w:trPr>
          <w:trHeight w:val="432"/>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946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Unless the context otherwise requires:</w:t>
            </w:r>
          </w:p>
        </w:tc>
      </w:tr>
    </w:tbl>
    <w:p>
      <w:pPr>
        <w:spacing w:after="0" w:line="198" w:lineRule="exact"/>
        <w:rPr>
          <w:sz w:val="20"/>
          <w:szCs w:val="20"/>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 herein;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right="160" w:firstLine="656"/>
        <w:spacing w:after="0" w:line="282" w:lineRule="auto"/>
        <w:tabs>
          <w:tab w:leader="none" w:pos="13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 and all accounting determinations shall be made in accordance with GAAP;</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 and “including” means “including without limitation”;</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right="280" w:firstLine="656"/>
        <w:spacing w:after="0" w:line="282" w:lineRule="auto"/>
        <w:tabs>
          <w:tab w:leader="none" w:pos="13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“hereunder,” and other words of similar import, refer to this Indenture as a whole (including any Authorizing Resolution or supplemental indenture relating to the relevant Series)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exhibits are incorporated by reference herein and expressly made a part of this Indenture;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event shall be considered “permitted by” or made “in accordance with” or “in compliance with” this Indenture or any particular provision hereof if such transaction or event is not expressly prohibited by this Indenture or such provision, as the case may be.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p>
    <w:p>
      <w:pPr>
        <w:spacing w:after="0" w:line="205"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 The aggregate principal amount of Securities that may be issued under this Base Indenture is unlimited. The Securities may be issued from time to time in one or more Series. Each Series shall be created by an Authorizing Resolution, an Officer’s Certificate or a supplemental indenture that establishes the terms of the Series, which may include the following:</w:t>
      </w:r>
    </w:p>
    <w:p>
      <w:pPr>
        <w:spacing w:after="0" w:line="175" w:lineRule="exact"/>
        <w:rPr>
          <w:sz w:val="20"/>
          <w:szCs w:val="20"/>
          <w:color w:val="auto"/>
        </w:rPr>
      </w:pPr>
    </w:p>
    <w:p>
      <w:pPr>
        <w:ind w:left="1400" w:hanging="74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13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(or any limit on the aggregate principal amount) of the Series and, if any Securities of a Series are to be issued at a discount from their face amount, or with a premium, the method of computing the accretion of such discount or computing such premium;</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method of calculation of the interest rate;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interest will accrue;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payable on Securities of the Series;</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when, places where and manner in which principal and interest are payable;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20" w:name="page21"/>
    <w:bookmarkEnd w:id="20"/>
    <w:p>
      <w:pPr>
        <w:ind w:right="280" w:firstLine="656"/>
        <w:spacing w:after="0" w:line="282" w:lineRule="auto"/>
        <w:tabs>
          <w:tab w:leader="none" w:pos="13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Trustee or a Trustee other than U.S. Bank Trust Company, National Association, the identity of the Trustee and, if not the Trustee, the identity of each Registrar, Paying Agent or authenticating agent with respect to such Securities;</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(including any sinking fund requirements) or optional redemption by the Company;</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permissible denominations in which Securities of such Series are issuable, if different from $2,000 and multiples of $1,000 in excess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7"/>
          <w:szCs w:val="17"/>
          <w:color w:val="auto"/>
        </w:rPr>
      </w:pPr>
    </w:p>
    <w:p>
      <w:pPr>
        <w:ind w:left="1400" w:hanging="74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such Series will be issued in registered or bearer form and the terms of any such forms of Securities;</w:t>
      </w:r>
    </w:p>
    <w:p>
      <w:pPr>
        <w:spacing w:after="0" w:line="225" w:lineRule="exact"/>
        <w:rPr>
          <w:rFonts w:ascii="Times New Roman" w:cs="Times New Roman" w:eastAsia="Times New Roman" w:hAnsi="Times New Roman"/>
          <w:sz w:val="18"/>
          <w:szCs w:val="18"/>
          <w:color w:val="auto"/>
        </w:rPr>
      </w:pPr>
    </w:p>
    <w:p>
      <w:pPr>
        <w:ind w:right="180" w:firstLine="656"/>
        <w:spacing w:after="0" w:line="257" w:lineRule="auto"/>
        <w:tabs>
          <w:tab w:leader="none" w:pos="13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shall be issued in whole or in part in the form of a Global Security or Securities; the terms and conditions, if different from those contained in this Base Indenture, upon which such Global Security or Securities may be exchanged in whole or in part for Definitive Securities; the Depositary for such Global Security or Securities; and the form of any legend or legends, if any, to be borne by any such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Security or Securities in addition to or in lieu of the legends referred to in Section‎ 2.15;</w:t>
      </w:r>
    </w:p>
    <w:p>
      <w:pPr>
        <w:spacing w:after="0" w:line="206" w:lineRule="exact"/>
        <w:rPr>
          <w:rFonts w:ascii="Times New Roman" w:cs="Times New Roman" w:eastAsia="Times New Roman" w:hAnsi="Times New Roman"/>
          <w:sz w:val="18"/>
          <w:szCs w:val="18"/>
          <w:color w:val="auto"/>
        </w:rPr>
      </w:pPr>
    </w:p>
    <w:p>
      <w:pPr>
        <w:ind w:right="320" w:firstLine="656"/>
        <w:spacing w:after="0" w:line="282" w:lineRule="auto"/>
        <w:tabs>
          <w:tab w:leader="none" w:pos="14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any composite currency) in which principal or interest or both may be paid and the agency or organization, if any, responsible for overseeing any composite currency;</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3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or interest may be made in a currency other than that in which Securities of such Series are denominated, the manner for determining such payments, including the time and manner of determining the exchange rate between the currency in which such Securities are denominated and the currency in which such Securities or any of them may be paid, and any deletions from or modifications of or additions to the terms of this Base Indenture to provide for or to facilitate the issuance of Securities denominated or payable, at the election of the Company or a Holder thereof or otherwise, in a Foreign Currency;</w:t>
      </w:r>
    </w:p>
    <w:p>
      <w:pPr>
        <w:spacing w:after="0" w:line="183" w:lineRule="exact"/>
        <w:rPr>
          <w:rFonts w:ascii="Times New Roman" w:cs="Times New Roman" w:eastAsia="Times New Roman" w:hAnsi="Times New Roman"/>
          <w:sz w:val="18"/>
          <w:szCs w:val="18"/>
          <w:color w:val="auto"/>
        </w:rPr>
      </w:pPr>
    </w:p>
    <w:p>
      <w:pPr>
        <w:ind w:right="420" w:firstLine="656"/>
        <w:spacing w:after="0" w:line="261" w:lineRule="auto"/>
        <w:tabs>
          <w:tab w:leader="none" w:pos="13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or any interest on such Securities may be determined with reference to an index, formula, financial or economic measure or other method or methods (which index, formula, measure or method or methods may be based, without limitation, on one or more currencies, commodities, equity indices or other indices) and if so, the terms and conditions upon which and the manner in which such amounts shall be determined and paid or be payable;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1" w:name="page22"/>
    <w:bookmarkEnd w:id="21"/>
    <w:p>
      <w:pPr>
        <w:ind w:left="1400" w:hanging="74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Securities or issuance of Securities of such Series in uncertificated form;</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covenants, defined terms and/or other terms in addition to or in lieu of those set forth in this Base Indenture;</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Securities of such Series may be defeased or discharged if different from the provisions set forth in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Indenture;</w:t>
      </w:r>
    </w:p>
    <w:p>
      <w:pPr>
        <w:spacing w:after="0" w:line="206" w:lineRule="exact"/>
        <w:rPr>
          <w:rFonts w:ascii="Times New Roman" w:cs="Times New Roman" w:eastAsia="Times New Roman" w:hAnsi="Times New Roman"/>
          <w:sz w:val="18"/>
          <w:szCs w:val="18"/>
          <w:color w:val="auto"/>
        </w:rPr>
      </w:pPr>
    </w:p>
    <w:p>
      <w:pPr>
        <w:ind w:right="400" w:firstLine="656"/>
        <w:spacing w:after="0" w:line="282" w:lineRule="auto"/>
        <w:tabs>
          <w:tab w:leader="none" w:pos="13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such Series, which, unless the Authorizing Resolution, Officer’s Certificate or supplemental indenture otherwise provides, shall be in the form of Exhibit A;</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that may be required by or advisable under applicable law;</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of the Securities of such Series which is payable if the maturity of the Securities of such Series is accelerated in the case of Securities issued at a discount from their face amount;</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13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such Series will or will not have the benefit of guarantees and, if applicable, the terms and conditions upon which such guarantees may be subordinated to other indebtedness of the respective guarantors;</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4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are unsubordinated or subordinated debt securities, and if subordinated debt securities, the terms of such subordination;</w:t>
      </w:r>
    </w:p>
    <w:p>
      <w:pPr>
        <w:spacing w:after="0" w:line="161" w:lineRule="exact"/>
        <w:rPr>
          <w:rFonts w:ascii="Times New Roman" w:cs="Times New Roman" w:eastAsia="Times New Roman" w:hAnsi="Times New Roman"/>
          <w:sz w:val="18"/>
          <w:szCs w:val="18"/>
          <w:color w:val="auto"/>
        </w:rPr>
      </w:pPr>
    </w:p>
    <w:p>
      <w:pPr>
        <w:ind w:right="20" w:firstLine="656"/>
        <w:spacing w:after="0" w:line="258" w:lineRule="auto"/>
        <w:tabs>
          <w:tab w:leader="none" w:pos="13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will be convertible into or exchangeable for other Securities, capital stock or other securities of any kind of the Company or another Person or Persons,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relation thereto; and</w:t>
      </w:r>
    </w:p>
    <w:p>
      <w:pPr>
        <w:spacing w:after="0" w:line="18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in addition to or different from those contained in this Base Indenture applicable to such Series.</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All Securities of one Series need not be issued at the same time and, unless otherwise provided, a Series may be reopened for issuances of additional Securities of such Series pursuant to an Authorizing Resolution, an Officer’s Certificate or in any indenture supplemental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creation and issuance of a Series and the authentication and delivery thereof are not subject to any conditions precedent.</w:t>
      </w:r>
    </w:p>
    <w:p>
      <w:pPr>
        <w:spacing w:after="0" w:line="22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Execution and Authentication</w:t>
      </w:r>
      <w:r>
        <w:rPr>
          <w:rFonts w:ascii="Times New Roman" w:cs="Times New Roman" w:eastAsia="Times New Roman" w:hAnsi="Times New Roman"/>
          <w:sz w:val="17"/>
          <w:szCs w:val="17"/>
          <w:color w:val="auto"/>
        </w:rPr>
        <w:t>. One Officer shall sign the Securities for the Company by manual or facsimile signature.</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Trustee authenticates the Security, the Security shall nevertheless be valid.</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the Trustee manually signs the certificate of authentication on the Security. The signature shall be conclusive evidence that the Security has been authenticated under this Base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Base Indenture, the Company may deliver Securities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executed by the Company to the Trustee for authentication. Each Security shall be dated the date of its authentication. The Trustee shall authenticate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for original issue upon receipt of, and shall be fully protected in relying upon:</w:t>
      </w:r>
    </w:p>
    <w:p>
      <w:pPr>
        <w:spacing w:after="0" w:line="207" w:lineRule="exact"/>
        <w:rPr>
          <w:sz w:val="20"/>
          <w:szCs w:val="20"/>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to the Trustee signed by an Officer of the Company directing the Trustee to authenticate the Securities;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of the Company delivered in accordance with Section‎ 12.04; and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the authentication of the Securities issued on the date hereof pursuant to this Indenture, an Opinion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delivered in accordance with Section‎ 12.04.</w:t>
      </w:r>
    </w:p>
    <w:p>
      <w:pPr>
        <w:spacing w:after="0" w:line="206"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the right to decline to authenticate and deliver any Securities under this Section if the Trustee, being advised by counsel, determines that such action may not lawfully be taken or if the Trustee in good faith shall determine that such action would expose the Trustee to personal liability to existing Holders.</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i w:val="1"/>
          <w:iCs w:val="1"/>
          <w:color w:val="auto"/>
        </w:rPr>
        <w:t>Registrar and Paying Agent</w:t>
      </w:r>
      <w:r>
        <w:rPr>
          <w:rFonts w:ascii="Times New Roman" w:cs="Times New Roman" w:eastAsia="Times New Roman" w:hAnsi="Times New Roman"/>
          <w:sz w:val="17"/>
          <w:szCs w:val="17"/>
          <w:color w:val="auto"/>
        </w:rPr>
        <w:t>. The Company shall maintain an office or agency where Securities may be presented for registration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transfer or where Securities of a Series that are convertible or exchangeable may be surrendered for conversion or exchange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an office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where Securities may be presented for payment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an office or agency where notices and demands to or upon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Securities and this Indenture may be served. The Registrar shall keep a register of the Securities and of their transfer and exchange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Security Register</w:t>
      </w:r>
      <w:r>
        <w:rPr>
          <w:rFonts w:ascii="Times New Roman" w:cs="Times New Roman" w:eastAsia="Times New Roman" w:hAnsi="Times New Roman"/>
          <w:sz w:val="17"/>
          <w:szCs w:val="17"/>
          <w:color w:val="auto"/>
        </w:rPr>
        <w:t>”). The Company may have one or more co-Registrars and one or more additional paying agents. The term “Paying Agent” includes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paying agent. The Company may at any time rescind the designation of any Registrar or Paying Agent or approve a change in the office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Registrar or Paying Agent acts.</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enter into an appropriate agency agreement with any Agent not a party to this Base Indenture. The agreement shall implement the provisions of this Indenture that relate to such Agent. The Company shall promptly notify the Trustee in writing of the name and address of any such Agent, and the Trustee shall have the right to inspect the Security Register at all reasonable times to obtain copies thereof, and the Trustee shall have the right to rely upon such register as to the names and addresses of the Holders and the principal amounts and certificate numbers thereof. If the Company fails to maintain a Registrar or Paying Agent or fails to give the foregoing notice, the Trustee shall act as such.</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Trustee as Registrar and Paying Agent.</w:t>
      </w:r>
    </w:p>
    <w:p>
      <w:pPr>
        <w:spacing w:after="0" w:line="22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Paying Agent to Hold Money in Trust</w:t>
      </w:r>
      <w:r>
        <w:rPr>
          <w:rFonts w:ascii="Times New Roman" w:cs="Times New Roman" w:eastAsia="Times New Roman" w:hAnsi="Times New Roman"/>
          <w:sz w:val="18"/>
          <w:szCs w:val="18"/>
          <w:color w:val="auto"/>
        </w:rPr>
        <w:t>. Each Paying Agent shall hold in trust for the benefit of Securityholders and the Trustee all money held by the Paying Agent for the payment of principal of or interest on the Securities, and shall notify the Trustee of any default by the Company in making any such payment. If the Company or a Subsidiary acts as Paying Agent, it shall segregate the money and hold it as a separate trust fund. The Company at any time may require a Paying Agent to pay all money held by it to the Trustee. Upon doing so the Paying Agent shall have no further liability for the money. Upon an Event of Default under ‎Section 6.01(g) or ‎Section 6.01(h), the Trustee shall automatically be the Paying Agent.</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Securityholder Lists</w:t>
      </w:r>
      <w:r>
        <w:rPr>
          <w:rFonts w:ascii="Times New Roman" w:cs="Times New Roman" w:eastAsia="Times New Roman" w:hAnsi="Times New Roman"/>
          <w:sz w:val="18"/>
          <w:szCs w:val="18"/>
          <w:color w:val="auto"/>
        </w:rPr>
        <w:t>. The Trustee shall preserve in as current a form as is reasonably practicable the most recent list available to it of the names and addresses of Securityholders. If the Trustee is not the Registrar, the Company shall furnish to the Trustee at least five (5) Business Days before each semiannual interest payment date and at such other times as the Trustee may request in writing a list in such form and as of such date as the Trustee may reasonably require of the names and addresses of Securityholders.</w:t>
      </w:r>
    </w:p>
    <w:p>
      <w:pPr>
        <w:spacing w:after="0" w:line="18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 Where a Security is presented to the Registrar or a co-Registrar with a request to register a transfer, the Registrar shall register the transfer as requested if the requirements of Section 8-401(a) of the NYUCC are met and the other provisions of this ‎Section 2.06</w:t>
      </w:r>
    </w:p>
    <w:p>
      <w:pPr>
        <w:spacing w:after="0" w:line="252" w:lineRule="auto"/>
        <w:rPr>
          <w:sz w:val="20"/>
          <w:szCs w:val="20"/>
          <w:color w:val="auto"/>
        </w:rPr>
      </w:pPr>
      <w:r>
        <w:rPr>
          <w:rFonts w:ascii="Times New Roman" w:cs="Times New Roman" w:eastAsia="Times New Roman" w:hAnsi="Times New Roman"/>
          <w:sz w:val="18"/>
          <w:szCs w:val="18"/>
          <w:color w:val="auto"/>
        </w:rPr>
        <w:t>and, to the extent applicable, Section‎ 2.15, are satisfied. Where Securities are presented to the Registrar or a co- Registrar with a request to exchange them for an equal principal amount of Securities of other denominations, the Registrar shall make the exchange as requested if the same requirements are met. To permit transfers and exchanges, the Trustee shall authenticate Securities at the Registrar’s request. The Registrar need not transfer or exchange any Security selected for redemption or transfer or exchange any Security for a period of 15 days before a selection of Securities to be redeemed or repurchased. Any exchange or transfer shall be without charge, except that the Company may require payment of a sum sufficient to cover any tax or other governmental charge that may be imposed in relation thereto, except in the case of exchanges pursuant to ‎Section 2.09, ‎3.06 or ‎9.05 not involving any transfer. In connection with the foregoing, the Registrar may require a Holder to furnish appropriate endorsements and transfer documents.</w:t>
      </w:r>
    </w:p>
    <w:p>
      <w:pPr>
        <w:spacing w:after="0" w:line="18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Any Holder of a Global Security shall, by acceptance of such Global Security, agree that transfers of beneficial interests in such Global Security may be effected only through a book-entry system maintained by the Holder of such Global Security (or its agent), and that ownership of a beneficial interest in the Security shall be required to be reflected in a book entry.</w:t>
      </w:r>
    </w:p>
    <w:p>
      <w:pPr>
        <w:spacing w:after="0" w:line="17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Replacement Securities</w:t>
      </w:r>
      <w:r>
        <w:rPr>
          <w:rFonts w:ascii="Times New Roman" w:cs="Times New Roman" w:eastAsia="Times New Roman" w:hAnsi="Times New Roman"/>
          <w:sz w:val="18"/>
          <w:szCs w:val="18"/>
          <w:color w:val="auto"/>
        </w:rPr>
        <w:t xml:space="preserve">. If the Holder of a Security claims that the Security has been lost, destroyed, mutilated or wrongfully taken, the Company shall issue and execute a replacement security and, upon written request of any Officer of the Company, the Trustee shall authenticate such replacement Security;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the case of a lost, destroyed or wrongfully taken Security, that the requirements of Section 8-405 of the NYUCC are met. If any such lost, destroyed, mutilated or wrongfully taken Security shall have matured or shall be about to mature, the Company may, instead of issuing a substitute Security therefor, pay such Security without requiring (except in the case of a mutilated Security) the surrender thereof. An indemnity bond must be sufficient in the judgment of the Trustee to protect the Trustee and in the judgment of the Company to protect the Company, the Trustee and any Agent from any loss which any of them may suffer if a Security is replaced, including the acquisition of such Security by a bona fide purchaser. The Company and the Trustee may charge for their expenses in replacing a Security.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Outstanding Securities</w:t>
      </w:r>
      <w:r>
        <w:rPr>
          <w:rFonts w:ascii="Times New Roman" w:cs="Times New Roman" w:eastAsia="Times New Roman" w:hAnsi="Times New Roman"/>
          <w:sz w:val="18"/>
          <w:szCs w:val="18"/>
          <w:color w:val="auto"/>
        </w:rPr>
        <w:t>. Securities outstanding at any time are all Securities authenticated by the Trustee except for those cancelled by it and those described in this Section. A Security does not cease to be outstanding because the Company, a Guarantor or one of their respective Affiliates holds the Security.</w:t>
      </w:r>
    </w:p>
    <w:p>
      <w:pPr>
        <w:spacing w:after="0" w:line="17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2.07, it ceases to be outstanding unless the Trustee receives proof satisfactory to it that the replaced Security is held by a “protected purchaser” (as such term is defined in the NYUCC).</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If the Paying Agent holds on a redemption date, purchase date or maturity date money sufficient to pay Securities payable on that date, then on and after that date such Securities cease to be outstanding and interest on them ceases to accrue.</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Temporary Securities</w:t>
      </w:r>
      <w:r>
        <w:rPr>
          <w:rFonts w:ascii="Times New Roman" w:cs="Times New Roman" w:eastAsia="Times New Roman" w:hAnsi="Times New Roman"/>
          <w:sz w:val="18"/>
          <w:szCs w:val="18"/>
          <w:color w:val="auto"/>
        </w:rPr>
        <w:t>. Until Definitive Securities are ready for delivery, the Company may execute and the Trustee shall (upon receipt of an order from the Company) authenticate temporary Securities. Temporary Securities shall be substantially in the form of Definitive Securities but may have variations that the Company considers appropriate for temporary Securities. Without unreasonable delay, the Company shall prepare and, upon surrender for cancellation of the temporary Security, the Company shall execute and the Trustee shall authenticate Definitive Securities in exchange for temporary Securities. Until so exchanged, the temporary Securities shall in all respects be entitled to the same benefits under this Indenture as Definitive Securities authenticated and delivered hereunder.</w:t>
      </w:r>
    </w:p>
    <w:p>
      <w:pPr>
        <w:spacing w:after="0" w:line="18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The Company at any time may deliver Securities to the Trustee for cancellation. The Registrar and Paying Agent shall forward to the Trustee any Securities surrendered to them for registration of transfer, exchange, redemption, purchase or payment. The Trustee and no one else shall cancel and dispose of such cancelled or tendered Securities, or retain in accordance with its standard retention policy, all Securities surrendered for registration of transfer, exchange, redemption, purchase, payment or cancellation. Unless the Authorizing Resolution, Officer’s Certificate or supplemental indenture so provides, the Company may not issue new Securities to replace Securities that it has previously paid or delivered to the Trustee for cancellation.</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5" w:name="page26"/>
    <w:bookmarkEnd w:id="25"/>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If the Company defaults in a payment of interest on the Securities of any Series, it shall pay the defaulted interest plus any interest payable on the defaulted interest to the persons who are Securityholders of such Series on a subsequent special record date. The Company shall fix such special record date and a payment date. At least 15 days before such special record date, the Company shall send to each Securityholder of the relevant Series (with a copy to the Trustee) a notice that states the record date, the payment date and the amount of defaulted interest to be paid. On or before the date such notice is sent, the Company shall deposit with the Paying Agent money sufficient to pay the amount of defaulted interest to be so paid. The Company may pay defaulted interest in any other lawful manner if, after notice given by the Company to the Trustee of the proposed payment, such manner of payment shall be deemed practicable by the Trustee.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Treasury Securities</w:t>
      </w:r>
      <w:r>
        <w:rPr>
          <w:rFonts w:ascii="Times New Roman" w:cs="Times New Roman" w:eastAsia="Times New Roman" w:hAnsi="Times New Roman"/>
          <w:sz w:val="18"/>
          <w:szCs w:val="18"/>
          <w:color w:val="auto"/>
        </w:rPr>
        <w:t>. In determining whether the Holders of the required principal amount of Securities of a Series have concurred in any direction, waiver, consent or notice, Securities owned by the Company or any of its Affiliates shall be considered as though they are not outstanding, except that for the purposes of determining whether the Trustee shall be protected in relying on any such direction, waiver or consent, only Securities which a Trust Officer of the Trustee actually knows are so owned shall be so considered.</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CUSIP/ISIN Numbers</w:t>
      </w:r>
      <w:r>
        <w:rPr>
          <w:rFonts w:ascii="Times New Roman" w:cs="Times New Roman" w:eastAsia="Times New Roman" w:hAnsi="Times New Roman"/>
          <w:sz w:val="18"/>
          <w:szCs w:val="18"/>
          <w:color w:val="auto"/>
        </w:rPr>
        <w:t xml:space="preserve">. The Company in issuing the Securities of any Series may use a “CUSIP” and/or “ISIN” or other similar number, and if so, the Trustee shall use the CUSIP and/or ISIN or other similar number in notices of redemption or exchange as a convenience to Holders of such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is hereby deemed to be made by the Trustee as to the correctness or accuracy of any such CUSIP and/or ISIN or other similar number printed in the notice or on such Securities, and that reliance may be placed only on the other identification numbers printed on such Securities. The Company shall promptly notify the Trustee of any change in any CUSIP and/or ISIN or other similar number.</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Deposit of Moneys</w:t>
      </w:r>
      <w:r>
        <w:rPr>
          <w:rFonts w:ascii="Times New Roman" w:cs="Times New Roman" w:eastAsia="Times New Roman" w:hAnsi="Times New Roman"/>
          <w:sz w:val="18"/>
          <w:szCs w:val="18"/>
          <w:color w:val="auto"/>
        </w:rPr>
        <w:t>. Prior to 11:00 a.m., New York City time, on each interest payment date and maturity date with respect to each Series of Securities, the Company shall have deposited with the Paying Agent in immediately available funds money in the applicable currency sufficient to make cash payments due on such interest payment date or maturity date, as the case may be, in a timely manner which permits the Paying Agent to remit payment to the Holders of such Series on such interest payment date or maturity date, as the case may be.</w:t>
      </w:r>
    </w:p>
    <w:p>
      <w:pPr>
        <w:spacing w:after="0" w:line="18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Book-Entry Provisions for Global Security</w:t>
      </w:r>
      <w:r>
        <w:rPr>
          <w:rFonts w:ascii="Times New Roman" w:cs="Times New Roman" w:eastAsia="Times New Roman" w:hAnsi="Times New Roman"/>
          <w:sz w:val="18"/>
          <w:szCs w:val="18"/>
          <w:color w:val="auto"/>
        </w:rPr>
        <w:t>. (a) Any Global Security of a Series initially shall (i) be registered in the name of the Depositary or the nominee of such Depositary, (ii) be delivered to the Trustee as custodian for such Depositary and (iii) bear any required legends.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Members of, or participants in, the Depositary (“</w:t>
      </w:r>
      <w:r>
        <w:rPr>
          <w:rFonts w:ascii="Times New Roman" w:cs="Times New Roman" w:eastAsia="Times New Roman" w:hAnsi="Times New Roman"/>
          <w:sz w:val="18"/>
          <w:szCs w:val="18"/>
          <w:b w:val="1"/>
          <w:bCs w:val="1"/>
          <w:color w:val="auto"/>
        </w:rPr>
        <w:t>Agent Members</w:t>
      </w:r>
      <w:r>
        <w:rPr>
          <w:rFonts w:ascii="Times New Roman" w:cs="Times New Roman" w:eastAsia="Times New Roman" w:hAnsi="Times New Roman"/>
          <w:sz w:val="18"/>
          <w:szCs w:val="18"/>
          <w:color w:val="auto"/>
        </w:rPr>
        <w:t>”) shall have no rights under this Indenture with respect to any Global Security held on their behalf by the Depositary, or the Trustee as its custodian, or under the Global Security, and the Depositary may be treated by the Company, the Guarantors, the Trustee and any agent of the Company or the Trustee as the absolute owner of the Global Security for all purposes whatsoever.</w:t>
      </w:r>
    </w:p>
    <w:p>
      <w:pPr>
        <w:ind w:right="260"/>
        <w:spacing w:after="0" w:line="255" w:lineRule="auto"/>
        <w:rPr>
          <w:sz w:val="20"/>
          <w:szCs w:val="20"/>
          <w:color w:val="auto"/>
        </w:rPr>
      </w:pPr>
      <w:r>
        <w:rPr>
          <w:rFonts w:ascii="Times New Roman" w:cs="Times New Roman" w:eastAsia="Times New Roman" w:hAnsi="Times New Roman"/>
          <w:sz w:val="18"/>
          <w:szCs w:val="18"/>
          <w:color w:val="auto"/>
        </w:rPr>
        <w:t>Notwithstanding the foregoing, nothing herein shall prevent the Company, any Guarantor,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spacing w:after="0" w:line="186" w:lineRule="exact"/>
        <w:rPr>
          <w:sz w:val="20"/>
          <w:szCs w:val="20"/>
          <w:color w:val="auto"/>
        </w:rPr>
      </w:pPr>
    </w:p>
    <w:p>
      <w:pPr>
        <w:ind w:right="220" w:firstLine="656"/>
        <w:spacing w:after="0" w:line="254" w:lineRule="auto"/>
        <w:tabs>
          <w:tab w:leader="none" w:pos="13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Global Security shall be limited to transfers in whole, but not in part, to the Depositary, its successors or their respective nominees. Global Securities of a Series will be exchangeable for Definitive Securities of such Series without interest coupons only in the following limited circumstances: (i) the Depositary (A) notifies the Company that it is unwilling or unable to continue as depositary for such Global Securities of such Series or (B) has ceased to be a clearing agency registered under the Exchange Act, and in either case, the Company fails to appoint a successor Depositary within 90 days; or (ii) the Company notifies the Trustee in writing that the Company has elected to cause the issuance of such Definitive Securities of such Series under the Indenture. In all such cases, Definitive Securities delivered in exchange for any Global Securities or beneficial interests therein will be registered in the names, and issued in any approved denominations, requested by or on behalf of the Depositary (in accordance with its customary procedures).</w:t>
      </w:r>
    </w:p>
    <w:p>
      <w:pPr>
        <w:spacing w:after="0" w:line="191" w:lineRule="exact"/>
        <w:rPr>
          <w:rFonts w:ascii="Times New Roman" w:cs="Times New Roman" w:eastAsia="Times New Roman" w:hAnsi="Times New Roman"/>
          <w:sz w:val="18"/>
          <w:szCs w:val="18"/>
          <w:color w:val="auto"/>
        </w:rPr>
      </w:pPr>
    </w:p>
    <w:p>
      <w:pPr>
        <w:ind w:right="80" w:firstLine="656"/>
        <w:spacing w:after="0" w:line="261" w:lineRule="auto"/>
        <w:tabs>
          <w:tab w:leader="none" w:pos="13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transfer or exchange of a portion of the beneficial interest in any Global Security to beneficial owners pursuant to paragraph (b),‎ the Registrar shall (if one or more Definitive Securities are to be issued) reflect on its books and records the date and a decrease in the principal amount of the Global Security in an amount equal to the principal amount of the beneficial interest in the Global Security to be transferred, and the Company shall execute, and the Trustee shall authenticate and deliver, one or more Definitive Securities of like Series and amount.</w:t>
      </w:r>
    </w:p>
    <w:p>
      <w:pPr>
        <w:spacing w:after="0" w:line="179" w:lineRule="exact"/>
        <w:rPr>
          <w:rFonts w:ascii="Times New Roman" w:cs="Times New Roman" w:eastAsia="Times New Roman" w:hAnsi="Times New Roman"/>
          <w:sz w:val="18"/>
          <w:szCs w:val="18"/>
          <w:color w:val="auto"/>
        </w:rPr>
      </w:pPr>
    </w:p>
    <w:p>
      <w:pPr>
        <w:jc w:val="both"/>
        <w:ind w:right="40" w:firstLine="656"/>
        <w:spacing w:after="0" w:line="261" w:lineRule="auto"/>
        <w:tabs>
          <w:tab w:leader="none" w:pos="13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of an entire Global Security to beneficial owners pursuant to paragraph (b),‎ the Global Security shall be deemed to be surrendered to the Trustee for cancellation, and the Company shall execute, and the Trustee shall authenticate and deliver, to each beneficial owner identified by the Depositary in exchange for its beneficial interest in the Global Security, an equal aggregate principal amount of Definitive Securities of the same Series in authorized denominations.</w:t>
      </w:r>
    </w:p>
    <w:p>
      <w:pPr>
        <w:spacing w:after="0" w:line="179" w:lineRule="exact"/>
        <w:rPr>
          <w:rFonts w:ascii="Times New Roman" w:cs="Times New Roman" w:eastAsia="Times New Roman" w:hAnsi="Times New Roman"/>
          <w:sz w:val="18"/>
          <w:szCs w:val="18"/>
          <w:color w:val="auto"/>
        </w:rPr>
      </w:pPr>
    </w:p>
    <w:p>
      <w:pPr>
        <w:ind w:right="140" w:firstLine="656"/>
        <w:spacing w:after="0" w:line="312" w:lineRule="auto"/>
        <w:tabs>
          <w:tab w:leader="none" w:pos="138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any Global Security may grant proxies and otherwise authorize any person, including Agent Members and persons that may hold interests through Agent Members, to take any action which a Holder is entitled to take under this Indenture or the Securities of such Series.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7" w:name="page28"/>
    <w:bookmarkEnd w:id="27"/>
    <w:p>
      <w:pPr>
        <w:ind w:right="240" w:firstLine="656"/>
        <w:spacing w:after="0" w:line="282" w:lineRule="auto"/>
        <w:tabs>
          <w:tab w:leader="none" w:pos="13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Authorizing Resolution or supplemental indenture for a particular Series of Securities, each Global Security of such Series shall bear legends in substantially the following forms:</w:t>
      </w:r>
    </w:p>
    <w:p>
      <w:pPr>
        <w:spacing w:after="0" w:line="162" w:lineRule="exact"/>
        <w:rPr>
          <w:sz w:val="20"/>
          <w:szCs w:val="20"/>
          <w:color w:val="auto"/>
        </w:rPr>
      </w:pPr>
    </w:p>
    <w:p>
      <w:pPr>
        <w:ind w:left="660"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2.06 OF THE BASE INDENTURE, (III) THIS GLOBAL SECURITY MAY BE DELIVERED TO THE TRUSTEE FOR CANCELLATION PURSUANT TO THE INDENTURE AND (IV) THIS GLOBAL SECURITY MAY BE TRANSFERRED AS A WHOLE, BUT NOT IN PART, TO THE DEPOSITARY, ITS SUCCESSORS OR THEIR RESPECTIVE NOMINEES.</w:t>
      </w:r>
    </w:p>
    <w:p>
      <w:pPr>
        <w:spacing w:after="0" w:line="192" w:lineRule="exact"/>
        <w:rPr>
          <w:sz w:val="20"/>
          <w:szCs w:val="20"/>
          <w:color w:val="auto"/>
        </w:rPr>
      </w:pPr>
    </w:p>
    <w:p>
      <w:pPr>
        <w:ind w:left="660" w:right="120"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i w:val="1"/>
          <w:iCs w:val="1"/>
          <w:color w:val="auto"/>
        </w:rPr>
        <w:t>No Duty to Monitor</w:t>
      </w:r>
      <w:r>
        <w:rPr>
          <w:rFonts w:ascii="Times New Roman" w:cs="Times New Roman" w:eastAsia="Times New Roman" w:hAnsi="Times New Roman"/>
          <w:sz w:val="18"/>
          <w:szCs w:val="18"/>
          <w:color w:val="auto"/>
        </w:rPr>
        <w:t>. 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the Trustee nor any Agent shall have any responsibility for any actions taken or not taken by the Depositary.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8" w:name="page29"/>
    <w:bookmarkEnd w:id="28"/>
    <w:p>
      <w:pPr>
        <w:jc w:val="center"/>
        <w:ind w:right="-7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edemption</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Notices to Trustee</w:t>
      </w:r>
      <w:r>
        <w:rPr>
          <w:rFonts w:ascii="Times New Roman" w:cs="Times New Roman" w:eastAsia="Times New Roman" w:hAnsi="Times New Roman"/>
          <w:sz w:val="18"/>
          <w:szCs w:val="18"/>
          <w:color w:val="auto"/>
        </w:rPr>
        <w:t>. Securities of a Series that are redeemable prior to maturity shall be redeemable in accordance with their terms and, unless the Authorizing Resolution, Officer’s Certificate or supplemental indenture provides otherwise, in accordance with this ‎Article 3.</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the Company wants to redeem Securities pursuant to any provisions of such Securities permitting the Company to redeem such Securities at its option, it shall notify the Trustee in writing of the redemption date and the principal amount of Securities to be redeemed. Any such notice may be cancelled at any time prior to notice of such redemption being sent to Holders. Any such cancelled notice shall be void and of no effect.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wants to credit any Securities previously redeemed, retired or acquired against any redemption pursuant to any provisions of such Securities requiring the Company to redeem such Securities, it shall notify the Trustee of the amount of the credit and it shall deliver any Securities not previously delivered to the Trustee for cancellation with such notice.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give each notice provided for in this Section‎ 3.01 at least two days before the notice of any such redemption is to be delivered to Holders (unless a shorter notice shall be satisfactory to the Trustee).</w:t>
      </w:r>
    </w:p>
    <w:p>
      <w:pPr>
        <w:spacing w:after="0" w:line="16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Selection of Securities to be Redeemed</w:t>
      </w:r>
      <w:r>
        <w:rPr>
          <w:rFonts w:ascii="Times New Roman" w:cs="Times New Roman" w:eastAsia="Times New Roman" w:hAnsi="Times New Roman"/>
          <w:sz w:val="18"/>
          <w:szCs w:val="18"/>
          <w:color w:val="auto"/>
        </w:rPr>
        <w:t>. If fewer than all of the Securities of a Series are to be redeemed, the Trustee (or Depositary, as applicable) shall select the Securities to be redeemed pro rata, by lot or such other method the Trustee (or Depositary, as applicable) considers fair and appropriate and in a manner that complies with applicable requirements of the Depositary. The Trustee (or Depositary, as applicable) shall make the selection from Securities outstanding not previously called for redemption and shall promptly notify the Company of the serial numbers or other identifying attributes of the Securities so selected. The Trustee (or Depositary, as applicable) may select for redemption portions of the principal of Securities that have denominations larger than the minimum denomination for the Series. Securities and portions of them it selects shall be in amounts equal to a permissible denomination for the Series. Provisions of this Indenture that apply to Securities called for redemption also apply to portions of Securities called for redemption.</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Authorizing Resolution, Officer’s Certificate or supplemental indenture relating to a Series, if any Security selected for partial redemption is converted into or exchanged for capital stock or other securities, cash or other property in part before termination of the conversion or exchange right with respect to the portion of the Security so selected, the converted portion of such Security shall be deemed (so far as may be) to be the portion selected for redemption. Securities which have been converted or exchanged during a selection of Securities to be redeemed shall be treated by the Trustee as outstanding for the purpose of such selection.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9" w:name="page30"/>
    <w:bookmarkEnd w:id="29"/>
    <w:p>
      <w:pPr>
        <w:jc w:val="both"/>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At least 10 days but not more than 60 days before a redemption date, the Company shall send a notice of redemption by first-class mail, postage prepaid (or in the case of Global Securities, deliver electronically in accordance with the applicable procedures of the Depositary), to each Holder of Securities to be redeemed (with a copy to the Trustee).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shall identify the Securities to be redeemed and shall state:</w:t>
      </w:r>
    </w:p>
    <w:p>
      <w:pPr>
        <w:spacing w:after="0" w:line="225" w:lineRule="exact"/>
        <w:rPr>
          <w:sz w:val="20"/>
          <w:szCs w:val="20"/>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any conditions precedent to such redemption;</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formula pursuant to which such price will be calculated;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Security is being redeemed in part, the portion of the principal amount of such Security to be redeemed;</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13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Securities of a Series that are convertible or exchangeable into shares of the Company’s capital stock or other securities, cash or other property, the conversion or exchange price or rate, the date or dates on which the right to convert or exchange the principal of the Securities of such Series to be redeemed will commence or terminate and the place or places where such Securities may be surrendered for conversion or exchange;</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right="180" w:firstLine="656"/>
        <w:spacing w:after="0" w:line="282" w:lineRule="auto"/>
        <w:tabs>
          <w:tab w:leader="none" w:pos="13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payment of the redemption price, interest on Securities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Securities are being redeemed pursuant to the mandatory redemption or the optional redemption provisions, as applicable; and</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13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and that no representation is hereby deemed to be made be made by the Trustee as to the correctness or accuracy of any such CUSIP and/or ISIN or other similar number printed in the notice or on such Securities, and that reliance may be placed only on the other identification numbers printed on such Securities.</w:t>
      </w:r>
    </w:p>
    <w:p>
      <w:pPr>
        <w:spacing w:after="0" w:line="1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the notice of redemption in the Company’s name and at its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deliver to the Trustee at least two days prior to the date on which notice of redemption is to be sent or such shorter period as may be satisfactory to the Trustee, such notice and an Officer’s Certificate requesting that the Trustee give such notice and setting forth the information to be stated in such notice as provided in the preceding paragraph.</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0" w:name="page31"/>
    <w:bookmarkEnd w:id="30"/>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r>
        <w:rPr>
          <w:rFonts w:ascii="Times New Roman" w:cs="Times New Roman" w:eastAsia="Times New Roman" w:hAnsi="Times New Roman"/>
          <w:sz w:val="18"/>
          <w:szCs w:val="18"/>
          <w:color w:val="auto"/>
        </w:rPr>
        <w:t xml:space="preserve">. Once notice of redemption is sent, Securities called for redemption become due and payable on the redemption date and at the redemption price as set forth in the notice of redemption, unless otherwise specified in such notice of redemption. Upon surrender to the Paying Agent, such Securities shall be paid at the redemption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the redemption date.</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notice of redemption of any Series of Securities may, at the Company’s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a redemption is subject to satisfaction of one or more conditions precedent, the notice shall describe each condition, and the notice may be rescinded in the event that any or all of the conditions shall not have been satisfied on or prior to the redemption date; provided, however that in no event may such notice be rescinded later than 10:00 a.m. New York City time on the redemption date. Any notice of redemption may provide that payment of the redemption price and the Company’s obligations with respect to the redemption may be performed by another Person.</w:t>
      </w:r>
    </w:p>
    <w:p>
      <w:pPr>
        <w:spacing w:after="0" w:line="19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r>
        <w:rPr>
          <w:rFonts w:ascii="Times New Roman" w:cs="Times New Roman" w:eastAsia="Times New Roman" w:hAnsi="Times New Roman"/>
          <w:sz w:val="18"/>
          <w:szCs w:val="18"/>
          <w:color w:val="auto"/>
        </w:rPr>
        <w:t>. On or before the redemption date, the Company shall deposit with the Paying Agent immediately available funds in the applicable currency sufficient to pay the redemption price of and accrued interest on all Securities to be redeemed on that date. Unless the Company defaults in payment of the redemption price, on and after the redemption date interest will cease to accrue on the Securities, or portions thereof, called for redemption.</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Securities Redeemed in Part</w:t>
      </w:r>
      <w:r>
        <w:rPr>
          <w:rFonts w:ascii="Times New Roman" w:cs="Times New Roman" w:eastAsia="Times New Roman" w:hAnsi="Times New Roman"/>
          <w:sz w:val="18"/>
          <w:szCs w:val="18"/>
          <w:color w:val="auto"/>
        </w:rPr>
        <w:t>. Upon surrender of a Definitive Security that is redeemed in part, the Company shall execute and the Trustee shall authenticate for each Holder a new Definitive Security of the same Series equal in principal amount to the unredeemed portion of the Definitive Security surrendered. If any Global Security is redeemed in part, the records of the Trustee shall reflect such decrease in the principal amount of such Global Security.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p>
    <w:p>
      <w:pPr>
        <w:spacing w:after="0" w:line="205" w:lineRule="exact"/>
        <w:rPr>
          <w:sz w:val="20"/>
          <w:szCs w:val="20"/>
          <w:color w:val="auto"/>
        </w:rPr>
      </w:pPr>
    </w:p>
    <w:p>
      <w:pPr>
        <w:jc w:val="both"/>
        <w:ind w:right="3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Securities</w:t>
      </w:r>
      <w:r>
        <w:rPr>
          <w:rFonts w:ascii="Times New Roman" w:cs="Times New Roman" w:eastAsia="Times New Roman" w:hAnsi="Times New Roman"/>
          <w:sz w:val="18"/>
          <w:szCs w:val="18"/>
          <w:color w:val="auto"/>
        </w:rPr>
        <w:t>. The Company shall pay the principal of and interest on a Series on the dates, in the currency and in the manner provided in the Securities of the Series. An installment of principal or interest shall be considered paid on the date it is due if the Paying Agent holds on that date money in the applicable currency designated for and sufficient to pay the installment.</w:t>
      </w:r>
    </w:p>
    <w:p>
      <w:pPr>
        <w:spacing w:after="0" w:line="17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interest on overdue principal at the rate borne by the Series; it shall pay interest on overdue installments of interest at the same rate.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i w:val="1"/>
          <w:iCs w:val="1"/>
          <w:color w:val="auto"/>
        </w:rPr>
        <w:t>Maintenance of Office or Agency</w:t>
      </w:r>
      <w:r>
        <w:rPr>
          <w:rFonts w:ascii="Times New Roman" w:cs="Times New Roman" w:eastAsia="Times New Roman" w:hAnsi="Times New Roman"/>
          <w:sz w:val="17"/>
          <w:szCs w:val="17"/>
          <w:color w:val="auto"/>
        </w:rPr>
        <w:t xml:space="preserve">. The Company shall maintain the office or agency required under Section‎ 2.03. The Company shall give prior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 shall not be the agent for service of legal process on the Company.</w:t>
      </w:r>
    </w:p>
    <w:p>
      <w:pPr>
        <w:spacing w:after="0" w:line="164"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The Company shall deliver to the Trustee within 120 days after the end of each fiscal year of the Company an Officer’s Certificate stating whether or not the signer knows of any continuing Default by the Company in performing any of its obligations under this Indenture. If the signer does know of such a Default, the certificate shall describe the Default.</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Waiver of Stay, Extension or Usury Laws</w:t>
      </w:r>
      <w:r>
        <w:rPr>
          <w:rFonts w:ascii="Times New Roman" w:cs="Times New Roman" w:eastAsia="Times New Roman" w:hAnsi="Times New Roman"/>
          <w:sz w:val="18"/>
          <w:szCs w:val="18"/>
          <w:color w:val="auto"/>
        </w:rPr>
        <w:t>. The Company and each Guarantor covenants (to the extent that it may lawfully do so) that it will not at any time insist upon, plead or in any manner whatsoever claim or take the benefit or advantage of any stay or extension law or any usury law or other law that would prohibit or forgive the Company or such Guarantor from paying all or any portion of the principal of or interest on the Securities of any Series as contemplated herein, wherever enacted, now or at any time hereafter in force, or which may affect the covenants or the performance of this Indenture; and (to the extent that it may lawfully do so) the Company and each Guarantor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40" w:firstLine="656"/>
        <w:spacing w:after="0" w:line="261" w:lineRule="auto"/>
        <w:tabs>
          <w:tab w:leader="none" w:pos="13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time following the Merger Date and prior to the occurrence of the Ratings Date with respect to the applicable Series of Securities, notwithstanding that the Company may not be subject to the reporting requirements of Section 13 or 15(d) of the Exchange Act or otherwise report on an annual and quarterly basis on forms provided for such annual and quarterly reporting pursuant to rules and regulations promulgated by the Commission, the Company will file with the Commission:</w:t>
      </w:r>
    </w:p>
    <w:p>
      <w:pPr>
        <w:spacing w:after="0" w:line="179" w:lineRule="exact"/>
        <w:rPr>
          <w:rFonts w:ascii="Times New Roman" w:cs="Times New Roman" w:eastAsia="Times New Roman" w:hAnsi="Times New Roman"/>
          <w:sz w:val="18"/>
          <w:szCs w:val="18"/>
          <w:color w:val="auto"/>
        </w:rPr>
      </w:pPr>
    </w:p>
    <w:p>
      <w:pPr>
        <w:ind w:left="660" w:right="180" w:firstLine="968"/>
        <w:spacing w:after="0" w:line="266" w:lineRule="auto"/>
        <w:tabs>
          <w:tab w:leader="none" w:pos="23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the Commission’s rules and regulations for non-accelerated filers, annual reports on Form 10-K (or any successor or comparable form) containing the information required to be contained therein (or required in such successor or comparable form), except to the extent permitted to be excluded by the Commission;</w:t>
      </w:r>
    </w:p>
    <w:p>
      <w:pPr>
        <w:spacing w:after="0" w:line="175" w:lineRule="exact"/>
        <w:rPr>
          <w:rFonts w:ascii="Times New Roman" w:cs="Times New Roman" w:eastAsia="Times New Roman" w:hAnsi="Times New Roman"/>
          <w:sz w:val="18"/>
          <w:szCs w:val="18"/>
          <w:color w:val="auto"/>
        </w:rPr>
      </w:pPr>
    </w:p>
    <w:p>
      <w:pPr>
        <w:ind w:left="660" w:firstLine="968"/>
        <w:spacing w:after="0" w:line="261" w:lineRule="auto"/>
        <w:tabs>
          <w:tab w:leader="none" w:pos="23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the Commission’s rules and regulations for non-accelerated filers (except for any delay permitted by Rule 13a-13(a) promulgated under the Exchange Act), reports on Form 10-Q (or any successor or comparable form) containing the information required to be contained therein (or required in such successor or comparable form), except to the extent permitted to be excluded by the Commission;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2" w:right="419" w:bottom="1440" w:gutter="0" w:footer="0" w:header="0"/>
        </w:sectPr>
      </w:pPr>
    </w:p>
    <w:bookmarkStart w:id="32" w:name="page33"/>
    <w:bookmarkEnd w:id="32"/>
    <w:p>
      <w:pPr>
        <w:ind w:left="660" w:firstLine="968"/>
        <w:spacing w:after="0" w:line="266" w:lineRule="auto"/>
        <w:tabs>
          <w:tab w:leader="none" w:pos="24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after the occurrence of an event required to be therein reported (and in any event within the time period specified in the Commission’s rules and regulations), such other reports on Form 8-K (or any successor or comparable form), except to the extent permitted to be excluded by the Commission; and</w:t>
      </w:r>
    </w:p>
    <w:p>
      <w:pPr>
        <w:spacing w:after="0" w:line="175" w:lineRule="exact"/>
        <w:rPr>
          <w:rFonts w:ascii="Times New Roman" w:cs="Times New Roman" w:eastAsia="Times New Roman" w:hAnsi="Times New Roman"/>
          <w:sz w:val="18"/>
          <w:szCs w:val="18"/>
          <w:color w:val="auto"/>
        </w:rPr>
      </w:pPr>
    </w:p>
    <w:p>
      <w:pPr>
        <w:ind w:left="660" w:right="280" w:firstLine="968"/>
        <w:spacing w:after="0" w:line="282" w:lineRule="auto"/>
        <w:tabs>
          <w:tab w:leader="none" w:pos="24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any other information, documents and other reports which the Company would be required to file with the Commission if it were subject to Section 13 or 15(d) of the Exchange Act;</w:t>
      </w:r>
    </w:p>
    <w:p>
      <w:pPr>
        <w:spacing w:after="0" w:line="1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shall not be so obligated to file such reports with the Commission if the Commission does not permit such filing,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event the Company will make available such information to prospective purchasers of the Securities of such Series in addition to providing such information to the Trustee and the Holders thereof, in each case, within the time the Company would be required to file such information with the Commission if it were subject to Section 13 or 15(d) of the Exchange Act as provided above.</w:t>
      </w:r>
    </w:p>
    <w:p>
      <w:pPr>
        <w:spacing w:after="0" w:line="182" w:lineRule="exact"/>
        <w:rPr>
          <w:sz w:val="20"/>
          <w:szCs w:val="20"/>
          <w:color w:val="auto"/>
        </w:rPr>
      </w:pPr>
    </w:p>
    <w:p>
      <w:pPr>
        <w:ind w:right="80" w:firstLine="656"/>
        <w:spacing w:after="0" w:line="253" w:lineRule="auto"/>
        <w:tabs>
          <w:tab w:leader="none" w:pos="13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occurrence of the Ratings Date with respect to the applicable Series of Securities, the Company will deliver to the Trustee, within 15 days after filing with the Commission, copies of the annual and quarterly reports and of the information, documents, and other reports (or copies of such portions of any of the foregoing as the Commission may by rules and regulations prescribe) which the Company is required to file with the Commission pursuant to section 13 or section 15(d) of the Exchange Act; or, if the Company is not required to file information, documents, or reports pursuant to either of such sections, then it will file with the Trustee and, if permitted, the Commission, in accordance with rules and regulations prescribed by the Commission, such of the supplementary and periodic information, documents, and reports which may be required pursuant to section 13 of the Exchange Act in respect of a security listed and registered on a national securities exchange as may be prescribed in such rules and regulations. The Company will be deemed to have complied with the obligations described in the immediately previous sentence to the extent that the reports and documents are filed with the Commission via EDGAR (or any successor electronic delivery procedure) and posted on the Company’s website or otherwise publicly available.</w:t>
      </w:r>
    </w:p>
    <w:p>
      <w:pPr>
        <w:spacing w:after="0" w:line="194" w:lineRule="exact"/>
        <w:rPr>
          <w:rFonts w:ascii="Times New Roman" w:cs="Times New Roman" w:eastAsia="Times New Roman" w:hAnsi="Times New Roman"/>
          <w:sz w:val="18"/>
          <w:szCs w:val="18"/>
          <w:color w:val="auto"/>
        </w:rPr>
      </w:pPr>
    </w:p>
    <w:p>
      <w:pPr>
        <w:jc w:val="both"/>
        <w:ind w:right="560" w:firstLine="656"/>
        <w:spacing w:after="0" w:line="266" w:lineRule="auto"/>
        <w:tabs>
          <w:tab w:leader="none" w:pos="13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none of the reports required pursuant to this Section‎ 4.05 will be required to contain the separate financial information for the Company or the Guarantors contemplated by Rule 3-10 under Regulation S-X promulgated by the Commission (or any successor provision).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1400" w:hanging="744"/>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25" w:lineRule="exact"/>
        <w:rPr>
          <w:rFonts w:ascii="Times New Roman" w:cs="Times New Roman" w:eastAsia="Times New Roman" w:hAnsi="Times New Roman"/>
          <w:sz w:val="18"/>
          <w:szCs w:val="18"/>
          <w:color w:val="auto"/>
        </w:rPr>
      </w:pPr>
    </w:p>
    <w:p>
      <w:pPr>
        <w:ind w:left="660" w:right="80" w:firstLine="968"/>
        <w:spacing w:after="0" w:line="266" w:lineRule="auto"/>
        <w:tabs>
          <w:tab w:leader="none" w:pos="234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regulations of the Commission permit the Company and any direct or indirect parent of the Company to report at such parent entity’s level on a consolidated basis and such parent entity is not engaged in any business in any material respect other than incidental to its ownership, directly or indirectly, of the capital stock of the Company, or</w:t>
      </w:r>
    </w:p>
    <w:p>
      <w:pPr>
        <w:spacing w:after="0" w:line="17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parent of the Company is or becomes a Guarantor,</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consolidating reporting at the parent entity’s level in a manner consistent with that described in this ‎Section 4.05 for the Company will satisfy this ‎Section 4.05, and the Company will be permitted to satisfy its obligations in this ‎Section 4.05 with respect to financial information relating to the Company by furnishing financial information relating to such direct or indirect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such direct or indirect parent is not a Guarantor, such financial information is accompanied by consolidating information that explains in reasonable detail the differences between the information relating to such direct or indirect parent and any of its subsidiaries other than the Company and its Subsidiaries, on the one hand, and the information relating to the Company and its Subsidiaries on a standalone basis, on the other hand.</w:t>
      </w:r>
    </w:p>
    <w:p>
      <w:pPr>
        <w:spacing w:after="0" w:line="187" w:lineRule="exact"/>
        <w:rPr>
          <w:sz w:val="20"/>
          <w:szCs w:val="20"/>
          <w:color w:val="auto"/>
        </w:rPr>
      </w:pPr>
    </w:p>
    <w:p>
      <w:pPr>
        <w:ind w:right="120" w:firstLine="656"/>
        <w:spacing w:after="0" w:line="261" w:lineRule="auto"/>
        <w:tabs>
          <w:tab w:leader="none" w:pos="13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information and documents to the Trustee is for informational purposes only and the Trustee’s receipt shall not constitute constructive notice of any information contained therein or determinable from information contained therein, including the Company’s compliance with any of its covenants under the Indenture as to which the Trustee is entitled to rely conclusively on an Officer’s Certificate. The Trustee shall have no liability or responsibility for the filing, timeliness or content of such reports.</w:t>
      </w:r>
    </w:p>
    <w:p>
      <w:pPr>
        <w:spacing w:after="0" w:line="179"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3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time period following the Merger Date in which the TIA does not apply to the Indenture or the Securities of any Series, for so long as any such Securities remain outstanding, the Company will furnish to the Holders and to prospective purchasers of the Securities of such Series, upon their request, the information required to be delivered pursuant to Rule 144A(d)(4) under the Securities Act.</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i w:val="1"/>
          <w:iCs w:val="1"/>
          <w:color w:val="auto"/>
        </w:rPr>
        <w:t>Limitation on Liens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60" w:firstLine="656"/>
        <w:spacing w:after="0" w:line="261" w:lineRule="auto"/>
        <w:tabs>
          <w:tab w:leader="none" w:pos="13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Domestic Principal Subsidiaries incurs, issues, assumes or guarantees any Indebtedness and that Indebtedness is secured by a Lien on any of the Principal Properties of the Company or any of its Domestic Principal Subsidiaries, the Company will secure the Securities of each Series equally and ratably with, or prior to, such secured Indebtedness, so long as such secured Indebtedness shall be so secured.</w:t>
      </w:r>
    </w:p>
    <w:p>
      <w:pPr>
        <w:spacing w:after="0" w:line="1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restriction shall not apply, with respect to any Series, to:</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61" w:lineRule="auto"/>
        <w:tabs>
          <w:tab w:leader="none" w:pos="234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such Person is merged into or consolidated with the Company or any of its Subsidiaries, at the time such Person becomes a Subsidiary of the Company, or at the time of a sale, lease or other disposition of all or substantially all of the Properties or assets of a Person to the Company or any of the Company’s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was not incurred in anticipation of the merger, consolidation, sale, lease, or other disposition;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 w:name="page35"/>
    <w:bookmarkEnd w:id="34"/>
    <w:p>
      <w:pPr>
        <w:ind w:left="-460" w:firstLine="968"/>
        <w:spacing w:after="0" w:line="266" w:lineRule="auto"/>
        <w:tabs>
          <w:tab w:leader="none" w:pos="1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existing at the time of acquisition by the Company or any of its Subsidiaries of such Property (which may include Property previously leased by the Company or any of its Subsidiaries and leasehold interests on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lease terminates prior to or upon the acquisition);</w:t>
      </w:r>
    </w:p>
    <w:p>
      <w:pPr>
        <w:spacing w:after="0" w:line="175" w:lineRule="exact"/>
        <w:rPr>
          <w:rFonts w:ascii="Times New Roman" w:cs="Times New Roman" w:eastAsia="Times New Roman" w:hAnsi="Times New Roman"/>
          <w:sz w:val="18"/>
          <w:szCs w:val="18"/>
          <w:color w:val="auto"/>
        </w:rPr>
      </w:pPr>
    </w:p>
    <w:p>
      <w:pPr>
        <w:ind w:left="-460" w:right="40" w:firstLine="968"/>
        <w:spacing w:after="0" w:line="261" w:lineRule="auto"/>
        <w:tabs>
          <w:tab w:leader="none" w:pos="13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to secure the payment of all or any part of the cost of acquisition, construction, development or improvement of such Property, or to secure Indebtedness incurred to provide funds for any such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 of the creditor to extend the credit secured by any such Lien shall have been obtained not later than 18 months after the later of (a) the completion of the acquisition, construction, development or improvement of such Property or (b) the placing in operation of such Property;</w:t>
      </w:r>
    </w:p>
    <w:p>
      <w:pPr>
        <w:spacing w:after="0" w:line="179" w:lineRule="exact"/>
        <w:rPr>
          <w:rFonts w:ascii="Times New Roman" w:cs="Times New Roman" w:eastAsia="Times New Roman" w:hAnsi="Times New Roman"/>
          <w:sz w:val="18"/>
          <w:szCs w:val="18"/>
          <w:color w:val="auto"/>
        </w:rPr>
      </w:pPr>
    </w:p>
    <w:p>
      <w:pPr>
        <w:ind w:left="1300" w:hanging="79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any of its Subsidiaries;</w:t>
      </w:r>
    </w:p>
    <w:p>
      <w:pPr>
        <w:spacing w:after="0" w:line="225" w:lineRule="exact"/>
        <w:rPr>
          <w:rFonts w:ascii="Times New Roman" w:cs="Times New Roman" w:eastAsia="Times New Roman" w:hAnsi="Times New Roman"/>
          <w:sz w:val="18"/>
          <w:szCs w:val="18"/>
          <w:color w:val="auto"/>
        </w:rPr>
      </w:pPr>
    </w:p>
    <w:p>
      <w:pPr>
        <w:ind w:left="-460" w:right="140" w:firstLine="968"/>
        <w:spacing w:after="0" w:line="282" w:lineRule="auto"/>
        <w:tabs>
          <w:tab w:leader="none" w:pos="1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Merger Date or, if later, the date of the initial Issue Date of the Securities of such Series (other than any additional Securities of such Series);</w:t>
      </w:r>
    </w:p>
    <w:p>
      <w:pPr>
        <w:spacing w:after="0" w:line="161" w:lineRule="exact"/>
        <w:rPr>
          <w:rFonts w:ascii="Times New Roman" w:cs="Times New Roman" w:eastAsia="Times New Roman" w:hAnsi="Times New Roman"/>
          <w:sz w:val="18"/>
          <w:szCs w:val="18"/>
          <w:color w:val="auto"/>
        </w:rPr>
      </w:pPr>
    </w:p>
    <w:p>
      <w:pPr>
        <w:ind w:left="1300" w:hanging="79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to secure the Securities of such Series;</w:t>
      </w:r>
    </w:p>
    <w:p>
      <w:pPr>
        <w:spacing w:after="0" w:line="225" w:lineRule="exact"/>
        <w:rPr>
          <w:rFonts w:ascii="Times New Roman" w:cs="Times New Roman" w:eastAsia="Times New Roman" w:hAnsi="Times New Roman"/>
          <w:sz w:val="18"/>
          <w:szCs w:val="18"/>
          <w:color w:val="auto"/>
        </w:rPr>
      </w:pPr>
    </w:p>
    <w:p>
      <w:pPr>
        <w:ind w:left="1360" w:hanging="852"/>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industrial revenue or similar financings;</w:t>
      </w:r>
    </w:p>
    <w:p>
      <w:pPr>
        <w:spacing w:after="0" w:line="225" w:lineRule="exact"/>
        <w:rPr>
          <w:rFonts w:ascii="Times New Roman" w:cs="Times New Roman" w:eastAsia="Times New Roman" w:hAnsi="Times New Roman"/>
          <w:sz w:val="18"/>
          <w:szCs w:val="18"/>
          <w:color w:val="auto"/>
        </w:rPr>
      </w:pPr>
    </w:p>
    <w:p>
      <w:pPr>
        <w:ind w:left="-460" w:right="100" w:firstLine="968"/>
        <w:spacing w:after="0" w:line="256" w:lineRule="auto"/>
        <w:tabs>
          <w:tab w:leader="none" w:pos="14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in favor of the United States of America or any state thereof, or in favor of any other country, or any department, agency, instrumentality or political subdivision thereof (including, without limitation, security interests to secure Indebtedness of the pollution control or industrial revenue type) in order to permit the Company or any of its Subsidiaries to perform a contract or to secure Indebtedness incurred for the purpose of financing all or any part of the purchase price for the cost of constructing or improving the Property subject to such security interests or which is required by law or regulation as a condition to the transaction of any business or the exercise of any privilege, franchise or license;</w:t>
      </w:r>
    </w:p>
    <w:p>
      <w:pPr>
        <w:spacing w:after="0" w:line="187" w:lineRule="exact"/>
        <w:rPr>
          <w:rFonts w:ascii="Times New Roman" w:cs="Times New Roman" w:eastAsia="Times New Roman" w:hAnsi="Times New Roman"/>
          <w:sz w:val="18"/>
          <w:szCs w:val="18"/>
          <w:color w:val="auto"/>
        </w:rPr>
      </w:pPr>
    </w:p>
    <w:p>
      <w:pPr>
        <w:ind w:left="-460" w:right="40" w:firstLine="968"/>
        <w:spacing w:after="0" w:line="254" w:lineRule="auto"/>
        <w:tabs>
          <w:tab w:leader="none" w:pos="13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 renewal or replacement (or successive extensions, renewals or replacements), as a whole or in part, of any Indebtedness secured by any Lien referred to in clauses (i)‎ through (viii)‎ and (x),‎ inclusive,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such extension, renewal or replacement Lien shall be limited to all or a part of the same Property that secured the Lien extended, renewed or replaced (plus improvements on such Property, and plus any Property relating to a specific project, the completion of which is funded pursuant to clause (2)(b) below), and (2) the Indebtedness secured by such Lien at such time is not increased (other than (a) by an amount equal to any related financing costs (including, but not limited to, the accrued interest and premium, if any, on the Indebtedness being refinanced) and (b) where an additional principal amount of Indebtedness is incurred to provide funds for the completion of a specific project or Property that is subject to a Lien securing the Indebtedness being extended, refinanced or renewed, by an amount equal to such additional principal amount); or</w:t>
      </w: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35" w:name="page36"/>
    <w:bookmarkEnd w:id="35"/>
    <w:p>
      <w:pPr>
        <w:ind w:left="660" w:right="100" w:firstLine="968"/>
        <w:spacing w:after="0" w:line="256" w:lineRule="auto"/>
        <w:tabs>
          <w:tab w:leader="none" w:pos="23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created in substitution of any Liens permitted by clauses (i)‎ through (ix),‎ inclusive,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based on a good faith determination of a Senior Officer of the Company, the Principal Property encumbered by such substitute or replacement Lien is substantially similar in nature to the Principal Property encumbered by the otherwise permitted Lien that is being replaced, and (2) the Indebtedness secured by such Lien at such time is not increased (other than (a) by an amount equal to any related financing costs (including, but not limited to, the accrued interest and premium, if any, on the Indebtedness being refinanced) and (b) where an additional principal amount of Indebtedness is incurred to provide funds for the completion of a specific project or property that is subject to a Lien securing the Indebtedness being extended, refinanced or renewed, by an amount equal to such additional principal amount).</w:t>
      </w:r>
    </w:p>
    <w:p>
      <w:pPr>
        <w:spacing w:after="0" w:line="184" w:lineRule="exact"/>
        <w:rPr>
          <w:rFonts w:ascii="Times New Roman" w:cs="Times New Roman" w:eastAsia="Times New Roman" w:hAnsi="Times New Roman"/>
          <w:sz w:val="18"/>
          <w:szCs w:val="18"/>
          <w:color w:val="auto"/>
        </w:rPr>
      </w:pPr>
    </w:p>
    <w:p>
      <w:pPr>
        <w:ind w:right="20" w:firstLine="656"/>
        <w:spacing w:after="0" w:line="257" w:lineRule="auto"/>
        <w:tabs>
          <w:tab w:leader="none" w:pos="13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restrictions set forth in Section‎ 4.06(a) and Section‎ 4.06(b), the Company and its Domestic Principal Subsidiaries may incur secured Indebtedness which would otherwise be subject to such restrictions without equally and ratably securing the Securities of any Series;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after giving effect to such secured Indebtedness, the outstanding aggregate principal amount of all such secured Indebtedness (not including</w:t>
      </w:r>
    </w:p>
    <w:p>
      <w:pPr>
        <w:spacing w:after="0" w:line="1"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clauses (i)‎ through (x)‎ of Section‎ 4.06(b) with respect to such Series) does not exceed the greater of (i) 15% of Consolidated Total Assets calculated as of the date of the creation or incurrence of the Lien and (ii) 15% of Consolidated Total Assets calculated as of the date of initial Issue Date of the Securities of such Series. The Company or its Domestic Principal Subsidiaries may also, without equally and ratably securing the Securities of any Series, create or incur Liens that renew, substitute or replace (including successive renewals, substitutions or replacements), in whole or in part, any Lien permitted pursuant to the preceding sentence with respect to such Series.</w:t>
      </w:r>
    </w:p>
    <w:p>
      <w:pPr>
        <w:spacing w:after="0" w:line="18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Future Guarantors</w:t>
      </w:r>
      <w:r>
        <w:rPr>
          <w:rFonts w:ascii="Times New Roman" w:cs="Times New Roman" w:eastAsia="Times New Roman" w:hAnsi="Times New Roman"/>
          <w:sz w:val="18"/>
          <w:szCs w:val="18"/>
          <w:color w:val="auto"/>
        </w:rPr>
        <w:t>. From and after the Merger Date until the Ratings Date with respect to the applicable Series of Securities, the Company shall cause each of its Wholly Owned Subsidiaries that is not an Excluded Subsidiary and that guarantees or becomes a borrower under any Credit Agreement or that guarantees any Capital Markets Indebtedness of the Company or any of the Guarantors to execute and deliver to the Trustee, within 10 days of such event, a supplemental indenture substantially in the form of Exhibit B hereto pursuant to which such Subsidiary will guarantee the Guaranteed Obligations of such Series. For the avoidance of doubt, at all times from and after the Ratings Date with respect to any applicable Series of Securities, this ‎Section 4.07 shall cease to apply with respect to such Series of Securities.</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2" w:right="43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Successor Person</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When Company May Merge, etc</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760" w:firstLine="656"/>
        <w:spacing w:after="0" w:line="282" w:lineRule="auto"/>
        <w:tabs>
          <w:tab w:leader="none" w:pos="13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consolidate with or merge into another Person or sell, convey, transfer, lease or otherwise dispose of all or substantially all of its Property to any other Person, provided that:</w:t>
      </w:r>
    </w:p>
    <w:p>
      <w:pPr>
        <w:spacing w:after="0" w:line="161" w:lineRule="exact"/>
        <w:rPr>
          <w:rFonts w:ascii="Times New Roman" w:cs="Times New Roman" w:eastAsia="Times New Roman" w:hAnsi="Times New Roman"/>
          <w:sz w:val="18"/>
          <w:szCs w:val="18"/>
          <w:color w:val="auto"/>
        </w:rPr>
      </w:pPr>
    </w:p>
    <w:p>
      <w:pPr>
        <w:jc w:val="both"/>
        <w:ind w:left="660" w:firstLine="968"/>
        <w:spacing w:after="0" w:line="261" w:lineRule="auto"/>
        <w:tabs>
          <w:tab w:leader="none" w:pos="234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is the continuing Person, or (B) the successor formed from the consolidation or merger or the Person that received the transfer of or leases the Property (the “</w:t>
      </w:r>
      <w:r>
        <w:rPr>
          <w:rFonts w:ascii="Times New Roman" w:cs="Times New Roman" w:eastAsia="Times New Roman" w:hAnsi="Times New Roman"/>
          <w:sz w:val="18"/>
          <w:szCs w:val="18"/>
          <w:b w:val="1"/>
          <w:bCs w:val="1"/>
          <w:color w:val="auto"/>
        </w:rPr>
        <w:t>Continuing Entity</w:t>
      </w:r>
      <w:r>
        <w:rPr>
          <w:rFonts w:ascii="Times New Roman" w:cs="Times New Roman" w:eastAsia="Times New Roman" w:hAnsi="Times New Roman"/>
          <w:sz w:val="18"/>
          <w:szCs w:val="18"/>
          <w:color w:val="auto"/>
        </w:rPr>
        <w:t>”) is a Person organized and existing under the laws of the United States of America, any State thereof or the District of Columbia and expressly assumes, by an indenture supplemental hereto, all of the Company’s obligations under the Securities and the Indenture;</w:t>
      </w:r>
    </w:p>
    <w:p>
      <w:pPr>
        <w:spacing w:after="0" w:line="179"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shall have occurred and be continuing under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and</w:t>
      </w:r>
    </w:p>
    <w:p>
      <w:pPr>
        <w:spacing w:after="0" w:line="206" w:lineRule="exact"/>
        <w:rPr>
          <w:rFonts w:ascii="Times New Roman" w:cs="Times New Roman" w:eastAsia="Times New Roman" w:hAnsi="Times New Roman"/>
          <w:sz w:val="18"/>
          <w:szCs w:val="18"/>
          <w:color w:val="auto"/>
        </w:rPr>
      </w:pPr>
    </w:p>
    <w:p>
      <w:pPr>
        <w:ind w:left="660" w:right="60" w:firstLine="968"/>
        <w:spacing w:after="0" w:line="276" w:lineRule="auto"/>
        <w:tabs>
          <w:tab w:leader="none" w:pos="2442"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the Continuing Entity delivers to the Trustee an Officer’s Certificate and an Opinion of Counsel, subject to customary qualifications and exceptions, each stating that the transaction and (if a supplemental indenture is required in connection with such</w:t>
      </w:r>
    </w:p>
    <w:p>
      <w:pPr>
        <w:ind w:left="660" w:right="7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transaction) the supplemental indenture complies with this Section‎ 5.01 and that all conditions precedent in this Indenture relating to the transaction have been satisfied.</w:t>
      </w:r>
    </w:p>
    <w:p>
      <w:pPr>
        <w:spacing w:after="0" w:line="181" w:lineRule="exact"/>
        <w:rPr>
          <w:rFonts w:ascii="Times New Roman" w:cs="Times New Roman" w:eastAsia="Times New Roman" w:hAnsi="Times New Roman"/>
          <w:sz w:val="17"/>
          <w:szCs w:val="17"/>
          <w:color w:val="auto"/>
        </w:rPr>
      </w:pPr>
    </w:p>
    <w:p>
      <w:pPr>
        <w:jc w:val="both"/>
        <w:ind w:right="40" w:firstLine="656"/>
        <w:spacing w:after="0" w:line="261" w:lineRule="auto"/>
        <w:tabs>
          <w:tab w:leader="none" w:pos="13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satisfaction of the foregoing conditions, if the Company is not the continuing Person, then the Continuing Entity shall succeed to, and be substituted for, and may exercise every right and power of the Company under the Indenture and the Company will be released from all obligations and covenants under the Indenture and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lease of all or substantially all of the Company’s Property, the Company will not be released from any of the obligations or covenants under the Indenture and the Securities.</w:t>
      </w:r>
    </w:p>
    <w:p>
      <w:pPr>
        <w:spacing w:after="0" w:line="1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5.01, (x) any sale, conveyance, transfer, lease or other disposition of Property between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Company and its Subsidiaries will not be prohibited under the Indenture and (y) Section‎ 5.01(a)(ii) shall not apply to the Merger.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0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 Each of the following events shall constitute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with respect to a Series of Securities:</w:t>
      </w:r>
    </w:p>
    <w:p>
      <w:pPr>
        <w:spacing w:after="0" w:line="229" w:lineRule="exact"/>
        <w:rPr>
          <w:sz w:val="20"/>
          <w:szCs w:val="20"/>
          <w:color w:val="auto"/>
        </w:rPr>
      </w:pPr>
    </w:p>
    <w:p>
      <w:pPr>
        <w:ind w:right="200" w:firstLine="656"/>
        <w:spacing w:after="0" w:line="282" w:lineRule="auto"/>
        <w:tabs>
          <w:tab w:leader="none" w:pos="13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Security of such Series when due at its stated maturity date, upon any optional or mandatory redemption or otherwise;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Security of such Series when it becomes due and payable (if the time of payment has not been extended or deferred), and continuance of such default for a period of 30 days;</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of the Company in the Indenture relating to the Securities of such Series (other</w:t>
      </w:r>
    </w:p>
    <w:p>
      <w:pPr>
        <w:spacing w:after="0" w:line="27" w:lineRule="exact"/>
        <w:rPr>
          <w:rFonts w:ascii="Times New Roman" w:cs="Times New Roman" w:eastAsia="Times New Roman" w:hAnsi="Times New Roman"/>
          <w:sz w:val="18"/>
          <w:szCs w:val="18"/>
          <w:color w:val="auto"/>
        </w:rPr>
      </w:pPr>
    </w:p>
    <w:p>
      <w:pPr>
        <w:jc w:val="both"/>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a covenant a default in whose performance or whose breach is elsewhere in this Section‎ 6.01 specifically dealt with), and continuance of such default or breach for a period of 90 days after there has been given, by registered or certified mail, or overnight delivery service to the Company by the Trustee or to the Company and the Trustee by the Holders of at least 25% in aggregate principal amount of the outstanding Securities of such Series a written notice specifying such default or breach and stating that such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under the Indenture;</w:t>
      </w:r>
    </w:p>
    <w:p>
      <w:pPr>
        <w:spacing w:after="0" w:line="188" w:lineRule="exact"/>
        <w:rPr>
          <w:rFonts w:ascii="Times New Roman" w:cs="Times New Roman" w:eastAsia="Times New Roman" w:hAnsi="Times New Roman"/>
          <w:sz w:val="18"/>
          <w:szCs w:val="18"/>
          <w:color w:val="auto"/>
        </w:rPr>
      </w:pPr>
    </w:p>
    <w:p>
      <w:pPr>
        <w:ind w:right="60" w:firstLine="656"/>
        <w:spacing w:after="0" w:line="258" w:lineRule="auto"/>
        <w:tabs>
          <w:tab w:leader="none" w:pos="13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(x) the Company or (y) prior to the occurrence of the Ratings Date with respect to such Series, any Significant Subsidiary that is a Guarantor (or any group of Subsidiaries that are Guarantors that together would constitute a Significant Subsidiary) to pay any Indebtedness (other than Indebtedness owing to the Company or a Subsidiary) within any applicable grace period after final maturity or the acceleration of any such Indebtedness by the Holders thereof because of a default, in each case, if the total amount of such Indebtedness unpaid or accelerated exceeds $100,000,000 or its foreign currency equivalent;</w:t>
      </w:r>
    </w:p>
    <w:p>
      <w:pPr>
        <w:spacing w:after="0" w:line="183" w:lineRule="exact"/>
        <w:rPr>
          <w:rFonts w:ascii="Times New Roman" w:cs="Times New Roman" w:eastAsia="Times New Roman" w:hAnsi="Times New Roman"/>
          <w:sz w:val="18"/>
          <w:szCs w:val="18"/>
          <w:color w:val="auto"/>
        </w:rPr>
      </w:pPr>
    </w:p>
    <w:p>
      <w:pPr>
        <w:jc w:val="both"/>
        <w:ind w:right="60" w:firstLine="656"/>
        <w:spacing w:after="0" w:line="261" w:lineRule="auto"/>
        <w:tabs>
          <w:tab w:leader="none" w:pos="13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(x) the Company or (y) prior to the occurrence of the Ratings Date with respect to such Series, a Significant Subsidiary that is a Guarantor (or any group of Subsidiaries that are Guarantors that together would constitute a Significant Subsidiary) to pay final judgments aggregating in excess of $100,000,000 or its foreign currency equivalent (net of any amounts which are covered by enforceable insurance policies issued by solvent carriers), which judgments are not discharged, waived or stayed for a period of 90 days;</w:t>
      </w:r>
    </w:p>
    <w:p>
      <w:pPr>
        <w:spacing w:after="0" w:line="179" w:lineRule="exact"/>
        <w:rPr>
          <w:rFonts w:ascii="Times New Roman" w:cs="Times New Roman" w:eastAsia="Times New Roman" w:hAnsi="Times New Roman"/>
          <w:sz w:val="18"/>
          <w:szCs w:val="18"/>
          <w:color w:val="auto"/>
        </w:rPr>
      </w:pPr>
    </w:p>
    <w:p>
      <w:pPr>
        <w:ind w:right="80" w:firstLine="656"/>
        <w:spacing w:after="0" w:line="258" w:lineRule="auto"/>
        <w:tabs>
          <w:tab w:leader="none" w:pos="13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the Ratings Date with respect to such Series, the Securities Guarantee of such Series of a Significant Subsidiary (or any group of Subsidiaries that are Guarantors that together would constitute a Significant Subsidiary) ceases to be in full force and effect (except as contemplated by the terms of this Indenture) or the Company or any Guarantor that is a Significant Subsidiary (or any group of Subsidiaries that are Guarantors that together would constitute a Significant Subsidiary) denies or disaffirms its obligations under the Indenture or the Securities Guarantee of such Series, and continuance of such default for a period of 10 days;</w:t>
      </w:r>
    </w:p>
    <w:p>
      <w:pPr>
        <w:spacing w:after="0" w:line="183" w:lineRule="exact"/>
        <w:rPr>
          <w:rFonts w:ascii="Times New Roman" w:cs="Times New Roman" w:eastAsia="Times New Roman" w:hAnsi="Times New Roman"/>
          <w:sz w:val="18"/>
          <w:szCs w:val="18"/>
          <w:color w:val="auto"/>
        </w:rPr>
      </w:pPr>
    </w:p>
    <w:p>
      <w:pPr>
        <w:ind w:right="60" w:firstLine="656"/>
        <w:spacing w:after="0" w:line="253" w:lineRule="auto"/>
        <w:tabs>
          <w:tab w:leader="none" w:pos="13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(i) a decree or order for relief in respect of (x) the Company or (y) prior to the occurrence of the Ratings Date with respect to such Series, a Significant Subsidiary that is a Guarantor (or any group of Subsidiaries that are Guarantors that together would constitute a Significant Subsidiary) in an involuntary case or proceeding under any applicable Federal or State bankruptcy, insolvency, reorganization or other similar law or (ii) a decree or order adjudging (x) the Company or (y) prior to the occurrence of the Ratings Date with respect to such Series, a Significant Subsidiary that is a Guarantor (or any group of Subsidiaries that are Guarantors that together would constitute a Significant Subsidiary) bankrupt or insolvent, or approving as properly filed a petition seeking reorganization, arrangement, adjustment or composition of or in respect of (x) the Company or (y) prior to the occurrence of the Ratings Date with respect to such Series, a Significant Subsidiary that is a Guarantor (or any group of Subsidiaries that are Guarantors that together would constitute a Significant Subsidiary) under any applicable Federal or State law, or appointing a custodian, receiver, liquidator, assignee, trustee, sequestrator or other similar official of the Company or such Guarantor (or such group of Guarantors), as applicable, or of all or substantially all of its or their Property, or ordering the winding up or liquidation of its or their affairs, and the continuance of any such decree or order for relief or any such other decree or order unstayed and in effect for a period of 90 consecutive days; and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firstLine="656"/>
        <w:spacing w:after="0" w:line="253" w:lineRule="auto"/>
        <w:tabs>
          <w:tab w:leader="none" w:pos="13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(x) the Company or (y) prior to the occurrence of the Ratings Date with respect to such Series, a Significant Subsidiary that is a Guarantor (or any group of Subsidiaries that are Guarantors that together would constitute a Significant Subsidiary) of a voluntary case or proceeding under any applicable Federal or State bankruptcy, insolvency, reorganization or other similar law or of any other case or proceeding to be adjudicated a bankrupt or insolvent, or the consent by it or them to the entry of a decree or order for relief in respect of (x) the Company or (y) prior to the occurrence of the Ratings Date with respect to such Series, a Significant Subsidiary that is a Guarantor (or any group of Subsidiaries that are Guarantors that together would constitute a Significant Subsidiary) in an involuntary case or proceeding under any applicable Federal or State bankruptcy, insolvency, reorganization or other similar law or to the commencement of any bankruptcy or insolvency case or proceeding against it or them, or the filing by it or them of a petition or answer or consent seeking reorganization or relief under any applicable Federal or State law, or the consent by it or them to the filing of such petition or to the appointment of or taking possession by a custodian, receiver, liquidator, assignee, trustee, sequestrator or other similar official of the Company or such Guarantor (or such group of Guarantors), as applicable, or of all or substantially all of its or their Property, or the making by it or them of a general assignment for the benefit of creditors, or the admission by it or them in writing of its or their inability to pay its or their debts generally as they become due.</w:t>
      </w:r>
    </w:p>
    <w:p>
      <w:pPr>
        <w:spacing w:after="0" w:line="18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Acceleration</w:t>
      </w:r>
      <w:r>
        <w:rPr>
          <w:rFonts w:ascii="Times New Roman" w:cs="Times New Roman" w:eastAsia="Times New Roman" w:hAnsi="Times New Roman"/>
          <w:sz w:val="17"/>
          <w:szCs w:val="17"/>
          <w:color w:val="auto"/>
        </w:rPr>
        <w:t>. If an Event of Default (other than, with respect to the Company, an Event of Default pursuant to Section‎ 6.01(g) or</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Section‎ 6.01(h)) occurs and is continuing with respect to a Series of Securities, then the Trustee or the Holders of not less than 25% in aggregate principal amount of the outstanding Securities of such Series may, by a notice in writing to the Company (and to the Trustee if given by Holders), declare the principal amount of all such Securities of such Series, plus accrued and unpaid interest, if any, on such Securities of such Series to be due and payable immediately, and upon any such declaration such principal amount and accrued and unpaid interest shall become immediately due and payable. However, upon an Event of Default with respect to the Company pursuant to ‎Section 6.01(g) or ‎Section 6.01(h), the principal amount of all outstanding Securities of such Series, plus accrued and unpaid interest, if any, on all outstanding Securities of such Series to the acceleration date, shall be due and payable immediately without any declaration or other act on the part of the Trustee or any Holder.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9" w:name="page40"/>
    <w:bookmarkEnd w:id="39"/>
    <w:p>
      <w:pPr>
        <w:ind w:firstLine="648"/>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the Securities of a Series has been made but before a judgment or decree for payment of the money due has been obtained by the Trustee, the Holders of a majority in aggregate principal amount of the outstanding Securities of such Series, by written notice to the Trustee, may rescind and annul such declaration and its consequences if all Events of Default, other than the non-payment of the principal and interest, if any, of Securities of such Series which have become due solely as a result of such declaration of acceleration, have been cured or waived as provided in ‎Section 6.04 hereof. No such rescission shall affect any subsequent Default or impair any right consequent thereon.</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the Indenture and such proceedings shall have been discontinued or been abandoned because of such rescission or annulment or for any other reason or shall have been determined adversely to the Trustee, then and in every such case the Company and the Trustee shall be restored respectively to their several positions and rights hereunder, and all rights, remedies and powers of the Company and the Trustee shall continue as though no such proceedings had been taken.</w:t>
      </w:r>
    </w:p>
    <w:p>
      <w:pPr>
        <w:spacing w:after="0" w:line="178"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r>
        <w:rPr>
          <w:rFonts w:ascii="Times New Roman" w:cs="Times New Roman" w:eastAsia="Times New Roman" w:hAnsi="Times New Roman"/>
          <w:sz w:val="18"/>
          <w:szCs w:val="18"/>
          <w:color w:val="auto"/>
        </w:rPr>
        <w:t>. If an Event of Default with respect to a Series occurs and is continuing, the Trustee may pursue any available remedy by proceeding at law or in equity to collect the payment of principal of or interest on such Series or to enforce the performance of any provision in the Securities of such Series or this Indenture applicable to the Series.</w:t>
      </w:r>
    </w:p>
    <w:p>
      <w:pPr>
        <w:spacing w:after="0" w:line="17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Securities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17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Existing Defaults</w:t>
      </w:r>
      <w:r>
        <w:rPr>
          <w:rFonts w:ascii="Times New Roman" w:cs="Times New Roman" w:eastAsia="Times New Roman" w:hAnsi="Times New Roman"/>
          <w:sz w:val="18"/>
          <w:szCs w:val="18"/>
          <w:color w:val="auto"/>
        </w:rPr>
        <w:t>. Subject to the last sentence of the first paragraph of Section‎ 9.02, the Holders of a majority in aggregate principal amount of the outstanding Securities of a Series affected by a waiver on behalf of all the Holders of such Series by notice to the Trustee have the right to waive an existing Default on such Series and its consequences. When a Default is waived, it is cured and stops continuing, and any Event of Default arising therefrom shall be deemed to have been cured; but no such waiver shall extend to any subsequent or other Default or impair any right consequent thereon.</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Control by Majority</w:t>
      </w:r>
      <w:r>
        <w:rPr>
          <w:rFonts w:ascii="Times New Roman" w:cs="Times New Roman" w:eastAsia="Times New Roman" w:hAnsi="Times New Roman"/>
          <w:sz w:val="18"/>
          <w:szCs w:val="18"/>
          <w:color w:val="auto"/>
        </w:rPr>
        <w:t>. The Holders of a majority in principal amount of the outstanding Securities of a Series may direct the time, method and place of conducting any proceeding for any remedy available to the Trustee or exercising any trust or power conferred on the Trustee with respect to such Series. The Trustee, however, may refuse to follow any direction (a) that conflicts with law or this Indenture, (b) that, subject to</w:t>
      </w:r>
    </w:p>
    <w:p>
      <w:pPr>
        <w:spacing w:after="0" w:line="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‎Section 7.01, the Trustee determines is unduly prejudicial to the rights of other Securityholders, (c) that would involve the Trustee in personal liability, if there shall be reasonable grounds for believing that adequate indemnity against such liability is not reasonably assured to it, or (d) if the Trustee shall not have been provided with indemnity satisfactory to it.</w:t>
      </w:r>
    </w:p>
    <w:p>
      <w:pPr>
        <w:spacing w:after="0" w:line="184"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r>
        <w:rPr>
          <w:rFonts w:ascii="Times New Roman" w:cs="Times New Roman" w:eastAsia="Times New Roman" w:hAnsi="Times New Roman"/>
          <w:sz w:val="18"/>
          <w:szCs w:val="18"/>
          <w:color w:val="auto"/>
        </w:rPr>
        <w:t>. No Securityholder of any Security of any Series will have any right to institute any proceeding, judicial or otherwise, with respect to the Indenture or for the appointment of a receiver or trustee, or for any remedy under the Indenture unless:</w:t>
      </w:r>
    </w:p>
    <w:p>
      <w:pPr>
        <w:spacing w:after="0" w:line="160" w:lineRule="exact"/>
        <w:rPr>
          <w:sz w:val="20"/>
          <w:szCs w:val="20"/>
          <w:color w:val="auto"/>
        </w:rPr>
      </w:pPr>
    </w:p>
    <w:p>
      <w:pPr>
        <w:ind w:left="1400" w:hanging="744"/>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such Series of Securities;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Securities of such Series have made a written request to the Trustee, and offered indemnity reasonably satisfactory to the Trustee, to institute the proceeding as Trustee;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comply with the request for at least 60 days after receipt of the request and the offer of indemnity, and has not received from the Holders of a majority in aggregate principal amount of the outstanding Securities of such Series a direction inconsistent with that request.</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 Securityholder may not use this Indenture to prejudice the rights of another Holder of Securities of the same Series or to obtain a preference or priority over another Holder of Securities of the same Series (it being understood that the Trustee does not have an affirmative duty to ascertain whether or not such actions or forbearances by such Holder are unduly prejudicial to another Holder).</w:t>
      </w:r>
    </w:p>
    <w:p>
      <w:pPr>
        <w:spacing w:after="0" w:line="174"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to Receive Payment</w:t>
      </w:r>
      <w:r>
        <w:rPr>
          <w:rFonts w:ascii="Times New Roman" w:cs="Times New Roman" w:eastAsia="Times New Roman" w:hAnsi="Times New Roman"/>
          <w:sz w:val="18"/>
          <w:szCs w:val="18"/>
          <w:color w:val="auto"/>
        </w:rPr>
        <w:t>. Notwithstanding any other provision of this Indenture, the right of any Holder to receive payment of principal of and interest on any Security, on or after the respective due dates expressed in the Security, or to bring suit for the enforcement of any such payment on or after such respective dates, is absolute and unconditional and shall not be impaired or affected without the consent of the Holder.</w:t>
      </w:r>
    </w:p>
    <w:p>
      <w:pPr>
        <w:spacing w:after="0" w:line="17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r>
        <w:rPr>
          <w:rFonts w:ascii="Times New Roman" w:cs="Times New Roman" w:eastAsia="Times New Roman" w:hAnsi="Times New Roman"/>
          <w:sz w:val="18"/>
          <w:szCs w:val="18"/>
          <w:color w:val="auto"/>
        </w:rPr>
        <w:t>. If an Event of Default in payment of interest or principal specified in Section‎ 6.01(a) or (b)‎ occurs and is continuing, the Trustee may recover judgment in its own name and as trustee of an express trust against the Company for the whole amount of principal and interest remaining unpaid.</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1" w:name="page42"/>
    <w:bookmarkEnd w:id="41"/>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the Guarantors or their creditors or Property, and unless prohibited by applicable law or regulation, may vote on behalf of the Holders in any election of a custodian, and shall be entitled and empowered to collect and receive any moneys or other Property payable or deliverable on any such claims and to distribute the same and any custodian in any such judicial proceeding is hereby authorized by each Securityholder to make such payments to the Trustee. Nothing herein shall be deemed to authorize the Trustee to authorize or consent to or vote for or accept or adopt on behalf of any Securityholder any plan of reorganization, arrangement, adjustment or composition affecting the Securities or the rights of any Holder or to authorize the Trustee to vote in respect of the claim of any Securityholder except as aforesaid for the election of the custodian.</w:t>
      </w:r>
    </w:p>
    <w:p>
      <w:pPr>
        <w:spacing w:after="0" w:line="18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i w:val="1"/>
          <w:iCs w:val="1"/>
          <w:color w:val="auto"/>
        </w:rPr>
        <w:t>Priorities</w:t>
      </w:r>
      <w:r>
        <w:rPr>
          <w:rFonts w:ascii="Times New Roman" w:cs="Times New Roman" w:eastAsia="Times New Roman" w:hAnsi="Times New Roman"/>
          <w:sz w:val="17"/>
          <w:szCs w:val="17"/>
          <w:color w:val="auto"/>
        </w:rPr>
        <w:t>. If the Trustee collects any money or Property pursuant to this Article with respect to Securities of any Series or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Guarantees in respect of such Series, it shall pay out the money in the following order:</w:t>
      </w:r>
    </w:p>
    <w:p>
      <w:pPr>
        <w:spacing w:after="0" w:line="20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the Trustee (acting in its capacity as such) for all amounts due under ‎Section 7.07;</w:t>
      </w:r>
    </w:p>
    <w:p>
      <w:pPr>
        <w:spacing w:after="0" w:line="225" w:lineRule="exact"/>
        <w:rPr>
          <w:sz w:val="20"/>
          <w:szCs w:val="20"/>
          <w:color w:val="auto"/>
        </w:rPr>
      </w:pPr>
    </w:p>
    <w:p>
      <w:pPr>
        <w:jc w:val="center"/>
        <w:ind w:left="560" w:right="420"/>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Securityholders of the Series for amounts due and unpaid on the Series for principal and interest, ratably, without preference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priority of any kind, according to the amounts due and payable on the Series for principal and interest, respectively; and</w:t>
      </w:r>
    </w:p>
    <w:p>
      <w:pPr>
        <w:spacing w:after="0" w:line="158" w:lineRule="exact"/>
        <w:rPr>
          <w:sz w:val="20"/>
          <w:szCs w:val="20"/>
          <w:color w:val="auto"/>
        </w:rPr>
      </w:pPr>
    </w:p>
    <w:p>
      <w:pPr>
        <w:ind w:left="1420" w:right="200" w:hanging="768"/>
        <w:spacing w:after="0" w:line="282" w:lineRule="auto"/>
        <w:tabs>
          <w:tab w:leader="none" w:pos="1400" w:val="left"/>
        </w:tabs>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the Company (or, to the extent the Trustee collects any amount from any Guarantor, to such Guarantor) or as a court of competent jurisdiction shall direct.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Securityholders pursuant to this Section‎ 6.10.</w:t>
      </w:r>
    </w:p>
    <w:p>
      <w:pPr>
        <w:spacing w:after="0" w:line="22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the due regard to the merits and good faith of the claims or defenses made by the party litigant. This Section does not apply to a suit by the Trustee, a suit by a Holder pursuant to ‎Section 6.07 or a suit by Holders of more than 10% in principal amount of the Series.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2" w:right="41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rustee</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i w:val="1"/>
          <w:iCs w:val="1"/>
          <w:color w:val="auto"/>
        </w:rPr>
        <w:t>Duties of Trustee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56"/>
        <w:spacing w:after="0" w:line="266" w:lineRule="auto"/>
        <w:tabs>
          <w:tab w:leader="none" w:pos="13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with respect to the Securities of any Series, the Trustee shall, prior to the receipt of direction from the Holders of a majority in principal amount of the Securities of the Series, exercise its rights and powers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660" w:right="300" w:firstLine="968"/>
        <w:spacing w:after="0" w:line="282" w:lineRule="auto"/>
        <w:tabs>
          <w:tab w:leader="none" w:pos="23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61" w:lineRule="exact"/>
        <w:rPr>
          <w:rFonts w:ascii="Times New Roman" w:cs="Times New Roman" w:eastAsia="Times New Roman" w:hAnsi="Times New Roman"/>
          <w:sz w:val="18"/>
          <w:szCs w:val="18"/>
          <w:color w:val="auto"/>
        </w:rPr>
      </w:pPr>
    </w:p>
    <w:p>
      <w:pPr>
        <w:ind w:left="660" w:right="320" w:firstLine="968"/>
        <w:spacing w:after="0" w:line="258" w:lineRule="auto"/>
        <w:tabs>
          <w:tab w:leader="none" w:pos="23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in the case of certificates or opinions specifically required by any provision hereof to be furnished to it, shall examine the certificates and opinions to determine whether or not they conform to the requirements of this Indenture but need not confirm or investigate the accuracy of mathematical calculations or other facts or matters stated therein.</w:t>
      </w:r>
    </w:p>
    <w:p>
      <w:pPr>
        <w:spacing w:after="0" w:line="183" w:lineRule="exact"/>
        <w:rPr>
          <w:rFonts w:ascii="Times New Roman" w:cs="Times New Roman" w:eastAsia="Times New Roman" w:hAnsi="Times New Roman"/>
          <w:sz w:val="18"/>
          <w:szCs w:val="18"/>
          <w:color w:val="auto"/>
        </w:rPr>
      </w:pPr>
    </w:p>
    <w:p>
      <w:pPr>
        <w:ind w:right="140" w:firstLine="656"/>
        <w:spacing w:after="0" w:line="282" w:lineRule="auto"/>
        <w:tabs>
          <w:tab w:leader="none" w:pos="13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grossly negligent action, its grossly negligent failure to act or its own willful misconduct, as determined by a final non-appealable order of a court of competent jurisdiction, except that:</w:t>
      </w:r>
    </w:p>
    <w:p>
      <w:pPr>
        <w:spacing w:after="0" w:line="161"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82" w:lineRule="auto"/>
        <w:tabs>
          <w:tab w:leader="none" w:pos="238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Trust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direction received by it pursuant to Section‎ 6.05 or any other direction of the Holders permitted hereunder.</w:t>
      </w:r>
    </w:p>
    <w:p>
      <w:pPr>
        <w:spacing w:after="0" w:line="20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paragraphs (a),‎ (b)‎ and (c)‎ of this Section‎ 7.01.</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13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if the Trustee has reasonable grounds to believe that such performance or exercise (i) would require the Trustee to expend or risk its own funds or otherwise incur any financial liability in the performance, unless it receives indemnity satisfactory to it against any loss, liability or expense, or (ii) is not in accordance with applicable law.</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right="100" w:firstLine="656"/>
        <w:spacing w:after="0" w:line="282" w:lineRule="auto"/>
        <w:tabs>
          <w:tab w:leader="none" w:pos="13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with the Company. Money held in trust by the Trustee need not be segregated from other funds except to the extent required by law.</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i w:val="1"/>
          <w:iCs w:val="1"/>
          <w:color w:val="auto"/>
        </w:rPr>
        <w:t>Rights of Trustee</w:t>
      </w:r>
      <w:r>
        <w:rPr>
          <w:rFonts w:ascii="Times New Roman" w:cs="Times New Roman" w:eastAsia="Times New Roman" w:hAnsi="Times New Roman"/>
          <w:sz w:val="17"/>
          <w:szCs w:val="17"/>
          <w:color w:val="auto"/>
        </w:rPr>
        <w:t>. Subject to ‎Section 7.01:</w:t>
      </w:r>
    </w:p>
    <w:p>
      <w:pPr>
        <w:spacing w:after="0" w:line="227" w:lineRule="exact"/>
        <w:rPr>
          <w:sz w:val="20"/>
          <w:szCs w:val="20"/>
          <w:color w:val="auto"/>
        </w:rPr>
      </w:pPr>
    </w:p>
    <w:p>
      <w:pPr>
        <w:ind w:right="320" w:firstLine="656"/>
        <w:spacing w:after="0" w:line="266" w:lineRule="auto"/>
        <w:tabs>
          <w:tab w:leader="none" w:pos="13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on any document, resolution, certificate, instrument, report, or direction believed by it to be genuine and to have been signed or presented by the proper person. The Trustee need not investigate any fact or matter stated in the document, resolution, certificate, instrument, report, or direction.</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13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at the request of the Company, it may require an Officer’s Certificate or an Opinion of Counsel or both, which shall conform to Sections 12‎.04 and 12‎.05 hereof. The Trustee shall not be liable for any action it takes or omits to take in good faith in reliance on the Officer’s Certificate, Opinion of Counsel or any other direction of the Company permitted hereunder.</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w:t>
      </w:r>
    </w:p>
    <w:p>
      <w:pPr>
        <w:spacing w:after="0" w:line="225" w:lineRule="exact"/>
        <w:rPr>
          <w:rFonts w:ascii="Times New Roman" w:cs="Times New Roman" w:eastAsia="Times New Roman" w:hAnsi="Times New Roman"/>
          <w:sz w:val="18"/>
          <w:szCs w:val="18"/>
          <w:color w:val="auto"/>
        </w:rPr>
      </w:pPr>
    </w:p>
    <w:p>
      <w:pPr>
        <w:ind w:right="140" w:firstLine="656"/>
        <w:spacing w:after="0" w:line="282" w:lineRule="auto"/>
        <w:tabs>
          <w:tab w:leader="none" w:pos="13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220" w:firstLine="656"/>
        <w:spacing w:after="0" w:line="266" w:lineRule="auto"/>
        <w:tabs>
          <w:tab w:leader="none" w:pos="13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any Opinion of Counsel as to matters of law shall be full and complete authorization and protection in respect of any action taken, omitted or suffered by it hereunder in good faith and in accordance with the advice or opinion of such counsel.</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the Indenture, any demand, request, direction or notice from the Company shall be sufficient if signed by an Officer of the Company.</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this Indenture, the Trustee shall not be deemed to have notice or knowledge of any Event of Default unless</w:t>
      </w:r>
    </w:p>
    <w:p>
      <w:pPr>
        <w:spacing w:after="0" w:line="27" w:lineRule="exact"/>
        <w:rPr>
          <w:rFonts w:ascii="Times New Roman" w:cs="Times New Roman" w:eastAsia="Times New Roman" w:hAnsi="Times New Roman"/>
          <w:sz w:val="18"/>
          <w:szCs w:val="18"/>
          <w:color w:val="auto"/>
        </w:rPr>
      </w:pPr>
    </w:p>
    <w:p>
      <w:pPr>
        <w:ind w:right="7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any Event of Default is received by a Trust Officer of the Trustee at its address specified in Section‎ 12.02 hereof and such notice references the Securities generally, the Company and this Indenture.</w:t>
      </w:r>
    </w:p>
    <w:p>
      <w:pPr>
        <w:spacing w:after="0" w:line="181" w:lineRule="exact"/>
        <w:rPr>
          <w:rFonts w:ascii="Times New Roman" w:cs="Times New Roman" w:eastAsia="Times New Roman" w:hAnsi="Times New Roman"/>
          <w:sz w:val="18"/>
          <w:szCs w:val="18"/>
          <w:color w:val="auto"/>
        </w:rPr>
      </w:pPr>
    </w:p>
    <w:p>
      <w:pPr>
        <w:ind w:firstLine="656"/>
        <w:spacing w:after="0" w:line="266" w:lineRule="auto"/>
        <w:tabs>
          <w:tab w:leader="none" w:pos="13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Trustee receives indemnity satisfactory to the Trustee against the costs, expenses and liabilities which might be incurred by it in compliance with such request or direction.</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firstLine="656"/>
        <w:spacing w:after="0" w:line="258" w:lineRule="auto"/>
        <w:tabs>
          <w:tab w:leader="none" w:pos="13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right="180" w:firstLine="656"/>
        <w:spacing w:after="0" w:line="266" w:lineRule="auto"/>
        <w:tabs>
          <w:tab w:leader="none" w:pos="13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right="560" w:firstLine="656"/>
        <w:spacing w:after="0" w:line="266" w:lineRule="auto"/>
        <w:tabs>
          <w:tab w:leader="none" w:pos="13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13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61" w:lineRule="exact"/>
        <w:rPr>
          <w:rFonts w:ascii="Times New Roman" w:cs="Times New Roman" w:eastAsia="Times New Roman" w:hAnsi="Times New Roman"/>
          <w:sz w:val="18"/>
          <w:szCs w:val="18"/>
          <w:color w:val="auto"/>
        </w:rPr>
      </w:pPr>
    </w:p>
    <w:p>
      <w:pPr>
        <w:ind w:right="40" w:firstLine="656"/>
        <w:spacing w:after="0" w:line="254" w:lineRule="auto"/>
        <w:tabs>
          <w:tab w:leader="none" w:pos="14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(i) any act or provision of any present or future law or regulation or governmental authority, (ii) any act of God, (iii) natural catastrophes, (iv) war, (v) terrorism, (vi) civil disturbances, (vii) accidents, (viii) labor dispute, (ix) disease, (x) epidemic or pandemic, (xi) quarantine, (xii) national emergency, (xiii) loss or malfunction of utility or computer software or hardware, (xiv) communications system failure, (xv) malware or ransomware or (xvi) unavailability of the Federal Reserve Bank wire or telex system or other wire or other funds transfer systems, or (xvii) unavailability of any securities clearing system; it being understood that the Trustee shall use reasonable efforts which are consistent with accepted practices in the banking industry to resume performance as soon as practicable under the circumstances.</w:t>
      </w:r>
    </w:p>
    <w:p>
      <w:pPr>
        <w:spacing w:after="0" w:line="19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r>
        <w:rPr>
          <w:rFonts w:ascii="Times New Roman" w:cs="Times New Roman" w:eastAsia="Times New Roman" w:hAnsi="Times New Roman"/>
          <w:sz w:val="18"/>
          <w:szCs w:val="18"/>
          <w:color w:val="auto"/>
        </w:rPr>
        <w:t>. The Trustee in its individual or any other capacity may become the owner or pledgee of Securities and may otherwise deal with the Company or its affiliates with the same rights it would have if it were not Trustee. Any Agent may do the same with like rights. The Trustee, however, must comply with Sections 7‎.10 and 7‎.11.</w:t>
      </w:r>
    </w:p>
    <w:p>
      <w:pPr>
        <w:spacing w:after="0" w:line="17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makes no representation as to the validity or adequacy of this Indenture, the Securities, the Securities Guarantees or of any prospectus used to sell the Securities of any Series; it shall not be accountable for the Company’s use of the proceeds from the Securities of any Series; it shall not be accountable for any money paid to the Company, or upon the Company’s direction, if made under and in accordance with any provision of this Indenture; it shall not be responsible for the use or application of any money received by any Paying Agent other than the Trustee; and it shall not be responsible for any statement of the Company in this Indenture or in the Securities other than its certificate of authentication.</w:t>
      </w:r>
    </w:p>
    <w:p>
      <w:pPr>
        <w:spacing w:after="0" w:line="18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xml:space="preserve">. If a Default occurs and is continuing hereunder with respect to a Series of Securities and a Trust Officer of the Trustee has received written notice thereof at the corporate trust office of the Trustee and such notice references the Securities of such Series or the Securities generally and the Indenture and states that it is a “Notice of Default,” the Trustee shall give the Holders of Securities of such Series notice of all Defaults known to the Trustee which have occurred with respect to such Securities within 45 days after receipt thereof, unless such Defaults shall have been cured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principal or redemption price of (or premium, if any) or interest on any Securities, the Trustee shall be protected in withholding such notice if and so long as its board of directors, executive committee, or trust committee of directors or trustees and/or Trust Officers of the Trustee in good faith determine that the withholding of such notice is in the interests of the Holders of Securities of such Series.</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Reports by Trustee to Holders</w:t>
      </w:r>
      <w:r>
        <w:rPr>
          <w:rFonts w:ascii="Times New Roman" w:cs="Times New Roman" w:eastAsia="Times New Roman" w:hAnsi="Times New Roman"/>
          <w:sz w:val="18"/>
          <w:szCs w:val="18"/>
          <w:color w:val="auto"/>
        </w:rPr>
        <w:t>. Within 60 days after each May 15 beginning with the May 15 following the date of this Base Indenture, the Trustee shall send to each Securityholder a brief report dated as of such May 15 that complies with TIA § 313(a) (but if no event described in TIA §§ 313(a)(1) through (8) has occurred within the twelve months preceding the reporting date no report in relation thereto need be transmitted). The Trustee also shall comply with TIA § 313(b).</w:t>
      </w:r>
    </w:p>
    <w:p>
      <w:pPr>
        <w:spacing w:after="0" w:line="18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sending to Securityholders shall be delivered to the Company and filed by the Trustee with the Commission and each national securities exchange on which the Securities are listed. The Company agrees to notify the Trustee of each national securities exchange on which the Securities are listed.</w:t>
      </w:r>
    </w:p>
    <w:p>
      <w:pPr>
        <w:spacing w:after="0" w:line="1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r>
        <w:rPr>
          <w:rFonts w:ascii="Times New Roman" w:cs="Times New Roman" w:eastAsia="Times New Roman" w:hAnsi="Times New Roman"/>
          <w:sz w:val="18"/>
          <w:szCs w:val="18"/>
          <w:color w:val="auto"/>
        </w:rPr>
        <w:t>. The Company shall pay to the Trustee from time to time reasonable compensation for its services subject to any written agreement between the Trustee and the Company (which compensation shall not be limited by any provision of law in regard to the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the Trustee, its officers, directors, employees and agents and hold it harmless against any loss, liability, fee, cost, damage or expense incurred or made by or on behalf of it in connection with the administration of this Indenture or the trust hereunder and its duties hereunder including the costs and expenses of defending itself against or investigating any claim in the premises and the costs and expenses (including reasonable attorneys’ fees and expenses and court costs) incurred in connection with any action, claim or suit brought to enforce the Trustee’s right to indemnification. The Trustee shall notify the Company promptly of any claim of which it has received written notice and for which it may seek indemnity, but failure by the Trustee to so notify the Company shall not relieve the Company of its obligations hereunder. The Company need not reimburse any expense or indemnify against any loss, liability, fee, cost or damage incurred by the Trustee through the Trustee’s, or its officers’, directors’ or employees’ gross negligence or willful misconduct as determined by a final non-appealable order of a court of competent jurisdiction.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6" w:name="page47"/>
    <w:bookmarkEnd w:id="46"/>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Unless otherwise provided in any supplemental indenture, Officer’s Certificate or Authorizing Resolution relating to any Series, to ensure the Company’s payment obligations in this Section, the Trustee shall have a lien prior to the Securities of all Series on all money or Property held or collected by the Trustee, except that held in trust to pay principal of or interest on particular Securities. When the Trustee incurs expenses or renders services in</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connection with an Event of Default specified in Section‎ 6.01 or in connection with Article‎ 6 hereof, the expenses (including the reasonable fees and expenses of its counsel) and the compensation for services in connection therewith are to constitute expenses of administration under any Bankruptcy Law. This ‎Section 7.07 shall survive the discharge of the Indenture or the resignation or removal of the Trustee.</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r>
        <w:rPr>
          <w:rFonts w:ascii="Times New Roman" w:cs="Times New Roman" w:eastAsia="Times New Roman" w:hAnsi="Times New Roman"/>
          <w:sz w:val="18"/>
          <w:szCs w:val="18"/>
          <w:color w:val="auto"/>
        </w:rPr>
        <w:t>. The Trustee may resign with respect to Securities of any or all Series by so notifying the Company. The Holders of a majority in principal amount of the outstanding Securities (or of the relevant Series) may remove the Trustee by so notifying the removed Trustee in writing and may appoint a successor trustee with the Company’s consent. The Trustee for one or more Series of Securities may be removed by the Company, so long as no Event of Default has occurred and is continuing with respect to such Series. The Trustee may also be removed by the Company for purposes of the Base Indenture. Such resignation or removal shall not take effect until the appointment by the Securityholders of the relevant Series or the Company as hereinafter provided of a successor trustee and the acceptance of such appointment by such successor trustee. The Company may remove the Trustee and appoint a successor trustee, and any Securityholder may petition any court of competent jurisdiction for the removal of the Trustee and the appointment of a successor trustee, for any or no reason, including if:</w:t>
      </w:r>
    </w:p>
    <w:p>
      <w:pPr>
        <w:spacing w:after="0" w:line="187" w:lineRule="exact"/>
        <w:rPr>
          <w:sz w:val="20"/>
          <w:szCs w:val="20"/>
          <w:color w:val="auto"/>
        </w:rPr>
      </w:pPr>
    </w:p>
    <w:p>
      <w:pPr>
        <w:ind w:right="380" w:firstLine="656"/>
        <w:spacing w:after="0" w:line="282" w:lineRule="auto"/>
        <w:tabs>
          <w:tab w:leader="none" w:pos="13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 after written request by the Company or any bona fide Securityholder who has been a Securityholder for at least six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7" w:name="page48"/>
    <w:bookmarkEnd w:id="47"/>
    <w:p>
      <w:pPr>
        <w:ind w:left="1400" w:hanging="744"/>
        <w:spacing w:after="0"/>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 respect to the Securities of the relevant Series. If a successor trustee does not take office within 30 days after the retiring Trustee resigns or is removed, the retiring Trustee at the expense of the Company, the Company or any Holder may petition any court of competent jurisdiction for the appointment of a successor trustee.</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upon payment of its charges hereunder, transfer all Property held by it as Trustee to the successor trustee, the resignation or removal of the retiring Trustee shall become effective, and the successor trustee shall have all the rights, powers and duties of the Trustee under this Indenture. A successor trustee shall send notice of its succession to each Securityholder.</w:t>
      </w:r>
    </w:p>
    <w:p>
      <w:pPr>
        <w:spacing w:after="0" w:line="178"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Successor Trustee by Merger, etc</w:t>
      </w:r>
      <w:r>
        <w:rPr>
          <w:rFonts w:ascii="Times New Roman" w:cs="Times New Roman" w:eastAsia="Times New Roman" w:hAnsi="Times New Roman"/>
          <w:sz w:val="18"/>
          <w:szCs w:val="18"/>
          <w:color w:val="auto"/>
        </w:rPr>
        <w:t>. If the Trustee consolidates with, merges with or into or converts into, or transfers all or substantially all of its corporate trust business to, another corporation, the successor corporation without any further act shall be the successor trustee.</w:t>
      </w:r>
    </w:p>
    <w:p>
      <w:pPr>
        <w:spacing w:after="0" w:line="158"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Eligibility; Disqualification</w:t>
      </w:r>
      <w:r>
        <w:rPr>
          <w:rFonts w:ascii="Times New Roman" w:cs="Times New Roman" w:eastAsia="Times New Roman" w:hAnsi="Times New Roman"/>
          <w:sz w:val="18"/>
          <w:szCs w:val="18"/>
          <w:color w:val="auto"/>
        </w:rPr>
        <w:t>. This Indenture shall always have a Trustee who satisfies the requirements of TIA § 310(a)(1). The Trustee shall have a combined capital and surplus of at least $10,000,000 as set forth in its most recent published annual report of condition. The Trustee shall comply with TIA § 310(b).</w:t>
      </w:r>
    </w:p>
    <w:p>
      <w:pPr>
        <w:spacing w:after="0" w:line="173"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Preferential Collection of Claims Against Company</w:t>
      </w:r>
      <w:r>
        <w:rPr>
          <w:rFonts w:ascii="Times New Roman" w:cs="Times New Roman" w:eastAsia="Times New Roman" w:hAnsi="Times New Roman"/>
          <w:sz w:val="18"/>
          <w:szCs w:val="18"/>
          <w:color w:val="auto"/>
        </w:rPr>
        <w:t>. The Trustee shall comply with TIA § 311(a), excluding any creditor relationship listed in TIA § 311(b). A Trustee who has resigned or been removed shall be subject to TIA § 311(a) to the extent indicated therein.</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ischarge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i w:val="1"/>
          <w:iCs w:val="1"/>
          <w:color w:val="auto"/>
        </w:rPr>
        <w:t>Defeasance upon Deposit of Moneys or Government Obligations; Satisfaction and Discharge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56"/>
        <w:spacing w:after="0" w:line="282" w:lineRule="auto"/>
        <w:tabs>
          <w:tab w:leader="none" w:pos="13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its option and at any time, elect to have either paragraph (b)‎ or paragraph (c)‎ below be applied to the outstanding Securities of any Series upon compliance with the applicable conditions set forth in paragraph (d)‎ below.</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8" w:name="page49"/>
    <w:bookmarkEnd w:id="48"/>
    <w:p>
      <w:pPr>
        <w:ind w:right="20" w:firstLine="656"/>
        <w:spacing w:after="0" w:line="252" w:lineRule="auto"/>
        <w:tabs>
          <w:tab w:leader="none" w:pos="13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Company’s exercise under paragraph (a)‎ above of the option applicable to this paragraph (b)‎ with respect to any Series, the Company and the Guarantors shall be deemed to have been released and discharged from their respective obligations with respect to the outstanding Securities of such Series on the date the applicable conditions set forth below are satisfied (hereinafter,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For this purpose, such Legal Defeasance means that the Company shall be deemed to have paid and discharged the entire indebtedness represented by the outstanding Securities of such Series, which shall thereafter be deemed to be “outstanding” only for the purposes of the Sections and matters under this Indenture referred to in (i)‎ and (ii)‎ below, and the Company and the Guarantors shall be deemed to have satisfied all their respective other obligations under such Securities and this Indenture insofar as such Securities are concerned, except for the following which shall survive until otherwise terminated or discharged hereunder: (i) the rights of Holders of outstanding Securities of such Series to receive solely from the trust fund described in paragraph (d)‎ below and as more fully set forth in such paragraph, payments in respect of the principal of and interest on such Securities when such payments are due, (ii) the Company’s obligations with</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such Securities under Section‎ 2.06, Section‎ 2.07, Section‎ 2.09 and Section‎ 4.02, (iii) the rights, powers, trusts, duties, immunities and other</w:t>
      </w:r>
    </w:p>
    <w:p>
      <w:pPr>
        <w:spacing w:after="0" w:line="9" w:lineRule="exact"/>
        <w:rPr>
          <w:rFonts w:ascii="Times New Roman" w:cs="Times New Roman" w:eastAsia="Times New Roman" w:hAnsi="Times New Roman"/>
          <w:sz w:val="18"/>
          <w:szCs w:val="18"/>
          <w:color w:val="auto"/>
        </w:rPr>
      </w:pPr>
    </w:p>
    <w:p>
      <w:pPr>
        <w:ind w:right="4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respect of the Trustee hereunder and (iv) this Article‎ 8. The Company may exercise its option under this paragraph (b)‎ with respect to a Series notwithstanding the prior exercise of its option under paragraph (c)‎ below with respect to the Securities of such Series.</w:t>
      </w:r>
    </w:p>
    <w:p>
      <w:pPr>
        <w:spacing w:after="0" w:line="18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Company’s exercise under paragraph (a)‎ above of the option applicable to this paragraph (c)‎ with respect to any Series,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the Guarantors shall be released and discharged from their respective obligations with respect to such Series under Section‎ 4.05,</w:t>
      </w:r>
    </w:p>
    <w:p>
      <w:pPr>
        <w:spacing w:after="0" w:line="9" w:lineRule="exact"/>
        <w:rPr>
          <w:rFonts w:ascii="Times New Roman" w:cs="Times New Roman" w:eastAsia="Times New Roman" w:hAnsi="Times New Roman"/>
          <w:sz w:val="18"/>
          <w:szCs w:val="18"/>
          <w:color w:val="auto"/>
        </w:rPr>
      </w:pPr>
    </w:p>
    <w:p>
      <w:pPr>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4.06, Section‎ 4.07 and Section‎ 5.01 and any other covenant contained in or referenced in the Authorizing Resolution, Officer’s Certificate or supplemental indenture relating to such Series (to the extent such release and discharge shall not be prohibited thereby), on and after the date the conditions set forth below are satisfied (hereinafter, “</w:t>
      </w:r>
      <w:r>
        <w:rPr>
          <w:rFonts w:ascii="Times New Roman" w:cs="Times New Roman" w:eastAsia="Times New Roman" w:hAnsi="Times New Roman"/>
          <w:sz w:val="17"/>
          <w:szCs w:val="17"/>
          <w:b w:val="1"/>
          <w:bCs w:val="1"/>
          <w:color w:val="auto"/>
        </w:rPr>
        <w:t>Covenant Defeasance</w:t>
      </w:r>
      <w:r>
        <w:rPr>
          <w:rFonts w:ascii="Times New Roman" w:cs="Times New Roman" w:eastAsia="Times New Roman" w:hAnsi="Times New Roman"/>
          <w:sz w:val="17"/>
          <w:szCs w:val="17"/>
          <w:color w:val="auto"/>
        </w:rPr>
        <w:t>”), and the Securities of such Series shall thereafter be deemed to be not “outstanding” for the purpose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 Series,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w:t>
      </w:r>
    </w:p>
    <w:p>
      <w:pPr>
        <w:spacing w:after="0" w:line="1"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an Event of Default under Section‎ 6.01(c) or otherwise, but, except as specified above, the remainder of this Indenture and such Securities shall be unaffected thereby.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9" w:name="page50"/>
    <w:bookmarkEnd w:id="49"/>
    <w:p>
      <w:pPr>
        <w:ind w:left="1400" w:hanging="74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shall be the conditions to the application of either paragraph (b)‎ or paragraph (c)‎ above to the outstanding Securities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Series:</w:t>
      </w:r>
    </w:p>
    <w:p>
      <w:pPr>
        <w:spacing w:after="0" w:line="206" w:lineRule="exact"/>
        <w:rPr>
          <w:rFonts w:ascii="Times New Roman" w:cs="Times New Roman" w:eastAsia="Times New Roman" w:hAnsi="Times New Roman"/>
          <w:sz w:val="18"/>
          <w:szCs w:val="18"/>
          <w:color w:val="auto"/>
        </w:rPr>
      </w:pPr>
    </w:p>
    <w:p>
      <w:pPr>
        <w:ind w:left="660" w:right="120" w:firstLine="968"/>
        <w:spacing w:after="0" w:line="255" w:lineRule="auto"/>
        <w:tabs>
          <w:tab w:leader="none" w:pos="23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irrevocably deposited in trust with the Trustee (or another qualifying trustee) money in the currency in which the Securities of such Series are payable or Government Obligations or a combination thereof in such amounts and at such times as are sufficient (in the case of Government Obligations or a combination of money and Government Obligations, in the opinion of a nationally recognized firm of independent public accountants), to pay the principal of and interest on the outstanding Securities of such Series to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other qualifying trustee) shall have received an irrevocable written order from the Company instructing the Trustee (or other qualifying trustee) to apply such money or the proceeds of such Government Obligations to said payments with respect to the Securities of such Series to maturity or redemption;</w:t>
      </w:r>
    </w:p>
    <w:p>
      <w:pPr>
        <w:spacing w:after="0" w:line="188" w:lineRule="exact"/>
        <w:rPr>
          <w:rFonts w:ascii="Times New Roman" w:cs="Times New Roman" w:eastAsia="Times New Roman" w:hAnsi="Times New Roman"/>
          <w:sz w:val="18"/>
          <w:szCs w:val="18"/>
          <w:color w:val="auto"/>
        </w:rPr>
      </w:pPr>
    </w:p>
    <w:p>
      <w:pPr>
        <w:ind w:left="660" w:right="100" w:firstLine="968"/>
        <w:spacing w:after="0" w:line="276" w:lineRule="auto"/>
        <w:tabs>
          <w:tab w:leader="none" w:pos="2392"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(other than a Default or Event of Default resulting from non-compliance with any covenant from which the Company is released upon effectiveness of such Legal Defeasance or Covenant Defeasance pursuant to paragraph (b)‎ or</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hereof, as applicable) shall have occurred and be continuing on the date of such deposit or result therefrom;</w:t>
      </w:r>
    </w:p>
    <w:p>
      <w:pPr>
        <w:spacing w:after="0" w:line="206" w:lineRule="exact"/>
        <w:rPr>
          <w:rFonts w:ascii="Times New Roman" w:cs="Times New Roman" w:eastAsia="Times New Roman" w:hAnsi="Times New Roman"/>
          <w:sz w:val="17"/>
          <w:szCs w:val="17"/>
          <w:color w:val="auto"/>
        </w:rPr>
      </w:pPr>
    </w:p>
    <w:p>
      <w:pPr>
        <w:ind w:left="660" w:right="420" w:firstLine="968"/>
        <w:spacing w:after="0" w:line="282" w:lineRule="auto"/>
        <w:tabs>
          <w:tab w:leader="none" w:pos="244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any other material instrument or agreement to which the Company is a party or by which it or any of its Property is bound;</w:t>
      </w:r>
    </w:p>
    <w:p>
      <w:pPr>
        <w:spacing w:after="0" w:line="161" w:lineRule="exact"/>
        <w:rPr>
          <w:rFonts w:ascii="Times New Roman" w:cs="Times New Roman" w:eastAsia="Times New Roman" w:hAnsi="Times New Roman"/>
          <w:sz w:val="18"/>
          <w:szCs w:val="18"/>
          <w:color w:val="auto"/>
        </w:rPr>
      </w:pPr>
    </w:p>
    <w:p>
      <w:pPr>
        <w:ind w:left="660" w:firstLine="968"/>
        <w:spacing w:after="0" w:line="254" w:lineRule="auto"/>
        <w:tabs>
          <w:tab w:leader="none" w:pos="24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the Company elects paragraph (b)‎ hereof, the Company shall deliver to the Trustee an Opinion of Counsel in the United States stating that (1) the Company has received from, or there has been published by, the Internal Revenue Service a ruling or (2) since the Issue Date pertaining to such Series, there has been a change in the applicable federal income tax law, in either case stating that, and based thereon such Opinion of Counsel shall state that, or (B) in the event the Company elects paragraph (c)‎ hereof, the Company shall deliver to the Trustee an Opinion of Counsel in the United States stating that, in the case of clauses (A)‎ and (B),‎ and subject to customary assumptions and exclusions, Holders of the Securities of such Series will not recognize income, gain or loss for federal income tax purposes as a result of such deposit and the defeasance contemplated hereby and will be subject to federal income tax in the same amounts and in the same manner and at the same times as would have been the case if such deposit and defeasance had not occurred;</w:t>
      </w:r>
    </w:p>
    <w:p>
      <w:pPr>
        <w:spacing w:after="0" w:line="191"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made under clause</w:t>
      </w:r>
    </w:p>
    <w:p>
      <w:pPr>
        <w:spacing w:after="0" w:line="27" w:lineRule="exact"/>
        <w:rPr>
          <w:sz w:val="20"/>
          <w:szCs w:val="20"/>
          <w:color w:val="auto"/>
        </w:rPr>
      </w:pPr>
    </w:p>
    <w:p>
      <w:pPr>
        <w:ind w:left="660" w:right="740"/>
        <w:spacing w:after="0" w:line="260" w:lineRule="auto"/>
        <w:rPr>
          <w:sz w:val="20"/>
          <w:szCs w:val="20"/>
          <w:color w:val="auto"/>
        </w:rPr>
      </w:pPr>
      <w:r>
        <w:rPr>
          <w:rFonts w:ascii="Times New Roman" w:cs="Times New Roman" w:eastAsia="Times New Roman" w:hAnsi="Times New Roman"/>
          <w:sz w:val="18"/>
          <w:szCs w:val="18"/>
          <w:color w:val="auto"/>
        </w:rPr>
        <w:t>(i)‎ was not made by the Company with the intent of preferring the Holders of the Securities of such Series over any other creditors of the Company or with the intent of defeating, hindering, delaying or defrauding any other creditors of the Company or others; and</w:t>
      </w:r>
    </w:p>
    <w:p>
      <w:pPr>
        <w:spacing w:after="0" w:line="181" w:lineRule="exact"/>
        <w:rPr>
          <w:sz w:val="20"/>
          <w:szCs w:val="20"/>
          <w:color w:val="auto"/>
        </w:rPr>
      </w:pPr>
    </w:p>
    <w:p>
      <w:pPr>
        <w:ind w:left="2420" w:hanging="792"/>
        <w:spacing w:after="0"/>
        <w:tabs>
          <w:tab w:leader="none" w:pos="2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specified herein relating to the defeasance contemplated by this Section‎ 8.01 have been complied with.</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the event all or any portion of the Securities of a Series are to be redeemed through such irrevocable trust, the Company must make arrangements satisfactory to the Trustee, at the time of such deposit, for the giving of the notice of such redemption or redemptions by the Trustee in the name and at the expense of the Company.</w:t>
      </w:r>
    </w:p>
    <w:p>
      <w:pPr>
        <w:spacing w:after="0" w:line="176" w:lineRule="exact"/>
        <w:rPr>
          <w:sz w:val="20"/>
          <w:szCs w:val="20"/>
          <w:color w:val="auto"/>
        </w:rPr>
      </w:pPr>
    </w:p>
    <w:p>
      <w:pPr>
        <w:ind w:right="80" w:firstLine="656"/>
        <w:spacing w:after="0" w:line="261" w:lineRule="auto"/>
        <w:tabs>
          <w:tab w:leader="none" w:pos="13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will be discharged and will cease to be of further effect as to all outstanding Securities of any Series (except as to any surviving rights of conversion or transfer or exchange of Securities of such Series expressly provided for herein or in the form of Security for such Series), and the Trustee, at the expense of the Company, shall execute instruments reasonably requested by the Company acknowledging such satisfaction and discharge of the Indenture with respect to such Series, when:</w:t>
      </w:r>
    </w:p>
    <w:p>
      <w:pPr>
        <w:spacing w:after="0" w:line="179" w:lineRule="exact"/>
        <w:rPr>
          <w:rFonts w:ascii="Times New Roman" w:cs="Times New Roman" w:eastAsia="Times New Roman" w:hAnsi="Times New Roman"/>
          <w:sz w:val="18"/>
          <w:szCs w:val="18"/>
          <w:color w:val="auto"/>
        </w:rPr>
      </w:pPr>
    </w:p>
    <w:p>
      <w:pPr>
        <w:ind w:left="2320" w:hanging="692"/>
        <w:spacing w:after="0"/>
        <w:tabs>
          <w:tab w:leader="none" w:pos="23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w:t>
      </w:r>
    </w:p>
    <w:p>
      <w:pPr>
        <w:spacing w:after="0" w:line="27" w:lineRule="exact"/>
        <w:rPr>
          <w:rFonts w:ascii="Times New Roman" w:cs="Times New Roman" w:eastAsia="Times New Roman" w:hAnsi="Times New Roman"/>
          <w:sz w:val="18"/>
          <w:szCs w:val="18"/>
          <w:color w:val="auto"/>
        </w:rPr>
      </w:pPr>
    </w:p>
    <w:p>
      <w:pPr>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stolen and which have been replaced or paid as provided in Section‎ 2.07 and Securities for whose payment money has theretofore been deposited in trust or segregated and held in trust by the Company and thereafter repaid to the Company or discharged from such trust) have been delivered to the Trustee for cancellation in accordance with the Indenture, or, if not delivered to the Trustee, such Securities of such Series (A) have become due and payable, (B) will become due and payable at maturity within one year or (C) are to be called for redemption within one year under arrangements satisfactory to the Trustee for the giving of notice of redemption by the Trustee in the name, and at the expense, of the Company, and in the case of clauses (i)(A), (B) and (C) above, the Company has irrevocably deposited or caused to be deposited with the Trustee (or another qualifying trustee) as trust funds in trust solely for that purpose an amount of money in the currency in which the Securities of such Series are payable or Government Obligations or a combination thereof sufficient (in the case of Government Obligations or a combination of money and Government Obligations, in the opinion of a nationally recognized firm of independent public accountants) to pay and discharge the entire indebtedness on the Securities of such Series not theretofore delivered to the Trustee for cancellation, for principal of and interest on the Securities of such Series, on the date of such deposit or to the maturity or redemption date,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on the date of the deposit, the interest payable to, but excluding, or any premium payable on, the stated maturity or redemption date cannot be calculated, the amount deposited shall be sufficient to the extent that an amount is deposited with the Trustee equal to the interest payable to, but excluding, or the premium payable on, the stated maturity or the redemption date calculated as of the date of the deposit, with any deficit on the stated maturity or redemption date, as applicable (any such amount, the “</w:t>
      </w:r>
      <w:r>
        <w:rPr>
          <w:rFonts w:ascii="Times New Roman" w:cs="Times New Roman" w:eastAsia="Times New Roman" w:hAnsi="Times New Roman"/>
          <w:sz w:val="18"/>
          <w:szCs w:val="18"/>
          <w:b w:val="1"/>
          <w:bCs w:val="1"/>
          <w:color w:val="auto"/>
        </w:rPr>
        <w:t>Applicable Deficit</w:t>
      </w:r>
      <w:r>
        <w:rPr>
          <w:rFonts w:ascii="Times New Roman" w:cs="Times New Roman" w:eastAsia="Times New Roman" w:hAnsi="Times New Roman"/>
          <w:sz w:val="18"/>
          <w:szCs w:val="18"/>
          <w:color w:val="auto"/>
        </w:rPr>
        <w:t xml:space="preserve">”), only required to be deposited with the Trustee on or prior to the stated maturity or redemption date,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any Applicable Deficit shall be set forth in an Officer’s Certificate delivered to the Trustee simultaneously with the deposit of the Applicable Deficit that confirms that the Applicable Deficit shall be applied to the interest or other amounts payable at the stated maturity or on the redemption date, as applicable;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ind w:left="2380" w:hanging="752"/>
        <w:spacing w:after="0"/>
        <w:tabs>
          <w:tab w:leader="none" w:pos="2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Guarantors have paid or caused to be paid all other sums payable under the Indenture by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0" w:right="660" w:firstLine="968"/>
        <w:spacing w:after="0" w:line="282" w:lineRule="auto"/>
        <w:tabs>
          <w:tab w:leader="none" w:pos="24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irrevocable instructions to the Trustee (or such other qualifying trustee), to apply the deposited money toward the payment of the Securities of such Series at maturity or redemption, as the case may be; and</w:t>
      </w:r>
    </w:p>
    <w:p>
      <w:pPr>
        <w:spacing w:after="0" w:line="161"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stating that all conditions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precedent specified in this Section‎ 8.01(e) relating to the satisfaction and discharge of this Indenture have been complied with.</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i w:val="1"/>
          <w:iCs w:val="1"/>
          <w:color w:val="auto"/>
        </w:rPr>
        <w:t>Survival of the Company’s Obligations</w:t>
      </w:r>
      <w:r>
        <w:rPr>
          <w:rFonts w:ascii="Times New Roman" w:cs="Times New Roman" w:eastAsia="Times New Roman" w:hAnsi="Times New Roman"/>
          <w:sz w:val="17"/>
          <w:szCs w:val="17"/>
          <w:color w:val="auto"/>
        </w:rPr>
        <w:t>. Notwithstanding the satisfaction and discharge of this Indenture with respect to any</w:t>
      </w:r>
    </w:p>
    <w:p>
      <w:pPr>
        <w:spacing w:after="0" w:line="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Series under Section‎ 8.01(e), the obligations of the Company to the Trustee under Section‎ 7.07, and, if money shall have been deposited with the Trustee pursuant to ‎Section 8.01(e)(i), the obligations of the Trustee under ‎Section 8.03 and ‎Section 8.04 shall survive.</w:t>
      </w:r>
    </w:p>
    <w:p>
      <w:pPr>
        <w:spacing w:after="0" w:line="17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i w:val="1"/>
          <w:iCs w:val="1"/>
          <w:color w:val="auto"/>
        </w:rPr>
        <w:t>Application of Trust Money</w:t>
      </w:r>
      <w:r>
        <w:rPr>
          <w:rFonts w:ascii="Times New Roman" w:cs="Times New Roman" w:eastAsia="Times New Roman" w:hAnsi="Times New Roman"/>
          <w:sz w:val="17"/>
          <w:szCs w:val="17"/>
          <w:color w:val="auto"/>
        </w:rPr>
        <w:t>. The Trustee shall hold in trust money or Government Obligations deposited with it pursuant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8.01. It shall apply the deposited money and the money from Government Obligations in accordance with this Indenture to the payment of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and interest on the Securities of the defeased or discharged Series.</w:t>
      </w:r>
    </w:p>
    <w:p>
      <w:pPr>
        <w:spacing w:after="0" w:line="205"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Repayment to the Company</w:t>
      </w:r>
      <w:r>
        <w:rPr>
          <w:rFonts w:ascii="Times New Roman" w:cs="Times New Roman" w:eastAsia="Times New Roman" w:hAnsi="Times New Roman"/>
          <w:sz w:val="18"/>
          <w:szCs w:val="18"/>
          <w:color w:val="auto"/>
        </w:rPr>
        <w:t xml:space="preserve">. The Trustee and the Paying Agent shall promptly pay to the Company upon request any excess money or securities held by them at any time. The Trustee and the Paying Agent shall pay to the Company any money held by them for the payment of principal or interest that remains unclaimed for two years,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 newspaper of general circulation in the City of New York or send to each such Holder notice that such money remains unclaimed and that, after a date specified therein, which shall not be less than 30 days from the date of such publication or sending, any unclaimed balance of such money then remaining will be repaid to the Company. After payment to the Company, Securityholders entitled to the money must look solely to the Company for payment unless applicable abandoned property law designates another Person and all liability of the Trustee or such Paying Agent with respect to such money shall cease.</w:t>
      </w:r>
    </w:p>
    <w:p>
      <w:pPr>
        <w:spacing w:after="0" w:line="185"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xml:space="preserve">. If the Trustee is unable to apply any money or Government Obligations in accordance with ‎Section 8.01 ‎(b) or ‎(c) by reason of any legal proceeding or by reason of any order or judgment of any court or governmental authority enjoining, restraining or otherwise prohibiting such application, the Company’s obligations under this Indenture and the Securities relating to the Series shall be revived and reinstated as though no deposit had occurred pursuant to Section 8.01‎(b) or ‎(c), as applicable until such time as the Trustee is permitted to apply all such money or Government Obligations in accordance with Section ‎8.01(b) or ‎(c),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the Company has made any payment of interest on or principal of any Securities of the Series because of the reinstatement of its obligations hereunder, the Company shall be subrogated to the rights of the Holders of such Securities to receive such payment from the money or Government Obligations held by the Trustee and (b) unless otherwise required by any legal proceeding or any order or judgment of any court or governmental authority, the Trustee shall return all such money or Government Obligations to the Company promptly after receiving a written request therefor at any time, if such reinstatement of the Company’s obligations has occurred and continues to be in effect.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ind w:right="-1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upplements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i w:val="1"/>
          <w:iCs w:val="1"/>
          <w:color w:val="auto"/>
        </w:rPr>
        <w:t>Without Consent of Holders</w:t>
      </w:r>
      <w:r>
        <w:rPr>
          <w:rFonts w:ascii="Times New Roman" w:cs="Times New Roman" w:eastAsia="Times New Roman" w:hAnsi="Times New Roman"/>
          <w:sz w:val="17"/>
          <w:szCs w:val="17"/>
          <w:color w:val="auto"/>
        </w:rPr>
        <w:t>. The Company, the Guarantors (if applicable) and the Trustee may amend or supplement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the Securities of a Series or the Securities Guarantees of a Series without notice to or consent of any Securityholder of such Series:</w:t>
      </w:r>
    </w:p>
    <w:p>
      <w:pPr>
        <w:spacing w:after="0" w:line="207" w:lineRule="exact"/>
        <w:rPr>
          <w:sz w:val="20"/>
          <w:szCs w:val="20"/>
          <w:color w:val="auto"/>
        </w:rPr>
      </w:pPr>
    </w:p>
    <w:p>
      <w:pPr>
        <w:ind w:firstLine="656"/>
        <w:spacing w:after="0" w:line="282" w:lineRule="auto"/>
        <w:tabs>
          <w:tab w:leader="none" w:pos="13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of the Indenture which may be defective or inconsistent with any other provision in the Indenture, the Securities of any Series or the Securities Guarantees of any Series;</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13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5 (or any other provisions of the Indenture regarding the consolidation or merger of the Company or the sale, conveyance, transfer, lease or other disposition of all or substantially all of its Property);</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a Series and establish its terms;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Definitive Securities;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guarantor, obligor or collateral in respect of any Series;</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Series;</w:t>
      </w:r>
    </w:p>
    <w:p>
      <w:pPr>
        <w:spacing w:after="0" w:line="225" w:lineRule="exact"/>
        <w:rPr>
          <w:rFonts w:ascii="Times New Roman" w:cs="Times New Roman" w:eastAsia="Times New Roman" w:hAnsi="Times New Roman"/>
          <w:sz w:val="18"/>
          <w:szCs w:val="18"/>
          <w:color w:val="auto"/>
        </w:rPr>
      </w:pPr>
    </w:p>
    <w:p>
      <w:pPr>
        <w:ind w:right="100" w:firstLine="656"/>
        <w:spacing w:after="0" w:line="282" w:lineRule="auto"/>
        <w:tabs>
          <w:tab w:leader="none" w:pos="13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or to surrender any right or power conferred upon the Company by the Indenture;</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Holders of all or any Series;</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this Indenture under the TIA;</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53" w:name="page54"/>
    <w:bookmarkEnd w:id="53"/>
    <w:p>
      <w:pPr>
        <w:ind w:right="340" w:firstLine="656"/>
        <w:spacing w:after="0" w:line="261" w:lineRule="auto"/>
        <w:tabs>
          <w:tab w:leader="none" w:pos="13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the appointment of a successor Trustee with respect to the Securities of one or more Series and to add to or change any of the provisions of the Indenture or any supplemental indenture as shall be necessary to provide for or facilitate the administration of the trusts under such Indenture or supplemental indenture by more than one Trustee pursuant to the requirements set forth in the Indenture;</w:t>
      </w:r>
    </w:p>
    <w:p>
      <w:pPr>
        <w:spacing w:after="0" w:line="1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the Indenture to the final offering document in respect of any Series; or</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 Guarantor from its Securities Guarantee of any Series when permitted or required under the terms of the Indenture.</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After an amendment under this Section‎ 9.01 becomes effective, the Company shall send notice of such amendment to the Securityholders (with a copy to the Trustee).</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w:t>
      </w:r>
      <w:r>
        <w:rPr>
          <w:rFonts w:ascii="Times New Roman" w:cs="Times New Roman" w:eastAsia="Times New Roman" w:hAnsi="Times New Roman"/>
          <w:sz w:val="18"/>
          <w:szCs w:val="18"/>
          <w:color w:val="auto"/>
        </w:rPr>
        <w:t>. The Company, the Guarantors (if applicable) and the Trustee may amend or supplement this Indenture, the Securities of a Series or the Securities Guarantees of a Series without notice to any Securityholder of such Series but with the written consent of the Holders of at least a majority in principal amount of the Securities of each Series then outstanding affected by the amendment or supplement (voting as one class) (including consents obtained in connection with a purchase of, or tender offer or exchange offer for, Securities of such Series). The Holders of a majority in principal amount of the Securities of each Series then outstanding affected by the waiver (voting as one class) may waive any existing Default under, or compliance with, any provision of the Securities of each such Series or of this Indenture relating to each such Series without notice to any Securityholder (including any waiver granted in connection with a purchase of, or tender offer or exchange offer for, Securities of such Series). Without the consent of each Holder of a Security affected thereby, however, an amendment, supplement or waiver, including a waiver pursuant to ‎Section 6.04, may not:</w:t>
      </w:r>
    </w:p>
    <w:p>
      <w:pPr>
        <w:spacing w:after="0" w:line="190" w:lineRule="exact"/>
        <w:rPr>
          <w:sz w:val="20"/>
          <w:szCs w:val="20"/>
          <w:color w:val="auto"/>
        </w:rPr>
      </w:pPr>
    </w:p>
    <w:p>
      <w:pPr>
        <w:ind w:right="80" w:firstLine="656"/>
        <w:spacing w:after="0" w:line="261" w:lineRule="auto"/>
        <w:tabs>
          <w:tab w:leader="none" w:pos="13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thereon, or reduce the principal amount thereof or the rate of interest thereon or any premium payable upon the redemption thereof, or change any place of payment where, or the coin or currency in which, such Security or any premium or interest thereon is payable, or impair the right to institute suit for the enforcement of any such payment on or after the stated maturity thereof (or, in the case of redemption, on or after the redemption date);</w:t>
      </w:r>
    </w:p>
    <w:p>
      <w:pPr>
        <w:spacing w:after="0" w:line="179" w:lineRule="exact"/>
        <w:rPr>
          <w:rFonts w:ascii="Times New Roman" w:cs="Times New Roman" w:eastAsia="Times New Roman" w:hAnsi="Times New Roman"/>
          <w:sz w:val="18"/>
          <w:szCs w:val="18"/>
          <w:color w:val="auto"/>
        </w:rPr>
      </w:pPr>
    </w:p>
    <w:p>
      <w:pPr>
        <w:ind w:firstLine="656"/>
        <w:spacing w:after="0" w:line="266" w:lineRule="auto"/>
        <w:tabs>
          <w:tab w:leader="none" w:pos="13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Section‎ 6.04, except to increase the percentage in principal amount of Securities of any Series the consent of whose Holders is required for any waiver or to provide that certain other provisions of the Indenture cannot be modified or waived without the consent of the Holder of each outstanding Security affected thereby;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4" w:name="page55"/>
    <w:bookmarkEnd w:id="54"/>
    <w:p>
      <w:pPr>
        <w:ind w:right="100" w:firstLine="656"/>
        <w:spacing w:after="0" w:line="266" w:lineRule="auto"/>
        <w:tabs>
          <w:tab w:leader="none" w:pos="13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in the payment of the principal of or interest on any Security or a continuing Default or Event of Default in respect of a covenant or a provision of the Indenture that cannot be modified or amended without the consent of all Holders of the applicable Securities;</w:t>
      </w:r>
    </w:p>
    <w:p>
      <w:pPr>
        <w:spacing w:after="0" w:line="175" w:lineRule="exact"/>
        <w:rPr>
          <w:rFonts w:ascii="Times New Roman" w:cs="Times New Roman" w:eastAsia="Times New Roman" w:hAnsi="Times New Roman"/>
          <w:sz w:val="18"/>
          <w:szCs w:val="18"/>
          <w:color w:val="auto"/>
        </w:rPr>
      </w:pPr>
    </w:p>
    <w:p>
      <w:pPr>
        <w:ind w:right="360" w:firstLine="656"/>
        <w:spacing w:after="0" w:line="282" w:lineRule="auto"/>
        <w:tabs>
          <w:tab w:leader="none" w:pos="13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Securities of any Series the consent of whose Holders is required for any amendment, supplement or waiver; or</w:t>
      </w:r>
    </w:p>
    <w:p>
      <w:pPr>
        <w:spacing w:after="0" w:line="161" w:lineRule="exact"/>
        <w:rPr>
          <w:rFonts w:ascii="Times New Roman" w:cs="Times New Roman" w:eastAsia="Times New Roman" w:hAnsi="Times New Roman"/>
          <w:sz w:val="18"/>
          <w:szCs w:val="18"/>
          <w:color w:val="auto"/>
        </w:rPr>
      </w:pPr>
    </w:p>
    <w:p>
      <w:pPr>
        <w:ind w:right="420" w:firstLine="656"/>
        <w:spacing w:after="0" w:line="282" w:lineRule="auto"/>
        <w:tabs>
          <w:tab w:leader="none" w:pos="13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of the Guarantors from any of their obligations under the Securities Guarantees of any Series or the Indenture, except in accordance with the terms of the Indenture.</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Any amendment, supplement or waiver which changes or eliminates any covenant or other provision of the Indenture which shall have been included expressly and solely for the benefit of one or more particular Series of Securities, or which modifies the rights of the Holders of such Series with respect to such covenant or other provision, shall be deemed not to affect the rights of the Holders of any other Series.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supplement, but it shall be sufficient if such consent approves the substance thereof.</w:t>
      </w:r>
    </w:p>
    <w:p>
      <w:pPr>
        <w:spacing w:after="0" w:line="16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color w:val="auto"/>
        </w:rPr>
        <w:t>[Reserved].</w:t>
      </w:r>
    </w:p>
    <w:p>
      <w:pPr>
        <w:spacing w:after="0" w:line="223"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A consent to an amendment, supplement or waiver by a Holder shall bind the Holder and every subsequent Holder of a Security or portion of a Security that evidences the same debt as the consenting Holder’s Security, even if notation of the consent is not made on any Security. Unless otherwise provided in the consent or the consent solicitation statement or other document describing the terms of the consent, any Holder or subsequent Holder may revoke the consent as to its Security or portion of a Security. Any revocation of a consent by the Holder of a Security or any such subsequent Holder shall be effective only if the Trustee receives the notice of revocation before the date on which the Trustee receives an Officer’s Certificate from the Company certifying that the requisite number of consents have been received.</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of Securities of any Series entitled to consent to any amendment, supplement or waiver. If a record date is fixed, and if Holders otherwise have a right to revoke their consent under the consent or the consent solicitation statement or other document describing the terms of the consent, then notwithstanding the second to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5" w:name="page56"/>
    <w:bookmarkEnd w:id="55"/>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An amendment, supplement or waiver with respect to a Series becomes effective upon the (i) receipt by the Company or the Trustee of the requisite consents, (ii) satisfaction of any conditions to effectiveness as set forth in the Indenture or any indenture supplemental hereto containing such amendment, supplement or waiver and (iii) execution of such amendment, supplement or waiver (or the related supplemental indenture) by the Company, the Guarantors (if applicable) and the Trustee. After an amendment, supplement or waiver with respect to a Series becomes effective, it shall bind every Holder of such Series, unless it makes a change described in any of clauses ‎(a) through ‎(d) of ‎Section 9.02, in which case, the amendment, supplement or waiver shall bind a Holder of a Security who is affected thereby only if it has consented to such amendment, supplement or waiver and every subsequent Holder of a Security or portion of a Security that evidences the same debt as the consenting Holder’s Security.</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Notation on or Exchange of Securities</w:t>
      </w:r>
      <w:r>
        <w:rPr>
          <w:rFonts w:ascii="Times New Roman" w:cs="Times New Roman" w:eastAsia="Times New Roman" w:hAnsi="Times New Roman"/>
          <w:sz w:val="18"/>
          <w:szCs w:val="18"/>
          <w:color w:val="auto"/>
        </w:rPr>
        <w:t>. If an amendment, supplement or waiver changes the terms of a Security, the Company may require the Holder of the Security to deliver it to the Trustee, at which time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Trustee to Sign Amendments, etc</w:t>
      </w:r>
      <w:r>
        <w:rPr>
          <w:rFonts w:ascii="Times New Roman" w:cs="Times New Roman" w:eastAsia="Times New Roman" w:hAnsi="Times New Roman"/>
          <w:sz w:val="18"/>
          <w:szCs w:val="18"/>
          <w:color w:val="auto"/>
        </w:rPr>
        <w:t>. Subject to Section‎ 7.02(b), the Trustee shall sign any amendment, supplement or waiver authorized pursuant to this Article if the amendment, supplement or waiver does not adversely affect the rights, duties, liabilities or immunities of the Trustee. If it does, the Trustee may, but need not, sign such amendment, supplement or waiver. In signing or refusing to sign such amendment or supplement or waiver, the Trustee shall be provided with and shall be fully protected in relying upon, an Officer’s Certificate and an Opinion of Counsel as conclusive evidence that such amendment, supplement or waiver is authorized or permitted by this Indenture (it being understood that in no event shall the Company be required to deliver an Opinion of Counsel in connection with the execution of the First Supplemental Indenture hereto, dated as of the date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ecurities in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oreign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urrencies</w:t>
      </w:r>
    </w:p>
    <w:p>
      <w:pPr>
        <w:spacing w:after="0" w:line="2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Whenever this Indenture provides for (a) any action by, or the determination of any of the rights of, Holders of Securities of any Series in which not all of such Securities are denominated in the same currency, or (b) any distribution to Holders of Securities, in the absence of any provision to the contrary pursuant to this Indenture or the Securities of any particular Series, any amount in respect of any Security denominated in a Foreign Currency shall be treated for any such action or distribution as that amount of Dollars that could be obtained for such amount on such reasonable basis of exchange and as of the record date with respect to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paying agent or agency or organization, if any, responsible for overseeing such composite currency may determine. The Trustee shall have no duty to calculate or verify the calculations made pursuant to this ‎Section 10.01.</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uarantee</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i w:val="1"/>
          <w:iCs w:val="1"/>
          <w:color w:val="auto"/>
        </w:rPr>
        <w:t>Guarantee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400" w:hanging="74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Date, the Securities will not be guaranteed.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Merger Date (until the Ratings Date with respect to the applicable Series of Securities), each Wholly Owned</w:t>
      </w:r>
    </w:p>
    <w:p>
      <w:pPr>
        <w:spacing w:after="0" w:line="27" w:lineRule="exact"/>
        <w:rPr>
          <w:rFonts w:ascii="Times New Roman" w:cs="Times New Roman" w:eastAsia="Times New Roman" w:hAnsi="Times New Roman"/>
          <w:sz w:val="18"/>
          <w:szCs w:val="18"/>
          <w:color w:val="auto"/>
        </w:rPr>
      </w:pPr>
    </w:p>
    <w:p>
      <w:pPr>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Subsidiary (other than an Excluded Subsidiary) of the Company that is required to guarantee payment of such Securities in accordance with Section‎ 4.07 hereof, by executing and delivering a supplemental indenture to this Indenture substantially in the form of Exhibit B hereto, hereby jointly and severally guarantees, on an unsecured, unsubordinated basis, as a primary obligor and not merely as a surety, to each Holder and to the Trustee and its successors and assigns, the performance and punctual payment when due, whether at the stated maturity date of the Securities of such Series, by acceleration or otherwise, of all obligations of the Company under the Indenture and the Securities of such Series, whether for payment of principal of, premium, if any, or interest on the Securities of such Series, expenses, indemnification or otherwise (all such obligations in respect of such Series guaranteed by such Guarantors being hereinafter called the “</w:t>
      </w:r>
      <w:r>
        <w:rPr>
          <w:rFonts w:ascii="Times New Roman" w:cs="Times New Roman" w:eastAsia="Times New Roman" w:hAnsi="Times New Roman"/>
          <w:sz w:val="17"/>
          <w:szCs w:val="17"/>
          <w:b w:val="1"/>
          <w:bCs w:val="1"/>
          <w:color w:val="auto"/>
        </w:rPr>
        <w:t>Guaranteed Obligations</w:t>
      </w:r>
      <w:r>
        <w:rPr>
          <w:rFonts w:ascii="Times New Roman" w:cs="Times New Roman" w:eastAsia="Times New Roman" w:hAnsi="Times New Roman"/>
          <w:sz w:val="17"/>
          <w:szCs w:val="17"/>
          <w:color w:val="auto"/>
        </w:rPr>
        <w:t>”). Each Guarantor further agrees that the Guaranteed Obligations in respect of any applicable Series may be extended or renewed, in whole or in part, without notice or further assent from any Guarantor, and that each Guarantor shall remain bound under this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11 notwithstanding any extension or renewal of any Guaranteed Obligation of such Series.</w:t>
      </w:r>
    </w:p>
    <w:p>
      <w:pPr>
        <w:spacing w:after="0" w:line="206" w:lineRule="exact"/>
        <w:rPr>
          <w:rFonts w:ascii="Times New Roman" w:cs="Times New Roman" w:eastAsia="Times New Roman" w:hAnsi="Times New Roman"/>
          <w:sz w:val="18"/>
          <w:szCs w:val="18"/>
          <w:color w:val="auto"/>
        </w:rPr>
      </w:pPr>
    </w:p>
    <w:p>
      <w:pPr>
        <w:ind w:right="60" w:firstLine="656"/>
        <w:spacing w:after="0" w:line="253" w:lineRule="auto"/>
        <w:tabs>
          <w:tab w:leader="none" w:pos="13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waives presentation to, demand of payment from and protest to the Company of any of the Guaranteed Obligations and also waives notice of protest for nonpayment. Each Guarantor waives notice of any default under the Securities or the Guaranteed Obligations. Each Securities Guarantee of each Guarantor hereunder shall not be affected by (i) the failure of any holder or the Trustee to assert any claim or demand or to enforce any right or remedy against the Company or any other Person under the Indenture, the Securities or any other agreement or otherwise; (ii) any extension or renewal of the Indenture, the Securities or any other agreement; (iii) any rescission, waiver, amendment or modification of any of the terms or provisions of the Indenture, the Securities or any other agreement; (iv) the release of any security held by any Holder or the Trustee for the Guaranteed Obligations of each Guarantor; (v) the failure of any Holder or Trustee to exercise any right or remedy against any other Guarantor of the Guaranteed</w:t>
      </w:r>
    </w:p>
    <w:p>
      <w:pPr>
        <w:spacing w:after="0" w:line="2"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or (vi) any change in the ownership of each Guarantor, except as provided in Section‎ 11.02(b) hereof. Each Guarantor hereby waives any right to which it may be entitled to have its Securities Guarantee hereunder divided among the Guarantors, such that such Guarantor’s Securities Guarantee would be less than the full amount claimed.</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ind w:right="160" w:firstLine="656"/>
        <w:spacing w:after="0" w:line="261" w:lineRule="auto"/>
        <w:tabs>
          <w:tab w:leader="none" w:pos="13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waives any right to which it may be entitled to have the assets of the Company first be used and depleted as payment of the Company’s obligations under the Indenture and the Securities of the applicable Series or such Guarantor’s Securities Guarantee hereunder prior to any amounts being claimed from or paid by such Guarantor hereunder. Each Guarantor hereby waives any right to which it may be entitled to require that the Company be sued prior to an action being initiated against such Guarantor.</w:t>
      </w:r>
    </w:p>
    <w:p>
      <w:pPr>
        <w:spacing w:after="0" w:line="179" w:lineRule="exact"/>
        <w:rPr>
          <w:rFonts w:ascii="Times New Roman" w:cs="Times New Roman" w:eastAsia="Times New Roman" w:hAnsi="Times New Roman"/>
          <w:sz w:val="18"/>
          <w:szCs w:val="18"/>
          <w:color w:val="auto"/>
        </w:rPr>
      </w:pPr>
    </w:p>
    <w:p>
      <w:pPr>
        <w:ind w:right="560" w:firstLine="656"/>
        <w:spacing w:after="0" w:line="266" w:lineRule="auto"/>
        <w:tabs>
          <w:tab w:leader="none" w:pos="13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further agrees that its Guarantee herein constitutes a guarantee of payment and performance when due (and not a guarantee of collection) and waives any right to require that any resort be had by any Holder or the Trustee to any security held for payment of the Guaranteed Obligations of the applicable Series.</w:t>
      </w:r>
    </w:p>
    <w:p>
      <w:pPr>
        <w:spacing w:after="0" w:line="175" w:lineRule="exact"/>
        <w:rPr>
          <w:rFonts w:ascii="Times New Roman" w:cs="Times New Roman" w:eastAsia="Times New Roman" w:hAnsi="Times New Roman"/>
          <w:sz w:val="18"/>
          <w:szCs w:val="18"/>
          <w:color w:val="auto"/>
        </w:rPr>
      </w:pPr>
    </w:p>
    <w:p>
      <w:pPr>
        <w:ind w:right="20" w:firstLine="656"/>
        <w:spacing w:after="0" w:line="261" w:lineRule="auto"/>
        <w:tabs>
          <w:tab w:leader="none" w:pos="1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Guarantee of each applicable Series of each Guarantor is, to the extent and in the manner set forth in this Article‎ 11, equal in right of payment to all existing and future indebtedness which ranks pari passu in right of payment to such Guarantor’s Securities Guarantee of such Series and senior in right of payment to all existing and future indebtedness of such Guarantor which is by its terms subordinated in right of payment to such Securities Guarantee.</w:t>
      </w:r>
    </w:p>
    <w:p>
      <w:pPr>
        <w:spacing w:after="0" w:line="179" w:lineRule="exact"/>
        <w:rPr>
          <w:rFonts w:ascii="Times New Roman" w:cs="Times New Roman" w:eastAsia="Times New Roman" w:hAnsi="Times New Roman"/>
          <w:sz w:val="18"/>
          <w:szCs w:val="18"/>
          <w:color w:val="auto"/>
        </w:rPr>
      </w:pPr>
    </w:p>
    <w:p>
      <w:pPr>
        <w:ind w:firstLine="656"/>
        <w:spacing w:after="0" w:line="254" w:lineRule="auto"/>
        <w:tabs>
          <w:tab w:leader="none" w:pos="13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Sections‎ 8.01(b), 11‎.02 and 11‎.06 hereof, the Securities Guarantee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Securities Guarantee of each Guarantor herein shall not be discharged or impaired or otherwise affected by the failure of any Holder or the Trustee to assert any claim or demand or to enforce any remedy under the Indenture, the Securities or any other agreement, by any waiver or modification of any thereof, by any default, failure or delay, willful or otherwise, in the performance of the Guaranteed Obligations, or by any other act or thing or omission or delay to do any other act or thing which may or might in any manner or to any extent vary the risk of any Guarantor or would otherwise operate as a discharge of any Guarantor as a matter of law or equity.</w:t>
      </w:r>
    </w:p>
    <w:p>
      <w:pPr>
        <w:spacing w:after="0" w:line="188"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Section‎ 11.02(b) hereof, each Guarantor agrees that its Securities Guarantee of each applicable</w:t>
      </w:r>
    </w:p>
    <w:p>
      <w:pPr>
        <w:spacing w:after="0" w:line="2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Series shall remain in full force and effect until payment in full of all the Guaranteed Obligations of such Series of such Guarantor. Each Guarantor further agrees that its Guarantee herein with respect to any Series shall continue to be effective or be reinstated, as the case may be, if at any time payment, or any part thereof, of principal of or interest on any Guaranteed Obligation of such Series is rescinded or must otherwise be restored by any Holder or the Trustee upon the bankruptcy or reorganization of the Company or otherwise.</w:t>
      </w:r>
    </w:p>
    <w:p>
      <w:pPr>
        <w:spacing w:after="0" w:line="189" w:lineRule="exact"/>
        <w:rPr>
          <w:sz w:val="20"/>
          <w:szCs w:val="20"/>
          <w:color w:val="auto"/>
        </w:rPr>
      </w:pPr>
    </w:p>
    <w:p>
      <w:pPr>
        <w:ind w:right="220" w:firstLine="656"/>
        <w:spacing w:after="0" w:line="255" w:lineRule="auto"/>
        <w:tabs>
          <w:tab w:leader="none" w:pos="13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of any other right which any Holder or the Trustee has at law or in equity against any Guarantor by virtue hereof, upon the failure of the Company to pay the principal of or interest on any Guaranteed Obligation of any applicable Series when and as the same shall become due, whether at maturity, by acceleration, by redemption or otherwise, or to perform or comply with any other Guaranteed Obligation of such Series, each Guarantor in respect of such Series hereby promises to and shall, upon receipt of written demand by the Trustee, forthwith pay, or cause to be paid, in cash, to the Holders thereof or the Trustee an amount equal to the sum of (i) the unpaid principal amount of such Guaranteed Obligations of such Series, (ii) accrued and unpaid interest on such Guaranteed Obligations of such Series (but only to the extent not prohibited by applicable law) and (iii) all other monetary obligations of the Company to the Holders thereof and the Trustee.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firstLine="656"/>
        <w:spacing w:after="0" w:line="257" w:lineRule="auto"/>
        <w:tabs>
          <w:tab w:leader="none" w:pos="13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it shall not be entitled to any right of subrogation in relation to the Holders in respect of any Guaranteed Obligations of a Series guaranteed hereby until payment in full of all Guaranteed Obligations of such Series. Each Guarantor further agrees that, as between it, on the one hand, and the Holders and the Trustee, on the other hand, (i) the maturity of the Guaranteed Obligations of any applicable Series guaranteed</w:t>
      </w:r>
    </w:p>
    <w:p>
      <w:pPr>
        <w:spacing w:after="0" w:line="1" w:lineRule="exact"/>
        <w:rPr>
          <w:rFonts w:ascii="Times New Roman" w:cs="Times New Roman" w:eastAsia="Times New Roman" w:hAnsi="Times New Roman"/>
          <w:sz w:val="18"/>
          <w:szCs w:val="18"/>
          <w:color w:val="auto"/>
        </w:rPr>
      </w:pPr>
    </w:p>
    <w:p>
      <w:pPr>
        <w:ind w:right="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hereby may be accelerated as provided in Article‎ 6 hereof for the purposes of the Securities Guarantee of such Series herein, notwithstanding any stay, injunction or other prohibition preventing such acceleration in respect of the Guaranteed Obligations of such Series guaranteed hereby, and (ii) in the event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declaration of acceleration of such Guaranteed Obligations of such Series as provided in Article‎ 6 hereof, such Guaranteed Obligations of such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(whether or not due and payable) shall forthwith become due and payable by the Guarantors for the purposes of this Section‎ 12.01.</w:t>
      </w:r>
    </w:p>
    <w:p>
      <w:pPr>
        <w:spacing w:after="0" w:line="20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also agrees to pay any and all expenses (including reasonable attorneys’ fees and expenses and court costs) incurred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in enforcing any rights under this Section‎ 11.01 in respect of any applicable Series.</w:t>
      </w:r>
    </w:p>
    <w:p>
      <w:pPr>
        <w:spacing w:after="0" w:line="206" w:lineRule="exact"/>
        <w:rPr>
          <w:rFonts w:ascii="Times New Roman" w:cs="Times New Roman" w:eastAsia="Times New Roman" w:hAnsi="Times New Roman"/>
          <w:sz w:val="18"/>
          <w:szCs w:val="18"/>
          <w:color w:val="auto"/>
        </w:rPr>
      </w:pPr>
    </w:p>
    <w:p>
      <w:pPr>
        <w:ind w:right="520" w:firstLine="656"/>
        <w:spacing w:after="0" w:line="282" w:lineRule="auto"/>
        <w:tabs>
          <w:tab w:leader="none" w:pos="13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the Trustee, each Guarantor shall execute and deliver such further instruments and do such further acts as may be reasonably necessary to carry out more effectively the purpose of the Indenture.</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i w:val="1"/>
          <w:iCs w:val="1"/>
          <w:color w:val="auto"/>
        </w:rPr>
        <w:t>Limitation on Liability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56"/>
        <w:spacing w:after="0" w:line="258" w:lineRule="auto"/>
        <w:tabs>
          <w:tab w:leader="none" w:pos="13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Indenture to the contrary notwithstanding, the maximum aggregate amount of the Guaranteed Obligations guaranteed hereunder by each Guarantor shall not exceed the maximum amount that can be hereby guaranteed by the applicable Guarantor without rendering the Securities Guarantee of any applicable Series, as it relates to such Guarantor, voidable under applicable law relating to fraudulent conveyance or fraudulent transfer or similar laws affecting the rights of creditors generally or capital maintenance or corporate benefit rules applicable to guarantees for obligations of affiliates.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1400" w:hanging="744"/>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Guarantee of any Series as to any Guarantor shall automatically terminate and be of no further force or effect and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shall be automatically released from all obligations under this Article‎ 11 upon:</w:t>
      </w:r>
    </w:p>
    <w:p>
      <w:pPr>
        <w:spacing w:after="0" w:line="206" w:lineRule="exact"/>
        <w:rPr>
          <w:rFonts w:ascii="Times New Roman" w:cs="Times New Roman" w:eastAsia="Times New Roman" w:hAnsi="Times New Roman"/>
          <w:sz w:val="18"/>
          <w:szCs w:val="18"/>
          <w:color w:val="auto"/>
        </w:rPr>
      </w:pPr>
    </w:p>
    <w:p>
      <w:pPr>
        <w:ind w:left="660" w:right="60" w:firstLine="968"/>
        <w:spacing w:after="0" w:line="289" w:lineRule="auto"/>
        <w:tabs>
          <w:tab w:leader="none" w:pos="234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disposition, exchange or other transfer (including through merger, consolidation, amalgamation or otherwise) of the capital stock (including any sale, disposition or other transfer following which the applicable Guarantor is no longer a Wholly Owned Subsidiary) of the applicable Guarantor if such sale, disposition, exchange or other transfer is made in a manner not in violation of this Indenture;</w:t>
      </w:r>
    </w:p>
    <w:p>
      <w:pPr>
        <w:spacing w:after="0" w:line="157" w:lineRule="exact"/>
        <w:rPr>
          <w:rFonts w:ascii="Times New Roman" w:cs="Times New Roman" w:eastAsia="Times New Roman" w:hAnsi="Times New Roman"/>
          <w:sz w:val="17"/>
          <w:szCs w:val="17"/>
          <w:color w:val="auto"/>
        </w:rPr>
      </w:pPr>
    </w:p>
    <w:p>
      <w:pPr>
        <w:ind w:left="660" w:firstLine="968"/>
        <w:spacing w:after="0" w:line="258" w:lineRule="auto"/>
        <w:tabs>
          <w:tab w:leader="none" w:pos="23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or discharge of such Guarantor, other than as result of payment thereon by such Guarantor following a default by the direct obligor on any Credit Agreement or the applicable Capital Markets Indebtedness (but including any release or discharge that would be conditioned only on the release or discharge of the Securities Guarantees of such Series hereunder or of the Guarantee of any Credit Agreement or any Capital Markets Indebtedness), of its obligations pursuant to (A) the Credit Agreements and (B) all Capital Markets Indebtedness of the Company or any other Guarantor;</w:t>
      </w:r>
    </w:p>
    <w:p>
      <w:pPr>
        <w:spacing w:after="0" w:line="183" w:lineRule="exact"/>
        <w:rPr>
          <w:rFonts w:ascii="Times New Roman" w:cs="Times New Roman" w:eastAsia="Times New Roman" w:hAnsi="Times New Roman"/>
          <w:sz w:val="18"/>
          <w:szCs w:val="18"/>
          <w:color w:val="auto"/>
        </w:rPr>
      </w:pPr>
    </w:p>
    <w:p>
      <w:pPr>
        <w:ind w:left="660" w:right="260" w:firstLine="968"/>
        <w:spacing w:after="0" w:line="282" w:lineRule="auto"/>
        <w:tabs>
          <w:tab w:leader="none" w:pos="244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exercise of Legal Defeasance or Covenant Defeasance under Article‎ 8 or if the Company’s obligations under this Indenture are discharged in accordance with the terms of this Indenture;</w:t>
      </w:r>
    </w:p>
    <w:p>
      <w:pPr>
        <w:spacing w:after="0" w:line="161"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becoming an Excluded Subsidiary;</w:t>
      </w:r>
    </w:p>
    <w:p>
      <w:pPr>
        <w:spacing w:after="0" w:line="225" w:lineRule="exact"/>
        <w:rPr>
          <w:rFonts w:ascii="Times New Roman" w:cs="Times New Roman" w:eastAsia="Times New Roman" w:hAnsi="Times New Roman"/>
          <w:sz w:val="18"/>
          <w:szCs w:val="18"/>
          <w:color w:val="auto"/>
        </w:rPr>
      </w:pPr>
    </w:p>
    <w:p>
      <w:pPr>
        <w:ind w:left="660" w:right="140" w:firstLine="968"/>
        <w:spacing w:after="0" w:line="282" w:lineRule="auto"/>
        <w:tabs>
          <w:tab w:leader="none" w:pos="238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ceasing to be a Subsidiary as a result of any foreclosure of any pledge or security interest securing Bank Indebtedness or other exercise of remedies in respect thereof; or</w:t>
      </w:r>
    </w:p>
    <w:p>
      <w:pPr>
        <w:spacing w:after="0" w:line="161"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the Ratings Date with respect to such Series.</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11.03.</w:t>
      </w:r>
      <w:r>
        <w:rPr>
          <w:sz w:val="20"/>
          <w:szCs w:val="20"/>
          <w:color w:val="auto"/>
        </w:rPr>
        <w:tab/>
      </w:r>
      <w:r>
        <w:rPr>
          <w:rFonts w:ascii="Times New Roman" w:cs="Times New Roman" w:eastAsia="Times New Roman" w:hAnsi="Times New Roman"/>
          <w:sz w:val="17"/>
          <w:szCs w:val="17"/>
          <w:i w:val="1"/>
          <w:iCs w:val="1"/>
          <w:color w:val="auto"/>
        </w:rPr>
        <w:t>Non-Impairment</w:t>
      </w:r>
      <w:r>
        <w:rPr>
          <w:rFonts w:ascii="Times New Roman" w:cs="Times New Roman" w:eastAsia="Times New Roman" w:hAnsi="Times New Roman"/>
          <w:sz w:val="17"/>
          <w:szCs w:val="17"/>
          <w:color w:val="auto"/>
        </w:rPr>
        <w:t>. The failure to endorse a Securities Guarantee on any Security shall not affect or impair the validity thereof.</w:t>
      </w:r>
    </w:p>
    <w:p>
      <w:pPr>
        <w:spacing w:after="0" w:line="225"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Article‎ 11 shall be binding upon each Guarantor and its successors and assigns and shall inure to the benefit of and be enforceable by the successors and assigns of the Trustee and the applicable Holders and, in the event of any transfer or assignment of rights by any applicable Holder or the Trustee, the rights and privileges conferred upon that party in this Indenture and in the Securities shall automatically extend to and be vested in such transferee or assignee, all subject to the terms and conditions of this Indenture.</w:t>
      </w:r>
    </w:p>
    <w:p>
      <w:pPr>
        <w:spacing w:after="0" w:line="180" w:lineRule="exact"/>
        <w:rPr>
          <w:sz w:val="20"/>
          <w:szCs w:val="20"/>
          <w:color w:val="auto"/>
        </w:rPr>
      </w:pPr>
    </w:p>
    <w:p>
      <w:pPr>
        <w:jc w:val="center"/>
        <w:ind w:right="-59"/>
        <w:spacing w:after="0"/>
        <w:tabs>
          <w:tab w:leader="none" w:pos="260" w:val="left"/>
        </w:tabs>
        <w:rPr>
          <w:sz w:val="20"/>
          <w:szCs w:val="20"/>
          <w:color w:val="auto"/>
        </w:rPr>
      </w:pPr>
      <w:r>
        <w:rPr>
          <w:rFonts w:ascii="Times New Roman" w:cs="Times New Roman" w:eastAsia="Times New Roman" w:hAnsi="Times New Roman"/>
          <w:sz w:val="18"/>
          <w:szCs w:val="18"/>
          <w:color w:val="auto"/>
        </w:rPr>
        <w:t>Section 11.05.</w:t>
      </w:r>
      <w:r>
        <w:rPr>
          <w:sz w:val="20"/>
          <w:szCs w:val="20"/>
          <w:color w:val="auto"/>
        </w:rPr>
        <w:tab/>
      </w:r>
      <w:r>
        <w:rPr>
          <w:rFonts w:ascii="Times New Roman" w:cs="Times New Roman" w:eastAsia="Times New Roman" w:hAnsi="Times New Roman"/>
          <w:sz w:val="17"/>
          <w:szCs w:val="17"/>
          <w:i w:val="1"/>
          <w:iCs w:val="1"/>
          <w:color w:val="auto"/>
        </w:rPr>
        <w:t>No Waiver</w:t>
      </w:r>
      <w:r>
        <w:rPr>
          <w:rFonts w:ascii="Times New Roman" w:cs="Times New Roman" w:eastAsia="Times New Roman" w:hAnsi="Times New Roman"/>
          <w:sz w:val="17"/>
          <w:szCs w:val="17"/>
          <w:color w:val="auto"/>
        </w:rPr>
        <w:t>. Neither a failure nor a delay on the part of either the Trustee or the Holders in exercising any right, power or</w:t>
      </w:r>
    </w:p>
    <w:p>
      <w:pPr>
        <w:spacing w:after="0" w:line="29"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privilege under this Article‎ 11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11 at law, in equity, by statute or otherwise.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0" w:name="page61"/>
    <w:bookmarkEnd w:id="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Modification</w:t>
      </w:r>
      <w:r>
        <w:rPr>
          <w:rFonts w:ascii="Times New Roman" w:cs="Times New Roman" w:eastAsia="Times New Roman" w:hAnsi="Times New Roman"/>
          <w:sz w:val="18"/>
          <w:szCs w:val="18"/>
          <w:color w:val="auto"/>
        </w:rPr>
        <w:t>. No modification, amendment or waiver of any provision of this Article‎ 11, nor the consent to any departure by any Guarantor therefrom, shall in any event be effective unless the same shall be in writing and signed by the Trustee, and then such waiver or consent shall be effective only in the specific instance and for the purpose for which given. No notice to or demand on any Guarantor in any case shall entitle any Guarantor to any other or further notice or demand in the same, similar or other circumstances.</w:t>
      </w:r>
    </w:p>
    <w:p>
      <w:pPr>
        <w:spacing w:after="0" w:line="180"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Execution of Supplemental Indenture for Future Guarantors</w:t>
      </w:r>
      <w:r>
        <w:rPr>
          <w:rFonts w:ascii="Times New Roman" w:cs="Times New Roman" w:eastAsia="Times New Roman" w:hAnsi="Times New Roman"/>
          <w:sz w:val="18"/>
          <w:szCs w:val="18"/>
          <w:color w:val="auto"/>
        </w:rPr>
        <w:t>. Each Subsidiary which is required to become a Guarantor of any Series pursuant to ‎Section 4.07 shall execute and deliver to the Trustee a supplemental indenture substantially in the form of Exhibit B hereto pursuant to</w:t>
      </w:r>
    </w:p>
    <w:p>
      <w:pPr>
        <w:ind w:right="20"/>
        <w:spacing w:after="0" w:line="255" w:lineRule="auto"/>
        <w:rPr>
          <w:sz w:val="20"/>
          <w:szCs w:val="20"/>
          <w:color w:val="auto"/>
        </w:rPr>
      </w:pPr>
      <w:r>
        <w:rPr>
          <w:rFonts w:ascii="Times New Roman" w:cs="Times New Roman" w:eastAsia="Times New Roman" w:hAnsi="Times New Roman"/>
          <w:sz w:val="18"/>
          <w:szCs w:val="18"/>
          <w:color w:val="auto"/>
        </w:rPr>
        <w:t>which such Subsidiary shall become a Guarantor under this Article‎ 11 and shall guarantee the Guaranteed Obligations of such Series. Concurrently with the execution and delivery of such supplemental indenture, the Company shall deliver to the Trustee an Opinion of Counsel and an Officer’s Certificate, as provided under ‎Sections 9.06 and ‎12.04.</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12.01.</w:t>
        <w:tab/>
        <w:t>[Reserved].</w:t>
      </w:r>
    </w:p>
    <w:p>
      <w:pPr>
        <w:spacing w:after="0" w:line="223"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order, consent, notice or communication shall be sufficiently given if in writing and delivered in person or mailed by first-class mail, postage prepaid, or delivered by commercial courier service, addressed as follows:</w:t>
      </w:r>
    </w:p>
    <w:p>
      <w:pPr>
        <w:spacing w:after="0" w:line="160" w:lineRule="exact"/>
        <w:rPr>
          <w:sz w:val="20"/>
          <w:szCs w:val="20"/>
          <w:color w:val="auto"/>
        </w:rPr>
      </w:pPr>
    </w:p>
    <w:p>
      <w:pPr>
        <w:ind w:left="660" w:right="7380" w:hanging="4"/>
        <w:spacing w:after="0" w:line="500" w:lineRule="auto"/>
        <w:tabs>
          <w:tab w:leader="none" w:pos="13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or a Guarantor: prior to the Merger Date: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XPO Escrow Sub,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11215 North Community House Road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and after the Merger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RXO,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11215 North Community House Road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Jamie Harris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1" w:name="page62"/>
    <w:bookmarkEnd w:id="61"/>
    <w:p>
      <w:pPr>
        <w:ind w:left="1400" w:hanging="74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Corporate Trust</w:t>
      </w:r>
    </w:p>
    <w:p>
      <w:pPr>
        <w:ind w:left="660"/>
        <w:spacing w:after="0" w:line="192" w:lineRule="auto"/>
        <w:rPr>
          <w:sz w:val="20"/>
          <w:szCs w:val="20"/>
          <w:color w:val="auto"/>
        </w:rPr>
      </w:pPr>
      <w:r>
        <w:rPr>
          <w:rFonts w:ascii="Times New Roman" w:cs="Times New Roman" w:eastAsia="Times New Roman" w:hAnsi="Times New Roman"/>
          <w:sz w:val="18"/>
          <w:szCs w:val="18"/>
          <w:color w:val="auto"/>
        </w:rPr>
        <w:t>214 N. Tryon Street,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66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RXO, Inc. Notes Administrator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allison.lancasterpoole@usbank.com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2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sent to a Securityholder shall be sent electronically or mailed to him by first-class mail, postage prepaid, or delivered by commercial courier service, at his address as it appears on the registration books of the Registrar, or, in the case of Global Securities sent electronically in accordance with the procedures of the Depositary, and shall be sufficiently given to him if so sent within the time prescribed.</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Failure to send a notice or communication to a Securityholder or any defect in it shall not affect its sufficiency with respect to other Securityholders. If a notice or communication is sent in the manner provided above, it is duly given, whether or not the addressee receives it except that notice to the Trustee shall only be effective upon receipt thereof by the Trustee.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sends notice or communications to the Securityholders, it shall send a copy to the Trustee at the same time.</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foregoing, the Trustee may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9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to a Holder of a Global Security (whether by mail or otherwise), such notice shall be sufficiently given if given to the Depositary (or its designee) pursuant to the standing instructions from the Depositary or its designee.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2" w:name="page63"/>
    <w:bookmarkEnd w:id="62"/>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Communications by Holders with Other Holders</w:t>
      </w:r>
      <w:r>
        <w:rPr>
          <w:rFonts w:ascii="Times New Roman" w:cs="Times New Roman" w:eastAsia="Times New Roman" w:hAnsi="Times New Roman"/>
          <w:sz w:val="18"/>
          <w:szCs w:val="18"/>
          <w:color w:val="auto"/>
        </w:rPr>
        <w:t>. Securityholders may communicate pursuant to TIA § 312(b) with other Securityholders with respect to their rights under this Indenture or the Securities. The Company, the Trustee, the Registrar and anyone else shall have the protection of TIA § 312(c).</w:t>
      </w:r>
    </w:p>
    <w:p>
      <w:pPr>
        <w:spacing w:after="0" w:line="17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Certificate and Opinion as to Conditions Precedent</w:t>
      </w:r>
      <w:r>
        <w:rPr>
          <w:rFonts w:ascii="Times New Roman" w:cs="Times New Roman" w:eastAsia="Times New Roman" w:hAnsi="Times New Roman"/>
          <w:sz w:val="18"/>
          <w:szCs w:val="18"/>
          <w:color w:val="auto"/>
        </w:rPr>
        <w:t>. Upon any request or application by the Company to the Trustee to take any action under this Indenture, the Company shall furnish to the Trustee:</w:t>
      </w:r>
    </w:p>
    <w:p>
      <w:pPr>
        <w:spacing w:after="0" w:line="160" w:lineRule="exact"/>
        <w:rPr>
          <w:sz w:val="20"/>
          <w:szCs w:val="20"/>
          <w:color w:val="auto"/>
        </w:rPr>
      </w:pPr>
    </w:p>
    <w:p>
      <w:pPr>
        <w:ind w:firstLine="656"/>
        <w:spacing w:after="0" w:line="266" w:lineRule="auto"/>
        <w:tabs>
          <w:tab w:leader="none" w:pos="13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(which shall include the statements set forth in Section‎ 12.05) stating that, in the opinion of the signers (who may rely upon an Opinion of Counsel with respect to matters of law), all conditions precedent, if any, provided for in this Indenture relating to the proposed action have been complied with; and</w:t>
      </w:r>
    </w:p>
    <w:p>
      <w:pPr>
        <w:spacing w:after="0" w:line="175" w:lineRule="exact"/>
        <w:rPr>
          <w:rFonts w:ascii="Times New Roman" w:cs="Times New Roman" w:eastAsia="Times New Roman" w:hAnsi="Times New Roman"/>
          <w:sz w:val="18"/>
          <w:szCs w:val="18"/>
          <w:color w:val="auto"/>
        </w:rPr>
      </w:pPr>
    </w:p>
    <w:p>
      <w:pPr>
        <w:ind w:right="80" w:firstLine="656"/>
        <w:spacing w:after="0" w:line="266" w:lineRule="auto"/>
        <w:tabs>
          <w:tab w:leader="none" w:pos="139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12.05) stating that, in the opinion of such counsel (who may rely upon an Officer’s Certificate or certificates of public officials as to matters of fact), all conditions precedent, if any, provided for in this Indenture relating to the proposed action have been complied with.</w:t>
      </w:r>
    </w:p>
    <w:p>
      <w:pPr>
        <w:spacing w:after="0" w:line="174"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Statements Required in Certificate or Opinion</w:t>
      </w:r>
      <w:r>
        <w:rPr>
          <w:rFonts w:ascii="Times New Roman" w:cs="Times New Roman" w:eastAsia="Times New Roman" w:hAnsi="Times New Roman"/>
          <w:sz w:val="18"/>
          <w:szCs w:val="18"/>
          <w:color w:val="auto"/>
        </w:rPr>
        <w:t>. Each certificate or opinion with respect to compliance with a condition or covenant provided for in this Indenture shall include:</w:t>
      </w:r>
    </w:p>
    <w:p>
      <w:pPr>
        <w:spacing w:after="0" w:line="160" w:lineRule="exact"/>
        <w:rPr>
          <w:sz w:val="20"/>
          <w:szCs w:val="20"/>
          <w:color w:val="auto"/>
        </w:rPr>
      </w:pPr>
    </w:p>
    <w:p>
      <w:pPr>
        <w:ind w:left="1400" w:hanging="744"/>
        <w:spacing w:after="0"/>
        <w:tabs>
          <w:tab w:leader="none" w:pos="1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right="40" w:firstLine="656"/>
        <w:spacing w:after="0" w:line="282" w:lineRule="auto"/>
        <w:tabs>
          <w:tab w:leader="none" w:pos="13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13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3"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Rules by Trustee and Agents</w:t>
      </w:r>
      <w:r>
        <w:rPr>
          <w:rFonts w:ascii="Times New Roman" w:cs="Times New Roman" w:eastAsia="Times New Roman" w:hAnsi="Times New Roman"/>
          <w:sz w:val="18"/>
          <w:szCs w:val="18"/>
          <w:color w:val="auto"/>
        </w:rPr>
        <w:t>. The Trustee may make reasonable rules for action by or a meeting of Securityholders. The Registrar or Paying Agent may make reasonable rules for its functions.</w:t>
      </w:r>
    </w:p>
    <w:p>
      <w:pPr>
        <w:spacing w:after="0" w:line="15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Legal Holidays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Legal Holiday</w:t>
      </w:r>
      <w:r>
        <w:rPr>
          <w:rFonts w:ascii="Times New Roman" w:cs="Times New Roman" w:eastAsia="Times New Roman" w:hAnsi="Times New Roman"/>
          <w:sz w:val="18"/>
          <w:szCs w:val="18"/>
          <w:color w:val="auto"/>
        </w:rPr>
        <w:t>” is a day that is not a Business Day. If any interest or other payment date of a Security falls on a Legal Holiday,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If this Indenture provides for a time period that ends or requires performance of any non-payment obligation by a day that is not a Business Day, then such time period shall instead be deemed to end on, and such obligation shall instead be performed by, the next succeeding Business Day.</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63" w:name="page64"/>
    <w:bookmarkEnd w:id="63"/>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Indenture, the Securities of each Series and the Securities Guarantees of each Series shall be governed by and construed in accordance with the laws of the State of New York.</w:t>
      </w:r>
    </w:p>
    <w:p>
      <w:pPr>
        <w:spacing w:after="0" w:line="158"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 This Indenture may not be used to interpret another indenture, loan or debt agreement of the Company or a Subsidiary. Any such indenture, loan or debt agreement may not be used to interpret this Indenture.</w:t>
      </w:r>
    </w:p>
    <w:p>
      <w:pPr>
        <w:spacing w:after="0" w:line="158"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All liability described in Paragraph 10 of the Securities of any director, officer, employee or stockholder, as such, of the Company, is, to the fullest extent permitted by applicable law, waived and released.</w:t>
      </w:r>
    </w:p>
    <w:p>
      <w:pPr>
        <w:spacing w:after="0" w:line="158"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All covenants and agreements of the Company and the Guarantors in this Indenture and the Securities shall bind their respective successors and assigns, all subject to the terms and conditions of this Indenture. All agreements of the Trustee in this Indenture shall bind its successors and assigns.</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Duplicate Originals</w:t>
      </w:r>
      <w:r>
        <w:rPr>
          <w:rFonts w:ascii="Times New Roman" w:cs="Times New Roman" w:eastAsia="Times New Roman" w:hAnsi="Times New Roman"/>
          <w:sz w:val="18"/>
          <w:szCs w:val="18"/>
          <w:color w:val="auto"/>
        </w:rPr>
        <w:t>. The parties may sign any number of copies of this Indenture. Each signed copy shall be an original, but all of them together represent the same agreement. Signatures of the parties hereto transmitted by facsimile or other electronic transmission shall be deemed to be their original signatures for all purposes. This Indenture shall be valid, binding, and enforceable against a party (subject to applicable bankruptcy, insolvency, fraudulent transfer, fraudulent conveyance, reorganization, moratorium and other laws now or hereinafter in effect affecting creditors’ rights or remedies generally and to general principles of equity (including standards of materiality, good faith, fair dealing and reasonableness), whether considered in a proceeding at law or at equity)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NYUCC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NYUCC or other Signature Law due to the character or intended character of the writings. The Trustee shall not have any duty to confirm that the person sending any notice by electronic transmission (including by e-mail) is, in fact, a person authorized to do so. Notwithstanding the foregoing, the Trustee may in any instance and in its sole discretion require that an original document bearing a manual signature be delivered to the Trustee in lieu of, or in addition to, any such electronic Notice. The Company agrees to assume all risks arising out of the use of electronic signatures and electronic methods to submit instructions and directions to the Trustee, including without limitation the risk of the Trustee acting on unauthorized instructions, and the risk of interception and misuse by third parties.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64" w:name="page65"/>
    <w:bookmarkEnd w:id="64"/>
    <w:p>
      <w:pPr>
        <w:jc w:val="both"/>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one or more of the provisions contained in this Indenture or in the Securities of a Series shall for any reason be held to be invalid, illegal or unenforceable in any respect, such invalidity, illegality or unenforceability shall not affect any other provisions of this Indenture or of such Securities.</w:t>
      </w:r>
    </w:p>
    <w:p>
      <w:pPr>
        <w:spacing w:after="0" w:line="17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The Company acknowledges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Company agrees that it will provide the Trustee with such information as it may reasonably request as required in order for the Trustee to satisfy the requirements of the U.S.A. Patriot Act.</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COMPANY, THE GUARANTORS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12.16.</w:t>
      </w:r>
      <w:r>
        <w:rPr>
          <w:sz w:val="20"/>
          <w:szCs w:val="20"/>
          <w:color w:val="auto"/>
        </w:rPr>
        <w:tab/>
      </w:r>
      <w:r>
        <w:rPr>
          <w:rFonts w:ascii="Times New Roman" w:cs="Times New Roman" w:eastAsia="Times New Roman" w:hAnsi="Times New Roman"/>
          <w:sz w:val="17"/>
          <w:szCs w:val="17"/>
          <w:i w:val="1"/>
          <w:iCs w:val="1"/>
          <w:color w:val="auto"/>
        </w:rPr>
        <w:t>Jurisdiction</w:t>
      </w:r>
      <w:r>
        <w:rPr>
          <w:rFonts w:ascii="Times New Roman" w:cs="Times New Roman" w:eastAsia="Times New Roman" w:hAnsi="Times New Roman"/>
          <w:sz w:val="17"/>
          <w:szCs w:val="17"/>
          <w:color w:val="auto"/>
        </w:rPr>
        <w:t>. The Company, the Guarantors and the Trustee, and each Holder of a Security by its acceptance thereof, hereby</w:t>
      </w:r>
    </w:p>
    <w:p>
      <w:pPr>
        <w:spacing w:after="0" w:line="29" w:lineRule="exact"/>
        <w:rPr>
          <w:sz w:val="20"/>
          <w:szCs w:val="20"/>
          <w:color w:val="auto"/>
        </w:rPr>
      </w:pPr>
    </w:p>
    <w:p>
      <w:pPr>
        <w:ind w:firstLine="8"/>
        <w:spacing w:after="0" w:line="253" w:lineRule="auto"/>
        <w:tabs>
          <w:tab w:leader="none" w:pos="2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 to the non-exclusive jurisdiction of any federal or state court sitting in the Borough of Manhattan, the city of New York, over any suit, action or proceeding arising out of or relating to this Indenture and (ii) to the fullest extent permitted by applicable law, irrevocably waive and agree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Indenture to be duly executed, all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1F1F1F"/>
        </w:rPr>
        <w:t>XPO ESCROW SUB, LLC,</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1F1F1F"/>
        </w:rPr>
        <w:t>as Company</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David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David Murray</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Title: Vice President, Treasurer and Financial Shared Services</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XPO Escrow Sub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60"/>
          </w:cols>
          <w:pgMar w:left="980" w:top="904" w:right="1159" w:bottom="1440" w:gutter="0" w:footer="0" w:header="0"/>
        </w:sectPr>
      </w:pPr>
    </w:p>
    <w:bookmarkStart w:id="66" w:name="page67"/>
    <w:bookmarkEnd w:id="66"/>
    <w:p>
      <w:pPr>
        <w:ind w:left="4520"/>
        <w:spacing w:after="0"/>
        <w:rPr>
          <w:sz w:val="20"/>
          <w:szCs w:val="20"/>
          <w:color w:val="auto"/>
        </w:rPr>
      </w:pPr>
      <w:r>
        <w:rPr>
          <w:rFonts w:ascii="Times New Roman" w:cs="Times New Roman" w:eastAsia="Times New Roman" w:hAnsi="Times New Roman"/>
          <w:sz w:val="17"/>
          <w:szCs w:val="17"/>
          <w:b w:val="1"/>
          <w:bCs w:val="1"/>
          <w:color w:val="1F1F1F"/>
        </w:rPr>
        <w:t>U.S. BANK TRUST COMPANY,</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1F1F1F"/>
        </w:rPr>
        <w:t>NATIONAL ASSOCIATION</w:t>
      </w:r>
      <w:r>
        <w:rPr>
          <w:rFonts w:ascii="Times New Roman" w:cs="Times New Roman" w:eastAsia="Times New Roman" w:hAnsi="Times New Roman"/>
          <w:sz w:val="18"/>
          <w:szCs w:val="18"/>
          <w:color w:val="1F1F1F"/>
        </w:rPr>
        <w: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1F1F1F"/>
        </w:rPr>
        <w:t>as 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Allison Lancaster-Poole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color w:val="auto"/>
        </w:rPr>
        <w:t>Name:Allison Lancaster-Poole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 XPO Escrow Sub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67" w:name="page68"/>
    <w:bookmarkEnd w:id="67"/>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No.: _______</w:t>
      </w:r>
      <w:r>
        <w:rPr>
          <w:sz w:val="20"/>
          <w:szCs w:val="20"/>
          <w:color w:val="auto"/>
        </w:rPr>
        <w:tab/>
      </w:r>
      <w:r>
        <w:rPr>
          <w:rFonts w:ascii="Times New Roman" w:cs="Times New Roman" w:eastAsia="Times New Roman" w:hAnsi="Times New Roman"/>
          <w:sz w:val="17"/>
          <w:szCs w:val="17"/>
          <w:color w:val="auto"/>
        </w:rPr>
        <w:t>CUSIP/ISIN No.: _______</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[Title of Security]</w:t>
      </w: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XPO Escrow Sub,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to be merged with and into RXO, Inc.</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promises to pay to ____________________ or registered assigns the principal sum of ____________________ [Dollars]* on 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Dates:____________________ and 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____________________ and _____________________</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*Or other currency. Insert corresponding provisions on reverse side of Security in respect of foreign currency denomination or interest payment requirement.</w:t>
      </w: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instrument to be duly executed.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XPO ESCROW SUB, LLC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the within mentioned Indenture.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XPO Escrow Sub,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merged with and into RXO,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Security]</w:t>
      </w:r>
    </w:p>
    <w:p>
      <w:pPr>
        <w:spacing w:after="0" w:line="22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XPO Escrow Sub, LLC, a Delaware limited liability company, to be merged with and into RXO, Inc., a Delaware corporation (together with its successors and assigns,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this Security under the Indenture dated as of October 25, 2022 (as amended, modified or supplemented from time to time in accordance therewith,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the Supplemental Indenture dated as of _________________, (the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party thereto from time to time and U.S. Bank Trust Company, National Association, as trustee (in such capacity,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reference is hereby made for a statement of the respective rights, obligations, duties and immunities thereunder of the Company, the Trustee and the Holders and of the terms upon which this Security is authorized and delivered. All terms used in this Security that are defined in the Indenture shall have the meanings assigned to them therein. If any terms of this Security conflicts with the terms of the Indenture, the terms of the Indenture shall govern and control.</w:t>
      </w:r>
    </w:p>
    <w:p>
      <w:pPr>
        <w:spacing w:after="0" w:line="183" w:lineRule="exact"/>
        <w:rPr>
          <w:sz w:val="20"/>
          <w:szCs w:val="20"/>
          <w:color w:val="auto"/>
        </w:rPr>
      </w:pPr>
    </w:p>
    <w:p>
      <w:pPr>
        <w:ind w:firstLine="656"/>
        <w:spacing w:after="0" w:line="256" w:lineRule="auto"/>
        <w:tabs>
          <w:tab w:leader="none" w:pos="1323"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The Company promises to pay interest on the principal amount of this Security at the rate of [ ] per year. The Company will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semi-annually in arrears on _________________ and _________________ of each year, beginning on _________________, _______, until the principal is paid or made available for payment. Interest on the Securities will accrue from the most recent date to which interest has been paid or duly provided for or, if no interest has been paid, from _________________, _______,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Security is authenticated between a record date referred to on the face hereof and the next succeeding interest payment date, interest shall accrue from such interest payment date. Interest will be computed on the basis of a 360-day year comprised of twelve 30-day months, at the office or agency of the Company maintained for that purpose in accordance with the Indenture.</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1323"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Method of Payment. </w:t>
      </w:r>
      <w:r>
        <w:rPr>
          <w:rFonts w:ascii="Times New Roman" w:cs="Times New Roman" w:eastAsia="Times New Roman" w:hAnsi="Times New Roman"/>
          <w:sz w:val="17"/>
          <w:szCs w:val="17"/>
          <w:color w:val="auto"/>
        </w:rPr>
        <w:t>The Company will pay interest on this Security (except defaulted interest, if any, which will be paid on a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date to Holders of record on such special record date as may be fixed by the Company) to the persons in whose name this Security is registered at the close of business on the _________________ or _________________ immediately preceding the interest payment date. The Company will pay principal and interest in money of [Insert applicable country or currency] that at the time of payment is legal tender for payment of public and private debts.</w:t>
      </w:r>
    </w:p>
    <w:p>
      <w:pPr>
        <w:spacing w:after="0" w:line="161" w:lineRule="exact"/>
        <w:rPr>
          <w:rFonts w:ascii="Times New Roman" w:cs="Times New Roman" w:eastAsia="Times New Roman" w:hAnsi="Times New Roman"/>
          <w:sz w:val="17"/>
          <w:szCs w:val="17"/>
          <w:b w:val="1"/>
          <w:bCs w:val="1"/>
          <w:color w:val="auto"/>
        </w:rPr>
      </w:pPr>
    </w:p>
    <w:p>
      <w:pPr>
        <w:ind w:right="340" w:firstLine="656"/>
        <w:spacing w:after="0" w:line="268" w:lineRule="auto"/>
        <w:tabs>
          <w:tab w:leader="none" w:pos="1323"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Paying Agent and Registrar. </w:t>
      </w:r>
      <w:r>
        <w:rPr>
          <w:rFonts w:ascii="Times New Roman" w:cs="Times New Roman" w:eastAsia="Times New Roman" w:hAnsi="Times New Roman"/>
          <w:sz w:val="18"/>
          <w:szCs w:val="18"/>
          <w:color w:val="auto"/>
        </w:rPr>
        <w:t>Initially, the Trustee will act as Paying Agent and Registrar. The Company may change or appoint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Paying Agent, Registrar or co-Registrar in accordance with the Indenture. The Company or any of its Subsidiaries or any of their Affiliates may act as Paying Agent, Registrar or co-Registrar.</w:t>
      </w:r>
    </w:p>
    <w:p>
      <w:pPr>
        <w:spacing w:after="0" w:line="170" w:lineRule="exact"/>
        <w:rPr>
          <w:rFonts w:ascii="Times New Roman" w:cs="Times New Roman" w:eastAsia="Times New Roman" w:hAnsi="Times New Roman"/>
          <w:sz w:val="18"/>
          <w:szCs w:val="18"/>
          <w:b w:val="1"/>
          <w:bCs w:val="1"/>
          <w:color w:val="auto"/>
        </w:rPr>
      </w:pPr>
    </w:p>
    <w:p>
      <w:pPr>
        <w:ind w:right="460" w:firstLine="656"/>
        <w:spacing w:after="0" w:line="286" w:lineRule="auto"/>
        <w:tabs>
          <w:tab w:leader="none" w:pos="1323"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Optional Redemption. </w:t>
      </w:r>
      <w:r>
        <w:rPr>
          <w:rFonts w:ascii="Times New Roman" w:cs="Times New Roman" w:eastAsia="Times New Roman" w:hAnsi="Times New Roman"/>
          <w:sz w:val="18"/>
          <w:szCs w:val="18"/>
          <w:color w:val="auto"/>
        </w:rPr>
        <w:t>[Insert provisions relating to redemption at the option of the Company, if any] [Insert provisions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at option of Holders, if any]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ind w:left="1340" w:hanging="684"/>
        <w:spacing w:after="0"/>
        <w:tabs>
          <w:tab w:leader="none" w:pos="1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Mandatory Redemption. </w:t>
      </w:r>
      <w:r>
        <w:rPr>
          <w:rFonts w:ascii="Times New Roman" w:cs="Times New Roman" w:eastAsia="Times New Roman" w:hAnsi="Times New Roman"/>
          <w:sz w:val="18"/>
          <w:szCs w:val="18"/>
          <w:color w:val="auto"/>
        </w:rPr>
        <w:t>[Insert provisions relating to mandatory redemption, if any]</w:t>
      </w:r>
    </w:p>
    <w:p>
      <w:pPr>
        <w:spacing w:after="0" w:line="225"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Persons Deemed Owners. </w:t>
      </w:r>
      <w:r>
        <w:rPr>
          <w:rFonts w:ascii="Times New Roman" w:cs="Times New Roman" w:eastAsia="Times New Roman" w:hAnsi="Times New Roman"/>
          <w:sz w:val="18"/>
          <w:szCs w:val="18"/>
          <w:color w:val="auto"/>
        </w:rPr>
        <w:t>The registered Holder of this Security shall be treated as the owner of it for all purposes.</w:t>
      </w:r>
    </w:p>
    <w:p>
      <w:pPr>
        <w:spacing w:after="0" w:line="225" w:lineRule="exact"/>
        <w:rPr>
          <w:rFonts w:ascii="Times New Roman" w:cs="Times New Roman" w:eastAsia="Times New Roman" w:hAnsi="Times New Roman"/>
          <w:sz w:val="18"/>
          <w:szCs w:val="18"/>
          <w:b w:val="1"/>
          <w:bCs w:val="1"/>
          <w:color w:val="auto"/>
        </w:rPr>
      </w:pPr>
    </w:p>
    <w:p>
      <w:pPr>
        <w:ind w:right="60" w:firstLine="656"/>
        <w:spacing w:after="0" w:line="268" w:lineRule="auto"/>
        <w:tabs>
          <w:tab w:leader="none" w:pos="132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Unclaimed Money. </w:t>
      </w:r>
      <w:r>
        <w:rPr>
          <w:rFonts w:ascii="Times New Roman" w:cs="Times New Roman" w:eastAsia="Times New Roman" w:hAnsi="Times New Roman"/>
          <w:sz w:val="18"/>
          <w:szCs w:val="18"/>
          <w:color w:val="auto"/>
        </w:rPr>
        <w:t>All amounts of principal of and premium, if any, and interest on this Security paid by the Company to the Trustee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Paying Agent that remain unclaimed for two years will be repaid to the Company, and the Holder of this Security will thereafter look solely to the Company for payment unless applicable abandoned property law designates another Person.</w:t>
      </w:r>
    </w:p>
    <w:p>
      <w:pPr>
        <w:spacing w:after="0" w:line="170"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Amendment, Supplement, Waiver. </w:t>
      </w:r>
      <w:r>
        <w:rPr>
          <w:rFonts w:ascii="Times New Roman" w:cs="Times New Roman" w:eastAsia="Times New Roman" w:hAnsi="Times New Roman"/>
          <w:sz w:val="17"/>
          <w:szCs w:val="17"/>
          <w:color w:val="auto"/>
        </w:rPr>
        <w:t>The Indenture or this Security may be amended or supplemented in accordance with the terms of the</w:t>
      </w:r>
    </w:p>
    <w:p>
      <w:pPr>
        <w:spacing w:after="0" w:line="4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Indenture.</w:t>
      </w:r>
    </w:p>
    <w:p>
      <w:pPr>
        <w:spacing w:after="0" w:line="202" w:lineRule="exact"/>
        <w:rPr>
          <w:rFonts w:ascii="Times New Roman" w:cs="Times New Roman" w:eastAsia="Times New Roman" w:hAnsi="Times New Roman"/>
          <w:sz w:val="17"/>
          <w:szCs w:val="17"/>
          <w:b w:val="1"/>
          <w:bCs w:val="1"/>
          <w:color w:val="auto"/>
        </w:rPr>
      </w:pPr>
    </w:p>
    <w:p>
      <w:pPr>
        <w:ind w:right="300" w:firstLine="656"/>
        <w:spacing w:after="0" w:line="286" w:lineRule="auto"/>
        <w:tabs>
          <w:tab w:leader="none" w:pos="132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Person. </w:t>
      </w:r>
      <w:r>
        <w:rPr>
          <w:rFonts w:ascii="Times New Roman" w:cs="Times New Roman" w:eastAsia="Times New Roman" w:hAnsi="Times New Roman"/>
          <w:sz w:val="18"/>
          <w:szCs w:val="18"/>
          <w:color w:val="auto"/>
        </w:rPr>
        <w:t>When a successor Person assumes all the obligations of its predecessor under the Securities and the Indenture,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 Person will be released from those obligations, in accordance with and except as set forth in the Indenture.</w:t>
      </w:r>
    </w:p>
    <w:p>
      <w:pPr>
        <w:spacing w:after="0" w:line="154" w:lineRule="exact"/>
        <w:rPr>
          <w:rFonts w:ascii="Times New Roman" w:cs="Times New Roman" w:eastAsia="Times New Roman" w:hAnsi="Times New Roman"/>
          <w:sz w:val="18"/>
          <w:szCs w:val="18"/>
          <w:b w:val="1"/>
          <w:bCs w:val="1"/>
          <w:color w:val="auto"/>
        </w:rPr>
      </w:pPr>
    </w:p>
    <w:p>
      <w:pPr>
        <w:jc w:val="both"/>
        <w:ind w:right="20" w:firstLine="656"/>
        <w:spacing w:after="0" w:line="262" w:lineRule="auto"/>
        <w:tabs>
          <w:tab w:leader="none" w:pos="141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Recourse Against Others. </w:t>
      </w:r>
      <w:r>
        <w:rPr>
          <w:rFonts w:ascii="Times New Roman" w:cs="Times New Roman" w:eastAsia="Times New Roman" w:hAnsi="Times New Roman"/>
          <w:sz w:val="18"/>
          <w:szCs w:val="18"/>
          <w:color w:val="auto"/>
        </w:rPr>
        <w:t>A director, officer, employee or stockholder, as such, of the Company shall not have any liability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76" w:lineRule="exact"/>
        <w:rPr>
          <w:rFonts w:ascii="Times New Roman" w:cs="Times New Roman" w:eastAsia="Times New Roman" w:hAnsi="Times New Roman"/>
          <w:sz w:val="18"/>
          <w:szCs w:val="18"/>
          <w:b w:val="1"/>
          <w:bCs w:val="1"/>
          <w:color w:val="auto"/>
        </w:rPr>
      </w:pPr>
    </w:p>
    <w:p>
      <w:pPr>
        <w:ind w:right="180" w:firstLine="656"/>
        <w:spacing w:after="0" w:line="286" w:lineRule="auto"/>
        <w:tabs>
          <w:tab w:leader="none" w:pos="140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Discharge of Indenture. </w:t>
      </w:r>
      <w:r>
        <w:rPr>
          <w:rFonts w:ascii="Times New Roman" w:cs="Times New Roman" w:eastAsia="Times New Roman" w:hAnsi="Times New Roman"/>
          <w:sz w:val="18"/>
          <w:szCs w:val="18"/>
          <w:color w:val="auto"/>
        </w:rPr>
        <w:t>The Indenture contains certain provisions pertaining to defeasance and discharge, which provisions shall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purposes have the same effect as if set forth herein.</w:t>
      </w:r>
    </w:p>
    <w:p>
      <w:pPr>
        <w:spacing w:after="0" w:line="154" w:lineRule="exact"/>
        <w:rPr>
          <w:rFonts w:ascii="Times New Roman" w:cs="Times New Roman" w:eastAsia="Times New Roman" w:hAnsi="Times New Roman"/>
          <w:sz w:val="18"/>
          <w:szCs w:val="18"/>
          <w:b w:val="1"/>
          <w:bCs w:val="1"/>
          <w:color w:val="auto"/>
        </w:rPr>
      </w:pPr>
    </w:p>
    <w:p>
      <w:pPr>
        <w:ind w:right="840" w:firstLine="656"/>
        <w:spacing w:after="0" w:line="286" w:lineRule="auto"/>
        <w:tabs>
          <w:tab w:leader="none" w:pos="140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Authentication. </w:t>
      </w:r>
      <w:r>
        <w:rPr>
          <w:rFonts w:ascii="Times New Roman" w:cs="Times New Roman" w:eastAsia="Times New Roman" w:hAnsi="Times New Roman"/>
          <w:sz w:val="18"/>
          <w:szCs w:val="18"/>
          <w:color w:val="auto"/>
        </w:rPr>
        <w:t>This Security shall not be valid until an authorized signatory of the Trustee manually signs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authentication on the other side of this Security.</w:t>
      </w:r>
    </w:p>
    <w:p>
      <w:pPr>
        <w:spacing w:after="0" w:line="154" w:lineRule="exact"/>
        <w:rPr>
          <w:rFonts w:ascii="Times New Roman" w:cs="Times New Roman" w:eastAsia="Times New Roman" w:hAnsi="Times New Roman"/>
          <w:sz w:val="18"/>
          <w:szCs w:val="18"/>
          <w:b w:val="1"/>
          <w:bCs w:val="1"/>
          <w:color w:val="auto"/>
        </w:rPr>
      </w:pPr>
    </w:p>
    <w:p>
      <w:pPr>
        <w:ind w:right="160" w:firstLine="656"/>
        <w:spacing w:after="0" w:line="268" w:lineRule="auto"/>
        <w:tabs>
          <w:tab w:leader="none" w:pos="140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Abbreviations. </w:t>
      </w:r>
      <w:r>
        <w:rPr>
          <w:rFonts w:ascii="Times New Roman" w:cs="Times New Roman" w:eastAsia="Times New Roman" w:hAnsi="Times New Roman"/>
          <w:sz w:val="18"/>
          <w:szCs w:val="18"/>
          <w:color w:val="auto"/>
        </w:rPr>
        <w:t>Customary abbreviations may be used in the name of a Holder or an assignee, such as: TEN COM (= tenants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TEN ENT (= tenants by the entireties), JT TEN (= joint tenants with right of survivorship and not as tenants in common), CUST (= custodian), and U/G/M/A (= Uniform Gift to Minors Act).</w:t>
      </w:r>
    </w:p>
    <w:p>
      <w:pPr>
        <w:spacing w:after="0" w:line="170"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Security shall be governed by and construed in accordance with the laws of the State of New York.</w:t>
      </w:r>
    </w:p>
    <w:p>
      <w:pPr>
        <w:spacing w:after="0" w:line="225" w:lineRule="exact"/>
        <w:rPr>
          <w:rFonts w:ascii="Times New Roman" w:cs="Times New Roman" w:eastAsia="Times New Roman" w:hAnsi="Times New Roman"/>
          <w:sz w:val="18"/>
          <w:szCs w:val="18"/>
          <w:b w:val="1"/>
          <w:bCs w:val="1"/>
          <w:color w:val="auto"/>
        </w:rPr>
      </w:pPr>
    </w:p>
    <w:p>
      <w:pPr>
        <w:jc w:val="both"/>
        <w:ind w:right="560" w:firstLine="656"/>
        <w:spacing w:after="0" w:line="262" w:lineRule="auto"/>
        <w:tabs>
          <w:tab w:leader="none" w:pos="141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and ISIN Numbers. </w:t>
      </w:r>
      <w:r>
        <w:rPr>
          <w:rFonts w:ascii="Times New Roman" w:cs="Times New Roman" w:eastAsia="Times New Roman" w:hAnsi="Times New Roman"/>
          <w:sz w:val="18"/>
          <w:szCs w:val="18"/>
          <w:color w:val="auto"/>
        </w:rPr>
        <w:t>Pursuant to a recommendation promulgated by the Committee on Uniform Security Identification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the Company has caused CUSIP and ISIN numbers to be printed on the Securities and has directed the Trustee to use CUSIP and ISIN numbers in notices of repurchase as a convenience to Holders. No representation is made as to the accuracy of such numbers either as printed on the Securities or as contained in any notice of repurchase and reliance may be placed only on the other identification numbers placed thereon.</w:t>
      </w:r>
    </w:p>
    <w:p>
      <w:pPr>
        <w:spacing w:after="0" w:line="176" w:lineRule="exact"/>
        <w:rPr>
          <w:rFonts w:ascii="Times New Roman" w:cs="Times New Roman" w:eastAsia="Times New Roman" w:hAnsi="Times New Roman"/>
          <w:sz w:val="18"/>
          <w:szCs w:val="18"/>
          <w:b w:val="1"/>
          <w:bCs w:val="1"/>
          <w:color w:val="auto"/>
        </w:rPr>
      </w:pPr>
    </w:p>
    <w:p>
      <w:pPr>
        <w:ind w:right="20" w:firstLine="656"/>
        <w:spacing w:after="0" w:line="268" w:lineRule="auto"/>
        <w:tabs>
          <w:tab w:leader="none" w:pos="141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Copies. </w:t>
      </w:r>
      <w:r>
        <w:rPr>
          <w:rFonts w:ascii="Times New Roman" w:cs="Times New Roman" w:eastAsia="Times New Roman" w:hAnsi="Times New Roman"/>
          <w:sz w:val="18"/>
          <w:szCs w:val="18"/>
          <w:color w:val="auto"/>
        </w:rPr>
        <w:t>The Company will furnish to any Holder upon written request and without charge a copy of the Indenture and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Authorizing Resolution or supplemental indenture. Requests may be made to: [XPO Escrow Sub, LLC][RXO, Inc.], 11215 North Community House Road, Charlotte, North Carolina 28277, Attention: [ ].</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Security to ___________________________ (insert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565785</wp:posOffset>
            </wp:positionV>
            <wp:extent cx="2425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42570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428625</wp:posOffset>
            </wp:positionV>
            <wp:extent cx="2425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291465</wp:posOffset>
            </wp:positionV>
            <wp:extent cx="2425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-127635</wp:posOffset>
            </wp:positionV>
            <wp:extent cx="2425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_________________________________________________ agent to transfer this Security on the books of the Company.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 substitute another to act for him.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Your signature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(Sign exactly as your name appears on the other side of this Security)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INDENTURE</w:t>
      </w:r>
    </w:p>
    <w:p>
      <w:pPr>
        <w:spacing w:after="0" w:line="225" w:lineRule="exact"/>
        <w:rPr>
          <w:sz w:val="20"/>
          <w:szCs w:val="20"/>
          <w:color w:val="auto"/>
        </w:rPr>
      </w:pPr>
    </w:p>
    <w:p>
      <w:pPr>
        <w:ind w:left="660"/>
        <w:spacing w:after="0"/>
        <w:tabs>
          <w:tab w:leader="none" w:pos="4520" w:val="left"/>
        </w:tabs>
        <w:rPr>
          <w:sz w:val="20"/>
          <w:szCs w:val="20"/>
          <w:color w:val="auto"/>
        </w:rPr>
      </w:pPr>
      <w:r>
        <w:rPr>
          <w:rFonts w:ascii="Times New Roman" w:cs="Times New Roman" w:eastAsia="Times New Roman" w:hAnsi="Times New Roman"/>
          <w:sz w:val="18"/>
          <w:szCs w:val="18"/>
          <w:color w:val="auto"/>
        </w:rPr>
        <w:t>SUPPLEMENTAL INDENTURE, dated as of [</w:t>
      </w:r>
      <w:r>
        <w:rPr>
          <w:sz w:val="20"/>
          <w:szCs w:val="20"/>
          <w:color w:val="auto"/>
        </w:rPr>
        <w:tab/>
      </w:r>
      <w:r>
        <w:rPr>
          <w:rFonts w:ascii="Times New Roman" w:cs="Times New Roman" w:eastAsia="Times New Roman" w:hAnsi="Times New Roman"/>
          <w:sz w:val="17"/>
          <w:szCs w:val="17"/>
          <w:color w:val="auto"/>
        </w:rPr>
        <w:t>] (this “</w:t>
      </w:r>
      <w:r>
        <w:rPr>
          <w:rFonts w:ascii="Times New Roman" w:cs="Times New Roman" w:eastAsia="Times New Roman" w:hAnsi="Times New Roman"/>
          <w:sz w:val="17"/>
          <w:szCs w:val="17"/>
          <w:b w:val="1"/>
          <w:bCs w:val="1"/>
          <w:color w:val="auto"/>
        </w:rPr>
        <w:t>Supplemental Indenture</w:t>
      </w:r>
      <w:r>
        <w:rPr>
          <w:rFonts w:ascii="Times New Roman" w:cs="Times New Roman" w:eastAsia="Times New Roman" w:hAnsi="Times New Roman"/>
          <w:sz w:val="17"/>
          <w:szCs w:val="17"/>
          <w:color w:val="auto"/>
        </w:rPr>
        <w:t>”), among [NEW GUARANTOR] (the “</w:t>
      </w:r>
      <w:r>
        <w:rPr>
          <w:rFonts w:ascii="Times New Roman" w:cs="Times New Roman" w:eastAsia="Times New Roman" w:hAnsi="Times New Roman"/>
          <w:sz w:val="17"/>
          <w:szCs w:val="17"/>
          <w:b w:val="1"/>
          <w:bCs w:val="1"/>
          <w:color w:val="auto"/>
        </w:rPr>
        <w:t>New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a direct or indirect subsidiary of RXO, INC. (or its successor),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 Company, the other Guarantors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in the indenture referred to below) and U.S. BANK TRUST COMPANY, NATIONAL ASSOCIATION, a national banking association,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under the indenture referred to below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 :</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WHEREAS, each of the Company, the guarantors party thereto from time to time and the Trustee have heretofore executed and delivered that certain Indenture, dated as of October 25, 2022 (the “Base Indenture”, and the Base Indenture as amended, supplemented, waived or otherwise modified</w:t>
      </w:r>
    </w:p>
    <w:p>
      <w:pPr>
        <w:ind w:right="380"/>
        <w:spacing w:after="0" w:line="260" w:lineRule="auto"/>
        <w:rPr>
          <w:sz w:val="20"/>
          <w:szCs w:val="20"/>
          <w:color w:val="auto"/>
        </w:rPr>
      </w:pPr>
      <w:r>
        <w:rPr>
          <w:rFonts w:ascii="Times New Roman" w:cs="Times New Roman" w:eastAsia="Times New Roman" w:hAnsi="Times New Roman"/>
          <w:sz w:val="18"/>
          <w:szCs w:val="18"/>
          <w:color w:val="auto"/>
        </w:rPr>
        <w:t>with respect to the Notes, including by [ ],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of an aggregate principal amount of $[ ] of [ ] of the Company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WHEREAS Sections 4.07 and 11.07 of the Indenture provide that under certain circumstances the Company is required to cause the New Guarantor to execute and deliver to the Trustee a supplemental indenture pursuant to which the New Guarantor shall guarantee the Guaranteed Obligations (as defined in the Indenture) in respect of the Notes; and</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and the Company are authorized to execute and deliver this Supplemental Indenture;</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New Guarantor, the Company and the Trustee mutually covenant and agree for the equal and ratable benefit of the holders of the Notes as follows:</w:t>
      </w:r>
    </w:p>
    <w:p>
      <w:pPr>
        <w:spacing w:after="0" w:line="176" w:lineRule="exact"/>
        <w:rPr>
          <w:sz w:val="20"/>
          <w:szCs w:val="20"/>
          <w:color w:val="auto"/>
        </w:rPr>
      </w:pPr>
    </w:p>
    <w:p>
      <w:pPr>
        <w:ind w:right="20" w:firstLine="656"/>
        <w:spacing w:after="0" w:line="261" w:lineRule="auto"/>
        <w:tabs>
          <w:tab w:leader="none" w:pos="13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17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Guarantee</w:t>
      </w:r>
      <w:r>
        <w:rPr>
          <w:rFonts w:ascii="Times New Roman" w:cs="Times New Roman" w:eastAsia="Times New Roman" w:hAnsi="Times New Roman"/>
          <w:sz w:val="18"/>
          <w:szCs w:val="18"/>
          <w:color w:val="auto"/>
        </w:rPr>
        <w:t>. The New Guarantor hereby agrees, jointly and severally with all existing Guarantors (if any), to guarantee the</w:t>
      </w:r>
    </w:p>
    <w:p>
      <w:pPr>
        <w:spacing w:after="0" w:line="27"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Obligations in respect of the Notes [(but not any other Series)] on the terms and subject to the conditions set forth in Article‎ 11 of the Indenture and to be bound by all other applicable provisions of the Indenture and the Notes and to perform all of the obligations and agreements of a Guarantor in respect of the Notes under the Indenture.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left="1340" w:hanging="684"/>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to the New Guarantor shall be given as provided in Section‎ 12.02 of the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Indenture; Supplemental Indentures Part of Indenture</w:t>
      </w:r>
      <w:r>
        <w:rPr>
          <w:rFonts w:ascii="Times New Roman" w:cs="Times New Roman" w:eastAsia="Times New Roman" w:hAnsi="Times New Roman"/>
          <w:sz w:val="18"/>
          <w:szCs w:val="18"/>
          <w:color w:val="auto"/>
        </w:rPr>
        <w:t>. The Indenture, as supplemented and amended by this Supplemental Indenture, is in all respects ratified and confirmed, and the Indenture and this Supplemental Indenture shall be read, taken and construed as one and the same instrument.</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Supplemental Indenture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right="120" w:firstLine="656"/>
        <w:spacing w:after="0" w:line="256" w:lineRule="auto"/>
        <w:tabs>
          <w:tab w:leader="none" w:pos="1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Makes No Representation</w:t>
      </w:r>
      <w:r>
        <w:rPr>
          <w:rFonts w:ascii="Times New Roman" w:cs="Times New Roman" w:eastAsia="Times New Roman" w:hAnsi="Times New Roman"/>
          <w:sz w:val="18"/>
          <w:szCs w:val="18"/>
          <w:color w:val="auto"/>
        </w:rPr>
        <w:t>. The Trustee accepts the amendments of the Indenture effected by this Supplemental Indenture on the terms and conditions set forth in the Indenture, including the terms and provisions defining and limiting the liabilities and responsibilities of the Trustee. The recitals in this Supplemental Indenture are made by the Company only and not by the Trustee, and the Trustee assumes no responsibility for their correctness. The Trustee makes no representations as to the validity or sufficiency of this Supplemental Indenture. All of the provisions contained in the Indenture in respect of the rights, privileges, immunities, powers and duties of the Trustee shall be applicable in respect of this Supplemental Indenture as fully and with like effect as if set forth herein in full.</w:t>
      </w:r>
    </w:p>
    <w:p>
      <w:pPr>
        <w:spacing w:after="0" w:line="187" w:lineRule="exact"/>
        <w:rPr>
          <w:rFonts w:ascii="Times New Roman" w:cs="Times New Roman" w:eastAsia="Times New Roman" w:hAnsi="Times New Roman"/>
          <w:sz w:val="18"/>
          <w:szCs w:val="18"/>
          <w:color w:val="auto"/>
        </w:rPr>
      </w:pPr>
    </w:p>
    <w:p>
      <w:pPr>
        <w:ind w:right="40" w:firstLine="656"/>
        <w:spacing w:after="0" w:line="252" w:lineRule="auto"/>
        <w:tabs>
          <w:tab w:leader="none" w:pos="1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parties hereto may sign any number of copies of this Supplemental Indenture. Each signed copy shall be an original, but all of them together represent the same agreement. Signatures of the parties hereto transmitted by facsimile or other electronic transmission shall be deemed to be their original signatures for all purposes. This Supplemental Indenture shall be valid, binding, and enforceable against a party (subject to applicable bankruptcy, insolvency, fraudulent transfer, fraudulent conveyance, reorganization, moratorium and other laws now or hereinafter in effect affecting creditors’ rights or remedies generally and to general principles of equity (including standards of materiality, good faith, fair dealing and reasonableness), whether considered in a proceeding at law or at equity)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NYUCC (collectively, “</w:t>
      </w:r>
      <w:r>
        <w:rPr>
          <w:rFonts w:ascii="Times New Roman" w:cs="Times New Roman" w:eastAsia="Times New Roman" w:hAnsi="Times New Roman"/>
          <w:sz w:val="18"/>
          <w:szCs w:val="18"/>
          <w:b w:val="1"/>
          <w:bCs w:val="1"/>
          <w:color w:val="auto"/>
        </w:rPr>
        <w:t>Signature Law</w:t>
      </w:r>
      <w:r>
        <w:rPr>
          <w:rFonts w:ascii="Times New Roman" w:cs="Times New Roman" w:eastAsia="Times New Roman" w:hAnsi="Times New Roman"/>
          <w:sz w:val="18"/>
          <w:szCs w:val="18"/>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NYUCC or other Signature Law due to the character or intended character of the writings.</w:t>
      </w:r>
    </w:p>
    <w:p>
      <w:pPr>
        <w:spacing w:after="0" w:line="197" w:lineRule="exact"/>
        <w:rPr>
          <w:rFonts w:ascii="Times New Roman" w:cs="Times New Roman" w:eastAsia="Times New Roman" w:hAnsi="Times New Roman"/>
          <w:sz w:val="18"/>
          <w:szCs w:val="18"/>
          <w:color w:val="auto"/>
        </w:rPr>
      </w:pPr>
    </w:p>
    <w:p>
      <w:pPr>
        <w:ind w:right="220" w:firstLine="656"/>
        <w:spacing w:after="0" w:line="282" w:lineRule="auto"/>
        <w:tabs>
          <w:tab w:leader="none" w:pos="1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of this Supplemental Indenture have been inserted for convenience of reference only, are not intended to be considered a part hereof and shall not modify or restrict any of the terms or provisions here.</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The provisions of Sections‎ 7.04 and 7‎.05 of the Base Indenture are hereby incorporated herein by reference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mutatis mutandis.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Supplemental Indenture to be duly executed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RXO, INC.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[EXISTING GUARANTORS], as a Guarantor</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[NEW GUARANTOR], as a Guarantor</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not in its individual capacity, but solely as Trustee</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20"/>
          </w:cols>
          <w:pgMar w:left="980" w:top="904" w:right="599" w:bottom="1440" w:gutter="0" w:footer="0" w:header="0"/>
        </w:sectPr>
      </w:pPr>
    </w:p>
    <w:bookmarkStart w:id="76" w:name="page77"/>
    <w:bookmarkEnd w:id="7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XPO ESCROW SUB, LLC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 be merged with and into RXO,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Company</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177165</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7.500%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191135</wp:posOffset>
            </wp:positionV>
            <wp:extent cx="17830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October 25, 2022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Indenture dated as of 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9740" w:type="dxa"/>
            <w:vAlign w:val="bottom"/>
            <w:gridSpan w:val="3"/>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3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120" w:type="dxa"/>
            <w:vAlign w:val="bottom"/>
            <w:gridSpan w:val="2"/>
          </w:tcPr>
          <w:p>
            <w:pPr>
              <w:jc w:val="center"/>
              <w:ind w:right="4760"/>
              <w:spacing w:after="0"/>
              <w:rPr>
                <w:sz w:val="20"/>
                <w:szCs w:val="20"/>
                <w:color w:val="auto"/>
              </w:rPr>
            </w:pPr>
            <w:r>
              <w:rPr>
                <w:rFonts w:ascii="Times New Roman" w:cs="Times New Roman" w:eastAsia="Times New Roman" w:hAnsi="Times New Roman"/>
                <w:sz w:val="18"/>
                <w:szCs w:val="18"/>
                <w:color w:val="auto"/>
                <w:w w:val="98"/>
              </w:rPr>
              <w:t>ARTICLE 1</w:t>
            </w: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74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 of</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eneral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pplication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Conflicts with Base Indenture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120" w:type="dxa"/>
            <w:vAlign w:val="bottom"/>
            <w:gridSpan w:val="2"/>
          </w:tcPr>
          <w:p>
            <w:pPr>
              <w:jc w:val="center"/>
              <w:ind w:right="4760"/>
              <w:spacing w:after="0"/>
              <w:rPr>
                <w:sz w:val="20"/>
                <w:szCs w:val="20"/>
                <w:color w:val="auto"/>
              </w:rPr>
            </w:pPr>
            <w:r>
              <w:rPr>
                <w:rFonts w:ascii="Times New Roman" w:cs="Times New Roman" w:eastAsia="Times New Roman" w:hAnsi="Times New Roman"/>
                <w:sz w:val="18"/>
                <w:szCs w:val="18"/>
                <w:color w:val="auto"/>
                <w:w w:val="98"/>
              </w:rPr>
              <w:t>ARTICLE 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120" w:type="dxa"/>
            <w:vAlign w:val="bottom"/>
            <w:gridSpan w:val="2"/>
          </w:tcPr>
          <w:p>
            <w:pPr>
              <w:jc w:val="center"/>
              <w:ind w:right="47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orm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Notes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Special Transfer Provisions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120" w:type="dxa"/>
            <w:vAlign w:val="bottom"/>
            <w:gridSpan w:val="2"/>
          </w:tcPr>
          <w:p>
            <w:pPr>
              <w:jc w:val="center"/>
              <w:ind w:right="4760"/>
              <w:spacing w:after="0"/>
              <w:rPr>
                <w:sz w:val="20"/>
                <w:szCs w:val="20"/>
                <w:color w:val="auto"/>
              </w:rPr>
            </w:pPr>
            <w:r>
              <w:rPr>
                <w:rFonts w:ascii="Times New Roman" w:cs="Times New Roman" w:eastAsia="Times New Roman" w:hAnsi="Times New Roman"/>
                <w:sz w:val="18"/>
                <w:szCs w:val="18"/>
                <w:color w:val="auto"/>
                <w:w w:val="98"/>
              </w:rPr>
              <w:t>ARTICLE 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120" w:type="dxa"/>
            <w:vAlign w:val="bottom"/>
            <w:gridSpan w:val="2"/>
          </w:tcPr>
          <w:p>
            <w:pPr>
              <w:jc w:val="center"/>
              <w:ind w:right="47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Amount; Terms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Denominations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Book-entry Provisions for Global Securities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Additional Notes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120" w:type="dxa"/>
            <w:vAlign w:val="bottom"/>
            <w:gridSpan w:val="2"/>
          </w:tcPr>
          <w:p>
            <w:pPr>
              <w:jc w:val="center"/>
              <w:ind w:right="4760"/>
              <w:spacing w:after="0"/>
              <w:rPr>
                <w:sz w:val="20"/>
                <w:szCs w:val="20"/>
                <w:color w:val="auto"/>
              </w:rPr>
            </w:pPr>
            <w:r>
              <w:rPr>
                <w:rFonts w:ascii="Times New Roman" w:cs="Times New Roman" w:eastAsia="Times New Roman" w:hAnsi="Times New Roman"/>
                <w:sz w:val="18"/>
                <w:szCs w:val="18"/>
                <w:color w:val="auto"/>
                <w:w w:val="98"/>
              </w:rPr>
              <w:t>ARTICLE 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74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edemption 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epurchase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Applicability of Base Indenture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Optional Redemption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Escrow of Proceeds; Special Mandatory Redemption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Repurchase of Notes Upon a Change of Control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120" w:type="dxa"/>
            <w:vAlign w:val="bottom"/>
            <w:gridSpan w:val="2"/>
          </w:tcPr>
          <w:p>
            <w:pPr>
              <w:jc w:val="center"/>
              <w:ind w:right="4760"/>
              <w:spacing w:after="0"/>
              <w:rPr>
                <w:sz w:val="20"/>
                <w:szCs w:val="20"/>
                <w:color w:val="auto"/>
              </w:rPr>
            </w:pPr>
            <w:r>
              <w:rPr>
                <w:rFonts w:ascii="Times New Roman" w:cs="Times New Roman" w:eastAsia="Times New Roman" w:hAnsi="Times New Roman"/>
                <w:sz w:val="18"/>
                <w:szCs w:val="18"/>
                <w:color w:val="auto"/>
                <w:w w:val="98"/>
              </w:rPr>
              <w:t>ARTICLE 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74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Covenants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Defaults and Remedies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120" w:type="dxa"/>
            <w:vAlign w:val="bottom"/>
            <w:gridSpan w:val="2"/>
          </w:tcPr>
          <w:p>
            <w:pPr>
              <w:jc w:val="center"/>
              <w:ind w:right="4760"/>
              <w:spacing w:after="0"/>
              <w:rPr>
                <w:sz w:val="20"/>
                <w:szCs w:val="20"/>
                <w:color w:val="auto"/>
              </w:rPr>
            </w:pPr>
            <w:r>
              <w:rPr>
                <w:rFonts w:ascii="Times New Roman" w:cs="Times New Roman" w:eastAsia="Times New Roman" w:hAnsi="Times New Roman"/>
                <w:sz w:val="18"/>
                <w:szCs w:val="18"/>
                <w:color w:val="auto"/>
                <w:w w:val="98"/>
              </w:rPr>
              <w:t>ARTICLE 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120" w:type="dxa"/>
            <w:vAlign w:val="bottom"/>
            <w:gridSpan w:val="2"/>
          </w:tcPr>
          <w:p>
            <w:pPr>
              <w:jc w:val="center"/>
              <w:ind w:right="47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scrow</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atters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Escrow Account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Release of Escrowed Property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 Direction to Execute Escrow Agreement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Activities Prior to the Merger Date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120" w:type="dxa"/>
            <w:vAlign w:val="bottom"/>
            <w:gridSpan w:val="2"/>
          </w:tcPr>
          <w:p>
            <w:pPr>
              <w:jc w:val="center"/>
              <w:ind w:right="4760"/>
              <w:spacing w:after="0"/>
              <w:rPr>
                <w:sz w:val="20"/>
                <w:szCs w:val="20"/>
                <w:color w:val="auto"/>
              </w:rPr>
            </w:pPr>
            <w:r>
              <w:rPr>
                <w:rFonts w:ascii="Times New Roman" w:cs="Times New Roman" w:eastAsia="Times New Roman" w:hAnsi="Times New Roman"/>
                <w:sz w:val="18"/>
                <w:szCs w:val="18"/>
                <w:color w:val="auto"/>
                <w:w w:val="98"/>
              </w:rPr>
              <w:t>ARTICLE 7</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120" w:type="dxa"/>
            <w:vAlign w:val="bottom"/>
            <w:gridSpan w:val="2"/>
          </w:tcPr>
          <w:p>
            <w:pPr>
              <w:jc w:val="center"/>
              <w:ind w:right="47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Confirmation of Indenture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Jurisdiction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Recitals by the Company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Note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Supplemental Indenture to be Delivered by RXO, Inc., XPO Escrow Sub, LLC and Certain Guarantors on the Merger Date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FIRST SUPPLEMENTAL INDENTURE, dated as of October 25, 2022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to the Indenture dated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 (as amended, modified or supplemented from time to time in accordance therewith, other than with respect to a particular Series of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that are not the Notes,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and, as amended, modified and supplemented by this First Supplemental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XPO ESCROW SUB, LLC (the “</w:t>
      </w:r>
      <w:r>
        <w:rPr>
          <w:rFonts w:ascii="Times New Roman" w:cs="Times New Roman" w:eastAsia="Times New Roman" w:hAnsi="Times New Roman"/>
          <w:sz w:val="18"/>
          <w:szCs w:val="18"/>
          <w:b w:val="1"/>
          <w:bCs w:val="1"/>
          <w:color w:val="auto"/>
        </w:rPr>
        <w:t>Escrow Issuer</w:t>
      </w:r>
      <w:r>
        <w:rPr>
          <w:rFonts w:ascii="Times New Roman" w:cs="Times New Roman" w:eastAsia="Times New Roman" w:hAnsi="Times New Roman"/>
          <w:sz w:val="18"/>
          <w:szCs w:val="18"/>
          <w:color w:val="auto"/>
        </w:rPr>
        <w:t>” and, prior to the Merger,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 BANK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Notes: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WHEREAS, the Escrow Issuer has duly authorized the execution and delivery of the Base Indenture to provide for the issuance from time to time of debt securities to be issued in one or more Series as provided in the Base Indenture;</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WHEREAS, the Escrow Issuer has duly authorized the execution and delivery, and the Escrow Issuer desires and has requested the Trustee to join it in the execution and delivery, of this First Supplemental Indenture in order to establish and provide for the issuance by the Company of a Series of Securities designated as its 7.500% Notes due 2027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on the terms set forth herein;</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WHEREAS, Section‎ 2.01 of the Base Indenture provides that a supplemental indenture may be entered into by the parties for such purpose without the consent of any Holders;</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WHEREAS, upon consummation of the Merger on the Merger Date, the Escrow Issuer will be merged with and into RXO, with RXO surviving such Merger, and in connection therewith, RXO will enter into a supplemental indenture substantially in the form attached as Exhibit B hereto pursuant to which RXO will assume all obligations of the Escrow Issuer under the Notes and the Indenture;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WHEREAS, on the Merger Date, each of RXO’s Subsidiaries that guarantees the Term Loan Facility and the Revolving Credit Facility as of such date will execute a supplemental indenture substantially in the form attached as Exhibit B hereto, and such Subsidiaries will become Guarantors with respect to the Notes; and</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First Supplemental Indenture a valid and binding agreement of the parties, in accordance with its terms, and a valid amendment of, and supplement to, the Base Indenture with respect to the Notes have been done.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 of</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eneral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pplication</w:t>
      </w:r>
    </w:p>
    <w:p>
      <w:pPr>
        <w:spacing w:after="0" w:line="205" w:lineRule="exact"/>
        <w:rPr>
          <w:sz w:val="20"/>
          <w:szCs w:val="20"/>
          <w:color w:val="auto"/>
        </w:rPr>
      </w:pPr>
    </w:p>
    <w:p>
      <w:pPr>
        <w:ind w:right="4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Capitalized terms used herein and not otherwise defined herein have the meanings assigned to them in the Base Indenture. The words “herein,” “hereof” and “hereby” and other words of similar import used in this First Supplemental Indenture refer to this First Supplemental Indenture as a whole and not to any particular section 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have the specified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has the meaning specified in Section‎ 3.04 of this First Supplemental Indenture.</w:t>
      </w:r>
    </w:p>
    <w:p>
      <w:pPr>
        <w:spacing w:after="0" w:line="225"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any transfer or transaction involving a Global Note or beneficial interest therein, the rules and procedures of DTC, and its direct and indirect participants, including, if applicable those of Euroclear and Clearstream, in each case in effect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Premium</w:t>
      </w:r>
      <w:r>
        <w:rPr>
          <w:rFonts w:ascii="Times New Roman" w:cs="Times New Roman" w:eastAsia="Times New Roman" w:hAnsi="Times New Roman"/>
          <w:sz w:val="18"/>
          <w:szCs w:val="18"/>
          <w:color w:val="auto"/>
        </w:rPr>
        <w:t>” means, with respect to any Note, on any applicable Redemption Date, as determined by the Company, the greater of:</w:t>
      </w:r>
    </w:p>
    <w:p>
      <w:pPr>
        <w:spacing w:after="0" w:line="229" w:lineRule="exact"/>
        <w:rPr>
          <w:sz w:val="20"/>
          <w:szCs w:val="20"/>
          <w:color w:val="auto"/>
        </w:rPr>
      </w:pPr>
    </w:p>
    <w:p>
      <w:pPr>
        <w:ind w:left="2700" w:hanging="748"/>
        <w:spacing w:after="0"/>
        <w:tabs>
          <w:tab w:leader="none" w:pos="2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principal amount of the Note; and</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w:t>
      </w:r>
    </w:p>
    <w:p>
      <w:pPr>
        <w:spacing w:after="0" w:line="225" w:lineRule="exact"/>
        <w:rPr>
          <w:rFonts w:ascii="Times New Roman" w:cs="Times New Roman" w:eastAsia="Times New Roman" w:hAnsi="Times New Roman"/>
          <w:sz w:val="18"/>
          <w:szCs w:val="18"/>
          <w:color w:val="auto"/>
        </w:rPr>
      </w:pPr>
    </w:p>
    <w:p>
      <w:pPr>
        <w:ind w:left="3340" w:hanging="740"/>
        <w:spacing w:after="0"/>
        <w:tabs>
          <w:tab w:leader="none" w:pos="3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at such Redemption Date of (i) the redemption price of the Note, at November 15, 2024</w:t>
      </w:r>
    </w:p>
    <w:p>
      <w:pPr>
        <w:spacing w:after="0" w:line="27" w:lineRule="exact"/>
        <w:rPr>
          <w:rFonts w:ascii="Times New Roman" w:cs="Times New Roman" w:eastAsia="Times New Roman" w:hAnsi="Times New Roman"/>
          <w:sz w:val="18"/>
          <w:szCs w:val="18"/>
          <w:color w:val="auto"/>
        </w:rPr>
      </w:pPr>
    </w:p>
    <w:p>
      <w:pPr>
        <w:ind w:left="19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redemption price being set forth in Section‎ 4.02(a) hereof), plus (ii) all required interest payments due on the Note through November 15, 2024 (excluding accrued but unpaid interest), discounted to the Redemption Date and computed using a discount rate equal to the Treasury Rate as of such Redemption Date, plus 50 basis points; over</w:t>
      </w:r>
    </w:p>
    <w:p>
      <w:pPr>
        <w:spacing w:after="0" w:line="185" w:lineRule="exact"/>
        <w:rPr>
          <w:rFonts w:ascii="Times New Roman" w:cs="Times New Roman" w:eastAsia="Times New Roman" w:hAnsi="Times New Roman"/>
          <w:sz w:val="18"/>
          <w:szCs w:val="18"/>
          <w:color w:val="auto"/>
        </w:rPr>
      </w:pPr>
    </w:p>
    <w:p>
      <w:pPr>
        <w:ind w:left="3340" w:hanging="740"/>
        <w:spacing w:after="0"/>
        <w:tabs>
          <w:tab w:leader="none" w:pos="3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the Note.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has the meaning specified in the recitals of this First Supplemental Indenture.</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0" w:name="page81"/>
    <w:bookmarkEnd w:id="80"/>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means the occurrence of any of the following: (1) the direct or indirect sale, lease, transfer, conveyance or other disposition (other than by way of merger or consolidation), in one or a series of related transactions, of all or substantially all of the Company’s assets and the assets of its Subsidiaries taken as a whole to any “person” (as that term is used in Section 13(d)(3) of the Exchange Act) other than the Company or one or more of its Subsidiaries; or (2) the consummation of any transaction (including, without limitation, any merger or consolidation) the result of which is that any “person” (as defined above), including any group defined as a person for the purpose of Section 13(d)(3) of the Exchange Act, other than the Company or its Subsidiaries, becomes the beneficial owner, directly or indirectly, of more than 50% of the then outstanding number of shares of the Company’s Voting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Notwithstanding the foregoing, (1) in no event will (i) the distribution, (ii) the Merger or (iii) provided the Company is a direct or indirect wholly owned subsidiary of XPO Logistics, Inc. immediately after giving effect thereto, any transaction undertaken prior to the distribution in connection with the separation and distribution be considered to be a Change of Control and (2) a transaction will not be considered to be a Change of Control if (A) the Company becomes a direct or indirect wholly owned subsidiary of another Person and (B) either (i) the shares of the Company’s Voting Stock outstanding immediately prior to such transaction constitute, or are converted into or exchanged for, a majority of the Voting Stock of such Person immediately after giving effect to such transaction or (ii) immediately following such transaction, no person (other than a person satisfying the requirements of this sentence) is the beneficial owner, directly or indirectly, of more than 50% of the Voting Stock of such Person.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has the meaning set forth in Section‎ 4.04(a).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has the meaning set forth in Section‎ 4.04(a).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Repurchase Event</w:t>
      </w:r>
      <w:r>
        <w:rPr>
          <w:rFonts w:ascii="Times New Roman" w:cs="Times New Roman" w:eastAsia="Times New Roman" w:hAnsi="Times New Roman"/>
          <w:sz w:val="18"/>
          <w:szCs w:val="18"/>
          <w:color w:val="auto"/>
        </w:rPr>
        <w: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means Clearstream Banking, S.A., or the successor to its securities clearance and settlement operations.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(i) initially, the Escrow Issuer and (ii) from and after consummation of the Merger, RXO, until a successor replaces it pursuant to the Indenture and thereafter means that successor.</w:t>
      </w:r>
    </w:p>
    <w:p>
      <w:pPr>
        <w:spacing w:after="0" w:line="15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its corporate trust business relating to this First Supplemental Indenture shall be administered, which office at the date hereof is located at Global Corporate Trust, 214 N. Tryon Street,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Charlotte, North Carolina 28202, Attention: RXO, Inc. Notes Administrator,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Note</w:t>
      </w:r>
      <w:r>
        <w:rPr>
          <w:rFonts w:ascii="Times New Roman" w:cs="Times New Roman" w:eastAsia="Times New Roman" w:hAnsi="Times New Roman"/>
          <w:sz w:val="18"/>
          <w:szCs w:val="18"/>
          <w:color w:val="auto"/>
        </w:rPr>
        <w:t>” means a certificated Note containing, if required, the appropriate Restricted Notes Legend set forth in Section‎ 2.02(e)(ii).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DTC or any successor designated by the Company pursuant to the Indenture.</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with respect to any Person, any capital stock of such Person which, by its terms (or by the terms of any security into which it is convertible or for which it is redeemable or exchangeable), or upon the happening of any event:</w:t>
      </w:r>
    </w:p>
    <w:p>
      <w:pPr>
        <w:spacing w:after="0" w:line="159" w:lineRule="exact"/>
        <w:rPr>
          <w:sz w:val="20"/>
          <w:szCs w:val="20"/>
          <w:color w:val="auto"/>
        </w:rPr>
      </w:pPr>
    </w:p>
    <w:p>
      <w:pPr>
        <w:ind w:left="660" w:right="80" w:firstLine="644"/>
        <w:spacing w:after="0" w:line="282" w:lineRule="auto"/>
        <w:tabs>
          <w:tab w:leader="none" w:pos="20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 (other than as a result of a Change of Control or asset sale),</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for Indebtedness or Disqualified Stock of such Person or any of its subsidiaries, or</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in whole or in part (other than solely as a result of a Change of Control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w:t>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each case prior to 91 days after the earlier of the maturity date of the Notes or the date the Notes are no longer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only the portion of capital stock which so matures or is mandatorily redeemable, is so convertible or exchangeable or is so redeemable at the option of the holder thereof prior to such date shall be deemed to be 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capital stock is issued to any employee or to any plan for the benefit of employees of the Company or its subsidiaries or by any such plan to such employees, such capital stock shall not constitute Disqualified Stock solely because it may be required to be repurchased by such Person in order to satisfy applicable statutory or regulatory obligations or as a result of such employee’s termination, death or disability;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class of capital stock of such Person that by its terms authorizes such Person to satisfy its obligations thereunder by delivery of capital stock that is not Disqualified Stock shall not be deemed to be Disqualified Stock.</w:t>
      </w:r>
    </w:p>
    <w:p>
      <w:pPr>
        <w:spacing w:after="0" w:line="18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the pro rata distribution of all of RXO’s issued and outstanding shares of common stock to XPO Logistics, Inc. stockholders as of the close of business on the record date for the distribution.</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Offering</w:t>
      </w:r>
      <w:r>
        <w:rPr>
          <w:rFonts w:ascii="Times New Roman" w:cs="Times New Roman" w:eastAsia="Times New Roman" w:hAnsi="Times New Roman"/>
          <w:sz w:val="18"/>
          <w:szCs w:val="18"/>
          <w:color w:val="auto"/>
        </w:rPr>
        <w:t>” means any public or private sale after the date hereof of common capital stock or Preferred Stock of the Company or any direct or indirect parent of the Company, as applicable (other than Disqualified Stock), other than:</w:t>
      </w:r>
    </w:p>
    <w:p>
      <w:pPr>
        <w:spacing w:after="0" w:line="159" w:lineRule="exact"/>
        <w:rPr>
          <w:sz w:val="20"/>
          <w:szCs w:val="20"/>
          <w:color w:val="auto"/>
        </w:rPr>
      </w:pPr>
    </w:p>
    <w:p>
      <w:pPr>
        <w:ind w:left="1400" w:hanging="744"/>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offerings with respect to the Company’s or such direct or indirect parent’s common stock registered on Form S-4 or Form S-8;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ind w:left="1400" w:hanging="744"/>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to any Subsidiary of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Account</w:t>
      </w:r>
      <w:r>
        <w:rPr>
          <w:rFonts w:ascii="Times New Roman" w:cs="Times New Roman" w:eastAsia="Times New Roman" w:hAnsi="Times New Roman"/>
          <w:sz w:val="18"/>
          <w:szCs w:val="18"/>
          <w:color w:val="auto"/>
        </w:rPr>
        <w:t>” means “Escrow Accounts,” as defined in the Escrow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means U.S. Bank, National Association, in its capacity as Escrow Agent under the Escrow Agreement.</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means the Escrow Agreement entered into by and among the Company, the Escrow Agent and the Trustee concurrently with the closing of the offering of the Notes on the date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Escrowed Property</w:t>
      </w:r>
      <w:r>
        <w:rPr>
          <w:rFonts w:ascii="Times New Roman" w:cs="Times New Roman" w:eastAsia="Times New Roman" w:hAnsi="Times New Roman"/>
          <w:sz w:val="18"/>
          <w:szCs w:val="18"/>
          <w:color w:val="auto"/>
        </w:rPr>
        <w:t>” has the meaning assigned to such term in the Escrow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S.A./N.V., a company organized under the laws of Belgium, as operator of the Euroclear System, or its successor in such capacity.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has the meaning set forth in Section‎ 2.01(b)(ii).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Notes Legend</w:t>
      </w:r>
      <w:r>
        <w:rPr>
          <w:rFonts w:ascii="Times New Roman" w:cs="Times New Roman" w:eastAsia="Times New Roman" w:hAnsi="Times New Roman"/>
          <w:sz w:val="18"/>
          <w:szCs w:val="18"/>
          <w:color w:val="auto"/>
        </w:rPr>
        <w:t>” means the legend set forth in Section‎ 2.02(e)(i).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has the meaning set forth in Section‎ 3.01(b).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Note, means the Stated Maturity of an installment of interest on such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Custodian</w:t>
      </w:r>
      <w:r>
        <w:rPr>
          <w:rFonts w:ascii="Times New Roman" w:cs="Times New Roman" w:eastAsia="Times New Roman" w:hAnsi="Times New Roman"/>
          <w:sz w:val="18"/>
          <w:szCs w:val="18"/>
          <w:color w:val="auto"/>
        </w:rPr>
        <w:t>” means the custodian with respect to a Global Note (as appointed by DTC), or any successor Person thereto and will initially be the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of a Note means the principal amount of the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any Equity Interest with preferential right of payment of dividends or upon liquidation, dissolution, or winding up.</w:t>
      </w:r>
    </w:p>
    <w:p>
      <w:pPr>
        <w:spacing w:after="0" w:line="22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Purchase Agreement, dated as of October 11, 2022, between the Company and BofA Securities, Inc., as representative of the several initial purchasers of the Notes.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Institutional 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has the meaning specified in Rule 144A promulgated under the Securities Act.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Event</w:t>
      </w:r>
      <w:r>
        <w:rPr>
          <w:rFonts w:ascii="Times New Roman" w:cs="Times New Roman" w:eastAsia="Times New Roman" w:hAnsi="Times New Roman"/>
          <w:sz w:val="18"/>
          <w:szCs w:val="18"/>
          <w:color w:val="auto"/>
        </w:rPr>
        <w:t xml:space="preserve">” means the rating on the Notes is lowered by at least two Rating Agencies and such Notes are rated below an Investment Grade Rating by such Rating Agencies, in any case on any day during the period (which period will be extended so long as the rating of the Notes is under publicly announced consideration for a possible downgrade by any of the Rating Agencies) commencing upon the first public notice of the occurrence of a Change of Control or the Company’s intention to effect a Change of Control and ending 60 days following the consummation of the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a Rating Event otherwise arising by virtue of a particular reduction in rating shall not be deemed to have occurred in respect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Change of Control (and thus shall not be deemed a Rating Event) if the Rating Agencies making the reduction in rating to which this definition would otherwise apply do not announce or publicly confirm or inform the Company in writing at the Company’s request that the reduction was the result, in whole or in part, of any event or circumstance comprised of or arising as a result of, or in respect of, the applicable Change of Control (whether or not the applicable Change of Control shall have occurred at the time of the reduction).</w:t>
      </w:r>
    </w:p>
    <w:p>
      <w:pPr>
        <w:spacing w:after="0" w:line="188"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with respect to any Note or portion thereof to be redeemed, means the date fixed for such redemption by or pursuant to the Indenture or such Note.</w:t>
      </w:r>
    </w:p>
    <w:p>
      <w:pPr>
        <w:spacing w:after="0" w:line="15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for the interest payable on any Interest Payment Date on the Notes of any Series, means the date specified for that purpose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Global Note</w:t>
      </w:r>
      <w:r>
        <w:rPr>
          <w:rFonts w:ascii="Times New Roman" w:cs="Times New Roman" w:eastAsia="Times New Roman" w:hAnsi="Times New Roman"/>
          <w:sz w:val="18"/>
          <w:szCs w:val="18"/>
          <w:color w:val="auto"/>
        </w:rPr>
        <w:t>” has the meaning set forth in Section‎ 2.01(b).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Notes Legend</w:t>
      </w:r>
      <w:r>
        <w:rPr>
          <w:rFonts w:ascii="Times New Roman" w:cs="Times New Roman" w:eastAsia="Times New Roman" w:hAnsi="Times New Roman"/>
          <w:sz w:val="18"/>
          <w:szCs w:val="18"/>
          <w:color w:val="auto"/>
        </w:rPr>
        <w:t>” means the legend set forth in Section‎ 2.02(e)(ii).</w:t>
      </w:r>
    </w:p>
    <w:p>
      <w:pPr>
        <w:spacing w:after="0" w:line="225"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means with respect to any Notes the period that is 40 days after the later of (i) the Issue Date of the Notes and (ii) the date when the Notes or any predecessor of the Notes are first offered to Persons other than distributors (as defined in Rule 902 of Regulation S) in reliance on Regulation 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 Global Note</w:t>
      </w:r>
      <w:r>
        <w:rPr>
          <w:rFonts w:ascii="Times New Roman" w:cs="Times New Roman" w:eastAsia="Times New Roman" w:hAnsi="Times New Roman"/>
          <w:sz w:val="18"/>
          <w:szCs w:val="18"/>
          <w:color w:val="auto"/>
        </w:rPr>
        <w:t>” has the meaning set forth in Section‎ 2.01(b).</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RXO Businesses</w:t>
      </w:r>
      <w:r>
        <w:rPr>
          <w:rFonts w:ascii="Times New Roman" w:cs="Times New Roman" w:eastAsia="Times New Roman" w:hAnsi="Times New Roman"/>
          <w:sz w:val="18"/>
          <w:szCs w:val="18"/>
          <w:color w:val="auto"/>
        </w:rPr>
        <w:t>” means XPO Logistics, Inc.’s tech-enabled truck brokerage business, as well as its services for managed transportation, last mile logistics and global forwarding.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Ratings Services, a division of The McGraw- Hill Companies, Inc., or any successor thereto.</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84" w:name="page85"/>
    <w:bookmarkEnd w:id="84"/>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the spin-off of the RXO Businesses from XPO Logistics, Inc.’s other businesses and the creation, as a result of the distribution, of an independent, publicly traded company, RXO, to hold the assets and liabilities associated with the RXO Businesses after the distribution.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Mandatory Redemption</w:t>
      </w:r>
      <w:r>
        <w:rPr>
          <w:rFonts w:ascii="Times New Roman" w:cs="Times New Roman" w:eastAsia="Times New Roman" w:hAnsi="Times New Roman"/>
          <w:sz w:val="18"/>
          <w:szCs w:val="18"/>
          <w:color w:val="auto"/>
        </w:rPr>
        <w:t>” has the meaning set forth in Section‎ 4.03(a).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Mandatory Redemption Date</w:t>
      </w:r>
      <w:r>
        <w:rPr>
          <w:rFonts w:ascii="Times New Roman" w:cs="Times New Roman" w:eastAsia="Times New Roman" w:hAnsi="Times New Roman"/>
          <w:sz w:val="18"/>
          <w:szCs w:val="18"/>
          <w:color w:val="auto"/>
        </w:rPr>
        <w:t>” has the meaning set forth in Section‎ 4.03(b).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Mandatory Redemption Event</w:t>
      </w:r>
      <w:r>
        <w:rPr>
          <w:rFonts w:ascii="Times New Roman" w:cs="Times New Roman" w:eastAsia="Times New Roman" w:hAnsi="Times New Roman"/>
          <w:sz w:val="18"/>
          <w:szCs w:val="18"/>
          <w:color w:val="auto"/>
        </w:rPr>
        <w:t>” has the meaning set forth in Section‎ 4.03(a).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Mandatory Redemption Notice Date</w:t>
      </w:r>
      <w:r>
        <w:rPr>
          <w:rFonts w:ascii="Times New Roman" w:cs="Times New Roman" w:eastAsia="Times New Roman" w:hAnsi="Times New Roman"/>
          <w:sz w:val="18"/>
          <w:szCs w:val="18"/>
          <w:color w:val="auto"/>
        </w:rPr>
        <w:t>” has the meaning set forth in Section‎ 4.03(b).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Mandatory Redemption Price</w:t>
      </w:r>
      <w:r>
        <w:rPr>
          <w:rFonts w:ascii="Times New Roman" w:cs="Times New Roman" w:eastAsia="Times New Roman" w:hAnsi="Times New Roman"/>
          <w:sz w:val="18"/>
          <w:szCs w:val="18"/>
          <w:color w:val="auto"/>
        </w:rPr>
        <w:t>” has the meaning set forth in Section‎ 4.03(a).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 Certificate</w:t>
      </w:r>
      <w:r>
        <w:rPr>
          <w:rFonts w:ascii="Times New Roman" w:cs="Times New Roman" w:eastAsia="Times New Roman" w:hAnsi="Times New Roman"/>
          <w:sz w:val="18"/>
          <w:szCs w:val="18"/>
          <w:color w:val="auto"/>
        </w:rPr>
        <w:t>” has the meaning assigned to such term in the Escrow Agreement.</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means, when used with respect to any Note or any installment of principal thereof or interest thereon, the date specified in such Note as the fixed date on which the principal of such Note or such installment of principal or interest is due and payable.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Restricted Note</w:t>
      </w:r>
      <w:r>
        <w:rPr>
          <w:rFonts w:ascii="Times New Roman" w:cs="Times New Roman" w:eastAsia="Times New Roman" w:hAnsi="Times New Roman"/>
          <w:sz w:val="18"/>
          <w:szCs w:val="18"/>
          <w:color w:val="auto"/>
        </w:rPr>
        <w:t>” means any Note that contains or is required to contain a Restricted Notes Legend.</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xml:space="preserve">” means, with respect to any Note, as of the applicable Redemption Date, as determined by the Company, the yield to maturity as of such Redemption Date of United States Treasury securities with a constant maturity (as compiled and published in the most recent Federal Reserve Statistical Release H. 15 (519) that has become publicly available at least two Business Days prior to such Redemption Date (or, if such Statistical Release is no longer published, any publicly available source of similar market data)) most nearly equal to the period from such Redemption Date to November 15, 2024;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such Redemption Date to November 15, 2024, as applicable, is less than one year, the weekly average yield on actively traded United States Treasury securities adjusted to a constant maturity of one year will be used.</w:t>
      </w:r>
    </w:p>
    <w:p>
      <w:pPr>
        <w:spacing w:after="0" w:line="184"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Conflicts with Base Indenture</w:t>
      </w:r>
      <w:r>
        <w:rPr>
          <w:rFonts w:ascii="Times New Roman" w:cs="Times New Roman" w:eastAsia="Times New Roman" w:hAnsi="Times New Roman"/>
          <w:sz w:val="18"/>
          <w:szCs w:val="18"/>
          <w:color w:val="auto"/>
        </w:rPr>
        <w:t>. In the event that any provision of this First Supplemental Indenture limits, qualifies or conflicts with a provision of the Base Indenture, such provision of this First Supplemental Indenture shall control.</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orm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i w:val="1"/>
          <w:iCs w:val="1"/>
          <w:color w:val="auto"/>
        </w:rPr>
        <w:t>Form of Notes.</w:t>
      </w:r>
    </w:p>
    <w:p>
      <w:pPr>
        <w:spacing w:after="0" w:line="227" w:lineRule="exact"/>
        <w:rPr>
          <w:sz w:val="20"/>
          <w:szCs w:val="20"/>
          <w:color w:val="auto"/>
        </w:rPr>
      </w:pPr>
    </w:p>
    <w:p>
      <w:pPr>
        <w:ind w:left="1400" w:hanging="744"/>
        <w:spacing w:after="0"/>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which is hereby incorporated in and expressly made a part of the Indenture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any Additional Notes, changes 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 The Notes may have notations, legends or endorsements required by law, rule or usage to which the Company is subject. Each Note shall be dated the date of its authentication.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660" w:firstLine="968"/>
        <w:spacing w:after="0" w:line="268" w:lineRule="auto"/>
        <w:tabs>
          <w:tab w:leader="none" w:pos="2342"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Notes shall be offered and sold by the Company pursuant to the Purchase Agreement. The Notes shall be resold initially only (A) to persons reasonably believed to be QIBs in reliance on Rule 144A under the Securities Act or (B) outside the United States, to persons other than “U.S. persons” as defined in Rule 902 under the Securities Act in reliance on Regulation S. Notes may thereafter be transferred to, among others, purchasers reasonably believed to be QIBs, purchasers in reliance on Regulation S, and otherwise, subject to the restrictions on transfer set forth herein. Notes initially resold pursuant to Rule 144A shall be initially issued in the form of one or more permanent global securities in fully registered form (collectively, the “</w:t>
      </w:r>
      <w:r>
        <w:rPr>
          <w:rFonts w:ascii="Times New Roman" w:cs="Times New Roman" w:eastAsia="Times New Roman" w:hAnsi="Times New Roman"/>
          <w:sz w:val="17"/>
          <w:szCs w:val="17"/>
          <w:b w:val="1"/>
          <w:bCs w:val="1"/>
          <w:color w:val="auto"/>
        </w:rPr>
        <w:t>Rule 144A Global Note</w:t>
      </w:r>
      <w:r>
        <w:rPr>
          <w:rFonts w:ascii="Times New Roman" w:cs="Times New Roman" w:eastAsia="Times New Roman" w:hAnsi="Times New Roman"/>
          <w:sz w:val="17"/>
          <w:szCs w:val="17"/>
          <w:color w:val="auto"/>
        </w:rPr>
        <w:t>”) and Notes initially resold pursuant to Regulation S shall be initially issued in the form of one or more permanent global securities in fully registered form (collectively, the “</w:t>
      </w:r>
      <w:r>
        <w:rPr>
          <w:rFonts w:ascii="Times New Roman" w:cs="Times New Roman" w:eastAsia="Times New Roman" w:hAnsi="Times New Roman"/>
          <w:sz w:val="17"/>
          <w:szCs w:val="17"/>
          <w:b w:val="1"/>
          <w:bCs w:val="1"/>
          <w:color w:val="auto"/>
        </w:rPr>
        <w:t>Regulation S Global Note</w:t>
      </w:r>
      <w:r>
        <w:rPr>
          <w:rFonts w:ascii="Times New Roman" w:cs="Times New Roman" w:eastAsia="Times New Roman" w:hAnsi="Times New Roman"/>
          <w:sz w:val="17"/>
          <w:szCs w:val="17"/>
          <w:color w:val="auto"/>
        </w:rPr>
        <w:t>”), in each case</w:t>
      </w:r>
    </w:p>
    <w:p>
      <w:pPr>
        <w:spacing w:after="0" w:line="2" w:lineRule="exact"/>
        <w:rPr>
          <w:rFonts w:ascii="Times New Roman" w:cs="Times New Roman" w:eastAsia="Times New Roman" w:hAnsi="Times New Roman"/>
          <w:sz w:val="17"/>
          <w:szCs w:val="17"/>
          <w:color w:val="auto"/>
        </w:rPr>
      </w:pPr>
    </w:p>
    <w:p>
      <w:pPr>
        <w:ind w:left="660"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without interest coupons and with the Global Notes Legend and the applicable Restricted Notes Legend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2.02(e) hereof. Such global securities shall be deposited on behalf of the purchasers of the Notes represented thereby with the Notes Custodian and registered in the name of DTC or a nominee of DTC, duly executed by the Company and authenticated by the Trustee as provided in this Indenture.</w:t>
      </w:r>
    </w:p>
    <w:p>
      <w:pPr>
        <w:spacing w:after="0" w:line="181" w:lineRule="exact"/>
        <w:rPr>
          <w:rFonts w:ascii="Times New Roman" w:cs="Times New Roman" w:eastAsia="Times New Roman" w:hAnsi="Times New Roman"/>
          <w:sz w:val="17"/>
          <w:szCs w:val="17"/>
          <w:color w:val="auto"/>
        </w:rPr>
      </w:pPr>
    </w:p>
    <w:p>
      <w:pPr>
        <w:ind w:left="660" w:right="120" w:firstLine="968"/>
        <w:spacing w:after="0" w:line="268" w:lineRule="auto"/>
        <w:tabs>
          <w:tab w:leader="none" w:pos="239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 144A Global Note and the Regulation S Global Note are collectively referred to herein as “</w:t>
      </w:r>
      <w:r>
        <w:rPr>
          <w:rFonts w:ascii="Times New Roman" w:cs="Times New Roman" w:eastAsia="Times New Roman" w:hAnsi="Times New Roman"/>
          <w:sz w:val="18"/>
          <w:szCs w:val="18"/>
          <w:b w:val="1"/>
          <w:bCs w:val="1"/>
          <w:color w:val="auto"/>
        </w:rPr>
        <w:t>Global Notes</w:t>
      </w:r>
      <w:r>
        <w:rPr>
          <w:rFonts w:ascii="Times New Roman" w:cs="Times New Roman" w:eastAsia="Times New Roman" w:hAnsi="Times New Roman"/>
          <w:sz w:val="18"/>
          <w:szCs w:val="18"/>
          <w:color w:val="auto"/>
        </w:rPr>
        <w:t>.” The aggregate principal amount of the Global Notes may from time to time be increased or decreased by adjustments made on the records of the Trustee and DTC or its nominee as hereinafter provided.</w:t>
      </w:r>
    </w:p>
    <w:p>
      <w:pPr>
        <w:spacing w:after="0" w:line="170"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2.01(c) shall apply only to a Global Note deposited with or on behalf of DTC.</w:t>
      </w:r>
    </w:p>
    <w:p>
      <w:pPr>
        <w:spacing w:after="0" w:line="225" w:lineRule="exact"/>
        <w:rPr>
          <w:rFonts w:ascii="Times New Roman" w:cs="Times New Roman" w:eastAsia="Times New Roman" w:hAnsi="Times New Roman"/>
          <w:sz w:val="18"/>
          <w:szCs w:val="18"/>
          <w:color w:val="auto"/>
        </w:rPr>
      </w:pPr>
    </w:p>
    <w:p>
      <w:pPr>
        <w:ind w:left="660" w:right="40" w:firstLine="968"/>
        <w:spacing w:after="0" w:line="268" w:lineRule="auto"/>
        <w:tabs>
          <w:tab w:leader="none" w:pos="234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execute and the Trustee shall, in accordance with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2.01(c), authenticate and deliver initially one or more Global Notes that (A) shall be registered in the name of DTC or its nominee and (B) shall be delivered by the Trustee to DTC or pursuant to DTC’s instructions or held by the Trustee as Notes Custodian for DTC.</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ind w:left="660" w:right="60" w:firstLine="968"/>
        <w:spacing w:after="0" w:line="275" w:lineRule="auto"/>
        <w:tabs>
          <w:tab w:leader="none" w:pos="2392"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 of, or participants in, DTC (“</w:t>
      </w:r>
      <w:r>
        <w:rPr>
          <w:rFonts w:ascii="Times New Roman" w:cs="Times New Roman" w:eastAsia="Times New Roman" w:hAnsi="Times New Roman"/>
          <w:sz w:val="17"/>
          <w:szCs w:val="17"/>
          <w:b w:val="1"/>
          <w:bCs w:val="1"/>
          <w:color w:val="auto"/>
        </w:rPr>
        <w:t>Agent Members</w:t>
      </w:r>
      <w:r>
        <w:rPr>
          <w:rFonts w:ascii="Times New Roman" w:cs="Times New Roman" w:eastAsia="Times New Roman" w:hAnsi="Times New Roman"/>
          <w:sz w:val="17"/>
          <w:szCs w:val="17"/>
          <w:color w:val="auto"/>
        </w:rPr>
        <w:t>”) shall have no rights under this Indenture with respect to any Global Note held on their behalf by DTC (or by the Trustee as the Notes Custodian for DTC) or under such Global Note, and the Company, the Trustee and any agent of the Company or the Trustee shall be entitled to treat DTC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72" w:lineRule="exact"/>
        <w:rPr>
          <w:rFonts w:ascii="Times New Roman" w:cs="Times New Roman" w:eastAsia="Times New Roman" w:hAnsi="Times New Roman"/>
          <w:sz w:val="17"/>
          <w:szCs w:val="17"/>
          <w:color w:val="auto"/>
        </w:rPr>
      </w:pPr>
    </w:p>
    <w:p>
      <w:pPr>
        <w:ind w:right="120" w:firstLine="656"/>
        <w:spacing w:after="0" w:line="282" w:lineRule="auto"/>
        <w:tabs>
          <w:tab w:leader="none" w:pos="13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2.15 of the Base Indenture, owners of beneficial interests in Global Notes shall not be entitled to receive physical delivery of Definitive Notes.</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may be presented for registration of transfer and exchange at the offices of the Registrar.</w:t>
      </w:r>
    </w:p>
    <w:p>
      <w:pPr>
        <w:spacing w:after="0" w:line="22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Special Transfer Provisions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400" w:hanging="744"/>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w:t>
      </w:r>
      <w:r>
        <w:rPr>
          <w:rFonts w:ascii="Times New Roman" w:cs="Times New Roman" w:eastAsia="Times New Roman" w:hAnsi="Times New Roman"/>
          <w:sz w:val="18"/>
          <w:szCs w:val="18"/>
          <w:color w:val="auto"/>
        </w:rPr>
        <w:t>. When Definitive Notes are presented to the Registrar with a request:</w:t>
      </w:r>
    </w:p>
    <w:p>
      <w:pPr>
        <w:spacing w:after="0" w:line="227"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such Definitive Notes; or</w:t>
      </w:r>
    </w:p>
    <w:p>
      <w:pPr>
        <w:spacing w:after="0" w:line="22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such Definitive Notes for an equal principal amount of Definitive Notes of other authorized denominations,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the Registrar shall register the transfer or make the exchange as requested if its reasonable requirements for such transaction are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Definitive Notes surrendered for transfer or exchange:</w:t>
      </w:r>
    </w:p>
    <w:p>
      <w:pPr>
        <w:spacing w:after="0" w:line="162" w:lineRule="exact"/>
        <w:rPr>
          <w:sz w:val="20"/>
          <w:szCs w:val="20"/>
          <w:color w:val="auto"/>
        </w:rPr>
      </w:pPr>
    </w:p>
    <w:p>
      <w:pPr>
        <w:ind w:left="1300" w:right="120" w:firstLine="976"/>
        <w:spacing w:after="0" w:line="282" w:lineRule="auto"/>
        <w:tabs>
          <w:tab w:leader="none" w:pos="306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duly endorsed or accompanied by a written instrument of transfer in form reasonably satisfactory to the Company and the Registrar, duly executed by the Holder thereof or its attorney duly authorized in writing; and</w:t>
      </w:r>
    </w:p>
    <w:p>
      <w:pPr>
        <w:spacing w:after="0" w:line="161" w:lineRule="exact"/>
        <w:rPr>
          <w:rFonts w:ascii="Times New Roman" w:cs="Times New Roman" w:eastAsia="Times New Roman" w:hAnsi="Times New Roman"/>
          <w:sz w:val="18"/>
          <w:szCs w:val="18"/>
          <w:color w:val="auto"/>
        </w:rPr>
      </w:pPr>
    </w:p>
    <w:p>
      <w:pPr>
        <w:ind w:left="1300" w:right="100" w:firstLine="976"/>
        <w:spacing w:after="0" w:line="261" w:lineRule="auto"/>
        <w:tabs>
          <w:tab w:leader="none" w:pos="30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accompanied by the following additional information and documents, as applicable: (x) if such Definitive Notes are being delivered to the Registrar by a Holder for registration in the name of such Holder, without transfer, a certification from such Holder to that effect; or (y) if such Definitive Notes are being transferred to the Company, a certification to that effect (in each case in the form set forth on the reverse side of the Initial Note); or</w:t>
      </w:r>
    </w:p>
    <w:p>
      <w:pPr>
        <w:spacing w:after="0" w:line="179" w:lineRule="exact"/>
        <w:rPr>
          <w:rFonts w:ascii="Times New Roman" w:cs="Times New Roman" w:eastAsia="Times New Roman" w:hAnsi="Times New Roman"/>
          <w:sz w:val="18"/>
          <w:szCs w:val="18"/>
          <w:color w:val="auto"/>
        </w:rPr>
      </w:pPr>
    </w:p>
    <w:p>
      <w:pPr>
        <w:ind w:left="1300" w:firstLine="976"/>
        <w:spacing w:after="0" w:line="255" w:lineRule="auto"/>
        <w:tabs>
          <w:tab w:leader="none" w:pos="30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Definitive Notes are being transferred pursuant to an exemption from registration in accordance with Rule 144 under the Securities Act or in reliance upon another exemption from the registration requirements of the Securities Act, (i) a certification to that effect (in the form set forth on the reverse side of the Initial Note) and (ii) if the Company or Registrar so requests, an opinion of counsel or other evidence reasonably satisfactory to it as to the compliance with the restrictions set forth in the legend set forth</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2.02(e)(ii).</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7" w:name="page88"/>
    <w:bookmarkEnd w:id="87"/>
    <w:p>
      <w:pPr>
        <w:ind w:left="-40" w:right="120" w:firstLine="656"/>
        <w:spacing w:after="0" w:line="267" w:lineRule="auto"/>
        <w:tabs>
          <w:tab w:leader="none" w:pos="13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a Definitive Note for a Beneficial Interest in a Global Note</w:t>
      </w:r>
      <w:r>
        <w:rPr>
          <w:rFonts w:ascii="Times New Roman" w:cs="Times New Roman" w:eastAsia="Times New Roman" w:hAnsi="Times New Roman"/>
          <w:sz w:val="18"/>
          <w:szCs w:val="18"/>
          <w:color w:val="auto"/>
        </w:rPr>
        <w:t>. A Definitive Note may not be exchanged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75" w:lineRule="exact"/>
        <w:rPr>
          <w:rFonts w:ascii="Times New Roman" w:cs="Times New Roman" w:eastAsia="Times New Roman" w:hAnsi="Times New Roman"/>
          <w:sz w:val="18"/>
          <w:szCs w:val="18"/>
          <w:color w:val="auto"/>
        </w:rPr>
      </w:pPr>
    </w:p>
    <w:p>
      <w:pPr>
        <w:ind w:left="620" w:right="80" w:firstLine="968"/>
        <w:spacing w:after="0" w:line="266" w:lineRule="auto"/>
        <w:tabs>
          <w:tab w:leader="none" w:pos="230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(in the form set forth on the reverse side of the applicable Initial Note) that such Definitive Note is being transferred (A) to a person reasonably believed to be QIB in accordance with Rule 144A or (B) to a non-U.S. Person outside the United States in an offshore transaction within the meaning of Regulation S and in compliance with Rule 903 or Rule 904 under the Securities Act; and</w:t>
      </w:r>
    </w:p>
    <w:p>
      <w:pPr>
        <w:spacing w:after="0" w:line="175" w:lineRule="exact"/>
        <w:rPr>
          <w:rFonts w:ascii="Times New Roman" w:cs="Times New Roman" w:eastAsia="Times New Roman" w:hAnsi="Times New Roman"/>
          <w:sz w:val="18"/>
          <w:szCs w:val="18"/>
          <w:color w:val="auto"/>
        </w:rPr>
      </w:pPr>
    </w:p>
    <w:p>
      <w:pPr>
        <w:ind w:left="620" w:firstLine="968"/>
        <w:spacing w:after="0" w:line="266" w:lineRule="auto"/>
        <w:tabs>
          <w:tab w:leader="none" w:pos="235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directing the Trustee to make, or to direct the Notes Custodian to make, an adjustment on its books and records with respect to such Global Note to reflect an increase in the aggregate principal amount of the Notes represented by the Global Note, such instructions to contain information regarding the DTC account to be credited with such increase,</w:t>
      </w:r>
    </w:p>
    <w:p>
      <w:pPr>
        <w:spacing w:after="0" w:line="176" w:lineRule="exact"/>
        <w:rPr>
          <w:sz w:val="20"/>
          <w:szCs w:val="20"/>
          <w:color w:val="auto"/>
        </w:rPr>
      </w:pPr>
    </w:p>
    <w:p>
      <w:pPr>
        <w:ind w:left="620" w:right="60"/>
        <w:spacing w:after="0" w:line="255" w:lineRule="auto"/>
        <w:rPr>
          <w:sz w:val="20"/>
          <w:szCs w:val="20"/>
          <w:color w:val="auto"/>
        </w:rPr>
      </w:pPr>
      <w:r>
        <w:rPr>
          <w:rFonts w:ascii="Times New Roman" w:cs="Times New Roman" w:eastAsia="Times New Roman" w:hAnsi="Times New Roman"/>
          <w:sz w:val="18"/>
          <w:szCs w:val="18"/>
          <w:color w:val="auto"/>
        </w:rPr>
        <w:t>then the Trustee shall cancel such Definitive Note and cause, or direct the Notes Custodian to cause, in accordance with the standing instructions and procedures existing between DTC and the Notes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Definitive Notes pursuant to this Indenture, the Company shall issue and the Trustee shall authenticate, upon receipt of an order from the Company, a new Global Note in the appropriate principal amount.</w:t>
      </w:r>
    </w:p>
    <w:p>
      <w:pPr>
        <w:spacing w:after="0" w:line="187" w:lineRule="exact"/>
        <w:rPr>
          <w:sz w:val="20"/>
          <w:szCs w:val="20"/>
          <w:color w:val="auto"/>
        </w:rPr>
      </w:pPr>
    </w:p>
    <w:p>
      <w:pPr>
        <w:ind w:left="1360" w:hanging="744"/>
        <w:spacing w:after="0"/>
        <w:tabs>
          <w:tab w:leader="none" w:pos="1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20" w:right="40" w:firstLine="968"/>
        <w:spacing w:after="0" w:line="274" w:lineRule="auto"/>
        <w:tabs>
          <w:tab w:leader="none" w:pos="230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and exchange of Global Notes or beneficial interests therein shall be effected through DTC, in accordance with this First Supplemental Indenture (including applicable restrictions on transfer set forth herein, if any) and the Applicable Procedures therefor. A transferor of a beneficial interest in a Global Note shall deliver a written or electronic order given in accordance with the Applicable Procedures containing information regarding the participant account of DTC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60" w:top="902" w:right="419" w:bottom="1440" w:gutter="0" w:footer="0" w:header="0"/>
        </w:sectPr>
      </w:pPr>
    </w:p>
    <w:bookmarkStart w:id="88" w:name="page89"/>
    <w:bookmarkEnd w:id="88"/>
    <w:p>
      <w:pPr>
        <w:ind w:firstLine="968"/>
        <w:spacing w:after="0" w:line="256" w:lineRule="auto"/>
        <w:tabs>
          <w:tab w:leader="none" w:pos="17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an owner of a beneficial interest in a Rule 144A Global Note to a transferee who takes delivery of such interest through a Regulation S Global Note of the same Series, whether before or after the expiration of the Restricted Period, shall be made in accordance with the Applicable Procedures and only upon receipt by the Trustee of a written certification (in the form set forth on the reverse side of the Initial Note) from the transferor to the effect that such transfer is being made in accordance with Rule 903 or Rule 904 of Regulation S or (if available) Rule 144 under the Securities Act and, if such transfer is being made prior to the expiration of the Restricted Period, the interest transferred shall be held immediately thereafter through Euroclear, Clearstream or their respective participants.</w:t>
      </w:r>
    </w:p>
    <w:p>
      <w:pPr>
        <w:spacing w:after="0" w:line="187" w:lineRule="exact"/>
        <w:rPr>
          <w:rFonts w:ascii="Times New Roman" w:cs="Times New Roman" w:eastAsia="Times New Roman" w:hAnsi="Times New Roman"/>
          <w:sz w:val="18"/>
          <w:szCs w:val="18"/>
          <w:color w:val="auto"/>
        </w:rPr>
      </w:pPr>
    </w:p>
    <w:p>
      <w:pPr>
        <w:ind w:right="20" w:firstLine="968"/>
        <w:spacing w:after="0" w:line="255" w:lineRule="auto"/>
        <w:tabs>
          <w:tab w:leader="none" w:pos="178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interests in a Regulation S Global Note may be exchanged for interests in a Rule 144A Global Note of the same Series in accordance with the Applicable Procedures and if (1) such exchange occurs in connection with a transfer of Notes in compliance with Rule 144A and (2) the transferor of the beneficial interest in the Regulation S Global Note first delivers to the Trustee a written certificate (in the form set forth on the reverse side of the Initial Note) to the effect that the beneficial interest in the Regulation S Global Note, is being transferred to a Person (A) who the transferor reasonably believes to be a QIB, (B) purchasing for its own account or the account of a QIB in a transaction meeting the requirements of Rule 144A, and (C) in accordance with all applicable securities laws of the States of the United States and other jurisdictions.</w:t>
      </w:r>
    </w:p>
    <w:p>
      <w:pPr>
        <w:spacing w:after="0" w:line="188" w:lineRule="exact"/>
        <w:rPr>
          <w:rFonts w:ascii="Times New Roman" w:cs="Times New Roman" w:eastAsia="Times New Roman" w:hAnsi="Times New Roman"/>
          <w:sz w:val="18"/>
          <w:szCs w:val="18"/>
          <w:color w:val="auto"/>
        </w:rPr>
      </w:pPr>
    </w:p>
    <w:p>
      <w:pPr>
        <w:ind w:right="20" w:firstLine="968"/>
        <w:spacing w:after="0" w:line="261" w:lineRule="auto"/>
        <w:tabs>
          <w:tab w:leader="none" w:pos="17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w:t>
      </w:r>
    </w:p>
    <w:p>
      <w:pPr>
        <w:spacing w:after="0" w:line="179" w:lineRule="exact"/>
        <w:rPr>
          <w:rFonts w:ascii="Times New Roman" w:cs="Times New Roman" w:eastAsia="Times New Roman" w:hAnsi="Times New Roman"/>
          <w:sz w:val="18"/>
          <w:szCs w:val="18"/>
          <w:color w:val="auto"/>
        </w:rPr>
      </w:pPr>
    </w:p>
    <w:p>
      <w:pPr>
        <w:ind w:left="1720" w:hanging="752"/>
        <w:spacing w:after="0"/>
        <w:tabs>
          <w:tab w:leader="none" w:pos="1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First Supplemental Indenture (other than the provisions set forth in</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Section 2.15 of the Base Indenture), a Global Note may not be transferred as a whole except by DTC to a nominee of DTC or by a nominee of DTC to DTC or another nominee of DTC or by DTC or any such nominee to a successor to DTC or a nominee of such successor to DTC.</w:t>
      </w:r>
    </w:p>
    <w:p>
      <w:pPr>
        <w:spacing w:after="0" w:line="3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89" w:name="page90"/>
    <w:bookmarkEnd w:id="89"/>
    <w:p>
      <w:pPr>
        <w:ind w:left="744" w:hanging="744"/>
        <w:spacing w:after="0"/>
        <w:tabs>
          <w:tab w:leader="none" w:pos="7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Regulation S Global Notes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firstLine="968"/>
        <w:spacing w:after="0" w:line="252" w:lineRule="auto"/>
        <w:tabs>
          <w:tab w:leader="none" w:pos="168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Restricted Period, interests in a Regulation S Global Note may be held through Euroclear, Clearstream or through organizations that are participants in Euroclear or Clearsteam. During the Restricted Period, beneficial ownership interests in a Regulation S Global Note may only be sold, pledged or transferred through Euroclear, Clearstream or their respective participants in accordance with the Applicable Procedures and only (a) to the Company or any Subsidiary thereof, (b) pursuant to a registration statement that has been declared effective under the Securities Act, (c) for so long as such security is eligible for resale pursuant to Rule 144A, to a Person whom the selling holder reasonably believes is a QIB that purchases for its own account or for the account of a QIB to whom notice is given that the resale, pledge or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in each case in accordance with any applicable securities laws of any state of the United States, subject to the Company’s and the Trustee’s right prior to any such offer, sale or transfer pursuant to clause (d)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(e) to require the delivery of an opinion of counsel, certification and/or other information satisfactory to each of them. Prior to the expiration of the Restricted Period, transfers by an owner of a beneficial interest in a Regulation S Global Note to a transferee who takes delivery of such interest through a Rule 144A Global Note shall be made only in accordance with the Applicable Procedures, pursuant to Rule 144 or 144A of the Securities Act and upon receipt by the Trustee of a written certification (in the form on the reverse side of the Initial Note).</w:t>
      </w:r>
    </w:p>
    <w:p>
      <w:pPr>
        <w:spacing w:after="0" w:line="197" w:lineRule="exact"/>
        <w:rPr>
          <w:rFonts w:ascii="Times New Roman" w:cs="Times New Roman" w:eastAsia="Times New Roman" w:hAnsi="Times New Roman"/>
          <w:sz w:val="18"/>
          <w:szCs w:val="18"/>
          <w:color w:val="auto"/>
        </w:rPr>
      </w:pPr>
    </w:p>
    <w:p>
      <w:pPr>
        <w:ind w:left="4" w:right="600" w:firstLine="968"/>
        <w:spacing w:after="0" w:line="282" w:lineRule="auto"/>
        <w:tabs>
          <w:tab w:leader="none" w:pos="17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beneficial ownership interests in a Regulation S Global Note shall be transferable in accordance with applicable law and the other terms of the Indenture.</w:t>
      </w:r>
    </w:p>
    <w:p>
      <w:pPr>
        <w:spacing w:after="0" w:line="159" w:lineRule="exact"/>
        <w:rPr>
          <w:rFonts w:ascii="Times New Roman" w:cs="Times New Roman" w:eastAsia="Times New Roman" w:hAnsi="Times New Roman"/>
          <w:sz w:val="18"/>
          <w:szCs w:val="18"/>
          <w:color w:val="auto"/>
        </w:rPr>
      </w:pPr>
    </w:p>
    <w:p>
      <w:pPr>
        <w:ind w:left="744" w:hanging="744"/>
        <w:spacing w:after="0"/>
        <w:tabs>
          <w:tab w:leader="none" w:pos="7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80" w:firstLine="968"/>
        <w:spacing w:after="0" w:line="266" w:lineRule="auto"/>
        <w:tabs>
          <w:tab w:leader="none" w:pos="168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certificate evidencing the Global Notes (and all Notes that are Global Notes issued in exchange therefor or in substitution thereof) will contain a legend substantially to the following effect (each defined term in the legend being defined as such for purposes of the legend only):</w:t>
      </w:r>
    </w:p>
    <w:p>
      <w:pPr>
        <w:spacing w:after="0" w:line="176" w:lineRule="exact"/>
        <w:rPr>
          <w:sz w:val="20"/>
          <w:szCs w:val="20"/>
          <w:color w:val="auto"/>
        </w:rPr>
      </w:pPr>
    </w:p>
    <w:p>
      <w:pPr>
        <w:ind w:left="4" w:right="160" w:firstLine="648"/>
        <w:spacing w:after="0" w:line="254" w:lineRule="auto"/>
        <w:rPr>
          <w:sz w:val="20"/>
          <w:szCs w:val="20"/>
          <w:color w:val="auto"/>
        </w:rPr>
      </w:pPr>
      <w:r>
        <w:rPr>
          <w:rFonts w:ascii="Times New Roman" w:cs="Times New Roman" w:eastAsia="Times New Roman" w:hAnsi="Times New Roman"/>
          <w:sz w:val="18"/>
          <w:szCs w:val="18"/>
          <w:color w:val="auto"/>
        </w:rPr>
        <w:t>“THIS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OF THE BASE INDENTURE, (III) THIS GLOBAL SECURITY MAY BE DELIVERED TO THE TRUSTEE FOR CANCELLATION PURSUANT TO THE INDENTURE AND (IV) THIS GLOBAL SECURITY MAY BE TRANSFERRED AS A WHOLE, BUT NOT IN PART, TO THE DEPOSITARY, ITS SUCCESSORS OR THEIR RESPECTIVE NOMINEES.</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90" w:name="page91"/>
    <w:bookmarkEnd w:id="90"/>
    <w:p>
      <w:pPr>
        <w:ind w:left="660" w:right="180"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both"/>
        <w:ind w:left="660" w:right="140" w:firstLine="968"/>
        <w:spacing w:after="0" w:line="268" w:lineRule="auto"/>
        <w:tabs>
          <w:tab w:leader="none" w:pos="23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following paragraphs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each Note certificate evidencing the Global Notes and the Definitive Notes (and all Notes issued in exchange therefor or in substitution thereof) will contain a legend substantially to the following effect (each defined term in the legend being defined as such for purposes of the legend only):</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 SECURITIES LAWS OF ANY STATE OR OTHER JURISDICTION. BY ITS ACQUISITION HEREOF OR OF A BENEFICIAL INTEREST HEREIN, THE ACQUIRER REPRESENTS THAT</w:t>
      </w:r>
    </w:p>
    <w:p>
      <w:pPr>
        <w:spacing w:after="0" w:line="176" w:lineRule="exact"/>
        <w:rPr>
          <w:sz w:val="20"/>
          <w:szCs w:val="20"/>
          <w:color w:val="auto"/>
        </w:rPr>
      </w:pPr>
    </w:p>
    <w:p>
      <w:pPr>
        <w:ind w:firstLine="656"/>
        <w:spacing w:after="0" w:line="266" w:lineRule="auto"/>
        <w:tabs>
          <w:tab w:leader="none" w:pos="139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ANY ACCOUNT FOR WHICH IT IS ACTING IS A “QUALIFIED INSTITUTIONAL BUYER” (WITHIN THE MEANING OF RULE 144A UNDER THE SECURITIES ACT) AND THAT IT EXERCISES SOLE INVESTMENT DISCRETION WITH RESPECT TO EACH SUCH ACCOUNT, OR</w:t>
      </w:r>
    </w:p>
    <w:p>
      <w:pPr>
        <w:spacing w:after="0" w:line="175" w:lineRule="exact"/>
        <w:rPr>
          <w:rFonts w:ascii="Times New Roman" w:cs="Times New Roman" w:eastAsia="Times New Roman" w:hAnsi="Times New Roman"/>
          <w:sz w:val="18"/>
          <w:szCs w:val="18"/>
          <w:color w:val="auto"/>
        </w:rPr>
      </w:pPr>
    </w:p>
    <w:p>
      <w:pPr>
        <w:ind w:right="400" w:firstLine="656"/>
        <w:spacing w:after="0" w:line="282" w:lineRule="auto"/>
        <w:tabs>
          <w:tab w:leader="none" w:pos="139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“U.S. PERSON” AND IS OUTSIDE OF THE UNITED STATES (WITHIN THE MEANING OF REGULATION S UNDER THE SECURITIES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1" w:name="page92"/>
    <w:bookmarkEnd w:id="91"/>
    <w:p>
      <w:pPr>
        <w:ind w:firstLine="648"/>
        <w:spacing w:after="0" w:line="252" w:lineRule="auto"/>
        <w:rPr>
          <w:sz w:val="20"/>
          <w:szCs w:val="20"/>
          <w:color w:val="auto"/>
        </w:rPr>
      </w:pPr>
      <w:r>
        <w:rPr>
          <w:rFonts w:ascii="Times New Roman" w:cs="Times New Roman" w:eastAsia="Times New Roman" w:hAnsi="Times New Roman"/>
          <w:sz w:val="18"/>
          <w:szCs w:val="18"/>
          <w:color w:val="auto"/>
        </w:rPr>
        <w:t>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THAT IS (A) IN THE CASE OF RULE 144A GLOBAL NOTES, ONE YEAR, OR (B) IN THE CASE OF REGULATION S GLOBAL NOTES, 40 DAYS, IN EACH CASE AFTER THE LATER OF THE ORIGINAL ISSUE DATE HEREOF AND THE LAST DATE ON WHICH THE COMPANY OR ANY AFFILIATE OF THE COMPANY WAS THE OWNER OF THIS SECURITY (OR ANY PREDECESSOR OF THIS SECURITY), ONLY (A) TO THE COMPANY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THE COMPANY’S AND THE TRUSTEE’S RIGHT PRIOR TO ANY SUCH OFFER, SALE OR TRANSFER PURSUANT TO CLAUSES (D) OR (E) TO REQUIRE THE DELIVERY OF AN OPINION OF COUNSEL, CERTIFICATION AND/OR OTHER INFORMATION SATISFACTORY TO EACH OF THEM.”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Note evidencing a Global Note offered and sold to a QIB pursuant to Rule 144A will contain a legend substantially to the following effect:</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“EACH PURCHASER OF THIS SECURITY IS HEREBY NOTIFIED THAT THE SELLER OF THIS SECURITY MAY BE RELYING ON THE EXEMPTION FROM THE PROVISIONS OF SECTION 5 OF THE SECURITIES ACT PROVIDED BY RULE 144A THEREUNDER.”</w:t>
      </w:r>
    </w:p>
    <w:p>
      <w:pPr>
        <w:spacing w:after="0" w:line="162" w:lineRule="exact"/>
        <w:rPr>
          <w:sz w:val="20"/>
          <w:szCs w:val="20"/>
          <w:color w:val="auto"/>
        </w:rPr>
      </w:pPr>
    </w:p>
    <w:p>
      <w:pPr>
        <w:ind w:left="660" w:right="60" w:firstLine="968"/>
        <w:spacing w:after="0" w:line="261" w:lineRule="auto"/>
        <w:tabs>
          <w:tab w:leader="none" w:pos="244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transfer of a Transfer Restricted Note that is a Definitive Note, the Registrar shall permit the Holder thereof to exchange such Transfer Restricted Note for a Definitive Note that does not bear the legends set forth above and rescind any restriction on the transfer of such Transfer Restricted Note if the Holder certifies in writing to the Registrar that its request for such exchange was made in reliance on Rule 144 (such certification to be in the form set forth on the reverse of the Initial Note).</w:t>
      </w:r>
    </w:p>
    <w:p>
      <w:pPr>
        <w:spacing w:after="0" w:line="179"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92" w:name="page93"/>
    <w:bookmarkEnd w:id="92"/>
    <w:p>
      <w:pPr>
        <w:jc w:val="both"/>
        <w:ind w:left="660" w:right="100" w:firstLine="968"/>
        <w:spacing w:after="0" w:line="266" w:lineRule="auto"/>
        <w:tabs>
          <w:tab w:leader="none" w:pos="243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sale or transfer after the expiration of the Restricted Period of any Initial Note acquired pursuant to Regulation S, all requirements that such Initial Note bear the Restricted Notes Legend shall cease to apply and the requirements requiring any such Initial Note be issued in global form shall continue to apply.</w:t>
      </w:r>
    </w:p>
    <w:p>
      <w:pPr>
        <w:spacing w:after="0" w:line="175" w:lineRule="exact"/>
        <w:rPr>
          <w:rFonts w:ascii="Times New Roman" w:cs="Times New Roman" w:eastAsia="Times New Roman" w:hAnsi="Times New Roman"/>
          <w:sz w:val="18"/>
          <w:szCs w:val="18"/>
          <w:color w:val="auto"/>
        </w:rPr>
      </w:pPr>
    </w:p>
    <w:p>
      <w:pPr>
        <w:ind w:firstLine="656"/>
        <w:spacing w:after="0" w:line="256" w:lineRule="auto"/>
        <w:tabs>
          <w:tab w:leader="none" w:pos="13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or Adjustment of Global Note. At such time as all beneficial interests in a Global Note have either been exchanged for Definitive Notes, transferred, redeemed, repurchased or canceled, such Global Note shall be returned by DTC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spacing w:after="0" w:line="187" w:lineRule="exact"/>
        <w:rPr>
          <w:rFonts w:ascii="Times New Roman" w:cs="Times New Roman" w:eastAsia="Times New Roman" w:hAnsi="Times New Roman"/>
          <w:sz w:val="18"/>
          <w:szCs w:val="18"/>
          <w:color w:val="auto"/>
        </w:rPr>
      </w:pPr>
    </w:p>
    <w:p>
      <w:pPr>
        <w:ind w:right="100" w:firstLine="656"/>
        <w:spacing w:after="0" w:line="261" w:lineRule="auto"/>
        <w:tabs>
          <w:tab w:leader="none" w:pos="139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due presentation for registration of transfer of any Note, the Company, the Trustee, the Paying Agent and the Registrar may deem and treat the person in whose name a Note is registered as the absolute owner of such Note for the purpose of receiving payment of principal of and interest on such Note and for all other purposes whatsoever, whether or not such Note is overdue, and none of the Company, the Trustee, the Paying Agent or the Registrar shall be affected by notice to the contrary.</w:t>
      </w:r>
    </w:p>
    <w:p>
      <w:pPr>
        <w:spacing w:after="0" w:line="179" w:lineRule="exact"/>
        <w:rPr>
          <w:rFonts w:ascii="Times New Roman" w:cs="Times New Roman" w:eastAsia="Times New Roman" w:hAnsi="Times New Roman"/>
          <w:sz w:val="18"/>
          <w:szCs w:val="18"/>
          <w:color w:val="auto"/>
        </w:rPr>
      </w:pPr>
    </w:p>
    <w:p>
      <w:pPr>
        <w:ind w:right="120" w:firstLine="656"/>
        <w:spacing w:after="0" w:line="282" w:lineRule="auto"/>
        <w:tabs>
          <w:tab w:leader="none" w:pos="139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issued upon any transfer or exchange pursuant to the terms of this First Supplemental Indenture shall evidence the same debt and shall be entitled to the same benefits under the Indenture as the Notes surrendered upon such transfer or exchange.</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Definitive Note delivered in exchange for an interest in the Transfer Restricted Note shall, except as otherwise provided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2.02(e)hereof, contain the applicable Restricted Notes Legend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2.02(e)(ii) hereof.</w:t>
      </w:r>
    </w:p>
    <w:p>
      <w:pPr>
        <w:spacing w:after="0" w:line="207" w:lineRule="exact"/>
        <w:rPr>
          <w:sz w:val="20"/>
          <w:szCs w:val="20"/>
          <w:color w:val="auto"/>
        </w:rPr>
      </w:pPr>
    </w:p>
    <w:p>
      <w:pPr>
        <w:jc w:val="both"/>
        <w:ind w:right="380" w:firstLine="656"/>
        <w:spacing w:after="0" w:line="266" w:lineRule="auto"/>
        <w:tabs>
          <w:tab w:leader="none" w:pos="13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acceptance of any Note containing any legend in Section 2.02(e), each Holder of such Note acknowledges the restrictions on transfer of such Note set forth in this Indenture and in such legend in Section 2.02(e) and agrees that it shall transfer such Note only as provided in this Indenture.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Amount; Terms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56"/>
        <w:spacing w:after="0" w:line="258" w:lineRule="auto"/>
        <w:tabs>
          <w:tab w:leader="none" w:pos="138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hereby created and designated a Series of Securities under the Base Indenture: the title of the Notes shall be “7.500% Notes due 2027.” The changes, modifications and supplements to the Base Indenture effected by this First Supplemental Indenture shall be applicable only with respect to, and govern the terms of, the Notes and shall not apply to any other Series of Securities that may be issued under the Base Indenture unless a supplemental indenture or Authorizing Resolution with respect to such other Series of Securities or Officer’s Certificate establishing such Series of Securities specifically incorporates such changes, modifications and supplements.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3" w:name="page94"/>
    <w:bookmarkEnd w:id="93"/>
    <w:p>
      <w:pPr>
        <w:ind w:left="1400" w:hanging="744"/>
        <w:spacing w:after="0"/>
        <w:tabs>
          <w:tab w:leader="none" w:pos="14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Notes that initially may be authenticated and delivered under this First Supplemental Indenture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shall be limited to $355,000,000, subject to increase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w:t>
      </w:r>
    </w:p>
    <w:p>
      <w:pPr>
        <w:spacing w:after="0" w:line="206" w:lineRule="exact"/>
        <w:rPr>
          <w:rFonts w:ascii="Times New Roman" w:cs="Times New Roman" w:eastAsia="Times New Roman" w:hAnsi="Times New Roman"/>
          <w:sz w:val="18"/>
          <w:szCs w:val="18"/>
          <w:color w:val="auto"/>
        </w:rPr>
      </w:pPr>
    </w:p>
    <w:p>
      <w:pPr>
        <w:ind w:right="160" w:firstLine="656"/>
        <w:spacing w:after="0" w:line="266" w:lineRule="auto"/>
        <w:tabs>
          <w:tab w:leader="none" w:pos="138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Maturity of the Notes, on which principal thereof is due and payable, shall be November 15, 2027. The Notes shall be payable and may be presented for payment, purchase, redemption, registration of transfer and exchange at the office of the Company maintained for such purpose, which shall initially be the Corporate Trust Office of the Trustee.</w:t>
      </w:r>
    </w:p>
    <w:p>
      <w:pPr>
        <w:spacing w:after="0" w:line="175" w:lineRule="exact"/>
        <w:rPr>
          <w:rFonts w:ascii="Times New Roman" w:cs="Times New Roman" w:eastAsia="Times New Roman" w:hAnsi="Times New Roman"/>
          <w:sz w:val="18"/>
          <w:szCs w:val="18"/>
          <w:color w:val="auto"/>
        </w:rPr>
      </w:pPr>
    </w:p>
    <w:p>
      <w:pPr>
        <w:ind w:firstLine="656"/>
        <w:spacing w:after="0" w:line="253" w:lineRule="auto"/>
        <w:tabs>
          <w:tab w:leader="none" w:pos="139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shall accrue interest at the rate of 7.500% per year, in each case beginning on October 25, 2022 or from the most recent date to which interest has been paid or duly provided for, as further provided in the form of Note annexed hereto as Exhibit A. Interest on the Notes shall be computed on the basis of a 360-day year comprised of twelve 30-day months. The Interest Payment Dates for the Notes shall be May 15 and November 15 of each year, beginning on May 15, 2023, and the Regular Record Date for any interest payable on each such Interest Payment Date shall be the immediately preceding April 30 and October 31,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Stated Maturity of the principal of the Notes, interest shall be payable on such Stated Maturity from the most recent date to which interest has been paid or duly provided, and shall include the required payment of principal or premium, if any. If any Interest Payment Date, Stated Maturity or other payment date with respect to the Notes is not a Business Day, the required payment of principal, premium, if any, or interest will be due on the next succeeding Business Day as if made on the date that such payment was due, and no interest will accrue on that payment for the period from and after that Interest Payment Date, Stated Maturity or other payment date, as the case may be, to the date of that payment on the next succeeding Business Day.</w:t>
      </w:r>
    </w:p>
    <w:p>
      <w:pPr>
        <w:spacing w:after="0" w:line="194" w:lineRule="exact"/>
        <w:rPr>
          <w:rFonts w:ascii="Times New Roman" w:cs="Times New Roman" w:eastAsia="Times New Roman" w:hAnsi="Times New Roman"/>
          <w:sz w:val="18"/>
          <w:szCs w:val="18"/>
          <w:color w:val="auto"/>
        </w:rPr>
      </w:pPr>
    </w:p>
    <w:p>
      <w:pPr>
        <w:ind w:right="540" w:firstLine="656"/>
        <w:spacing w:after="0" w:line="282" w:lineRule="auto"/>
        <w:tabs>
          <w:tab w:leader="none" w:pos="138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initially issued in the form of one or more Global Notes, deposited with the Trustee, as Notes Custodian, or its nominee, duly executed by the Company and authenticated by the Trustee as provided in the Base Indenture.</w:t>
      </w:r>
    </w:p>
    <w:p>
      <w:pPr>
        <w:spacing w:after="0" w:line="161" w:lineRule="exact"/>
        <w:rPr>
          <w:rFonts w:ascii="Times New Roman" w:cs="Times New Roman" w:eastAsia="Times New Roman" w:hAnsi="Times New Roman"/>
          <w:sz w:val="18"/>
          <w:szCs w:val="18"/>
          <w:color w:val="auto"/>
        </w:rPr>
      </w:pPr>
    </w:p>
    <w:p>
      <w:pPr>
        <w:ind w:right="60" w:firstLine="656"/>
        <w:spacing w:after="0" w:line="257" w:lineRule="auto"/>
        <w:tabs>
          <w:tab w:leader="none" w:pos="136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principal of and premium, if any, and interest on a Global Note registered in the name of or held by the Depositary or its nominee will be made in immediately available funds to the Depositary or its nominee, as the case may be, as the Holder of such Global Note. If the Notes are no longer represented by a Global Note, payment of interest on certificated Notes in definitive form may, at the Company’s option, be made by</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mailed directly to Holders of such Notes at their registered addresses or (ii) upon request of any Holder of at least $1,000,000 principal amount of Notes, wire transfer to an account located in the United States maintained by the payee.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4" w:name="page95"/>
    <w:bookmarkEnd w:id="94"/>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Denominations</w:t>
      </w:r>
      <w:r>
        <w:rPr>
          <w:rFonts w:ascii="Times New Roman" w:cs="Times New Roman" w:eastAsia="Times New Roman" w:hAnsi="Times New Roman"/>
          <w:sz w:val="18"/>
          <w:szCs w:val="18"/>
          <w:color w:val="auto"/>
        </w:rPr>
        <w:t>. The Notes of each Series shall be issuable only in registered form in minimum denominations of $2,000 and integral multiples of $1,000 in excess thereof.</w:t>
      </w:r>
    </w:p>
    <w:p>
      <w:pPr>
        <w:spacing w:after="0" w:line="158"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Book-entry Provisions for Global Securities</w:t>
      </w:r>
      <w:r>
        <w:rPr>
          <w:rFonts w:ascii="Times New Roman" w:cs="Times New Roman" w:eastAsia="Times New Roman" w:hAnsi="Times New Roman"/>
          <w:sz w:val="18"/>
          <w:szCs w:val="18"/>
          <w:color w:val="auto"/>
        </w:rPr>
        <w:t>. Except for the circumstances described in Article 2 of the Base Indenture, no Global Note may be exchanged in whole or in part for Notes registered, and no transfer of a Global Note in whole or in part may be registered, in the name of any Person other than the Depositary for such Global Note or a nominee thereof.</w:t>
      </w:r>
    </w:p>
    <w:p>
      <w:pPr>
        <w:spacing w:after="0" w:line="17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The Company may from time to time, without notice to or the consent of the Holders of the Notes, create and issue pursuant to the Indenture additional Notes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having the same terms as, and ranking equally and ratably with, the Notes in all respects (except for the issue date, the public offering price and, if applicable, the payment of interest accruing prior to the issue date of such Additional Notes and the first payment of interest following the issue date of such Additional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Notes are not fungible with the Notes for U.S. federal income tax purposes, such Additional Notes will have a separate CUSIP number. Such Additional Notes may be consolidated and form a single series with, and will have the same terms as to ranking, redemption, waivers, amendments or otherwise as, the Notes, and will vote together as one class on all matters with respect to such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edemption 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epurchase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Applicability of Base Indenture</w:t>
      </w:r>
      <w:r>
        <w:rPr>
          <w:rFonts w:ascii="Times New Roman" w:cs="Times New Roman" w:eastAsia="Times New Roman" w:hAnsi="Times New Roman"/>
          <w:sz w:val="18"/>
          <w:szCs w:val="18"/>
          <w:color w:val="auto"/>
        </w:rPr>
        <w:t>. Subject to ‎Section 1.02 hereof, the provisions of Article 3 of the Base Indenture, as supplemented by the provisions of this First Supplemental Indenture, shall apply to redemptions of the Notes pursuant to ‎Section 4.02 hereof.</w:t>
      </w:r>
    </w:p>
    <w:p>
      <w:pPr>
        <w:spacing w:after="0" w:line="15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Optional Redemption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8" w:lineRule="auto"/>
        <w:tabs>
          <w:tab w:leader="none" w:pos="14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November 15, 2024, the Company may redeem the Notes at its option, in whole at any time or in part from time to time, upon not less than 10 nor more than 60 days’ prior notice mailed by the Company by first-class mail, or delivered electronically if held by DTC, to each Holder’s registered address, at the following redemption prices (expressed as a percentage of principal amount), plus accrued and unpaid interest to, but excluding, the Redemption Date (subject to the right of Holders of record on the relevant Regular Record Date to receive interest due on the relevant Interest Payment Date), if redeemed during the 12-month period commencing on November 15 of the years set forth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r>
      <w:tr>
        <w:trPr>
          <w:trHeight w:val="238"/>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6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Borders>
              <w:bottom w:val="single" w:sz="8" w:color="CCEEFF"/>
            </w:tcBorders>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103.750%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101.875%</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7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648"/>
        </w:trPr>
        <w:tc>
          <w:tcPr>
            <w:tcW w:w="34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jc w:val="right"/>
              <w:ind w:right="39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95" w:name="page96"/>
    <w:bookmarkEnd w:id="95"/>
    <w:p>
      <w:pPr>
        <w:ind w:right="40" w:firstLine="656"/>
        <w:spacing w:after="0" w:line="258" w:lineRule="auto"/>
        <w:tabs>
          <w:tab w:leader="none" w:pos="13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prior to November 15, 2024, the Company may redeem the Notes at its option, in whole at any time or in part from time to time, upon not less than 10 nor more than 60 days’ prior notice mailed by the Company by first class mail, or delivered electronically if held by DTC, to each Holder’s registered address, at a redemption price equal to 100% of the principal amount of the Notes redeemed, plus the Applicable Premium as of, and accrued and unpaid interest to, but excluding, the applicable Redemption Date (subject to the right of Holders of record on the relevant Regular Record Date to receive interest due on the relevant Interest Payment Date).</w:t>
      </w:r>
    </w:p>
    <w:p>
      <w:pPr>
        <w:spacing w:after="0" w:line="183" w:lineRule="exact"/>
        <w:rPr>
          <w:rFonts w:ascii="Times New Roman" w:cs="Times New Roman" w:eastAsia="Times New Roman" w:hAnsi="Times New Roman"/>
          <w:sz w:val="18"/>
          <w:szCs w:val="18"/>
          <w:color w:val="auto"/>
        </w:rPr>
      </w:pPr>
    </w:p>
    <w:p>
      <w:pPr>
        <w:ind w:firstLine="656"/>
        <w:spacing w:after="0" w:line="252" w:lineRule="auto"/>
        <w:tabs>
          <w:tab w:leader="none" w:pos="13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any time and from time to time on or prior to November 15, 2024, the Company may redeem in the aggregate up to 40% of the original aggregate principal amount of the Notes (calculated after giving effect to any issuance of Additional Notes) with the net cash proceeds of one or more Equity Offerings (1) by the Company or (2) by any direct or indirect parent of the Company to the extent the net cash proceeds thereof are contributed to the common equity capital of the Company or used to purchase capital stock (other than Disqualified Stock) of the Company, at a redemption price (expressed as a percentage of principal amount thereof) of 107.500%, plus accrued and unpaid interest to, but excluding, the Redemption Date (subject to the right of Holders of record on the relevant Regular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at least 50% of the original aggregate principal amount of the Notes (calculated after giving effect to any issuance of Additional Notes) must remain outstanding after each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redemption shall occur within 90 days after the date on which any such Equity Offering is consummated upon not less than 30 nor more than 60 days’ notice mailed, or delivered electronically if held by DTC, by</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each Holder of Notes being redeemed and otherwise in accordance with the procedures set forth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p>
      <w:pPr>
        <w:spacing w:after="0" w:line="206" w:lineRule="exact"/>
        <w:rPr>
          <w:rFonts w:ascii="Times New Roman" w:cs="Times New Roman" w:eastAsia="Times New Roman" w:hAnsi="Times New Roman"/>
          <w:sz w:val="18"/>
          <w:szCs w:val="18"/>
          <w:color w:val="auto"/>
        </w:rPr>
      </w:pPr>
    </w:p>
    <w:p>
      <w:pPr>
        <w:ind w:right="60" w:firstLine="656"/>
        <w:spacing w:after="0" w:line="282" w:lineRule="auto"/>
        <w:tabs>
          <w:tab w:leader="none" w:pos="13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the payment of the redemption price, on and after the Redemption Date, interest will cease to accrue on the Notes, or portions thereof, called for redemption.</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i w:val="1"/>
          <w:iCs w:val="1"/>
          <w:color w:val="auto"/>
        </w:rPr>
        <w:t>Escrow of Proceeds; Special Mandatory Redemption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60" w:firstLine="656"/>
        <w:spacing w:after="0" w:line="254" w:lineRule="auto"/>
        <w:tabs>
          <w:tab w:leader="none" w:pos="138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(x) the Company has not delivered the Spin Certificate to the Trustee and the Escrow Agent prior to 11:59 p.m. (New York City time) on or prior to April 25, 2023 (the date that is six months after the Issue Date with respect to the Notes), (y) the Escrowed Property is released to the Company or to such other Person as the Company directs but the Merger and the distribution are not consummated at or prior to 11:59 p.m. (New York City time) on the fifth Business Day following the date on which such Escrowed Property is so released or (z) the Company notifies the Escrow Agent and the Trustee in writing that the Company will not pursue the Merger and the distribution (the earliest such event described in clause (x),</w:t>
      </w:r>
    </w:p>
    <w:p>
      <w:pPr>
        <w:spacing w:after="0" w:line="3" w:lineRule="exact"/>
        <w:rPr>
          <w:rFonts w:ascii="Times New Roman" w:cs="Times New Roman" w:eastAsia="Times New Roman" w:hAnsi="Times New Roman"/>
          <w:sz w:val="18"/>
          <w:szCs w:val="18"/>
          <w:color w:val="auto"/>
        </w:rPr>
      </w:pPr>
    </w:p>
    <w:p>
      <w:pPr>
        <w:ind w:right="180" w:firstLine="8"/>
        <w:spacing w:after="0" w:line="255" w:lineRule="auto"/>
        <w:tabs>
          <w:tab w:leader="none" w:pos="2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(z), if any, the “Special Mandatory Redemption Event”), the Company will be required to redeem the Notes then outstanding (such redemption, the “Special Mandatory Redemption”) at a redemption price equal to 101% of the principal amount of the Notes to be redeemed, plus accrued and unpaid interest thereon to, but excluding, the Special Mandatory Redemption Date (the “Special Mandatory Redemption Price”).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firstLine="656"/>
        <w:spacing w:after="0" w:line="252" w:lineRule="auto"/>
        <w:tabs>
          <w:tab w:leader="none" w:pos="139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becomes obligated to redeem the Notes pursuant to the Special Mandatory Redemption, the Company will promptly, and in any event not more than ten Business Days after the Special Mandatory Redemption Event, deliver to the Trustee and the Escrow Agent notice (the date on which such notice is delivered, the “Special Mandatory Redemption Notice Date”) of the Special Mandatory Redemption and the date upon which such Notes will be redeemed (the “Special Mandatory Redemption Date,” which date shall be no later than the third Business Day following the Special Mandatory Redemption Notice Date) and to the Trustee a notice of Special Mandatory Redemption for the Trustee to deliver to each registered Holder of Notes to be redeemed. Upon delivery by the Company to the Trustee of the notice of Special Mandatory Redemption, the Trustee will promptly mail, or deliver electronically if such Notes are held by any Depositary (including, without limitation, DTC) in accordance with such Depositary’s customary procedures, such notice of Special Mandatory Redemption to each registered Holder of Notes to be redeemed at its registered address (so long as such notice is delivered to the Trustee at least one Business Day prior to the date such notice is to be sent (or such shorter period as the Trustee may agree)). On the Business Day immediately following the Special Mandatory Redemption Notice Date, the Escrow Agent, without the requirement of further notice to or action by the Company or any other person, shall liquidate all Escrowed Property and release the Escrowed Property to the Trustee. On or prior to the Special Mandatory Redemption Date, if necessary, the Company shall deposit or cause to be deposited with the Trustee immediately available funds in U.S. dollars in an amount sufficient, when taken together with such liquidated Escrowed Property, to pay the Special Mandatory Redemption Price on all Notes to be redeemed on such date. The Trustee shall apply such liquidated Escrowed Property and such deposited funds on the Special Mandatory Redemption Date to the Special Mandatory Redemption. Unless the Company defaults in payment of the Special Mandatory Redemption Price, on and after such Special Mandatory Redemption Date, interest will cease to accrue on the Notes to be redeemed. The Trustee will release to the Company any liquidated Escrowed Property or other deposited funds remaining after the Notes are redeemed.</w:t>
      </w:r>
    </w:p>
    <w:p>
      <w:pPr>
        <w:spacing w:after="0" w:line="193" w:lineRule="exact"/>
        <w:rPr>
          <w:rFonts w:ascii="Times New Roman" w:cs="Times New Roman" w:eastAsia="Times New Roman" w:hAnsi="Times New Roman"/>
          <w:sz w:val="18"/>
          <w:szCs w:val="18"/>
          <w:color w:val="auto"/>
        </w:rPr>
      </w:pPr>
    </w:p>
    <w:p>
      <w:pPr>
        <w:ind w:right="20" w:firstLine="656"/>
        <w:spacing w:after="0" w:line="266" w:lineRule="auto"/>
        <w:tabs>
          <w:tab w:leader="none" w:pos="13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installments of interest on the Notes that are due and payable on Interest Payment Dates falling on or prior to the Special Mandatory Redemption Date will be payable on such Interest Payment Dates to the registered Holders as of the close of business on the relevant Regular Record Dates in accordance with the Notes and the Indenture.</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make any mandatory redemption or sinking fund payments with respect to the Notes, except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Mandatory Redemption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4.03 hereof, if applicable.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i w:val="1"/>
          <w:iCs w:val="1"/>
          <w:color w:val="auto"/>
        </w:rPr>
        <w:t>Repurchase of Notes Upon a Change of Control</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400" w:hanging="744"/>
        <w:spacing w:after="0"/>
        <w:tabs>
          <w:tab w:leader="none" w:pos="14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Repurchase Event occurs with respect to the Notes, unless the Company has exercised its right to redeem the</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as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of this First Supplemental Indenture, the Company is required to make an offer (the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to each Holder of the Notes to repurchase all or any part (in excess of $2,000 and in integral multiples of $1,000) of that Holder’s Notes, at a repurchase price in cash equal to 101% of the aggregate principal amount of the Notes repurchased plus any accrued and unpaid interest on the Notes repurchased to, but excluding, the date of repurchase. Within 30 days following any Change of Control Repurchase Event or, at the option of the Company, prior to any Change of Control, but after the public announcement of the transaction that constitutes or may constitute a Change of Control, the Company will electronically deliver or mail a notice to each Holder of the Notes, with a copy to the Trustee, describing the transaction or transactions that constitute or may constitute the Change of Control Repurchase Event and offering to repurchase the Notes on the payment date specified in the notice, which date will be no earlier than 30 days and no later than 60 days from the date such notice is electronically delivered or mailed (the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notice shall, if electronically delivered or mailed prior to the date of consummation of the Change of Control, state that the offer to purchase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conditioned on a Change of Control Repurchase Event occurring on or prior to the Change of Control Payment Date.</w:t>
      </w:r>
    </w:p>
    <w:p>
      <w:pPr>
        <w:spacing w:after="0" w:line="192"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will, to the extent lawful:</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the Notes or portions of the Notes properly tendered pursuant to the Change of Control Offer;</w:t>
      </w:r>
    </w:p>
    <w:p>
      <w:pPr>
        <w:spacing w:after="0" w:line="225" w:lineRule="exact"/>
        <w:rPr>
          <w:rFonts w:ascii="Times New Roman" w:cs="Times New Roman" w:eastAsia="Times New Roman" w:hAnsi="Times New Roman"/>
          <w:sz w:val="18"/>
          <w:szCs w:val="18"/>
          <w:color w:val="auto"/>
        </w:rPr>
      </w:pPr>
    </w:p>
    <w:p>
      <w:pPr>
        <w:ind w:left="660" w:right="180" w:firstLine="968"/>
        <w:spacing w:after="0" w:line="282" w:lineRule="auto"/>
        <w:tabs>
          <w:tab w:leader="none" w:pos="23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the Notes or portions of the Notes properly tendered; and</w:t>
      </w:r>
    </w:p>
    <w:p>
      <w:pPr>
        <w:spacing w:after="0" w:line="161" w:lineRule="exact"/>
        <w:rPr>
          <w:rFonts w:ascii="Times New Roman" w:cs="Times New Roman" w:eastAsia="Times New Roman" w:hAnsi="Times New Roman"/>
          <w:sz w:val="18"/>
          <w:szCs w:val="18"/>
          <w:color w:val="auto"/>
        </w:rPr>
      </w:pPr>
    </w:p>
    <w:p>
      <w:pPr>
        <w:ind w:left="660" w:right="120" w:firstLine="968"/>
        <w:spacing w:after="0" w:line="282" w:lineRule="auto"/>
        <w:tabs>
          <w:tab w:leader="none" w:pos="244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61" w:lineRule="exact"/>
        <w:rPr>
          <w:rFonts w:ascii="Times New Roman" w:cs="Times New Roman" w:eastAsia="Times New Roman" w:hAnsi="Times New Roman"/>
          <w:sz w:val="18"/>
          <w:szCs w:val="18"/>
          <w:color w:val="auto"/>
        </w:rPr>
      </w:pPr>
    </w:p>
    <w:p>
      <w:pPr>
        <w:ind w:right="400" w:firstLine="656"/>
        <w:spacing w:after="0" w:line="266" w:lineRule="auto"/>
        <w:tabs>
          <w:tab w:leader="none" w:pos="13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will promptly deliver to each Holder of Notes properly tendered payment for such Notes, and the Trustee will promptly authenticate and deliver (or cause to be transferred by book-entry) to each Holder a new Note equal in principal amount to any unpurchased portion of any Notes surrendered.</w:t>
      </w:r>
    </w:p>
    <w:p>
      <w:pPr>
        <w:spacing w:after="0" w:line="175" w:lineRule="exact"/>
        <w:rPr>
          <w:rFonts w:ascii="Times New Roman" w:cs="Times New Roman" w:eastAsia="Times New Roman" w:hAnsi="Times New Roman"/>
          <w:sz w:val="18"/>
          <w:szCs w:val="18"/>
          <w:color w:val="auto"/>
        </w:rPr>
      </w:pPr>
    </w:p>
    <w:p>
      <w:pPr>
        <w:ind w:right="60" w:firstLine="656"/>
        <w:spacing w:after="0" w:line="266" w:lineRule="auto"/>
        <w:tabs>
          <w:tab w:leader="none" w:pos="13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make an offer to repurchase Notes in connection with a Change of Control Repurchase Event if a third party makes such an offer in the manner and at the times and otherwise in compliance with the requirements hereunder for such an offer made by the Company, and such third party purchases all Notes validly tendered and not withdrawn under its offer.</w:t>
      </w:r>
    </w:p>
    <w:p>
      <w:pPr>
        <w:spacing w:after="0" w:line="175" w:lineRule="exact"/>
        <w:rPr>
          <w:rFonts w:ascii="Times New Roman" w:cs="Times New Roman" w:eastAsia="Times New Roman" w:hAnsi="Times New Roman"/>
          <w:sz w:val="18"/>
          <w:szCs w:val="18"/>
          <w:color w:val="auto"/>
        </w:rPr>
      </w:pPr>
    </w:p>
    <w:p>
      <w:pPr>
        <w:ind w:firstLine="656"/>
        <w:spacing w:after="0" w:line="256" w:lineRule="auto"/>
        <w:tabs>
          <w:tab w:leader="none" w:pos="13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 in aggregate principal amount of the Notes validly tender and do not withdraw such Notes in an offer to repurchase the Notes in connection with a Change of Control Repurchase Event and the Company purchases all of the Notes validly tendered and not withdrawn by such Holders, the Company will have the right, upon not less than 10 nor more than 60 days’ prior written notice to the Holders of Notes and the Trustee, given not more than 30 days following the Change of Control Payment Date, to redeem all Notes that remain outstanding following such purchase at a redemption price in cash equal to 101% of the principal amount thereof, plus accrued and unpaid interest to, but excluding, the Redemption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98" w:name="page99"/>
    <w:bookmarkEnd w:id="98"/>
    <w:p>
      <w:pPr>
        <w:ind w:right="80" w:firstLine="656"/>
        <w:spacing w:after="0" w:line="270" w:lineRule="auto"/>
        <w:tabs>
          <w:tab w:leader="none" w:pos="136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Indenture or the Notes, the Company will comply with the applicable securities laws and regulations and will not be deemed to have breached its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obligations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4.04 or the Notes by virtue of compliance with such securities laws and regulations.</w:t>
      </w:r>
    </w:p>
    <w:p>
      <w:pPr>
        <w:spacing w:after="0" w:line="206" w:lineRule="exact"/>
        <w:rPr>
          <w:rFonts w:ascii="Times New Roman" w:cs="Times New Roman" w:eastAsia="Times New Roman" w:hAnsi="Times New Roman"/>
          <w:sz w:val="17"/>
          <w:szCs w:val="17"/>
          <w:color w:val="auto"/>
        </w:rPr>
      </w:pPr>
    </w:p>
    <w:p>
      <w:pPr>
        <w:ind w:right="120" w:firstLine="656"/>
        <w:spacing w:after="0" w:line="266" w:lineRule="auto"/>
        <w:tabs>
          <w:tab w:leader="none" w:pos="139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Indenture or otherwise, for the avoidance of doubt, the Company’s obligation to repurchase Notes upon a Change of Control Repurchase Event may be waived by the Holders of not less than a majority in aggregate principal amount of the outstanding Notes affected by such waiver.</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Covenants</w:t>
      </w:r>
      <w:r>
        <w:rPr>
          <w:rFonts w:ascii="Times New Roman" w:cs="Times New Roman" w:eastAsia="Times New Roman" w:hAnsi="Times New Roman"/>
          <w:sz w:val="17"/>
          <w:szCs w:val="17"/>
          <w:color w:val="auto"/>
        </w:rPr>
        <w:t>. Article 4 and ‎Article 5 of the Base Indenture shall apply to the Notes.</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i w:val="1"/>
          <w:iCs w:val="1"/>
          <w:color w:val="auto"/>
        </w:rPr>
        <w:t>Defaults and Remedies</w:t>
      </w:r>
      <w:r>
        <w:rPr>
          <w:rFonts w:ascii="Times New Roman" w:cs="Times New Roman" w:eastAsia="Times New Roman" w:hAnsi="Times New Roman"/>
          <w:sz w:val="17"/>
          <w:szCs w:val="17"/>
          <w:color w:val="auto"/>
        </w:rPr>
        <w:t>. Article 6 of the Base Indenture shall apply to the Notes.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scrow</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atters</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Escrow Account</w:t>
      </w:r>
      <w:r>
        <w:rPr>
          <w:rFonts w:ascii="Times New Roman" w:cs="Times New Roman" w:eastAsia="Times New Roman" w:hAnsi="Times New Roman"/>
          <w:sz w:val="18"/>
          <w:szCs w:val="18"/>
          <w:color w:val="auto"/>
        </w:rPr>
        <w:t>. The Escrow Issuer shall, pursuant to the terms of the Escrow Agreement, deposit (or cause to be deposited) into the Escrow Account the net proceeds of the offering of the Initial Notes.</w:t>
      </w:r>
    </w:p>
    <w:p>
      <w:pPr>
        <w:spacing w:after="0" w:line="158"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Release of Escrowed Property</w:t>
      </w:r>
      <w:r>
        <w:rPr>
          <w:rFonts w:ascii="Times New Roman" w:cs="Times New Roman" w:eastAsia="Times New Roman" w:hAnsi="Times New Roman"/>
          <w:sz w:val="18"/>
          <w:szCs w:val="18"/>
          <w:color w:val="auto"/>
        </w:rPr>
        <w:t>. The Escrow Agreement provides that subject to the terms and conditions set forth therein, the Escrow Agent will liquidate all Escrowed Property then held by it and cause the release of the proceeds of such liquidated Escrowed Property to the Company or to such other Person as the Company directs in accordance with the terms of the Escrow Agreement.</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Trustee Direction to Execute Escrow Agreement</w:t>
      </w:r>
      <w:r>
        <w:rPr>
          <w:rFonts w:ascii="Times New Roman" w:cs="Times New Roman" w:eastAsia="Times New Roman" w:hAnsi="Times New Roman"/>
          <w:sz w:val="18"/>
          <w:szCs w:val="18"/>
          <w:color w:val="auto"/>
        </w:rPr>
        <w:t>. The Trustee is hereby authorized and directed to execute and deliver the Escrow Agreement.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9" w:name="page100"/>
    <w:bookmarkEnd w:id="99"/>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i w:val="1"/>
          <w:iCs w:val="1"/>
          <w:color w:val="auto"/>
        </w:rPr>
        <w:t>Activities Prior to the Merger Date.</w:t>
      </w:r>
    </w:p>
    <w:p>
      <w:pPr>
        <w:spacing w:after="0" w:line="227" w:lineRule="exact"/>
        <w:rPr>
          <w:sz w:val="20"/>
          <w:szCs w:val="20"/>
          <w:color w:val="auto"/>
        </w:rPr>
      </w:pPr>
    </w:p>
    <w:p>
      <w:pPr>
        <w:jc w:val="both"/>
        <w:ind w:right="380" w:firstLine="656"/>
        <w:spacing w:after="0" w:line="276" w:lineRule="auto"/>
        <w:tabs>
          <w:tab w:leader="none" w:pos="138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Merger Date, Escrow Issuer’s primary activities shall be restricted to issuing the Notes, entering into and performing its obligations under the Indenture, the Notes, the Escrow Agreement and the Purchase Agreement, consummating the Merger, redeeming or repaying the</w:t>
      </w:r>
    </w:p>
    <w:p>
      <w:pPr>
        <w:ind w:right="2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Notes, if applicable,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4.03 hereof, and conducting such other activities as are necessary or appropriate to carry out the activities described above. Prior to the Merger Date, Escrow Issuer shall not own, hold or otherwise have any interest in any material assets other than the Escrow Account and shall not incur any other material liabilities or conduct any other activities other than related to the foregoing.</w:t>
      </w:r>
    </w:p>
    <w:p>
      <w:pPr>
        <w:spacing w:after="0" w:line="185" w:lineRule="exact"/>
        <w:rPr>
          <w:rFonts w:ascii="Times New Roman" w:cs="Times New Roman" w:eastAsia="Times New Roman" w:hAnsi="Times New Roman"/>
          <w:sz w:val="17"/>
          <w:szCs w:val="17"/>
          <w:color w:val="auto"/>
        </w:rPr>
      </w:pPr>
    </w:p>
    <w:p>
      <w:pPr>
        <w:ind w:right="240" w:firstLine="656"/>
        <w:spacing w:after="0" w:line="282" w:lineRule="auto"/>
        <w:tabs>
          <w:tab w:leader="none" w:pos="139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Date, RXO and its Subsidiaries shall not be subject to any of the covenants set forth in the Indenture or otherwise obligated under the Indenture.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ind w:right="4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Confirmation of Indenture</w:t>
      </w:r>
      <w:r>
        <w:rPr>
          <w:rFonts w:ascii="Times New Roman" w:cs="Times New Roman" w:eastAsia="Times New Roman" w:hAnsi="Times New Roman"/>
          <w:sz w:val="18"/>
          <w:szCs w:val="18"/>
          <w:color w:val="auto"/>
        </w:rPr>
        <w:t>. The Base Indenture, as supplemented and amended by this First Supplemental Indenture, is in all respects ratified and confirmed, and the Base Indenture and this First Supplemental Indenture shall be read, taken and construed as one and the same instrument.</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The parties hereto may sign any number of copies of this First Supplemental Indenture. Each signed copy shall be an original, but all of them together represent the same agreement. Signatures of the parties hereto transmitted by facsimile or other electronic transmission shall be deemed to be their original signatures for all purposes. This First Supplemental Indenture shall be valid, binding, and enforceable against a party (subject to applicable bankruptcy, insolvency, fraudulent transfer, fraudulent conveyance, reorganization, moratorium and other laws now or hereinafter in effect affecting creditors’ rights or remedies generally and to general principles of equity (including standards of materiality, good faith, fair dealing and reasonableness), whether considered in a proceeding at law or at equity)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NYUCC (collectively, “</w:t>
      </w:r>
      <w:r>
        <w:rPr>
          <w:rFonts w:ascii="Times New Roman" w:cs="Times New Roman" w:eastAsia="Times New Roman" w:hAnsi="Times New Roman"/>
          <w:sz w:val="18"/>
          <w:szCs w:val="18"/>
          <w:b w:val="1"/>
          <w:bCs w:val="1"/>
          <w:color w:val="auto"/>
        </w:rPr>
        <w:t>Signature Law</w:t>
      </w:r>
      <w:r>
        <w:rPr>
          <w:rFonts w:ascii="Times New Roman" w:cs="Times New Roman" w:eastAsia="Times New Roman" w:hAnsi="Times New Roman"/>
          <w:sz w:val="18"/>
          <w:szCs w:val="18"/>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NYUCC or other Signature Law due to the character or intended character of the writings. The Trustee shall not have any duty to confirm that the person sending any notice by electronic transmission (including by e-mail) is, in fact, a person authorized to do so. Notwithstanding the foregoing, the Trustee may in any instance and in its sole discretion require that an original document bearing a manual signature be delivered to the Trustee in lieu of, or in addition to, any such electronic Notice. The Company agrees to assume all risks arising out of the use of electronic signatures and electronic methods to submit instructions and directions to the Trustee, including without limitation the risk of the Trustee acting on unauthorized instructions, and the risk of interception and misuse by third parties.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0" w:name="page101"/>
    <w:bookmarkEnd w:id="100"/>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First Supplemental Indenture and the Notes shall be governed by and construed in accordance with the laws of the State of New York.</w:t>
      </w:r>
    </w:p>
    <w:p>
      <w:pPr>
        <w:spacing w:after="0" w:line="158"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17"/>
          <w:szCs w:val="17"/>
          <w:color w:val="auto"/>
        </w:rPr>
        <w:t xml:space="preserve">Section 7.04. </w:t>
      </w:r>
      <w:r>
        <w:rPr>
          <w:rFonts w:ascii="Times New Roman" w:cs="Times New Roman" w:eastAsia="Times New Roman" w:hAnsi="Times New Roman"/>
          <w:sz w:val="17"/>
          <w:szCs w:val="17"/>
          <w:i w:val="1"/>
          <w:iCs w:val="1"/>
          <w:color w:val="auto"/>
        </w:rPr>
        <w:t>Waiver of Jury Trial</w:t>
      </w:r>
      <w:r>
        <w:rPr>
          <w:rFonts w:ascii="Times New Roman" w:cs="Times New Roman" w:eastAsia="Times New Roman" w:hAnsi="Times New Roman"/>
          <w:sz w:val="17"/>
          <w:szCs w:val="17"/>
          <w:color w:val="auto"/>
        </w:rPr>
        <w:t>. EACH OF THE COMPANY AND THE TRUSTEE HEREBY IRREVOCABLY WAIVES, TO THE FULLEST EXTENT PERMITTED BY APPLICABLE LAW, ANY AND ALL RIGHT TO TRIAL BY JURY IN ANY LEGAL PROCEEDING ARISING OUT OF OR RELATING TO THIS FIRST SUPPLEMENTAL INDENTURE, THE NOTES OR THE TRANSACTION CONTEMPLATED HEREBY.</w:t>
      </w:r>
    </w:p>
    <w:p>
      <w:pPr>
        <w:spacing w:after="0" w:line="15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The Company and the Trustee, and each Holder of a Note by its acceptance thereof, hereby (i) irrevocably submit to the non-exclusive jurisdiction of any federal or state court sitting in the Borough of Manhattan, the city of New York, over any suit, action or proceeding arising out of or relating to the First Supplemental Indenture and (ii) to the fullest extent permitted by applicable law, irrevocably waive and agree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Recitals by the Company</w:t>
      </w:r>
      <w:r>
        <w:rPr>
          <w:rFonts w:ascii="Times New Roman" w:cs="Times New Roman" w:eastAsia="Times New Roman" w:hAnsi="Times New Roman"/>
          <w:sz w:val="18"/>
          <w:szCs w:val="18"/>
          <w:color w:val="auto"/>
        </w:rPr>
        <w:t>. The recitals in this First Supplemental Indenture are made by the Company only and not by the Trustee, and the Trustee assumes no responsibility for their correctness. The Trustee makes no representations as to the validity or sufficiency of this First Supplemental Indenture or of the Notes. The Trustee shall not be accountable for the use or application by the Company of the Notes or the proceeds thereof. All of the provisions contained in the Base Indenture in respect of the rights, privileges, immunities, powers and duties of the Trustee shall be applicable in respect of the Notes and of this First Supplemental Indenture as fully and with like effect as if set forth herein in full.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First Supplemental Indenture to be duly executed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XPO ESCROW SUB,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Company</w:t>
      </w:r>
    </w:p>
    <w:p>
      <w:pPr>
        <w:spacing w:after="0" w:line="207"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David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David Murray</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Vice President, Treasurer and Financial Shared Services</w:t>
      </w:r>
    </w:p>
    <w:p>
      <w:pPr>
        <w:spacing w:after="0" w:line="2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XPO Escrow Sub First Supplement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980" w:top="904" w:right="459" w:bottom="1440" w:gutter="0" w:footer="0" w:header="0"/>
        </w:sectPr>
      </w:pPr>
    </w:p>
    <w:bookmarkStart w:id="102" w:name="page103"/>
    <w:bookmarkEnd w:id="102"/>
    <w:p>
      <w:pPr>
        <w:ind w:left="4520"/>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Allison Lancaster-Poole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8"/>
          <w:szCs w:val="18"/>
          <w:color w:val="auto"/>
        </w:rPr>
        <w:t>Name: Allison Lancaster-Poole</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 XPO Escrow Sub First Supplement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3" w:name="page104"/>
    <w:bookmarkEnd w:id="10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 OF NOTE]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[Global Notes Legend]</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OF THE BASE INDENTURE, (III) THIS GLOBAL SECURITY MAY BE DELIVERED TO THE TRUSTEE FOR CANCELLATION PURSUANT TO THE INDENTURE AND (IV) THIS GLOBAL SECURITY MAY BE TRANSFERRED AS A WHOLE, BUT NOT IN PART, TO THE DEPOSITARY, ITS SUCCESSORS OR THEIR RESPECTIVE NOMINEES.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[Restricted Notes Legend]</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 SECURITIES LAWS OF ANY STATE OR OTHER JURISDICTION. BY ITS ACQUISITION HEREOF OR OF A BENEFICIAL INTEREST HEREIN, THE ACQUIRER REPRESENTS THAT</w:t>
      </w:r>
    </w:p>
    <w:p>
      <w:pPr>
        <w:spacing w:after="0" w:line="176" w:lineRule="exact"/>
        <w:rPr>
          <w:sz w:val="20"/>
          <w:szCs w:val="20"/>
          <w:color w:val="auto"/>
        </w:rPr>
      </w:pPr>
    </w:p>
    <w:p>
      <w:pPr>
        <w:ind w:firstLine="656"/>
        <w:spacing w:after="0" w:line="266" w:lineRule="auto"/>
        <w:tabs>
          <w:tab w:leader="none" w:pos="90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ANY ACCOUNT FOR WHICH IT IS ACTING IS A “QUALIFIED INSTITUTIONAL BUYER” (WITHIN THE MEANING OF RULE 144A UNDER THE SECURITIES ACT) AND THAT IT EXERCISES SOLE INVESTMENT DISCRETION WITH RESPECT TO EACH SUCH ACCOUNT, OR</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04" w:name="page105"/>
    <w:bookmarkEnd w:id="104"/>
    <w:p>
      <w:pPr>
        <w:ind w:right="140" w:firstLine="656"/>
        <w:spacing w:after="0" w:line="282" w:lineRule="auto"/>
        <w:tabs>
          <w:tab w:leader="none" w:pos="90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“U.S. PERSON” AND IS OUTSIDE OF THE UNITED STATES (WITHIN THE MEANING OF REGULATION S UNDER THE SECURITIES ACT).</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THAT IS (A) IN THE CASE OF RULE 144A GLOBAL NOTES, ONE YEAR, OR (B) IN THE CASE OF REGULATION S GLOBAL NOTES, 40 DAYS, IN EACH CASE AFTER THE LATER OF THE ORIGINAL ISSUE DATE HEREOF AND THE LAST DATE ON WHICH THE COMPANY OR ANY AFFILIATE OF THE COMPANY WAS THE OWNER OF THIS SECURITY (OR ANY PREDECESSOR OF THIS SECURITY), ONLY (A) TO THE COMPANY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THE COMPANY’S AND THE TRUSTEE’S RIGHT PRIOR TO ANY SUCH OFFER, SALE OR TRANSFER PURSUANT TO CLAUSES (D) OR (E) TO REQUIRE THE DELIVERY OF AN OPINION OF COUNSEL, CERTIFICATION AND/OR OTHER INFORMATION SATISFACTORY TO EACH OF THEM.</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 144A Global Notes]</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[EACH PURCHASER OF THIS SECURITY IS HEREBY NOTIFIED THAT THE SELLER OF THIS SECURITY MAY BE RELYING ON THE EXEMPTION FROM THE PROVISIONS OF SECTION 5 OF THE SECURITIES ACT PROVIDED BY RULE 144A THEREUNDER.]</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XPO ESCROW SUB, LLC</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144A CUSIP No. 98379J AA3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144A ISIN No. US98379JAA34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S CUSIP No. U9840J AA8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REG S ISIN No. USU9840JAA89</w:t>
      </w:r>
    </w:p>
    <w:p>
      <w:pPr>
        <w:spacing w:after="0" w:line="200" w:lineRule="exact"/>
        <w:rPr>
          <w:sz w:val="20"/>
          <w:szCs w:val="20"/>
          <w:color w:val="auto"/>
        </w:rPr>
      </w:pPr>
    </w:p>
    <w:p>
      <w:pPr>
        <w:sectPr>
          <w:pgSz w:w="11900" w:h="16838" w:orient="portrait"/>
          <w:cols w:equalWidth="0" w:num="2">
            <w:col w:w="8040" w:space="720"/>
            <w:col w:w="2480"/>
          </w:cols>
          <w:pgMar w:left="320" w:top="900" w:right="339" w:bottom="1440" w:gutter="0" w:footer="0" w:header="0"/>
          <w:type w:val="continuous"/>
        </w:sectPr>
      </w:pPr>
    </w:p>
    <w:p>
      <w:pPr>
        <w:spacing w:after="0" w:line="18" w:lineRule="exact"/>
        <w:rPr>
          <w:sz w:val="20"/>
          <w:szCs w:val="20"/>
          <w:color w:val="auto"/>
        </w:rPr>
      </w:pPr>
    </w:p>
    <w:p>
      <w:pPr>
        <w:ind w:left="10760"/>
        <w:spacing w:after="0"/>
        <w:tabs>
          <w:tab w:leader="none" w:pos="11160" w:val="left"/>
        </w:tabs>
        <w:rPr>
          <w:sz w:val="20"/>
          <w:szCs w:val="20"/>
          <w:color w:val="auto"/>
        </w:rPr>
      </w:pPr>
      <w:r>
        <w:rPr>
          <w:rFonts w:ascii="Times New Roman" w:cs="Times New Roman" w:eastAsia="Times New Roman" w:hAnsi="Times New Roman"/>
          <w:sz w:val="18"/>
          <w:szCs w:val="18"/>
          <w:color w:val="auto"/>
        </w:rPr>
        <w:t>$[</w:t>
        <w:tab/>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7.500% Note due 2027</w:t>
      </w:r>
    </w:p>
    <w:p>
      <w:pPr>
        <w:sectPr>
          <w:pgSz w:w="11900" w:h="16838" w:orient="portrait"/>
          <w:cols w:equalWidth="0" w:num="1">
            <w:col w:w="11240"/>
          </w:cols>
          <w:pgMar w:left="320" w:top="900" w:right="339" w:bottom="1440" w:gutter="0" w:footer="0" w:header="0"/>
          <w:type w:val="continuous"/>
        </w:sectPr>
      </w:pPr>
    </w:p>
    <w:p>
      <w:pPr>
        <w:spacing w:after="0" w:line="23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XPO Escrow Sub, LLC, a Delaware limited liability company, promises to pay to Cede &amp; Co., or registered assigns, the principal sum of [__] DOLLARS (or such other amount set forth on the Schedule of Increases or Decreases in Global Note attached hereto) on November 15, 2027.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 Dates: May 15 and November 15, commencing May 15,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Record Dates: April 30 and October 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instrument to be duly executed.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XPO ESCROW SUB, LLC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referred to in the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8" w:name="page109"/>
    <w:bookmarkEnd w:id="10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REVERSE SIDE OF NOTE]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7.500% Note Due 2027</w:t>
      </w:r>
    </w:p>
    <w:p>
      <w:pPr>
        <w:spacing w:after="0" w:line="2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XPO Escrow Sub, LLC, a Delaware limited liability company (together with its successors and assigns,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this Note under the Indenture dated as of October 25, 2022 (as amended, modified or supplemented from time to time in accordance therewith,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the First Supplemental Indenture dated as of October 25, 2022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U.S. Bank Trust Company, National Association, as trustee (in such capacity,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reference is hereby made for a statement of the respective rights, obligations, duties and immunities thereunder of the Company, the Trustee and the Holders and of the terms upon which this Note is authorized and delivered. All terms used in this Note that are defined in the Indenture shall have the meanings assigned to them therein. If any terms of this Note conflicts with the terms of the Indenture, the terms of the Indenture shall govern and control.</w:t>
      </w:r>
    </w:p>
    <w:p>
      <w:pPr>
        <w:spacing w:after="0" w:line="185" w:lineRule="exact"/>
        <w:rPr>
          <w:sz w:val="20"/>
          <w:szCs w:val="20"/>
          <w:color w:val="auto"/>
        </w:rPr>
      </w:pPr>
    </w:p>
    <w:p>
      <w:pPr>
        <w:ind w:right="20" w:firstLine="656"/>
        <w:spacing w:after="0" w:line="254" w:lineRule="auto"/>
        <w:tabs>
          <w:tab w:leader="none" w:pos="132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The Company promises to pay interest on the principal amount of this Note at the rate of 7.500% per year.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interest semi-annually in arrears on May 15 and November 15 of each year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beginning on May 15, 2023, until the principal is paid or made available for payment. Interest on this Note will accrue from the most recent date to which interest has been paid or duly provided for or, if no interest has been paid, from the date of issuance to, but excluding, the applicable Interest Payment Date or Stated Maturity of the principal of the Note, as the case may be. Interest will be computed on the basis of a 360-day year comprised of twelve 30-day months. If any Interest Payment Date, Stated Maturity or other payment date with respect to the Notes is not a Business Day, the required payment of principal, premium, if any, or interest will be due on the next succeeding Business Day as if made on the date that such payment was due, and no interest will accrue on that payment for the period from and after that Interest Payment Date, Stated Maturity or other payment date, as the case may be, to the date of that payment on the next succeeding Business Day.</w:t>
      </w:r>
    </w:p>
    <w:p>
      <w:pPr>
        <w:spacing w:after="0" w:line="188" w:lineRule="exact"/>
        <w:rPr>
          <w:rFonts w:ascii="Times New Roman" w:cs="Times New Roman" w:eastAsia="Times New Roman" w:hAnsi="Times New Roman"/>
          <w:sz w:val="18"/>
          <w:szCs w:val="18"/>
          <w:color w:val="auto"/>
        </w:rPr>
      </w:pPr>
    </w:p>
    <w:p>
      <w:pPr>
        <w:ind w:right="40" w:firstLine="656"/>
        <w:spacing w:after="0" w:line="258" w:lineRule="auto"/>
        <w:tabs>
          <w:tab w:leader="none" w:pos="132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interest on this Note (except defaulted interest, if any, which will be paid on a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to Holders of record on such special record date as may be fixed by the Company in accordance with Section 2.11 of the Base Indenture) to the persons in whose name this Note is registered at the close of business on the Regular Record Date immediately preceding the relevant Interest Payment Date. The Company will pay principal and interest in money of the United States of America that at the time of payment is legal tender for payment of public and private debts, at the office or agency of the Company maintained for that purpose in accordance with the Indenture.</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2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Initially, the Trustee will act as Paying Agent and Registrar. The Company may have one or more co-Registrars and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additional paying agents. The Company may at any time rescind the designation of any Registrar or Paying Agent or approve a change through which the Registrar or Paying Agent acts.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9" w:name="page110"/>
    <w:bookmarkEnd w:id="109"/>
    <w:p>
      <w:pPr>
        <w:ind w:left="1340" w:hanging="684"/>
        <w:spacing w:after="0"/>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This Note shall be redeemable at the option of the Company in accordance with Section‎ 4.02 of the Supplemental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Mandatory Redemption</w:t>
      </w:r>
      <w:r>
        <w:rPr>
          <w:rFonts w:ascii="Times New Roman" w:cs="Times New Roman" w:eastAsia="Times New Roman" w:hAnsi="Times New Roman"/>
          <w:sz w:val="18"/>
          <w:szCs w:val="18"/>
          <w:color w:val="auto"/>
        </w:rPr>
        <w:t>. The Company will be required to redeem this Note as and to the extent set forth in (and only in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described in) Section‎ 4.03 of the Supplemental Indenture.</w:t>
      </w:r>
    </w:p>
    <w:p>
      <w:pPr>
        <w:spacing w:after="0" w:line="20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 to Repurchase Upon Change of Control Repurchase Event</w:t>
      </w:r>
      <w:r>
        <w:rPr>
          <w:rFonts w:ascii="Times New Roman" w:cs="Times New Roman" w:eastAsia="Times New Roman" w:hAnsi="Times New Roman"/>
          <w:sz w:val="18"/>
          <w:szCs w:val="18"/>
          <w:color w:val="auto"/>
        </w:rPr>
        <w:t>. The Company will be required to make a Change of Control Offer as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to the extent set forth in (and only in the circumstances described in) Section‎ 4.04 of the Supplemental Indenture.</w:t>
      </w:r>
    </w:p>
    <w:p>
      <w:pPr>
        <w:spacing w:after="0" w:line="20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The registered Holder of this Note shall be treated as the owner of it for all purposes.</w:t>
      </w:r>
    </w:p>
    <w:p>
      <w:pPr>
        <w:spacing w:after="0" w:line="225" w:lineRule="exact"/>
        <w:rPr>
          <w:rFonts w:ascii="Times New Roman" w:cs="Times New Roman" w:eastAsia="Times New Roman" w:hAnsi="Times New Roman"/>
          <w:sz w:val="18"/>
          <w:szCs w:val="18"/>
          <w:color w:val="auto"/>
        </w:rPr>
      </w:pPr>
    </w:p>
    <w:p>
      <w:pPr>
        <w:ind w:right="220" w:firstLine="656"/>
        <w:spacing w:after="0" w:line="267" w:lineRule="auto"/>
        <w:tabs>
          <w:tab w:leader="none" w:pos="132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Unclaimed Money</w:t>
      </w:r>
      <w:r>
        <w:rPr>
          <w:rFonts w:ascii="Times New Roman" w:cs="Times New Roman" w:eastAsia="Times New Roman" w:hAnsi="Times New Roman"/>
          <w:sz w:val="18"/>
          <w:szCs w:val="18"/>
          <w:color w:val="auto"/>
        </w:rPr>
        <w:t>. All amounts of principal of and premium, if any, and interest on this Note paid by the Company to the Trustee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that remain unclaimed for two years will be repaid to the Company, and the Holder of this Note will thereafter look solely to the Company for payment unless applicable abandoned property law designates another Person.</w:t>
      </w:r>
    </w:p>
    <w:p>
      <w:pPr>
        <w:spacing w:after="0" w:line="173"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r>
        <w:rPr>
          <w:rFonts w:ascii="Times New Roman" w:cs="Times New Roman" w:eastAsia="Times New Roman" w:hAnsi="Times New Roman"/>
          <w:sz w:val="18"/>
          <w:szCs w:val="18"/>
          <w:color w:val="auto"/>
        </w:rPr>
        <w:t>. The Indenture or this Note may be amended or supplemented in accordance with the terms of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4" w:lineRule="exact"/>
        <w:rPr>
          <w:rFonts w:ascii="Times New Roman" w:cs="Times New Roman" w:eastAsia="Times New Roman" w:hAnsi="Times New Roman"/>
          <w:sz w:val="18"/>
          <w:szCs w:val="18"/>
          <w:color w:val="auto"/>
        </w:rPr>
      </w:pPr>
    </w:p>
    <w:p>
      <w:pPr>
        <w:ind w:right="600" w:firstLine="656"/>
        <w:spacing w:after="0" w:line="284" w:lineRule="auto"/>
        <w:tabs>
          <w:tab w:leader="none" w:pos="14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When a successor Person assumes all the obligations of its predecessor under the Note and the Indenture,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Person will be released from those obligations, in accordance with and except as set forth in the Indenture.</w:t>
      </w:r>
    </w:p>
    <w:p>
      <w:pPr>
        <w:spacing w:after="0" w:line="158" w:lineRule="exact"/>
        <w:rPr>
          <w:rFonts w:ascii="Times New Roman" w:cs="Times New Roman" w:eastAsia="Times New Roman" w:hAnsi="Times New Roman"/>
          <w:sz w:val="18"/>
          <w:szCs w:val="18"/>
          <w:color w:val="auto"/>
        </w:rPr>
      </w:pPr>
    </w:p>
    <w:p>
      <w:pPr>
        <w:ind w:firstLine="656"/>
        <w:spacing w:after="0" w:line="267" w:lineRule="auto"/>
        <w:tabs>
          <w:tab w:leader="none" w:pos="14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A director, officer, employee or stockholder, as such, of the Company shall not have any liability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Company under the Note or the Indenture or for any claim based on, in respect of or by reason of, such obligations or their creation. Each Holder by accepting a Note waives and releases all such liability. The waiver and release are part of the consideration for the issue of the Note.</w:t>
      </w:r>
    </w:p>
    <w:p>
      <w:pPr>
        <w:spacing w:after="0" w:line="173" w:lineRule="exact"/>
        <w:rPr>
          <w:rFonts w:ascii="Times New Roman" w:cs="Times New Roman" w:eastAsia="Times New Roman" w:hAnsi="Times New Roman"/>
          <w:sz w:val="18"/>
          <w:szCs w:val="18"/>
          <w:color w:val="auto"/>
        </w:rPr>
      </w:pPr>
    </w:p>
    <w:p>
      <w:pPr>
        <w:ind w:right="40" w:firstLine="656"/>
        <w:spacing w:after="0" w:line="284" w:lineRule="auto"/>
        <w:tabs>
          <w:tab w:leader="none" w:pos="14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Discharge of Indenture</w:t>
      </w:r>
      <w:r>
        <w:rPr>
          <w:rFonts w:ascii="Times New Roman" w:cs="Times New Roman" w:eastAsia="Times New Roman" w:hAnsi="Times New Roman"/>
          <w:sz w:val="18"/>
          <w:szCs w:val="18"/>
          <w:color w:val="auto"/>
        </w:rPr>
        <w:t>. The Indenture contains certain provisions pertaining to defeasance and discharge, which provisions shall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have the same effect as if set forth herein.</w:t>
      </w:r>
    </w:p>
    <w:p>
      <w:pPr>
        <w:spacing w:after="0" w:line="158" w:lineRule="exact"/>
        <w:rPr>
          <w:rFonts w:ascii="Times New Roman" w:cs="Times New Roman" w:eastAsia="Times New Roman" w:hAnsi="Times New Roman"/>
          <w:sz w:val="18"/>
          <w:szCs w:val="18"/>
          <w:color w:val="auto"/>
        </w:rPr>
      </w:pPr>
    </w:p>
    <w:p>
      <w:pPr>
        <w:ind w:right="100" w:firstLine="656"/>
        <w:spacing w:after="0" w:line="284" w:lineRule="auto"/>
        <w:tabs>
          <w:tab w:leader="none" w:pos="14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Note shall not be valid until an authorized signatory of the Trustee manually signs the certificate of authentication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other side of this Note.</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10" w:name="page111"/>
    <w:bookmarkEnd w:id="110"/>
    <w:p>
      <w:pPr>
        <w:ind w:left="-140" w:right="40" w:firstLine="656"/>
        <w:spacing w:after="0" w:line="267" w:lineRule="auto"/>
        <w:tabs>
          <w:tab w:leader="none" w:pos="12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TEN ENT (= tenants by the entireties), JT TEN (= joint tenants with right of survivorship and not as tenants in common), CUST (= custodian), and U/G/M/A (= Uniform Gift to Minors Act).</w:t>
      </w:r>
    </w:p>
    <w:p>
      <w:pPr>
        <w:spacing w:after="0" w:line="173" w:lineRule="exact"/>
        <w:rPr>
          <w:rFonts w:ascii="Times New Roman" w:cs="Times New Roman" w:eastAsia="Times New Roman" w:hAnsi="Times New Roman"/>
          <w:sz w:val="18"/>
          <w:szCs w:val="18"/>
          <w:color w:val="auto"/>
        </w:rPr>
      </w:pPr>
    </w:p>
    <w:p>
      <w:pPr>
        <w:ind w:left="1280" w:hanging="764"/>
        <w:spacing w:after="0"/>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left="-140" w:firstLine="656"/>
        <w:spacing w:after="0" w:line="261" w:lineRule="auto"/>
        <w:tabs>
          <w:tab w:leader="none" w:pos="12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and ISIN Numbers</w:t>
      </w:r>
      <w:r>
        <w:rPr>
          <w:rFonts w:ascii="Times New Roman" w:cs="Times New Roman" w:eastAsia="Times New Roman" w:hAnsi="Times New Roman"/>
          <w:sz w:val="18"/>
          <w:szCs w:val="18"/>
          <w:color w:val="auto"/>
        </w:rPr>
        <w:t>. Pursuant to a recommendation promulgated by the Committee on Uniform Security Identification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the Company has caused CUSIP and ISIN numbers to be printed on this Note and has directed the Trustee to use CUSIP and ISIN numbers in notices of repurchase as a convenience to Holders. No representation is made as to the accuracy of such numbers either as printed on this Note or as contained in any notice of repurchase, and reliance may be placed only on the other identification numbers placed thereon.</w:t>
      </w:r>
    </w:p>
    <w:p>
      <w:pPr>
        <w:spacing w:after="0" w:line="179" w:lineRule="exact"/>
        <w:rPr>
          <w:rFonts w:ascii="Times New Roman" w:cs="Times New Roman" w:eastAsia="Times New Roman" w:hAnsi="Times New Roman"/>
          <w:sz w:val="18"/>
          <w:szCs w:val="18"/>
          <w:color w:val="auto"/>
        </w:rPr>
      </w:pPr>
    </w:p>
    <w:p>
      <w:pPr>
        <w:jc w:val="both"/>
        <w:ind w:left="-140" w:right="100" w:firstLine="656"/>
        <w:spacing w:after="0" w:line="267" w:lineRule="auto"/>
        <w:tabs>
          <w:tab w:leader="none" w:pos="12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Copies</w:t>
      </w:r>
      <w:r>
        <w:rPr>
          <w:rFonts w:ascii="Times New Roman" w:cs="Times New Roman" w:eastAsia="Times New Roman" w:hAnsi="Times New Roman"/>
          <w:sz w:val="18"/>
          <w:szCs w:val="18"/>
          <w:color w:val="auto"/>
        </w:rPr>
        <w:t>. The Company will furnish to any Holder upon written request and without charge a copy of the Base Indenture and a copy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Supplemental Indenture. Requests may be made to: XPO Escrow Sub, LLC, 11215 North Community House Road, Charlotte, NC 28277, Attention: Jamie Harris.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60" w:top="902" w:right="4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20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w:t>
            </w:r>
          </w:p>
        </w:tc>
      </w:tr>
      <w:tr>
        <w:trPr>
          <w:trHeight w:val="234"/>
        </w:trPr>
        <w:tc>
          <w:tcPr>
            <w:tcW w:w="2040" w:type="dxa"/>
            <w:vAlign w:val="bottom"/>
          </w:tcPr>
          <w:p>
            <w:pPr>
              <w:spacing w:after="0"/>
              <w:rPr>
                <w:sz w:val="20"/>
                <w:szCs w:val="20"/>
                <w:color w:val="auto"/>
              </w:rPr>
            </w:pPr>
          </w:p>
        </w:tc>
        <w:tc>
          <w:tcPr>
            <w:tcW w:w="920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9"/>
              </w:rPr>
              <w:t>(Print or type assignee’s name, address and zip code)</w:t>
            </w:r>
          </w:p>
        </w:tc>
      </w:tr>
      <w:tr>
        <w:trPr>
          <w:trHeight w:val="414"/>
        </w:trPr>
        <w:tc>
          <w:tcPr>
            <w:tcW w:w="2040" w:type="dxa"/>
            <w:vAlign w:val="bottom"/>
          </w:tcPr>
          <w:p>
            <w:pPr>
              <w:spacing w:after="0"/>
              <w:rPr>
                <w:sz w:val="24"/>
                <w:szCs w:val="24"/>
                <w:color w:val="auto"/>
              </w:rPr>
            </w:pPr>
          </w:p>
        </w:tc>
        <w:tc>
          <w:tcPr>
            <w:tcW w:w="920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w:t>
            </w:r>
          </w:p>
        </w:tc>
      </w:tr>
      <w:tr>
        <w:trPr>
          <w:trHeight w:val="234"/>
        </w:trPr>
        <w:tc>
          <w:tcPr>
            <w:tcW w:w="2040" w:type="dxa"/>
            <w:vAlign w:val="bottom"/>
          </w:tcPr>
          <w:p>
            <w:pPr>
              <w:spacing w:after="0"/>
              <w:rPr>
                <w:sz w:val="20"/>
                <w:szCs w:val="20"/>
                <w:color w:val="auto"/>
              </w:rPr>
            </w:pPr>
          </w:p>
        </w:tc>
        <w:tc>
          <w:tcPr>
            <w:tcW w:w="920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color w:val="auto"/>
                <w:w w:val="99"/>
              </w:rPr>
              <w:t>(Insert assignee’s soc. sec. or tax I.D. No.)</w:t>
            </w:r>
          </w:p>
        </w:tc>
      </w:tr>
      <w:tr>
        <w:trPr>
          <w:trHeight w:val="43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9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agent to transfer this Note on the books of the Company. The agent may substitute another to act for him.</w:t>
            </w:r>
          </w:p>
        </w:tc>
      </w:tr>
      <w:tr>
        <w:trPr>
          <w:trHeight w:val="41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w:t>
            </w:r>
          </w:p>
        </w:tc>
        <w:tc>
          <w:tcPr>
            <w:tcW w:w="506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Your Signature:</w:t>
            </w:r>
          </w:p>
        </w:tc>
        <w:tc>
          <w:tcPr>
            <w:tcW w:w="414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right="3220"/>
        <w:spacing w:after="0" w:line="271" w:lineRule="auto"/>
        <w:rPr>
          <w:sz w:val="20"/>
          <w:szCs w:val="20"/>
          <w:color w:val="auto"/>
        </w:rPr>
      </w:pPr>
      <w:r>
        <w:rPr>
          <w:rFonts w:ascii="Times New Roman" w:cs="Times New Roman" w:eastAsia="Times New Roman" w:hAnsi="Times New Roman"/>
          <w:sz w:val="18"/>
          <w:szCs w:val="18"/>
          <w:color w:val="auto"/>
        </w:rPr>
        <w:t>Signature must be guaranteed by a participant in a recognized signature Signature of Signature Guarantee guaranty medallion program or other signature guarantor program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CERTIFICATE TO BE DELIVERED UPON EXCHANGE 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OF TRANSFER RESTRICTED NOTE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Trust</w:t>
      </w:r>
    </w:p>
    <w:p>
      <w:pPr>
        <w:spacing w:after="0" w:line="192" w:lineRule="auto"/>
        <w:rPr>
          <w:sz w:val="20"/>
          <w:szCs w:val="20"/>
          <w:color w:val="auto"/>
        </w:rPr>
      </w:pPr>
      <w:r>
        <w:rPr>
          <w:rFonts w:ascii="Times New Roman" w:cs="Times New Roman" w:eastAsia="Times New Roman" w:hAnsi="Times New Roman"/>
          <w:sz w:val="18"/>
          <w:szCs w:val="18"/>
          <w:color w:val="auto"/>
        </w:rPr>
        <w:t>214 North Tryon Street,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(704) 335-4558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(704) 335-4676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allison.lancasterpoole@usbank.com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 ____________ principal amount of Notes held in (check applicable space) __________ book-entry or ____________ definitive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by the undersigned.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225" w:lineRule="exact"/>
        <w:rPr>
          <w:sz w:val="20"/>
          <w:szCs w:val="20"/>
          <w:color w:val="auto"/>
        </w:rPr>
      </w:pPr>
    </w:p>
    <w:p>
      <w:pPr>
        <w:ind w:left="1300" w:right="20" w:hanging="644"/>
        <w:spacing w:after="0" w:line="266" w:lineRule="auto"/>
        <w:tabs>
          <w:tab w:leader="none" w:pos="1300" w:val="left"/>
        </w:tabs>
        <w:numPr>
          <w:ilvl w:val="0"/>
          <w:numId w:val="9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deliver in exchange for its beneficial interest in the Global Note held by the Depository a Note or Notes in definitive, registered form of authorized denominations and an aggregate principal amount equal to its beneficial interest in such Global Note (or the portion thereof indicated above);</w:t>
      </w:r>
    </w:p>
    <w:p>
      <w:pPr>
        <w:spacing w:after="0" w:line="17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9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Trustee by written order to exchange or register the transfer of a Note or Notes.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occurring while this Note is still a (i) Transfer Restricted Note and a Definitive Note or (ii) a Transfer Restricted Note and a Global Note, the undersigned confirms that such Notes are being transferred in accordance with its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600" w:type="dxa"/>
            <w:vAlign w:val="bottom"/>
            <w:tcBorders>
              <w:top w:val="single" w:sz="8" w:color="auto"/>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top w:val="single" w:sz="8" w:color="auto"/>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the Company; or</w:t>
            </w:r>
          </w:p>
        </w:tc>
      </w:tr>
      <w:tr>
        <w:trPr>
          <w:trHeight w:val="237"/>
        </w:trPr>
        <w:tc>
          <w:tcPr>
            <w:tcW w:w="60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the Registrar for registration in the name of the holder, without transfer; or</w:t>
            </w:r>
          </w:p>
        </w:tc>
      </w:tr>
      <w:tr>
        <w:trPr>
          <w:trHeight w:val="236"/>
        </w:trPr>
        <w:tc>
          <w:tcPr>
            <w:tcW w:w="60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an effective registration statement under the Securities Act; or</w:t>
            </w:r>
          </w:p>
        </w:tc>
      </w:tr>
      <w:tr>
        <w:trPr>
          <w:trHeight w:val="205"/>
        </w:trPr>
        <w:tc>
          <w:tcPr>
            <w:tcW w:w="600" w:type="dxa"/>
            <w:vAlign w:val="bottom"/>
            <w:tcBorders>
              <w:left w:val="single" w:sz="8" w:color="auto"/>
              <w:right w:val="single" w:sz="8" w:color="auto"/>
            </w:tcBorders>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(4)</w:t>
            </w:r>
          </w:p>
        </w:tc>
        <w:tc>
          <w:tcPr>
            <w:tcW w:w="56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to a person reasonably believed to be a “qualified institutional buyer” (as defined in Rule 144A under the Securities Act) that purchases</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 its own account or for the account of a qualified institutional buyer to whom notice is given that such transfer is being made in</w:t>
            </w:r>
          </w:p>
        </w:tc>
      </w:tr>
      <w:tr>
        <w:trPr>
          <w:trHeight w:val="241"/>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reliance on Rule 144A, in each case pursuant to and in compliance with Rule 144A under the Securities Act; or</w:t>
            </w:r>
          </w:p>
        </w:tc>
      </w:tr>
      <w:tr>
        <w:trPr>
          <w:trHeight w:val="211"/>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a non-U.S. person outside the United States in an offshore transaction within the meaning of Regulation S under the Securities Act in</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compliance with Rule 903 or 904 under the Securities Act and such Note shall be held immediately after the transfer through Euroclear,</w:t>
            </w:r>
          </w:p>
        </w:tc>
      </w:tr>
      <w:tr>
        <w:trPr>
          <w:trHeight w:val="241"/>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Clearstream or their respective participants until the expiration of the Restricted Period (as defined in the Indenture); or</w:t>
            </w:r>
          </w:p>
        </w:tc>
      </w:tr>
      <w:tr>
        <w:trPr>
          <w:trHeight w:val="243"/>
        </w:trPr>
        <w:tc>
          <w:tcPr>
            <w:tcW w:w="60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another available exemption from registration provided by Rule 144 under the Securities Act.</w:t>
            </w:r>
          </w:p>
        </w:tc>
      </w:tr>
      <w:tr>
        <w:trPr>
          <w:trHeight w:val="642"/>
        </w:trPr>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4280"/>
              <w:spacing w:after="0"/>
              <w:rPr>
                <w:sz w:val="20"/>
                <w:szCs w:val="20"/>
                <w:color w:val="auto"/>
              </w:rPr>
            </w:pPr>
            <w:r>
              <w:rPr>
                <w:rFonts w:ascii="Times New Roman" w:cs="Times New Roman" w:eastAsia="Times New Roman" w:hAnsi="Times New Roman"/>
                <w:sz w:val="18"/>
                <w:szCs w:val="18"/>
                <w:color w:val="auto"/>
              </w:rPr>
              <w:t>A-10</w:t>
            </w:r>
          </w:p>
        </w:tc>
      </w:tr>
    </w:tbl>
    <w:p>
      <w:pPr>
        <w:sectPr>
          <w:pgSz w:w="11900" w:h="16838" w:orient="portrait"/>
          <w:cols w:equalWidth="0" w:num="1">
            <w:col w:w="11240"/>
          </w:cols>
          <w:pgMar w:left="320" w:top="904" w:right="339" w:bottom="1440" w:gutter="0" w:footer="0" w:header="0"/>
        </w:sectPr>
      </w:pPr>
    </w:p>
    <w:bookmarkStart w:id="113" w:name="page114"/>
    <w:bookmarkEnd w:id="113"/>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Unless one of the boxes is checked, the Trustee will refuse to register any of the Notes evidenced by this certificate in the name of any Person other than the registered holder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box (5) or (6) is checked, the Company or the Trustee may require, prior to registering any such transfer of the Notes, such legal opinions, certifications and other information as the Company or the Trustee have reasonably requested to confirm that such transfer is being made pursuant to an exemption from, or in a transaction not subject to, the registration requirements of the Securities Act.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Borders>
              <w:bottom w:val="single" w:sz="8" w:color="auto"/>
            </w:tcBorders>
          </w:tcPr>
          <w:p>
            <w:pPr>
              <w:spacing w:after="0"/>
              <w:rPr>
                <w:sz w:val="20"/>
                <w:szCs w:val="20"/>
                <w:color w:val="auto"/>
              </w:rPr>
            </w:pPr>
          </w:p>
        </w:tc>
        <w:tc>
          <w:tcPr>
            <w:tcW w:w="3560" w:type="dxa"/>
            <w:vAlign w:val="bottom"/>
          </w:tcPr>
          <w:p>
            <w:pPr>
              <w:spacing w:after="0"/>
              <w:rPr>
                <w:sz w:val="20"/>
                <w:szCs w:val="20"/>
                <w:color w:val="auto"/>
              </w:rPr>
            </w:pPr>
          </w:p>
        </w:tc>
        <w:tc>
          <w:tcPr>
            <w:tcW w:w="1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Your Signature:</w:t>
            </w:r>
          </w:p>
        </w:tc>
      </w:tr>
      <w:tr>
        <w:trPr>
          <w:trHeight w:val="40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tc>
        <w:tc>
          <w:tcPr>
            <w:tcW w:w="1520" w:type="dxa"/>
            <w:vAlign w:val="bottom"/>
          </w:tcPr>
          <w:p>
            <w:pPr>
              <w:spacing w:after="0"/>
              <w:rPr>
                <w:sz w:val="24"/>
                <w:szCs w:val="24"/>
                <w:color w:val="auto"/>
              </w:rPr>
            </w:pPr>
          </w:p>
        </w:tc>
      </w:t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tc>
        <w:tc>
          <w:tcPr>
            <w:tcW w:w="1520" w:type="dxa"/>
            <w:vAlign w:val="bottom"/>
          </w:tcPr>
          <w:p>
            <w:pPr>
              <w:spacing w:after="0"/>
              <w:rPr>
                <w:sz w:val="20"/>
                <w:szCs w:val="20"/>
                <w:color w:val="auto"/>
              </w:rPr>
            </w:pPr>
          </w:p>
        </w:tc>
      </w:tr>
      <w:tr>
        <w:trPr>
          <w:trHeight w:val="432"/>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-694055</wp:posOffset>
            </wp:positionV>
            <wp:extent cx="26314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right="3000"/>
        <w:spacing w:after="0" w:line="271" w:lineRule="auto"/>
        <w:rPr>
          <w:sz w:val="20"/>
          <w:szCs w:val="20"/>
          <w:color w:val="auto"/>
        </w:rPr>
      </w:pPr>
      <w:r>
        <w:rPr>
          <w:rFonts w:ascii="Times New Roman" w:cs="Times New Roman" w:eastAsia="Times New Roman" w:hAnsi="Times New Roman"/>
          <w:sz w:val="18"/>
          <w:szCs w:val="18"/>
          <w:color w:val="auto"/>
        </w:rPr>
        <w:t>Signature must be guaranteed by a participant in a recognized signature Signature of Signature Guarantee guaranty medallion program or other signature guarantor program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114" w:name="page115"/>
    <w:bookmarkEnd w:id="114"/>
    <w:p>
      <w:pPr>
        <w:jc w:val="center"/>
        <w:ind w:right="-99"/>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NOTICE: To be executed by an executive officer</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[TO BE ATTACHED TO GLOBAL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INCREASES OR DECREASES IN GLOBAL NOTE</w:t>
      </w:r>
    </w:p>
    <w:p>
      <w:pPr>
        <w:spacing w:after="0" w:line="225" w:lineRule="exact"/>
        <w:rPr>
          <w:sz w:val="20"/>
          <w:szCs w:val="20"/>
          <w:color w:val="auto"/>
        </w:rPr>
      </w:pPr>
    </w:p>
    <w:p>
      <w:pPr>
        <w:ind w:left="660"/>
        <w:spacing w:after="0"/>
        <w:tabs>
          <w:tab w:leader="none" w:pos="4640" w:val="left"/>
        </w:tabs>
        <w:rPr>
          <w:sz w:val="20"/>
          <w:szCs w:val="20"/>
          <w:color w:val="auto"/>
        </w:rPr>
      </w:pPr>
      <w:r>
        <w:rPr>
          <w:rFonts w:ascii="Times New Roman" w:cs="Times New Roman" w:eastAsia="Times New Roman" w:hAnsi="Times New Roman"/>
          <w:sz w:val="18"/>
          <w:szCs w:val="18"/>
          <w:color w:val="auto"/>
        </w:rPr>
        <w:t>The initial principal amount of this Global Note is $</w:t>
      </w:r>
      <w:r>
        <w:rPr>
          <w:sz w:val="20"/>
          <w:szCs w:val="20"/>
          <w:color w:val="auto"/>
        </w:rPr>
        <w:tab/>
      </w:r>
      <w:r>
        <w:rPr>
          <w:rFonts w:ascii="Times New Roman" w:cs="Times New Roman" w:eastAsia="Times New Roman" w:hAnsi="Times New Roman"/>
          <w:sz w:val="17"/>
          <w:szCs w:val="17"/>
          <w:color w:val="auto"/>
        </w:rPr>
        <w:t>. The following increases or decreases in this Global Note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71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00" w:type="dxa"/>
            <w:vAlign w:val="bottom"/>
            <w:tcBorders>
              <w:top w:val="single" w:sz="8" w:color="auto"/>
              <w:left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240" w:type="dxa"/>
            <w:vAlign w:val="bottom"/>
            <w:tcBorders>
              <w:top w:val="single" w:sz="8" w:color="auto"/>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decrease in</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 in</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 authorized</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 of this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Amount of this</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 or</w:t>
            </w:r>
          </w:p>
        </w:tc>
      </w:tr>
      <w:tr>
        <w:trPr>
          <w:trHeight w:val="238"/>
        </w:trPr>
        <w:tc>
          <w:tcPr>
            <w:tcW w:w="250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decrease or increase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Custodian</w:t>
            </w:r>
          </w:p>
        </w:tc>
      </w:tr>
      <w:tr>
        <w:trPr>
          <w:trHeight w:val="210"/>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641"/>
        </w:trPr>
        <w:tc>
          <w:tcPr>
            <w:tcW w:w="2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A-13</w:t>
            </w:r>
          </w:p>
        </w:tc>
        <w:tc>
          <w:tcPr>
            <w:tcW w:w="20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Supplemental Indenture to be Delivered by RXO, Inc., XPO Escrow Sub, LLC and Certain Guarantors on the Merger Date]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5"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This SECOND SUPPLEMENTAL INDENTURE, dated as of [●], 2022 (this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is entered into by and among RXO,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XPO Escrow Sub, LLC, a Delaware limited liability company to be merged with and into the Company (the “</w:t>
      </w:r>
      <w:r>
        <w:rPr>
          <w:rFonts w:ascii="Times New Roman" w:cs="Times New Roman" w:eastAsia="Times New Roman" w:hAnsi="Times New Roman"/>
          <w:sz w:val="18"/>
          <w:szCs w:val="18"/>
          <w:b w:val="1"/>
          <w:bCs w:val="1"/>
          <w:color w:val="auto"/>
        </w:rPr>
        <w:t>Escrow Issuer</w:t>
      </w:r>
      <w:r>
        <w:rPr>
          <w:rFonts w:ascii="Times New Roman" w:cs="Times New Roman" w:eastAsia="Times New Roman" w:hAnsi="Times New Roman"/>
          <w:sz w:val="18"/>
          <w:szCs w:val="18"/>
          <w:color w:val="auto"/>
        </w:rPr>
        <w:t>”), the parties that are signatories hereto as Guarantors (each, a “</w:t>
      </w:r>
      <w:r>
        <w:rPr>
          <w:rFonts w:ascii="Times New Roman" w:cs="Times New Roman" w:eastAsia="Times New Roman" w:hAnsi="Times New Roman"/>
          <w:sz w:val="18"/>
          <w:szCs w:val="18"/>
          <w:b w:val="1"/>
          <w:bCs w:val="1"/>
          <w:color w:val="auto"/>
        </w:rPr>
        <w:t>New Guarantor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New Guarantors</w:t>
      </w:r>
      <w:r>
        <w:rPr>
          <w:rFonts w:ascii="Times New Roman" w:cs="Times New Roman" w:eastAsia="Times New Roman" w:hAnsi="Times New Roman"/>
          <w:sz w:val="18"/>
          <w:szCs w:val="18"/>
          <w:color w:val="auto"/>
        </w:rPr>
        <w:t>”)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WHEREAS, the Escrow Issuer and the Trustee have heretofore executed and delivered an indenture, dated as of October 25, 2022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and a first supplemental indenture to the Base Indenture, dated as of October 25, 2022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together with the First Supplemental Indenture and this Second Supplemental Indenture, and as further amended, supplemented, waived or otherwise modified,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of $355,000,000 aggregate principal amount of 7.500% Notes due 2027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enter into this Second Supplemental Indenture to evidence the assumption by the Company of all the payment obligations under the Notes and the Indenture;</w:t>
      </w:r>
    </w:p>
    <w:p>
      <w:pPr>
        <w:spacing w:after="0" w:line="16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WHEREAS, the Indenture provides that on the Merger Date the Company, the Escrow Issuer and each New Guarantor shall execute and deliver to the Trustee a supplemental indenture, pursuant to which supplemental indenture the Company and the New Guarantors shall each become parties to the Indenture (and, in the case of the Company, the Notes), the Company shall assume all of the obligations of the Escrow Issuer under the Notes and the Indenture, and each New Guarantor shall jointly and severally guarantee, on an unsecured, unsubordinated basis, as a primary obligor and not merely as a surety, the Guaranteed Obligations in respect of the Notes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Base Indenture, the Trustee, the Company, the Escrow Issuer and the New Guarantors are authorized to execute and deliver a supplemental indenture to add additional Guarantors without the consent of Holders of the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the Escrow Issuer and each New Guarantor has duly authorized its entry into this Second Supplemental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7" w:name="page118"/>
    <w:bookmarkEnd w:id="117"/>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WHEREAS, all acts, conditions, proceedings and requirements necessary to make this Second Supplemental Indenture a valid, binding and legal agreement enforceable in accordance with its terms for the purposes expressed herein, in accordance with its terms, have been duly done and performed.</w:t>
      </w:r>
    </w:p>
    <w:p>
      <w:pPr>
        <w:spacing w:after="0" w:line="17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New Guarantors, the Company, the Escrow Issuer and the Trustee mutually covenant and agree for the equal and ratable benefit of the Holders of the Notes as follows:</w:t>
      </w:r>
    </w:p>
    <w:p>
      <w:pPr>
        <w:spacing w:after="0" w:line="176" w:lineRule="exact"/>
        <w:rPr>
          <w:sz w:val="20"/>
          <w:szCs w:val="20"/>
          <w:color w:val="auto"/>
        </w:rPr>
      </w:pPr>
    </w:p>
    <w:p>
      <w:pPr>
        <w:ind w:right="260" w:firstLine="656"/>
        <w:spacing w:after="0" w:line="281" w:lineRule="auto"/>
        <w:tabs>
          <w:tab w:leader="none" w:pos="1323"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Second Supplemental Indenture, terms defined in the Indenture or in the preamble or recital hereto are used herein as therein defined, except that the term “Holders” in this Second Supplemental Indenture shall refer to the term “Holders” as defined in the Indenture and the Trustee acting on behalf of and for the benefit of such Holders. The words “herein,” “hereof” and “hereby” and other words of similar import used in this Second Supplemental Indenture refer to this Second Supplemental Indenture as a whole and not to any particular Section hereof.</w:t>
      </w:r>
    </w:p>
    <w:p>
      <w:pPr>
        <w:spacing w:after="0" w:line="164" w:lineRule="exact"/>
        <w:rPr>
          <w:rFonts w:ascii="Times New Roman" w:cs="Times New Roman" w:eastAsia="Times New Roman" w:hAnsi="Times New Roman"/>
          <w:sz w:val="17"/>
          <w:szCs w:val="17"/>
          <w:color w:val="auto"/>
        </w:rPr>
      </w:pPr>
    </w:p>
    <w:p>
      <w:pPr>
        <w:ind w:right="80" w:firstLine="656"/>
        <w:spacing w:after="0" w:line="261" w:lineRule="auto"/>
        <w:tabs>
          <w:tab w:leader="none" w:pos="13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hereby agrees, as of (and subject to the occurrence of) the Merger Date, to assume, to be bound by, to perform and to be liable, as a primary obligor and not as a guarantor or surety, with respect to, any and all payment obligations under the Indenture and the Notes on the terms and subject to the conditions set forth in the Indenture and the Notes and all other obligations and agreements of the Escrow Issuer under the Indenture and the Notes and to become the “Company” under and as defined in the Indenture and the Notes.</w:t>
      </w:r>
    </w:p>
    <w:p>
      <w:pPr>
        <w:spacing w:after="0" w:line="179" w:lineRule="exact"/>
        <w:rPr>
          <w:rFonts w:ascii="Times New Roman" w:cs="Times New Roman" w:eastAsia="Times New Roman" w:hAnsi="Times New Roman"/>
          <w:sz w:val="18"/>
          <w:szCs w:val="18"/>
          <w:color w:val="auto"/>
        </w:rPr>
      </w:pPr>
    </w:p>
    <w:p>
      <w:pPr>
        <w:ind w:firstLine="656"/>
        <w:spacing w:after="0" w:line="266" w:lineRule="auto"/>
        <w:tabs>
          <w:tab w:leader="none" w:pos="13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Guarantee</w:t>
      </w:r>
      <w:r>
        <w:rPr>
          <w:rFonts w:ascii="Times New Roman" w:cs="Times New Roman" w:eastAsia="Times New Roman" w:hAnsi="Times New Roman"/>
          <w:sz w:val="18"/>
          <w:szCs w:val="18"/>
          <w:color w:val="auto"/>
        </w:rPr>
        <w:t>. Each New Guarantor hereby agrees, jointly and severally, to guarantee the Guaranteed Obligations in respect of the Notes (and not of any other Series) on the terms and subject to the conditions set forth in Article 11 of the Base Indenture and to be bound by all other applicable provisions of the Indenture and the Notes and to perform all of the obligations and agreements of a Guarantor under the Indenture.</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to the New Guarantors shall be given as provided in Section 12.02 of the Base Indenture.</w:t>
      </w:r>
    </w:p>
    <w:p>
      <w:pPr>
        <w:spacing w:after="0" w:line="225" w:lineRule="exact"/>
        <w:rPr>
          <w:rFonts w:ascii="Times New Roman" w:cs="Times New Roman" w:eastAsia="Times New Roman" w:hAnsi="Times New Roman"/>
          <w:sz w:val="18"/>
          <w:szCs w:val="18"/>
          <w:color w:val="auto"/>
        </w:rPr>
      </w:pPr>
    </w:p>
    <w:p>
      <w:pPr>
        <w:ind w:right="280" w:firstLine="656"/>
        <w:spacing w:after="0" w:line="266" w:lineRule="auto"/>
        <w:tabs>
          <w:tab w:leader="none" w:pos="13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Indenture; Second Supplemental Indenture Part of Indenture</w:t>
      </w:r>
      <w:r>
        <w:rPr>
          <w:rFonts w:ascii="Times New Roman" w:cs="Times New Roman" w:eastAsia="Times New Roman" w:hAnsi="Times New Roman"/>
          <w:sz w:val="18"/>
          <w:szCs w:val="18"/>
          <w:color w:val="auto"/>
        </w:rPr>
        <w:t>. The Indenture, as supplemented and amended by this Second Supplemental Indenture, is in all respects ratified and confirmed, and the Indenture and this Second Supplemental Indenture shall be read, taken and construed as one and the same instrument.</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Second Supplemental Indenture shall be governed by and construed in accordance with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w:t>
      </w:r>
    </w:p>
    <w:p>
      <w:pPr>
        <w:spacing w:after="0" w:line="206" w:lineRule="exact"/>
        <w:rPr>
          <w:rFonts w:ascii="Times New Roman" w:cs="Times New Roman" w:eastAsia="Times New Roman" w:hAnsi="Times New Roman"/>
          <w:sz w:val="18"/>
          <w:szCs w:val="18"/>
          <w:color w:val="auto"/>
        </w:rPr>
      </w:pPr>
    </w:p>
    <w:p>
      <w:pPr>
        <w:ind w:right="20" w:firstLine="656"/>
        <w:spacing w:after="0" w:line="256" w:lineRule="auto"/>
        <w:tabs>
          <w:tab w:leader="none" w:pos="13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Makes No Representation</w:t>
      </w:r>
      <w:r>
        <w:rPr>
          <w:rFonts w:ascii="Times New Roman" w:cs="Times New Roman" w:eastAsia="Times New Roman" w:hAnsi="Times New Roman"/>
          <w:sz w:val="18"/>
          <w:szCs w:val="18"/>
          <w:color w:val="auto"/>
        </w:rPr>
        <w:t>. The Trustee accepts the amendments of the Indenture effected by this Second Supplemental Indenture on the terms and conditions set forth in the Indenture, including the terms and provisions defining and limiting the liabilities and responsibilities of the Trustee. The recitals in this Second Supplemental Indenture are made by the Company only and not by the Trustee, and the Trustee assumes no responsibility for their correctness. The Trustee makes no representations as to the validity or sufficiency of this Second Supplemental Indenture. All of the provisions contained in the Indenture in respect of the rights, privileges, immunities, powers and duties of the Trustee shall be applicable in respect of this Second Supplemental Indenture as fully and with like effect as if set forth herein in full.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8" w:name="page119"/>
    <w:bookmarkEnd w:id="118"/>
    <w:p>
      <w:pPr>
        <w:ind w:left="-20" w:firstLine="656"/>
        <w:spacing w:after="0" w:line="252" w:lineRule="auto"/>
        <w:tabs>
          <w:tab w:leader="none" w:pos="13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parties hereto may sign any number of copies of this Second Supplemental Indenture. Each signed copy shall be an original, but all of them together represent the same agreement. Signatures of the parties hereto transmitted by facsimile or other electronic transmission shall be deemed to be their original signatures for all purposes. This Second Supplemental Indenture shall be valid, binding, and enforceable against a party (subject to applicable bankruptcy, insolvency, fraudulent transfer, fraudulent conveyance, reorganization, moratorium and other laws now or hereinafter in effect affecting creditors’ rights or remedies generally and to general principles of equity (including standards of materiality, good faith, fair dealing and reasonableness), whether considered in a proceeding at law or at equity)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NYUCC (collectively, “</w:t>
      </w:r>
      <w:r>
        <w:rPr>
          <w:rFonts w:ascii="Times New Roman" w:cs="Times New Roman" w:eastAsia="Times New Roman" w:hAnsi="Times New Roman"/>
          <w:sz w:val="18"/>
          <w:szCs w:val="18"/>
          <w:b w:val="1"/>
          <w:bCs w:val="1"/>
          <w:color w:val="auto"/>
        </w:rPr>
        <w:t>Signature Law</w:t>
      </w:r>
      <w:r>
        <w:rPr>
          <w:rFonts w:ascii="Times New Roman" w:cs="Times New Roman" w:eastAsia="Times New Roman" w:hAnsi="Times New Roman"/>
          <w:sz w:val="18"/>
          <w:szCs w:val="18"/>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NYUCC or other Signature Law due to the character or intended character of the writings. The Trustee shall not have any duty to confirm that the person sending any notice by electronic transmission (including by e-mail) is, in fact, a person authorized to do so. Notwithstanding the foregoing, the Trustee may in any instance and in its sole discretion require that an original document bearing a manual signature be delivered to the Trustee in lieu of, or in addition to, any such electronic Notice. The Company agrees to assume all risks arising out of the use of electronic signatures and electronic methods to submit instructions and directions to the Trustee, including without limitation the risk of the Trustee acting on unauthorized instructions, and the risk of interception and misuse by third parties.</w:t>
      </w:r>
    </w:p>
    <w:p>
      <w:pPr>
        <w:spacing w:after="0" w:line="190" w:lineRule="exact"/>
        <w:rPr>
          <w:rFonts w:ascii="Times New Roman" w:cs="Times New Roman" w:eastAsia="Times New Roman" w:hAnsi="Times New Roman"/>
          <w:sz w:val="18"/>
          <w:szCs w:val="18"/>
          <w:color w:val="auto"/>
        </w:rPr>
      </w:pPr>
    </w:p>
    <w:p>
      <w:pPr>
        <w:ind w:left="-20" w:right="180" w:firstLine="656"/>
        <w:spacing w:after="0" w:line="282" w:lineRule="auto"/>
        <w:tabs>
          <w:tab w:leader="none" w:pos="13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of this Second Supplemental Indenture have been inserted for convenience of reference only, are not intended to be considered a part hereof and shall not modify or restrict any of the terms or provisions here.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19" w:name="page120"/>
    <w:bookmarkEnd w:id="119"/>
    <w:p>
      <w:pPr>
        <w:ind w:left="1420" w:hanging="764"/>
        <w:spacing w:after="0"/>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The provisions of Sections 7.04 and 7.05 of the Base Indenture are hereby incorporated herein by reference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Second Supplemental Indenture to be duly executed, all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XPO, Escrow Sub, LLC, as Escrow Issuer</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RXO, Inc., as the Company</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Jacobson Logistics Company, 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Jacobson Transportation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Air Charter,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Global Forwarding,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Last Mile Holding,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Last Mile,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Logistics Express,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Logistics Managed Transportation,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Logistics NLM,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Logistics,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XPO NAT Solutions,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New Guarantors</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7"/>
          <w:szCs w:val="17"/>
          <w:color w:val="auto"/>
        </w:rPr>
        <w:t>U.S. BANK TRUST COMPANY,</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INTELLECTUAL PROPERTY LICENSE AGREEMENT</w:t>
      </w:r>
    </w:p>
    <w:p>
      <w:pPr>
        <w:spacing w:after="0" w:line="23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XPO LOGISTICS, INC.</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XPO NAT 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Dated as of October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79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1080" w:type="dxa"/>
            <w:vAlign w:val="bottom"/>
          </w:tcPr>
          <w:p>
            <w:pPr>
              <w:spacing w:after="0"/>
              <w:rPr>
                <w:sz w:val="24"/>
                <w:szCs w:val="24"/>
                <w:color w:val="auto"/>
              </w:rPr>
            </w:pPr>
          </w:p>
        </w:tc>
        <w:tc>
          <w:tcPr>
            <w:tcW w:w="79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ARTICLE I</w:t>
            </w:r>
          </w:p>
        </w:tc>
        <w:tc>
          <w:tcPr>
            <w:tcW w:w="18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9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DEFINITIONS AND INTERPRETATION</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Definitions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Defined Terms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80" w:type="dxa"/>
            <w:vAlign w:val="bottom"/>
          </w:tcPr>
          <w:p>
            <w:pPr>
              <w:spacing w:after="0"/>
              <w:rPr>
                <w:sz w:val="24"/>
                <w:szCs w:val="24"/>
                <w:color w:val="auto"/>
              </w:rPr>
            </w:pPr>
          </w:p>
        </w:tc>
        <w:tc>
          <w:tcPr>
            <w:tcW w:w="79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ARTICLE II</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9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ASSIGNED INTELLECTUAL PROPERTY</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 of the SpinCo Software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80" w:type="dxa"/>
            <w:vAlign w:val="bottom"/>
          </w:tcPr>
          <w:p>
            <w:pPr>
              <w:spacing w:after="0"/>
              <w:rPr>
                <w:sz w:val="24"/>
                <w:szCs w:val="24"/>
                <w:color w:val="auto"/>
              </w:rPr>
            </w:pPr>
          </w:p>
        </w:tc>
        <w:tc>
          <w:tcPr>
            <w:tcW w:w="79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ARTICLE III</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9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INTELLECTUAL PROPERTY LICENSES</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License to SpinCo Licensees of Parent Licensed Software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Sublicense to SpinCo Licensees of Rail Optimizer 2.0 Platform</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Parent’s Rights to Use SpinCo Licensed Software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Shared Software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License to SpinCo Licensees of Parent Licensed Other IP</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Parent’s Rights to Use SpinCo Licensed Patents and SpinCo Licensed Other IP</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80" w:type="dxa"/>
            <w:vAlign w:val="bottom"/>
          </w:tcPr>
          <w:p>
            <w:pPr>
              <w:spacing w:after="0"/>
              <w:rPr>
                <w:sz w:val="24"/>
                <w:szCs w:val="24"/>
                <w:color w:val="auto"/>
              </w:rPr>
            </w:pPr>
          </w:p>
        </w:tc>
        <w:tc>
          <w:tcPr>
            <w:tcW w:w="79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8"/>
              </w:rPr>
              <w:t>ARTICLE IV</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9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LICENSE LIMITATIONS</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Rights of Subsidiaries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Sublicensing</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Other Rights; Retained Ownership</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Delivery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Open Source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Treatment of Source Code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Source Code Restrictions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80" w:type="dxa"/>
            <w:vAlign w:val="bottom"/>
          </w:tcPr>
          <w:p>
            <w:pPr>
              <w:spacing w:after="0"/>
              <w:rPr>
                <w:sz w:val="24"/>
                <w:szCs w:val="24"/>
                <w:color w:val="auto"/>
              </w:rPr>
            </w:pPr>
          </w:p>
        </w:tc>
        <w:tc>
          <w:tcPr>
            <w:tcW w:w="79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ARTICLE V</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9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TRANSFERABILITY</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Limitations on Change of Control</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Divestiture of Parent Business Unit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80" w:type="dxa"/>
            <w:vAlign w:val="bottom"/>
          </w:tcPr>
          <w:p>
            <w:pPr>
              <w:spacing w:after="0"/>
              <w:rPr>
                <w:sz w:val="24"/>
                <w:szCs w:val="24"/>
                <w:color w:val="auto"/>
              </w:rPr>
            </w:pPr>
          </w:p>
        </w:tc>
        <w:tc>
          <w:tcPr>
            <w:tcW w:w="79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8"/>
              </w:rPr>
              <w:t>ARTICLE VI</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9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ADDITIONAL TERMS</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Bankruptcy Rights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VII</w:t>
            </w:r>
          </w:p>
        </w:tc>
        <w:tc>
          <w:tcPr>
            <w:tcW w:w="204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NO REPRESENTATIONS OR WARRANTIES</w:t>
            </w:r>
          </w:p>
        </w:tc>
        <w:tc>
          <w:tcPr>
            <w:tcW w:w="2040" w:type="dxa"/>
            <w:vAlign w:val="bottom"/>
          </w:tcPr>
          <w:p>
            <w:pPr>
              <w:spacing w:after="0"/>
              <w:rPr>
                <w:sz w:val="20"/>
                <w:szCs w:val="20"/>
                <w:color w:val="auto"/>
              </w:rPr>
            </w:pPr>
          </w:p>
        </w:tc>
      </w:tr>
      <w:tr>
        <w:trPr>
          <w:trHeight w:val="41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Disclaimer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 of Liability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ARTICLE VIII</w:t>
            </w:r>
          </w:p>
        </w:tc>
        <w:tc>
          <w:tcPr>
            <w:tcW w:w="204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TERM</w:t>
            </w:r>
          </w:p>
        </w:tc>
        <w:tc>
          <w:tcPr>
            <w:tcW w:w="2040" w:type="dxa"/>
            <w:vAlign w:val="bottom"/>
          </w:tcPr>
          <w:p>
            <w:pPr>
              <w:spacing w:after="0"/>
              <w:rPr>
                <w:sz w:val="20"/>
                <w:szCs w:val="20"/>
                <w:color w:val="auto"/>
              </w:rPr>
            </w:pPr>
          </w:p>
        </w:tc>
      </w:tr>
      <w:tr>
        <w:trPr>
          <w:trHeight w:val="432"/>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and Termination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ARTICLE IX</w:t>
            </w:r>
          </w:p>
        </w:tc>
        <w:tc>
          <w:tcPr>
            <w:tcW w:w="204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040" w:type="dxa"/>
            <w:vAlign w:val="bottom"/>
          </w:tcPr>
          <w:p>
            <w:pPr>
              <w:spacing w:after="0"/>
              <w:rPr>
                <w:sz w:val="20"/>
                <w:szCs w:val="20"/>
                <w:color w:val="auto"/>
              </w:rPr>
            </w:pPr>
          </w:p>
        </w:tc>
      </w:tr>
      <w:tr>
        <w:trPr>
          <w:trHeight w:val="41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of IPR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and Waivers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Remedies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Waiver of Jury Trial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91"/>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80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Schedule 1</w:t>
            </w:r>
          </w:p>
        </w:tc>
        <w:tc>
          <w:tcPr>
            <w:tcW w:w="160" w:type="dxa"/>
            <w:vAlign w:val="bottom"/>
          </w:tcPr>
          <w:p>
            <w:pPr>
              <w:spacing w:after="0"/>
              <w:rPr>
                <w:sz w:val="21"/>
                <w:szCs w:val="21"/>
                <w:color w:val="auto"/>
              </w:rPr>
            </w:pP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SpinCo Licensed Patents</w:t>
            </w:r>
          </w:p>
        </w:tc>
        <w:tc>
          <w:tcPr>
            <w:tcW w:w="2040" w:type="dxa"/>
            <w:vAlign w:val="bottom"/>
          </w:tcPr>
          <w:p>
            <w:pPr>
              <w:spacing w:after="0"/>
              <w:rPr>
                <w:sz w:val="21"/>
                <w:szCs w:val="21"/>
                <w:color w:val="auto"/>
              </w:rPr>
            </w:pPr>
          </w:p>
        </w:tc>
      </w:tr>
      <w:tr>
        <w:trPr>
          <w:trHeight w:val="391"/>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80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380" w:type="dxa"/>
            <w:vAlign w:val="bottom"/>
            <w:gridSpan w:val="2"/>
          </w:tcPr>
          <w:p>
            <w:pPr>
              <w:spacing w:after="0"/>
              <w:rPr>
                <w:sz w:val="21"/>
                <w:szCs w:val="21"/>
                <w:color w:val="auto"/>
              </w:rPr>
            </w:pP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STG Agreement</w:t>
            </w:r>
          </w:p>
        </w:tc>
        <w:tc>
          <w:tcPr>
            <w:tcW w:w="2040" w:type="dxa"/>
            <w:vAlign w:val="bottom"/>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LICENSE AGREEMENT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INTELLECTUAL PROPERTY LICENSE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24,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between XPO Logistics,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XPO NAT Solutions,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 E C I T A L 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Parent, acting through itself and its direct and indirect Subsidiaries, currently operates the SpinCo Business;</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determined that it is in the best interests of Parent and its stockholders to create a new publicly traded company that shall operate the SpinCo Business;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WHEREAS, in furtherance of the foregoing, the Parent Board has determined that it is appropriate and desirable to separate the SpinCo Business from the Parent Business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and, following the Separation, make a distribution, on a pro rata basis, to holders of Parent Shares on the Record Date of all of the outstanding SpinCo Shares owned by Parent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WHEREAS, in order to effectuate the Separation and the Distribution, Parent and RXO, Inc.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intend to enter into a Separation and Distribution Agreement on or around October 31, 2022 (as amended, modified or supplemented from time to time,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SpinCo Assets include certain Intellectual Property Rights and Technology;</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transfer of the SpinCo Assets, on the terms and subject to the conditions set forth herein, Parent and the other members of the Parent Group (in such capacity, the “</w:t>
      </w:r>
      <w:r>
        <w:rPr>
          <w:rFonts w:ascii="Times New Roman" w:cs="Times New Roman" w:eastAsia="Times New Roman" w:hAnsi="Times New Roman"/>
          <w:sz w:val="18"/>
          <w:szCs w:val="18"/>
          <w:u w:val="single" w:color="auto"/>
          <w:color w:val="auto"/>
        </w:rPr>
        <w:t>Parent Licensors</w:t>
      </w:r>
      <w:r>
        <w:rPr>
          <w:rFonts w:ascii="Times New Roman" w:cs="Times New Roman" w:eastAsia="Times New Roman" w:hAnsi="Times New Roman"/>
          <w:sz w:val="18"/>
          <w:szCs w:val="18"/>
          <w:color w:val="auto"/>
        </w:rPr>
        <w:t>”) wish to grant to the SpinCo Licensees licenses to certain Parent Licensed Other IP and Parent Licensed Software, and in connection with the transfer of the SpinCo Assets to OpCo, on the terms and subject to the conditions set forth herein, Parent, on behalf of itself and the other members of the Parent Group, wishes to reserve or receive, as applicable, licenses to certain SpinCo Licensed Other IP, SpinCo Licensed Patents and SpinCo Licensed Software;</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WHEREAS, Parent and STG Logistics, Inc. (“</w:t>
      </w:r>
      <w:r>
        <w:rPr>
          <w:rFonts w:ascii="Times New Roman" w:cs="Times New Roman" w:eastAsia="Times New Roman" w:hAnsi="Times New Roman"/>
          <w:sz w:val="18"/>
          <w:szCs w:val="18"/>
          <w:u w:val="single" w:color="auto"/>
          <w:color w:val="auto"/>
        </w:rPr>
        <w:t>STG</w:t>
      </w:r>
      <w:r>
        <w:rPr>
          <w:rFonts w:ascii="Times New Roman" w:cs="Times New Roman" w:eastAsia="Times New Roman" w:hAnsi="Times New Roman"/>
          <w:sz w:val="18"/>
          <w:szCs w:val="18"/>
          <w:color w:val="auto"/>
        </w:rPr>
        <w:t xml:space="preserve">”) have entered into that certain Intellectual Property License Agreement, dated as of March 24, 2022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hereinafter, the “</w:t>
      </w:r>
      <w:r>
        <w:rPr>
          <w:rFonts w:ascii="Times New Roman" w:cs="Times New Roman" w:eastAsia="Times New Roman" w:hAnsi="Times New Roman"/>
          <w:sz w:val="18"/>
          <w:szCs w:val="18"/>
          <w:u w:val="single" w:color="auto"/>
          <w:color w:val="auto"/>
        </w:rPr>
        <w:t>STG Agreement</w:t>
      </w:r>
      <w:r>
        <w:rPr>
          <w:rFonts w:ascii="Times New Roman" w:cs="Times New Roman" w:eastAsia="Times New Roman" w:hAnsi="Times New Roman"/>
          <w:sz w:val="18"/>
          <w:szCs w:val="18"/>
          <w:color w:val="auto"/>
        </w:rPr>
        <w:t>”), pursuant to which STG granted to Parent and its Subsidiaries a license under the Business Intellectual Property (as defined therein) embodied in the Rail Optimizer 2.0 Platform, on the terms and subject to the conditions set forth in the STG Agreement (the “</w:t>
      </w:r>
      <w:r>
        <w:rPr>
          <w:rFonts w:ascii="Times New Roman" w:cs="Times New Roman" w:eastAsia="Times New Roman" w:hAnsi="Times New Roman"/>
          <w:sz w:val="18"/>
          <w:szCs w:val="18"/>
          <w:u w:val="single" w:color="auto"/>
          <w:color w:val="auto"/>
        </w:rPr>
        <w:t>Rail Optimizer 2.0 License</w:t>
      </w:r>
      <w:r>
        <w:rPr>
          <w:rFonts w:ascii="Times New Roman" w:cs="Times New Roman" w:eastAsia="Times New Roman" w:hAnsi="Times New Roman"/>
          <w:sz w:val="18"/>
          <w:szCs w:val="18"/>
          <w:color w:val="auto"/>
        </w:rPr>
        <w:t>”), and, in accordance with Section 4.1(b) of the STG Agreement, Parent desires to grant the SpinCo Licensees, and the SpinCo Licensees desire to receive, a sublicense under the Rail Optimizer 2.0 License, on the terms and subject to the conditions set forth in the STG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WHEREAS, this Agreement constitutes the Intellectual Property License Agreement referred to in the Separation Agreement.</w:t>
      </w:r>
    </w:p>
    <w:p>
      <w:pPr>
        <w:spacing w:after="0" w:line="225"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07"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As used herein, the following terms have the meanings set forth below. Capitalized terms that are not defined in this Agreement shall have the meanings set forth in the Separation Agreement.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Assignment Time</w:t>
      </w:r>
      <w:r>
        <w:rPr>
          <w:rFonts w:ascii="Times New Roman" w:cs="Times New Roman" w:eastAsia="Times New Roman" w:hAnsi="Times New Roman"/>
          <w:sz w:val="18"/>
          <w:szCs w:val="18"/>
          <w:color w:val="auto"/>
        </w:rPr>
        <w:t>” means the time of the assignment of any applicable Parent-Contributed IP from a member of the Parent Group to a member of the SpinCo Group.</w:t>
      </w:r>
    </w:p>
    <w:p>
      <w:pPr>
        <w:spacing w:after="0" w:line="162"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Target Person</w:t>
      </w:r>
      <w:r>
        <w:rPr>
          <w:rFonts w:ascii="Times New Roman" w:cs="Times New Roman" w:eastAsia="Times New Roman" w:hAnsi="Times New Roman"/>
          <w:sz w:val="18"/>
          <w:szCs w:val="18"/>
          <w:color w:val="auto"/>
        </w:rPr>
        <w:t>”), the consummation of any transaction or series of related transactions involving any direct or indirect purchase or acquisition (whether by way of merger, share purchase or exchange, consolidation, license, lease, business combination, or similar transaction or otherwise) by another Person or group (within the meaning of Section 13(d)(3) or 14(d)(2) of the Securities Exchange Act of 1934, as amended), other than by any Person who, prior to such transaction or series of related transactions, is an Affiliate of the Target Person, of either (i) a majority of the voting power of the securities entitled to elect the board of directors or equivalent governing body of the Target Person (or any direct or indirect parent company) or (ii) all or substantially all of the assets of the Target Person and its Subsidiaries, taken together as a whole.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European Business</w:t>
      </w:r>
      <w:r>
        <w:rPr>
          <w:rFonts w:ascii="Times New Roman" w:cs="Times New Roman" w:eastAsia="Times New Roman" w:hAnsi="Times New Roman"/>
          <w:sz w:val="18"/>
          <w:szCs w:val="18"/>
          <w:color w:val="auto"/>
        </w:rPr>
        <w:t>” means the Parent Business conducted in Europe and Africa.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European Field</w:t>
      </w:r>
      <w:r>
        <w:rPr>
          <w:rFonts w:ascii="Times New Roman" w:cs="Times New Roman" w:eastAsia="Times New Roman" w:hAnsi="Times New Roman"/>
          <w:sz w:val="18"/>
          <w:szCs w:val="18"/>
          <w:color w:val="auto"/>
        </w:rPr>
        <w:t>” means the field of the European Business.</w:t>
      </w:r>
    </w:p>
    <w:p>
      <w:pPr>
        <w:spacing w:after="0" w:line="225"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European Products</w:t>
      </w:r>
      <w:r>
        <w:rPr>
          <w:rFonts w:ascii="Times New Roman" w:cs="Times New Roman" w:eastAsia="Times New Roman" w:hAnsi="Times New Roman"/>
          <w:sz w:val="18"/>
          <w:szCs w:val="18"/>
          <w:color w:val="auto"/>
        </w:rPr>
        <w:t>” means any product or service of the European Business, as such products or services currently exist and natural evolutions of such products and services within the European Field.</w:t>
      </w:r>
    </w:p>
    <w:p>
      <w:pPr>
        <w:spacing w:after="0" w:line="162"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Licensed Software</w:t>
      </w:r>
      <w:r>
        <w:rPr>
          <w:rFonts w:ascii="Times New Roman" w:cs="Times New Roman" w:eastAsia="Times New Roman" w:hAnsi="Times New Roman"/>
          <w:sz w:val="18"/>
          <w:szCs w:val="18"/>
          <w:color w:val="auto"/>
        </w:rPr>
        <w:t>” means, depending upon the context of use, either the Parent Licensed Software or the SpinCo Licensed Software licensed to such Party as a Licensee.</w:t>
      </w:r>
    </w:p>
    <w:p>
      <w:pPr>
        <w:spacing w:after="0" w:line="162"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xml:space="preserve">” means a Party and, where the context requires, the other members of such Party’s Group, in its or their capacity as the licensee of the rights or licenses granted to it by the other Party (in the case of the SpinCo Licensees and the Parent Group) or reserved by it (in the case of the Parent Group)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6" w:name="page127"/>
    <w:bookmarkEnd w:id="126"/>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xml:space="preserve">” means a Party in its capacity as the licensor or grantor of any rights or licenses (i) granted by it to the other Party or (ii) reserved by such other Party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as applicable.</w:t>
      </w:r>
    </w:p>
    <w:p>
      <w:pPr>
        <w:spacing w:after="0" w:line="162" w:lineRule="exact"/>
        <w:rPr>
          <w:sz w:val="20"/>
          <w:szCs w:val="20"/>
          <w:color w:val="auto"/>
        </w:rPr>
      </w:pPr>
    </w:p>
    <w:p>
      <w:pPr>
        <w:ind w:right="640" w:firstLine="1296"/>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North American Territory</w:t>
      </w:r>
      <w:r>
        <w:rPr>
          <w:rFonts w:ascii="Times New Roman" w:cs="Times New Roman" w:eastAsia="Times New Roman" w:hAnsi="Times New Roman"/>
          <w:sz w:val="18"/>
          <w:szCs w:val="18"/>
          <w:color w:val="auto"/>
        </w:rPr>
        <w:t>” means the United States, Canada, Mexico and the Caribbean countries, and, in each case, their respective territories and possessions.</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xml:space="preserve">” means Software that is subject to any license meeting the definition of “Open Source” promulgated by the Open Source Initiative, available online at </w:t>
      </w:r>
      <w:r>
        <w:rPr>
          <w:rFonts w:ascii="Times New Roman" w:cs="Times New Roman" w:eastAsia="Times New Roman" w:hAnsi="Times New Roman"/>
          <w:sz w:val="18"/>
          <w:szCs w:val="18"/>
          <w:u w:val="single" w:color="auto"/>
          <w:color w:val="auto"/>
        </w:rPr>
        <w:t>http://www.opensource.org/osd.html</w:t>
      </w:r>
      <w:r>
        <w:rPr>
          <w:rFonts w:ascii="Times New Roman" w:cs="Times New Roman" w:eastAsia="Times New Roman" w:hAnsi="Times New Roman"/>
          <w:sz w:val="18"/>
          <w:szCs w:val="18"/>
          <w:color w:val="auto"/>
        </w:rPr>
        <w:t xml:space="preserve"> (including any GNU General Public License, Library General Public License, Lesser General Public License, Mozilla Public License, Berkeley Software Distribution License, MIT and the Apache License).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Other IP</w:t>
      </w:r>
      <w:r>
        <w:rPr>
          <w:rFonts w:ascii="Times New Roman" w:cs="Times New Roman" w:eastAsia="Times New Roman" w:hAnsi="Times New Roman"/>
          <w:sz w:val="18"/>
          <w:szCs w:val="18"/>
          <w:color w:val="auto"/>
        </w:rPr>
        <w:t>” means Intellectual Property Rights other than Patents, Marks and Internet Properties.</w:t>
      </w:r>
    </w:p>
    <w:p>
      <w:pPr>
        <w:spacing w:after="0" w:line="225"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Parent-Contributed IP</w:t>
      </w:r>
      <w:r>
        <w:rPr>
          <w:rFonts w:ascii="Times New Roman" w:cs="Times New Roman" w:eastAsia="Times New Roman" w:hAnsi="Times New Roman"/>
          <w:sz w:val="18"/>
          <w:szCs w:val="18"/>
          <w:color w:val="auto"/>
        </w:rPr>
        <w:t>” means any SpinCo Licensed IP that is assigned from a member of the Parent Group to a member of the SpinCo Group pursuant to the applicable Transfer Document.</w:t>
      </w:r>
    </w:p>
    <w:p>
      <w:pPr>
        <w:spacing w:after="0" w:line="16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Parent Field</w:t>
      </w:r>
      <w:r>
        <w:rPr>
          <w:rFonts w:ascii="Times New Roman" w:cs="Times New Roman" w:eastAsia="Times New Roman" w:hAnsi="Times New Roman"/>
          <w:sz w:val="18"/>
          <w:szCs w:val="18"/>
          <w:color w:val="auto"/>
        </w:rPr>
        <w:t>” means the business and operations of Parent and its relevant Subsidiaries that constitute the “North American Less-Than-Truckload” segment as described in Parent’s Annual Report on Form 10-K for the fiscal year ended December 31, 2021 and conducted at any time prior to the Distribution by either Group. For the avoidance of doubt, “Parent Field” shall include all of the Parent Business other than the European Business.</w:t>
      </w:r>
    </w:p>
    <w:p>
      <w:pPr>
        <w:spacing w:after="0" w:line="180" w:lineRule="exact"/>
        <w:rPr>
          <w:sz w:val="20"/>
          <w:szCs w:val="20"/>
          <w:color w:val="auto"/>
        </w:rPr>
      </w:pPr>
    </w:p>
    <w:p>
      <w:pPr>
        <w:ind w:right="460" w:firstLine="1296"/>
        <w:spacing w:after="0" w:line="26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Parent Licensed Other IP</w:t>
      </w:r>
      <w:r>
        <w:rPr>
          <w:rFonts w:ascii="Times New Roman" w:cs="Times New Roman" w:eastAsia="Times New Roman" w:hAnsi="Times New Roman"/>
          <w:sz w:val="18"/>
          <w:szCs w:val="18"/>
          <w:color w:val="auto"/>
        </w:rPr>
        <w:t>” means the Other IP (other than the SpinCo Intellectual Property) that is owned by Parent or other members of the Parent Group as of the Effective Date and (i) embodied in or by any of the SpinCo Technology or (ii) otherwise used in the SpinCo Business prior to the Effective Date.</w:t>
      </w:r>
    </w:p>
    <w:p>
      <w:pPr>
        <w:spacing w:after="0" w:line="176"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Parent Licensed Software</w:t>
      </w:r>
      <w:r>
        <w:rPr>
          <w:rFonts w:ascii="Times New Roman" w:cs="Times New Roman" w:eastAsia="Times New Roman" w:hAnsi="Times New Roman"/>
          <w:sz w:val="18"/>
          <w:szCs w:val="18"/>
          <w:color w:val="auto"/>
        </w:rPr>
        <w:t>” means the Software customizations and customer-specific integrations for Oracle, HRIS, CRM, Auth XPO, Elastic XRT and corporate BI (including the Oracle Hub proprietary platform), in object code form, developed by Parent or its Subsidiaries prior to the Effective Date in connection with the operation of the SpinCo Business.</w:t>
      </w:r>
    </w:p>
    <w:p>
      <w:pPr>
        <w:spacing w:after="0" w:line="176"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Parent Products</w:t>
      </w:r>
      <w:r>
        <w:rPr>
          <w:rFonts w:ascii="Times New Roman" w:cs="Times New Roman" w:eastAsia="Times New Roman" w:hAnsi="Times New Roman"/>
          <w:sz w:val="18"/>
          <w:szCs w:val="18"/>
          <w:color w:val="auto"/>
        </w:rPr>
        <w:t>” means any product or service of the Parent Business (other than the European Business), as such products or services currently exist and natural evolutions of such products and services within the Parent Field.</w:t>
      </w:r>
    </w:p>
    <w:p>
      <w:pPr>
        <w:spacing w:after="0" w:line="162"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Parent Technology</w:t>
      </w:r>
      <w:r>
        <w:rPr>
          <w:rFonts w:ascii="Times New Roman" w:cs="Times New Roman" w:eastAsia="Times New Roman" w:hAnsi="Times New Roman"/>
          <w:sz w:val="18"/>
          <w:szCs w:val="18"/>
          <w:color w:val="auto"/>
        </w:rPr>
        <w:t>” means all Technology, including any Technology that constitutes know-how or knowledge of any employees of the Parent Business, used in or held for use in the operation of the Parent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Rail Optimizer 2.0 Platform</w:t>
      </w:r>
      <w:r>
        <w:rPr>
          <w:rFonts w:ascii="Times New Roman" w:cs="Times New Roman" w:eastAsia="Times New Roman" w:hAnsi="Times New Roman"/>
          <w:sz w:val="18"/>
          <w:szCs w:val="18"/>
          <w:color w:val="auto"/>
        </w:rPr>
        <w:t>” has the meaning set forth in the STG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ind w:left="130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SpinCo Field</w:t>
      </w:r>
      <w:r>
        <w:rPr>
          <w:rFonts w:ascii="Times New Roman" w:cs="Times New Roman" w:eastAsia="Times New Roman" w:hAnsi="Times New Roman"/>
          <w:sz w:val="18"/>
          <w:szCs w:val="18"/>
          <w:color w:val="auto"/>
        </w:rPr>
        <w:t>” means the field of the SpinCo Business.</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SpinCo Licensed IP</w:t>
      </w:r>
      <w:r>
        <w:rPr>
          <w:rFonts w:ascii="Times New Roman" w:cs="Times New Roman" w:eastAsia="Times New Roman" w:hAnsi="Times New Roman"/>
          <w:sz w:val="18"/>
          <w:szCs w:val="18"/>
          <w:color w:val="auto"/>
        </w:rPr>
        <w:t>” means the SpinCo Licensed Software, the SpinCo Licensed Other IP (including all SpinCo Licensed Other IP embodied in the SpinCo Licensed Software) and the SpinCo Licensed Patents.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SpinCo Licensed Other IP</w:t>
      </w:r>
      <w:r>
        <w:rPr>
          <w:rFonts w:ascii="Times New Roman" w:cs="Times New Roman" w:eastAsia="Times New Roman" w:hAnsi="Times New Roman"/>
          <w:sz w:val="18"/>
          <w:szCs w:val="18"/>
          <w:color w:val="auto"/>
        </w:rPr>
        <w:t>” means the Other IP included in the SpinCo Intellectual Property.</w:t>
      </w:r>
    </w:p>
    <w:p>
      <w:pPr>
        <w:spacing w:after="0" w:line="225"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SpinCo Licensed Patents</w:t>
      </w:r>
      <w:r>
        <w:rPr>
          <w:rFonts w:ascii="Times New Roman" w:cs="Times New Roman" w:eastAsia="Times New Roman" w:hAnsi="Times New Roman"/>
          <w:sz w:val="18"/>
          <w:szCs w:val="18"/>
          <w:color w:val="auto"/>
        </w:rPr>
        <w:t xml:space="preserve">” means (i) the Patents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(ii) any Patent that issues after the Effective Date that claims priority to any Patent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and (iii) any foreign counterparts to any of the foregoing.</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SpinCo Licensed Software</w:t>
      </w:r>
      <w:r>
        <w:rPr>
          <w:rFonts w:ascii="Times New Roman" w:cs="Times New Roman" w:eastAsia="Times New Roman" w:hAnsi="Times New Roman"/>
          <w:sz w:val="18"/>
          <w:szCs w:val="18"/>
          <w:color w:val="auto"/>
        </w:rPr>
        <w:t>” means the Software developed by Parent or its Subsidiaries prior to the Effective Date in connection with the operation of the SpinCo Business (i) that is used for supporting and implementing (including customizations and customer-specific integrations) the (a) Freight Optimizer platform, (b) XPO Connect platform, (c) Drive XPO platform, (d) XPO Connect Last Mile platform, (e) DMS platform and (f) Pnet platform and (ii) that constitutes the Software customizations and customer-specific integrations for Cargowise.</w:t>
      </w:r>
    </w:p>
    <w:p>
      <w:pPr>
        <w:spacing w:after="0" w:line="180"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SpinCo Licensees</w:t>
      </w:r>
      <w:r>
        <w:rPr>
          <w:rFonts w:ascii="Times New Roman" w:cs="Times New Roman" w:eastAsia="Times New Roman" w:hAnsi="Times New Roman"/>
          <w:sz w:val="18"/>
          <w:szCs w:val="18"/>
          <w:color w:val="auto"/>
        </w:rPr>
        <w:t xml:space="preserve">” means OpCo and the other members of the SpinCo Group other than SpinCo in their capacity as Licensees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SpinCo Licensors</w:t>
      </w:r>
      <w:r>
        <w:rPr>
          <w:rFonts w:ascii="Times New Roman" w:cs="Times New Roman" w:eastAsia="Times New Roman" w:hAnsi="Times New Roman"/>
          <w:sz w:val="18"/>
          <w:szCs w:val="18"/>
          <w:color w:val="auto"/>
        </w:rPr>
        <w:t xml:space="preserve">” means OpCo and the other members of the SpinCo Group other than SpinCo in their capacity as Licensors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SpinCo-Owned IP</w:t>
      </w:r>
      <w:r>
        <w:rPr>
          <w:rFonts w:ascii="Times New Roman" w:cs="Times New Roman" w:eastAsia="Times New Roman" w:hAnsi="Times New Roman"/>
          <w:sz w:val="18"/>
          <w:szCs w:val="18"/>
          <w:color w:val="auto"/>
        </w:rPr>
        <w:t>” means all SpinCo Licensed IP other than the Parent-Contributed IP.</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SpinCo Product</w:t>
      </w:r>
      <w:r>
        <w:rPr>
          <w:rFonts w:ascii="Times New Roman" w:cs="Times New Roman" w:eastAsia="Times New Roman" w:hAnsi="Times New Roman"/>
          <w:sz w:val="18"/>
          <w:szCs w:val="18"/>
          <w:color w:val="auto"/>
        </w:rPr>
        <w:t>” means the products and services provided to customers and end users by or on behalf of the SpinCo Business, as such products or services currently exist and natural evolutions of such products and services within the SpinCo Field.</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SpinCo Software</w:t>
      </w:r>
      <w:r>
        <w:rPr>
          <w:rFonts w:ascii="Times New Roman" w:cs="Times New Roman" w:eastAsia="Times New Roman" w:hAnsi="Times New Roman"/>
          <w:sz w:val="18"/>
          <w:szCs w:val="18"/>
          <w:color w:val="auto"/>
        </w:rPr>
        <w:t>” means the Software developed by Parent or its Subsidiaries prior to the Effective Date in connection with the operation of the SpinCo Business (i) that is used for supporting and implementing (including customizations and customer-specific integrations) the</w:t>
      </w:r>
    </w:p>
    <w:p>
      <w:pPr>
        <w:ind w:right="20" w:firstLine="8"/>
        <w:spacing w:after="0" w:line="265" w:lineRule="auto"/>
        <w:tabs>
          <w:tab w:leader="none" w:pos="24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Freight Optimizer platform, (b) XPO Connect platform, (c) Drive XPO platform, (d) XPO Connect Last Mile platform, (e) DMS platform, (f) XPO Connect MT platform, (g) NLM platform and (h) Pnet platform and (ii) that constitutes the Software customizations and customer-specific integrations for</w:t>
      </w:r>
    </w:p>
    <w:p>
      <w:pPr>
        <w:ind w:left="260" w:hanging="252"/>
        <w:spacing w:after="0"/>
        <w:tabs>
          <w:tab w:leader="none" w:pos="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Oracle OTM, (b) Sylectus and (c) Cargowise.</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28" w:name="page129"/>
    <w:bookmarkEnd w:id="128"/>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In addition, the following terms shall have the meanings ascribed to them in the corresponding section of this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6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Party</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Acquiring Party</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6.1</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Non-Acquired Party</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 Source License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4.5</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Licensors</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Rail Optimizer 2.0 License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Separation</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Separation Agreement</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Software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3.4</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Spin-Out</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4.1(b)</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STG</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STG Agreement</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Person</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1.1(a)</w:t>
            </w: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ASSIGNED INTELLECTUAL PROPERTY</w:t>
      </w:r>
    </w:p>
    <w:p>
      <w:pPr>
        <w:spacing w:after="0" w:line="20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Assignment of the SpinCo Software</w:t>
      </w:r>
      <w:r>
        <w:rPr>
          <w:rFonts w:ascii="Times New Roman" w:cs="Times New Roman" w:eastAsia="Times New Roman" w:hAnsi="Times New Roman"/>
          <w:sz w:val="18"/>
          <w:szCs w:val="18"/>
          <w:color w:val="auto"/>
        </w:rPr>
        <w:t xml:space="preserve">. To the extent that Other IP of Parent and its Subsidiaries embodied in the SpinCo Software is not held prior to the Effective Date by OpCo or other members of the SpinCo Group, Parent hereby transfers and assigns effective as of the Effective Date, on behalf of itself and its applicable Subsidiaries, to OpCo, and OpCo does hereby acquire and accept, effective as of the Effective Date, all Intellectual Property Rights embodied in the SpinCo Software held by Parent or its Subsidiaries that are members of the Parent Group, including the right to enforce such Intellectual Property Rights and to retain all damages and awards resulting from such enforcement, subject to the reservation by Parent of the applicable licenses of SpinCo Licensed Software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Parent and its Subsidiaries that are members of the Parent Group shall, effective as of the Effective Date, deliver to OpCo a copy of the existing SpinCo Software, including any related documentation in the possession or control of Parent and such Subsidiaries. Nothing set forth in the foregoing shall preclude Parent from retaining a copy of the SpinCo Software in the form of Software licensed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207"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License to SpinCo Licensees of Parent Licensed Software</w:t>
      </w:r>
      <w:r>
        <w:rPr>
          <w:rFonts w:ascii="Times New Roman" w:cs="Times New Roman" w:eastAsia="Times New Roman" w:hAnsi="Times New Roman"/>
          <w:sz w:val="18"/>
          <w:szCs w:val="18"/>
          <w:color w:val="auto"/>
        </w:rPr>
        <w:t xml:space="preserve">. Parent, on behalf of itself and Parent Licensors, agrees to grant, and hereby grants, effective as of the Effective Date, to SpinCo Licensees, subject to the terms and conditions of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 nonexclusive, nontransferable (except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nonsublicensable (except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perpetual, irrevocable, worldwide, fully paid, royalty-free license under the Parent Licensed Other IP embodied in the Parent Licensed Software to (i) internally use, reproduce, modify and create derivative works of such Parent Licensed Software, (ii) copy and use internally (or have hosted) the Parent Licensed Software (and any derivative works thereof created by SpinCo Licensees pursuant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solely for the purposes of hosting and providing the SpinCo Products to third parties as a service (SaaS) and (iii) copy and distribute (subject to any applicable confidentiality restrictions) the Parent Licensed Software (and any derivative works thereof created by SpinCo Licensees pursuant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object code form only, and only to the extent incorporated in SpinCo Products, in each case of </w:t>
      </w:r>
      <w:r>
        <w:rPr>
          <w:rFonts w:ascii="Times New Roman" w:cs="Times New Roman" w:eastAsia="Times New Roman" w:hAnsi="Times New Roman"/>
          <w:sz w:val="18"/>
          <w:szCs w:val="18"/>
          <w:u w:val="single" w:color="auto"/>
          <w:color w:val="auto"/>
        </w:rPr>
        <w:t>clauses (i)-(iii)</w:t>
      </w:r>
      <w:r>
        <w:rPr>
          <w:rFonts w:ascii="Times New Roman" w:cs="Times New Roman" w:eastAsia="Times New Roman" w:hAnsi="Times New Roman"/>
          <w:sz w:val="18"/>
          <w:szCs w:val="18"/>
          <w:color w:val="auto"/>
        </w:rPr>
        <w:t>, solely in the SpinCo Field.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ind w:right="20" w:firstLine="1296"/>
        <w:spacing w:after="0" w:line="289" w:lineRule="auto"/>
        <w:rPr>
          <w:sz w:val="20"/>
          <w:szCs w:val="20"/>
          <w:color w:val="auto"/>
        </w:rPr>
      </w:pPr>
      <w:r>
        <w:rPr>
          <w:rFonts w:ascii="Times New Roman" w:cs="Times New Roman" w:eastAsia="Times New Roman" w:hAnsi="Times New Roman"/>
          <w:sz w:val="17"/>
          <w:szCs w:val="17"/>
          <w:color w:val="auto"/>
        </w:rPr>
        <w:t>Section 3.2   </w:t>
      </w:r>
      <w:r>
        <w:rPr>
          <w:rFonts w:ascii="Times New Roman" w:cs="Times New Roman" w:eastAsia="Times New Roman" w:hAnsi="Times New Roman"/>
          <w:sz w:val="17"/>
          <w:szCs w:val="17"/>
          <w:u w:val="single" w:color="auto"/>
          <w:color w:val="auto"/>
        </w:rPr>
        <w:t>  Sublicense to SpinCo Licensees of Rail Optimizer 2.0 Platform</w:t>
      </w:r>
      <w:r>
        <w:rPr>
          <w:rFonts w:ascii="Times New Roman" w:cs="Times New Roman" w:eastAsia="Times New Roman" w:hAnsi="Times New Roman"/>
          <w:sz w:val="17"/>
          <w:szCs w:val="17"/>
          <w:color w:val="auto"/>
        </w:rPr>
        <w:t>. Pursuant to the terms and conditions of the STG Agreement and this Agreement, Parent agrees to grant, and hereby grants, effective as of the Effective Date, to SpinCo Licensees a sublicense to Parent’s rights under the Rail Optimizer 2.0 License to the fullest extent of the rights available pursuant to the terms and subject to the limitations of the STG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Parent’s Rights to Use SpinCo Licensed Software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terms and conditions of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with respect to the SpinCo Licensed Other IP embodied in the SpinCo Licensed Software, (x) to the extent such SpinCo Licensed Other IP constitutes Parent-Contributed IP, Parent, on behalf of itself and the other members of the Parent Group, hereby reserves, effective as of the Assignment Time, and OpCo hereby acknowledges and accepts the reservation of, and (y) to the extent such SpinCo Licensed Other IP constitutes SpinCo-Owned IP, OpCo, on behalf of itself and the other SpinCo Licensors, agrees to grant, and hereby grants, effective as of the Effective Date, in each case, a nonexclusive, nontransferable (except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nonsublicensable (except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perpetual, irrevocable, fully paid, royalty-free license in favor of the Parent Group under such SpinCo Licensed Other IP to (i) internally use, reproduce, modify and create derivative works of such SpinCo Licensed Software, (ii) copy and use internally (or have hosted) the SpinCo Licensed Software (and any derivative works thereof created by the Parent Group pursuant to the foregoing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solely for the purposes of hosting and providing the Parent Products to third parties as a service (SaaS) and (iii) copy and distribute (subject to any applicable confidentiality restrictions) the SpinCo Licensed Software (and any derivative works thereof created by the Parent Group pursuant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object code form only, and only to the extent incorporated in Parent Products, in each case of </w:t>
      </w:r>
      <w:r>
        <w:rPr>
          <w:rFonts w:ascii="Times New Roman" w:cs="Times New Roman" w:eastAsia="Times New Roman" w:hAnsi="Times New Roman"/>
          <w:sz w:val="18"/>
          <w:szCs w:val="18"/>
          <w:u w:val="single" w:color="auto"/>
          <w:color w:val="auto"/>
        </w:rPr>
        <w:t>clauses (i)-(iii)</w:t>
      </w:r>
      <w:r>
        <w:rPr>
          <w:rFonts w:ascii="Times New Roman" w:cs="Times New Roman" w:eastAsia="Times New Roman" w:hAnsi="Times New Roman"/>
          <w:sz w:val="18"/>
          <w:szCs w:val="18"/>
          <w:color w:val="auto"/>
        </w:rPr>
        <w:t>, solely in the Parent Field in the North American Territory.</w:t>
      </w:r>
    </w:p>
    <w:p>
      <w:pPr>
        <w:spacing w:after="0" w:line="18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Subject to the terms and conditions of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with respect to the SpinCo Licensed Other IP embodied in the SpinCo Licensed Software, (x) to the extent such SpinCo Licensed Other IP constitutes Parent-Contributed IP, Parent, on behalf of itself and the other members of the Parent Group, hereby reserves, effective as of the Assignment Time, and OpCo hereby acknowledges and accepts the reservation of, and (y) to the extent such SpinCo Licensed Other IP constitutes SpinCo-Owned IP, OpCo, on behalf of itself and the other SpinCo Licensors, agrees to grant, and hereby grants, effective as of the Effective Date, in each case, a nontransferable (except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nonsublicensable (except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perpetual, irrevocable, fully paid, royalty-free license in favor of the Parent Group under such SpinCo Licensed Other IP to (i) internally use, reproduce, modify and create derivative works of such SpinCo Licensed Software, (ii) copy and use internally (or have hosted) the SpinCo Licensed Software (and any derivative works thereof created by the Parent Group pursuant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solely for the purposes of hosting and providing the European Products to third parties as a service (SaaS) and (iii) copy and distribute (subject to any applicable confidentiality restrictions) the SpinCo Licensed Software (and any derivative works thereof created by the Parent Group pursuant to the foregoing </w:t>
      </w:r>
      <w:r>
        <w:rPr>
          <w:rFonts w:ascii="Times New Roman" w:cs="Times New Roman" w:eastAsia="Times New Roman" w:hAnsi="Times New Roman"/>
          <w:sz w:val="18"/>
          <w:szCs w:val="18"/>
          <w:u w:val="single" w:color="auto"/>
          <w:color w:val="auto"/>
        </w:rPr>
        <w:t>clause</w:t>
      </w:r>
    </w:p>
    <w:p>
      <w:pPr>
        <w:spacing w:after="0" w:line="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in object code form only, and only to the extent incorporated in European Products, in each case of </w:t>
      </w:r>
      <w:r>
        <w:rPr>
          <w:rFonts w:ascii="Times New Roman" w:cs="Times New Roman" w:eastAsia="Times New Roman" w:hAnsi="Times New Roman"/>
          <w:sz w:val="18"/>
          <w:szCs w:val="18"/>
          <w:u w:val="single" w:color="auto"/>
          <w:color w:val="auto"/>
        </w:rPr>
        <w:t>clauses (i)-(iii)</w:t>
      </w:r>
      <w:r>
        <w:rPr>
          <w:rFonts w:ascii="Times New Roman" w:cs="Times New Roman" w:eastAsia="Times New Roman" w:hAnsi="Times New Roman"/>
          <w:sz w:val="18"/>
          <w:szCs w:val="18"/>
          <w:color w:val="auto"/>
        </w:rPr>
        <w:t xml:space="preserve">, solely in the European Field. The license set forth in this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shall be exclusive (including with respect to the SpinCo Licensors and their Affiliates) for the three-year period beginning on the Effective Date. As of the third anniversary of the Effective Date, the license set forth in this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shall become non-exclusive and shall thereafter remain non-exclusive in perpetuity.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0" w:name="page131"/>
    <w:bookmarkEnd w:id="130"/>
    <w:p>
      <w:pPr>
        <w:ind w:firstLine="1296"/>
        <w:spacing w:after="0" w:line="255"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Shared Software</w:t>
      </w:r>
      <w:r>
        <w:rPr>
          <w:rFonts w:ascii="Times New Roman" w:cs="Times New Roman" w:eastAsia="Times New Roman" w:hAnsi="Times New Roman"/>
          <w:sz w:val="18"/>
          <w:szCs w:val="18"/>
          <w:color w:val="auto"/>
        </w:rPr>
        <w:t xml:space="preserve">. The Parties acknowledge and agree that (a) the SpinCo Licensed Software may include discrete Software code (including routines, drivers and linked libraries) that originated from, or was adapted from, Software created by Parent or its Subsidiaries prior to the Effective Date and (b) such discrete items of SpinCo Licensed Software, derivatives of such SpinCo Licensed Software, and Software from which such SpinCo Licensed Software were derived, are being used or are held for use by Parent and its Subsidiaries in their products other than the SpinCo Products (such Software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Shared Software</w:t>
      </w:r>
      <w:r>
        <w:rPr>
          <w:rFonts w:ascii="Times New Roman" w:cs="Times New Roman" w:eastAsia="Times New Roman" w:hAnsi="Times New Roman"/>
          <w:sz w:val="18"/>
          <w:szCs w:val="18"/>
          <w:color w:val="auto"/>
        </w:rPr>
        <w:t xml:space="preserve">”). Accordingly, the Parties agree that the Intellectual Property Rights embodied in or by such Shared Software shall be considered “SpinCo Licensed Other IP” for purposes of this Agreement and a license shall be granted to or reserved by Parent, as applicable, on behalf of itself and the other members of the Parent Group,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of this Agreement.</w:t>
      </w:r>
    </w:p>
    <w:p>
      <w:pPr>
        <w:spacing w:after="0" w:line="189"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License to SpinCo Licensees of Parent Licensed Other IP</w:t>
      </w:r>
      <w:r>
        <w:rPr>
          <w:rFonts w:ascii="Times New Roman" w:cs="Times New Roman" w:eastAsia="Times New Roman" w:hAnsi="Times New Roman"/>
          <w:sz w:val="18"/>
          <w:szCs w:val="18"/>
          <w:color w:val="auto"/>
        </w:rPr>
        <w:t xml:space="preserve">. Subject to the terms and conditions of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Parent, on behalf of itself and the Parent Licensors, agrees to grant, and hereby grants, effective as of the Effective Date, to SpinCo Licensees a nonexclusive, nontransferable (except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sublicensable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perpetual, irrevocable, worldwide, fully paid, royalty-free license under the Parent Licensed Other IP, to use, reproduce, distribute, disclose, make, modify, improve, display and perform, create derivative works of, or otherwise exploit any SpinCo Technology in any field;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license does not extend to the Parent Licensed Software or any Intellectual Property Rights embodied therein.</w:t>
      </w:r>
    </w:p>
    <w:p>
      <w:pPr>
        <w:spacing w:after="0" w:line="187"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Parent’s Rights to Use SpinCo Licensed Patents and SpinCo Licensed Other IP</w:t>
      </w:r>
      <w:r>
        <w:rPr>
          <w:rFonts w:ascii="Times New Roman" w:cs="Times New Roman" w:eastAsia="Times New Roman" w:hAnsi="Times New Roman"/>
          <w:sz w:val="18"/>
          <w:szCs w:val="18"/>
          <w:color w:val="auto"/>
        </w:rPr>
        <w:t xml:space="preserve">. Subject to the terms and conditions of this Agreement, with respect to the SpinCo Licensed Patents and SpinCo Licensed Other IP, (x) to the extent such SpinCo Licensed IP constitutes Parent-Contributed IP, Parent, on behalf of itself and the other members of the Parent Group, hereby reserves, effective as of the Assignment Time, and OpCo hereby acknowledges and accepts the reservation of, and (y) to the extent such SpinCo Licensed IP constitutes SpinCo-Owned IP, OpCo, on behalf of itself and the other SpinCo Licensors, agrees to grant, and hereby grants, effective as of the Effective Date, in each case, a nonexclusive, nontransferable (except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sublicensable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perpetual, irrevocable, worldwide, fully paid, royalty-free license in favor of the Parent Group: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1" w:name="page132"/>
    <w:bookmarkEnd w:id="131"/>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(a)            under such SpinCo Licensed Patents, to make, have made, import, use, offer to sell, sell and otherwise provide any Parent Product, including to practice any method, process or procedure claimed in any of the SpinCo Licensed Patents, in each case solely in the Parent Field;</w:t>
      </w:r>
    </w:p>
    <w:p>
      <w:pPr>
        <w:spacing w:after="0" w:line="162"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(b)            under such SpinCo Licensed Patents, to make, have made, import, use, offer to sell, sell and otherwise provide any European Product, including to practice any method, process or procedure claimed in any of the SpinCo Licensed Patents, in each case solely in the European Field; and</w:t>
      </w:r>
    </w:p>
    <w:p>
      <w:pPr>
        <w:spacing w:after="0" w:line="176"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under such SpinCo Licensed Other IP, to use, reproduce, distribute, disclose, make, modify, improve, display and perform, create derivative works of, or otherwise exploit the Parent Technology in any field;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license does not extend to the Spinco Licensed Software (other than Shared Software) or any Intellectual Property Rights embodied therein.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LICENSE LIMITATIONS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Rights of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All rights, licenses and sublicenses granted to OpCo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all rights and licenses granted to or reserved by Parent, as applicable,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are granted to or reserved by such Party as Licensee and to or on behalf of any entity that is a Subsidiary of such Party, but only for so long as such entity is a Subsidiary of such Party, and they will automatically terminate with respect to such entity when it ceases to be a Subsidiary of such Party, except in the case of a Spin-Out of such entity as provided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In the event of a transaction or series of related transactions in which (i) an entity that is a Subsidiary of a Party actively engaged in a line of business ceases to be a Subsidiary of such Party or (ii) Parent sells or divests a business unit or assets to which the licenses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part thereof) relate (such transaction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Spin-Out</w:t>
      </w:r>
      <w:r>
        <w:rPr>
          <w:rFonts w:ascii="Times New Roman" w:cs="Times New Roman" w:eastAsia="Times New Roman" w:hAnsi="Times New Roman"/>
          <w:sz w:val="18"/>
          <w:szCs w:val="18"/>
          <w:color w:val="auto"/>
        </w:rPr>
        <w:t xml:space="preserve">”), such spun-out entity may retain (by way of a sublicense), and the acquiror of such business unit or assets of Parent will receive (in whole or in part), any licenses granted or sublicensed to, or reserved by or on behalf of, such entity or business unit hereunder, but only with respect to the line of business that such entity or business unit is engaged in at the effective time of such Spin-Out (and not to any products of an acquirer of such entity or business unit);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entity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its successor provides the Licensor hereunder with written notice of the Spin-Out and agrees in writing to be bound by the terms of this Agreement, including any license limitations. If such entity resulting from, or in connection with, the Spin-Out is acquired by, or merges with, a third party, such sublicense will not extend to any products, business or operations of such third party.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ind w:left="130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Sublicensing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Where a license granted to or reserved by a Party as a Licensee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includes a license to distribute Software, such Licensee may, in connection with such distribution to an end user, grant to the end user a sublicense to such Software pursuant to an industry-standard, object code only, nonexclusive license.</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Each Party, as a Licensee, may sublicense the license and rights granted to or reserved by such Licensee with respect to Other IP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respectively, and, in the case of Parent, with respect to the SpinCo Licensed Patents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freely to a third party in connection with the operation of such Licensee’s business in the ordinary course or to such entity resulting from a Spin-Out, including in connection with the licensing of its products and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Party shall treat any material Trade Secrets or confidential information that embodies, or is, licensed to it hereunder in the same manner, and with the same degree of care, that it treats its own like confidential information and Trade Secrets and in accordance with applicable Law, but in no event with less than reasonable care, and neither Party shall disclose such Trade Secrets or confidential information to a third party, except in connection with the disclosure of such Party’s own confidential information or Trade Secrets of at least comparable importance and value.</w:t>
      </w:r>
    </w:p>
    <w:p>
      <w:pPr>
        <w:spacing w:after="0" w:line="19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Except as provided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neither Party, as a Licensee, will be permitted to sublicense or disclose the source code for the Licensed Software to any third party.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No Other Rights; Retained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(a)            Each Party acknowledges and agrees that (i) its rights and licenses to the other Party’s Intellectual Property Rights are solely as set forth in, and as may be limited by, this Agreement and (ii) neither Party has, nor will it claim to have, any rights or licenses to the other Party’s Intellectual Property Rights as a result of its status as a Subsidiary of such other Party or otherwise. Each Party shall retain all rights, including all Intellectual Property Rights, in and to any improvement to, or derivative works of, any Technology or Software licensed to it hereunder, and it shall have no obligation to provide or disclose such improvements or derivative works to the other Party.</w:t>
      </w:r>
    </w:p>
    <w:p>
      <w:pPr>
        <w:spacing w:after="0" w:line="183"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set forth in this Agreement, this Agreement grants to the Parent Group no right or license to any Intellectual Property Rights that any members of the SpinCo Group may own now or in the future, except as expressly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whether by implication, estoppel or otherwise.</w:t>
      </w:r>
    </w:p>
    <w:p>
      <w:pPr>
        <w:spacing w:after="0" w:line="17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set forth in this Agreement, this Agreement grants to SpinCo Licensees no right or license to any Intellectual Property Rights that Parent Licensors may own now or in the future, except as expressly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and, whether by implication, estoppel or otherwise. For the avoidance of doubt, Parent Licensors retain sole ownership of Intellectual Property Rights licensed by the Parent Licensors under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3" w:name="page134"/>
    <w:bookmarkEnd w:id="133"/>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Delivery</w:t>
      </w:r>
      <w:r>
        <w:rPr>
          <w:rFonts w:ascii="Times New Roman" w:cs="Times New Roman" w:eastAsia="Times New Roman" w:hAnsi="Times New Roman"/>
          <w:sz w:val="18"/>
          <w:szCs w:val="18"/>
          <w:color w:val="auto"/>
        </w:rPr>
        <w:t>. Promptly following the date hereof, Parent shall provide or cause to be provided the Parent Licensed Software to the SpinCo Licensees in all existing forms, including in source code or modifiable form.</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Open Source</w:t>
      </w:r>
      <w:r>
        <w:rPr>
          <w:rFonts w:ascii="Times New Roman" w:cs="Times New Roman" w:eastAsia="Times New Roman" w:hAnsi="Times New Roman"/>
          <w:sz w:val="18"/>
          <w:szCs w:val="18"/>
          <w:color w:val="auto"/>
        </w:rPr>
        <w:t>. The Parties acknowledge that certain Software licensed hereunder may include Open Source Software and that any use or distribution of such Software shall be subject to the terms and requirements of the license applicable to such Open Source Software. Neither Party shall use Open Source Software in connection with the Software licensed to it hereunder in a manner that would subject such Software to the terms of a license under which a component of Open Source Software is licensed (an “</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20" w:firstLine="1296"/>
        <w:spacing w:after="0" w:line="256" w:lineRule="auto"/>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Treatment of Source Code</w:t>
      </w:r>
      <w:r>
        <w:rPr>
          <w:rFonts w:ascii="Times New Roman" w:cs="Times New Roman" w:eastAsia="Times New Roman" w:hAnsi="Times New Roman"/>
          <w:sz w:val="18"/>
          <w:szCs w:val="18"/>
          <w:color w:val="auto"/>
        </w:rPr>
        <w:t xml:space="preserve">. Each Party, as a Licensee, acknowledges and agrees that the source code of the Licensed Software licensed to such Party as Licensee is the confidential information of the other Party as Licensor under the terms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in addition be subject to the terms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Each Party, as a Licensee, shall limit access to the source code of the Licensed Software to its employees who have a need to access the source code for the purposes of exercising Licensee’s rights under this Agreement. Each Party, as a Licensee, shall use reasonable commercial efforts to protect the confidentiality of the source code of the Licensed Software, including, without limitation, securing the network, server, hard drives and other media on which the source code is stored or maintained.</w:t>
      </w:r>
    </w:p>
    <w:p>
      <w:pPr>
        <w:spacing w:after="0" w:line="187"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Section 4.7   </w:t>
      </w:r>
      <w:r>
        <w:rPr>
          <w:rFonts w:ascii="Times New Roman" w:cs="Times New Roman" w:eastAsia="Times New Roman" w:hAnsi="Times New Roman"/>
          <w:sz w:val="18"/>
          <w:szCs w:val="18"/>
          <w:u w:val="single" w:color="auto"/>
          <w:color w:val="auto"/>
        </w:rPr>
        <w:t>  Source Code Restrictions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each Party, as a Licensee, acknowledges and agrees that the source code of the Licensed Software licensed to such Party as Licensee is subject to the following restriction: except as expressly licensed herein, any use or distribution of such Licensed Software that requires the source code of the Licensed Software to be made available to anyone but the Licensee is expressly prohibited. Such prohibited use includes, but is not limited to, the incorporation of such source code of the Licensed Software into Software licensed under an Open Source License.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207"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Party may assign its rights or delegate its obligations under this Agreement without the express prior written consent of the other Party (the “</w:t>
      </w:r>
      <w:r>
        <w:rPr>
          <w:rFonts w:ascii="Times New Roman" w:cs="Times New Roman" w:eastAsia="Times New Roman" w:hAnsi="Times New Roman"/>
          <w:sz w:val="18"/>
          <w:szCs w:val="18"/>
          <w:u w:val="single" w:color="auto"/>
          <w:color w:val="auto"/>
        </w:rPr>
        <w:t>Non-Acquired Party</w:t>
      </w:r>
      <w:r>
        <w:rPr>
          <w:rFonts w:ascii="Times New Roman" w:cs="Times New Roman" w:eastAsia="Times New Roman" w:hAnsi="Times New Roman"/>
          <w:sz w:val="18"/>
          <w:szCs w:val="18"/>
          <w:color w:val="auto"/>
        </w:rPr>
        <w:t xml:space="preserve">”) hereto, as applicable. Notwithstanding the foregoing, subject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no such consent shall be required for the assignment or assumption of a Party’s rights and obligations under this Agreement, the Separation Agreement and the other Ancillary Agreements (except as may be otherwise provided in the Separation Agreement or any such Ancillary Agreement) in whole (i.e., the assignment of a Party’s rights and obligations under this Agreement, the Separation Agreement and the other Ancillary Agreements all at the same time) in connection with a Change of Control of a Party (such party, the “</w:t>
      </w:r>
      <w:r>
        <w:rPr>
          <w:rFonts w:ascii="Times New Roman" w:cs="Times New Roman" w:eastAsia="Times New Roman" w:hAnsi="Times New Roman"/>
          <w:sz w:val="18"/>
          <w:szCs w:val="18"/>
          <w:u w:val="single" w:color="auto"/>
          <w:color w:val="auto"/>
        </w:rPr>
        <w:t>Acquired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resulting, surviving or transferee Person (the “</w:t>
      </w:r>
      <w:r>
        <w:rPr>
          <w:rFonts w:ascii="Times New Roman" w:cs="Times New Roman" w:eastAsia="Times New Roman" w:hAnsi="Times New Roman"/>
          <w:sz w:val="18"/>
          <w:szCs w:val="18"/>
          <w:u w:val="single" w:color="auto"/>
          <w:color w:val="auto"/>
        </w:rPr>
        <w:t>Acquiring Party</w:t>
      </w:r>
      <w:r>
        <w:rPr>
          <w:rFonts w:ascii="Times New Roman" w:cs="Times New Roman" w:eastAsia="Times New Roman" w:hAnsi="Times New Roman"/>
          <w:sz w:val="18"/>
          <w:szCs w:val="18"/>
          <w:color w:val="auto"/>
        </w:rPr>
        <w:t xml:space="preserve">”) (a) assumes all of the obligations of the Acquired Party by operation of Law or by express assignment, as the case may be, and (b) delivers to the Non-Acquired Party, prior to or concurrently with the consummation of such Change of Control, a writing executed by the Acquiring Party prior to the consummation of any transaction resulting in a Change of Control, an express acknowledgement regarding the limitations on the licenses granted to or reserved by, as applicable, the Acquired Party as a result of such Change of Control. Any purported assignment in violation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null and void.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4" w:name="page135"/>
    <w:bookmarkEnd w:id="134"/>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Limitations on Change of Control</w:t>
      </w:r>
      <w:r>
        <w:rPr>
          <w:rFonts w:ascii="Times New Roman" w:cs="Times New Roman" w:eastAsia="Times New Roman" w:hAnsi="Times New Roman"/>
          <w:sz w:val="18"/>
          <w:szCs w:val="18"/>
          <w:color w:val="auto"/>
        </w:rPr>
        <w:t xml:space="preserve">. In the event of a Change of Control where OpCo is the Acquired Party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 the license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Parent Licensed Software shall automatically become limited and shall not extend to (x) any product or service of the Acquiring Party or its Affiliates (other than SpinCo Licensees) that is sold, distributed, provided or otherwise commercialized at any time or (y) any product or service of SpinCo Licensees other than such products and services sold by SpinCo Licensees as of the date of the agreement providing for such Change of Control of OpCo (and natural extensions of such products and services) and (ii) the licenses hereunder granted to or reserved by and on behalf of, as applicable, the Parent Group shall continue in accordance with the terms of this Agreement and shall not otherwise be affected by the Change of Control of OpCo.</w:t>
      </w:r>
    </w:p>
    <w:p>
      <w:pPr>
        <w:spacing w:after="0" w:line="189"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Divestiture of Parent Business Unit</w:t>
      </w:r>
      <w:r>
        <w:rPr>
          <w:rFonts w:ascii="Times New Roman" w:cs="Times New Roman" w:eastAsia="Times New Roman" w:hAnsi="Times New Roman"/>
          <w:sz w:val="18"/>
          <w:szCs w:val="18"/>
          <w:color w:val="auto"/>
        </w:rPr>
        <w:t xml:space="preserve">. The Parties agree that upon the closing of a transaction or series of related transactions in which Parent or the other members of the Parent Group undergo a Change of Control (whether by stock purchase, merger or asset sale) to a third party or in which Parent sells or divests all or a significant portion of a business unit or assets (including equity interests) to which any such license (or part thereof) relates, Parent shall have the right to transfer, or permit the assumption of, this Agreement or any rights or licenses of Parent or its Subsidiaries hereunder, in whole or in part, by operation of Law or by express assignment, as the case may be, and this Agreement shall survive, in connection with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 or assumption shall not in any way limit either Parent’s and its Subsidiaries’ or OpCo’s and its Subsidiaries’ rights and licenses hereunder.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w:t>
      </w:r>
    </w:p>
    <w:p>
      <w:pPr>
        <w:spacing w:after="0" w:line="207"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Bankruptcy Rights</w:t>
      </w:r>
      <w:r>
        <w:rPr>
          <w:rFonts w:ascii="Times New Roman" w:cs="Times New Roman" w:eastAsia="Times New Roman" w:hAnsi="Times New Roman"/>
          <w:sz w:val="18"/>
          <w:szCs w:val="18"/>
          <w:color w:val="auto"/>
        </w:rPr>
        <w:t>. All rights and licenses granted to or reserved by a Party as Licensee hereunder are, for purposes of Section 365(n) of the United States Bankruptcy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licenses of intellectual property rights within the scope of Section 101 of the Bankruptcy Code. The Licensor acknowledges that the Licensee, as a licensee of such rights and licenses hereunder, will retain and may fully exercise all of its rights and elections under the Bankruptcy Code. Each Party irrevocably waives all arguments and defenses arising under 11 U.S.C. § 365(c)(1) or successor provisions to the effect that applicable Law excuses such Party from accepting performance from or rendering performance to an entity other than the debtor or debtor-in-possession as a basis for opposing assumption of this Agreement in a case under Chapter 11 of the Bankruptcy Code to the extent that such consent is required under 11 U.S.C. § 365(c)(1) or any successor statute.</w:t>
      </w:r>
    </w:p>
    <w:p>
      <w:pPr>
        <w:spacing w:after="0" w:line="189" w:lineRule="exact"/>
        <w:rPr>
          <w:sz w:val="20"/>
          <w:szCs w:val="20"/>
          <w:color w:val="auto"/>
        </w:rPr>
      </w:pPr>
    </w:p>
    <w:p>
      <w:pPr>
        <w:ind w:right="140" w:firstLine="1296"/>
        <w:spacing w:after="0" w:line="276" w:lineRule="auto"/>
        <w:rPr>
          <w:sz w:val="20"/>
          <w:szCs w:val="20"/>
          <w:color w:val="auto"/>
        </w:rPr>
      </w:pPr>
      <w:r>
        <w:rPr>
          <w:rFonts w:ascii="Times New Roman" w:cs="Times New Roman" w:eastAsia="Times New Roman" w:hAnsi="Times New Roman"/>
          <w:sz w:val="17"/>
          <w:szCs w:val="17"/>
          <w:color w:val="auto"/>
        </w:rPr>
        <w:t>Section 6.2   </w:t>
      </w:r>
      <w:r>
        <w:rPr>
          <w:rFonts w:ascii="Times New Roman" w:cs="Times New Roman" w:eastAsia="Times New Roman" w:hAnsi="Times New Roman"/>
          <w:sz w:val="17"/>
          <w:szCs w:val="17"/>
          <w:u w:val="single" w:color="auto"/>
          <w:color w:val="auto"/>
        </w:rPr>
        <w:t>  Confidentiality</w:t>
      </w:r>
      <w:r>
        <w:rPr>
          <w:rFonts w:ascii="Times New Roman" w:cs="Times New Roman" w:eastAsia="Times New Roman" w:hAnsi="Times New Roman"/>
          <w:sz w:val="17"/>
          <w:szCs w:val="17"/>
          <w:color w:val="auto"/>
        </w:rPr>
        <w:t>. Notwithstanding the transfer or disclosure of any Technology or grant or reservation of any license to a Trade Secret or other proprietary right in confidential information to or by a Party hereunder, each Party agrees on behalf of itself and its Subsidiaries that</w:t>
      </w:r>
    </w:p>
    <w:p>
      <w:pPr>
        <w:spacing w:after="0" w:line="1" w:lineRule="exact"/>
        <w:rPr>
          <w:sz w:val="20"/>
          <w:szCs w:val="20"/>
          <w:color w:val="auto"/>
        </w:rPr>
      </w:pPr>
    </w:p>
    <w:p>
      <w:pPr>
        <w:ind w:firstLine="8"/>
        <w:spacing w:after="0" w:line="252"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(and each of its Subsidiaries) shall treat the Trade Secrets and confidential information of the other Party with at least the same degree of care as they treat their own similar Trade Secrets and confidential information, but in no event with less than reasonable care, and (b) neither Party (nor any of its Subsidiaries) may use or disclose the Trade Secrets or confidential information, as applicable, licensed or disclosed to it by the other Party under this Agreement, except in accordance with their respective license granted or reserved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Nothing herein will limit either Party’s ability to enforce its rights against any third party that misappropriates or attempts to misappropriate any Trade Secrets or confidential information from it, regardless of whether it is an owner or licensee of such Trade Secrets or confidential information.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5" w:name="page136"/>
    <w:bookmarkEnd w:id="13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 REPRESENTATIONS OR WARRANTIES</w:t>
      </w:r>
    </w:p>
    <w:p>
      <w:pPr>
        <w:spacing w:after="0" w:line="207" w:lineRule="exact"/>
        <w:rPr>
          <w:sz w:val="20"/>
          <w:szCs w:val="20"/>
          <w:color w:val="auto"/>
        </w:rPr>
      </w:pPr>
    </w:p>
    <w:p>
      <w:pPr>
        <w:ind w:right="180" w:firstLine="1296"/>
        <w:spacing w:after="0" w:line="255"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NO OTHER REPRESENTATIONS OR WARRANTIES</w:t>
      </w:r>
      <w:r>
        <w:rPr>
          <w:rFonts w:ascii="Times New Roman" w:cs="Times New Roman" w:eastAsia="Times New Roman" w:hAnsi="Times New Roman"/>
          <w:sz w:val="18"/>
          <w:szCs w:val="18"/>
          <w:color w:val="auto"/>
        </w:rPr>
        <w:t>. ALL LICENSES AND RIGHTS GRANTED OR RESERVED HEREUNDER ARE GRANTED OR RESERVED ON AN AS-IS BASIS WITHOUT REPRESENTATION OR WARRANTY OF ANY KIND. NO REPRESENTATIONS OR WARRANTIES WHATSOEVER, WHETHER EXPRESS, IMPLIED OR STATUTORY, INCLUDING, WITHOUT LIMITATION, WARRANTIES OF MERCHANTABILITY, FITNESS FOR A PARTICULAR PURPOSE, TITLE, CUSTOM, TRADE, NONINFRINGEMENT, NON-VIOLATION OR NON-MISAPPROPRIATION OF THIRD-PARTY INTELLECTUAL PROPERTY, ARE MADE OR GIVEN BY OR ON BEHALF OF A PARTY. ALL SUCH REPRESENTATIONS AND WARRANTIES, WHETHER ARISING BY OPERATION OF LAW OR OTHERWISE, ARE HEREBY EXPRESSLY EXCLUDED.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General Disclaimer</w:t>
      </w:r>
      <w:r>
        <w:rPr>
          <w:rFonts w:ascii="Times New Roman" w:cs="Times New Roman" w:eastAsia="Times New Roman" w:hAnsi="Times New Roman"/>
          <w:sz w:val="18"/>
          <w:szCs w:val="18"/>
          <w:color w:val="auto"/>
        </w:rPr>
        <w:t>. Nothing contained in this Agreement shall be construed 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warranty or representation by either Party as to the validity, enforceability or scope of any Intellectual Property Rights;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 agreement by either Party to maintain any Intellectual Property Rights in force;</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(c)            an agreement by either Party to bring or prosecute actions or suits against any third party for infringement of Intellectual Property Rights or any other right, or conferring upon either Party any right to bring or prosecute actions or suits against any third party for infringement of Intellectual Property Rights or any other right;</w:t>
      </w:r>
    </w:p>
    <w:p>
      <w:pPr>
        <w:spacing w:after="0" w:line="176"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(d)            conferring upon either Party any right to use in advertising, publicity or otherwise any trademark, trade name or names, or any contraction, abbreviation or simulations thereof, of the other Party;</w:t>
      </w:r>
    </w:p>
    <w:p>
      <w:pPr>
        <w:spacing w:after="0" w:line="162"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(e)            conferring upon either Party by implication, estoppel or otherwise any license or other right, except the licenses and rights expressly granted or reserved hereunder; or</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136" w:name="page137"/>
    <w:bookmarkEnd w:id="136"/>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(f)            except as may be provided in the Separation Agreement or the other Ancillary Agreements, an obligation to provide any technical information, know-how, consultation, technical services or other assistance or deliverables to the other Party.</w:t>
      </w:r>
    </w:p>
    <w:p>
      <w:pPr>
        <w:spacing w:after="0" w:line="162"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NEITHER PARTY SHALL BE LIABLE TO THE OTHER FOR ANY CONSEQUENTIAL, INCIDENTAL, INDIRECT, SPECIAL OR PUNITIVE DAMAGES ARISING FROM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Term and Termination</w:t>
      </w:r>
      <w:r>
        <w:rPr>
          <w:rFonts w:ascii="Times New Roman" w:cs="Times New Roman" w:eastAsia="Times New Roman" w:hAnsi="Times New Roman"/>
          <w:sz w:val="18"/>
          <w:szCs w:val="18"/>
          <w:color w:val="auto"/>
        </w:rPr>
        <w:t xml:space="preserve">. The term of this Agreement shall commence on the date hereof and shall continue until the expiration of the last to expire of the Intellectual Property Rights licensed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of the Patent licenses granted or reserved, as applicable, pursuant to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shall end upon the expiration of the last SpinCo Licensed Patent. The transfers, assignments, conveyances and licenses granted or reserved in this Agreement are irrevocable and cannot be earlier terminated. Each Party acknowledges and agrees that its sole remedies for breach by the other Party of the licenses granted or reserved hereunder, or of any other provision hereof, shall be to bring a claim to recover damages and to seek appropriate equitable relief, subject to the restriction in the following sentence. Each Party agrees that the transfers, assignments, conveyances and licenses such Party grants or makes to the other Party shall continue in full force and effect, notwithstanding any breach of or default under any term hereof by the other Party, and in no event shall such Party, directly or indirectly, seek to have this Agreement (including any of the rights or licenses granted by such Party herein) rescinded, revoked or otherwise terminated, in part or in whole, or seek to enjoin the lawful exercise of any rights or licenses granted or made by such Party hereunder or take any similar action.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Transfer of IPR</w:t>
      </w:r>
      <w:r>
        <w:rPr>
          <w:rFonts w:ascii="Times New Roman" w:cs="Times New Roman" w:eastAsia="Times New Roman" w:hAnsi="Times New Roman"/>
          <w:sz w:val="18"/>
          <w:szCs w:val="18"/>
          <w:color w:val="auto"/>
        </w:rPr>
        <w:t xml:space="preserve">. Nothing set forth herein shall restrict either Party from transferring, assigning or licensing any Intellectual Property Rights owned by it and licensed to the other Party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transfer or assignment of any Intellectual Property Rights licensed to a Party hereunder shall be subject to the licenses granted or reserved, as applicable, in this Agreement, and the proposed transferee or assignee shall provide written acknowledgment that the Intellectual Property Rights such proposed transferee or assignee is acquiring are subject to the licenses granted or reserved, as applicable, in this Agreement.</w:t>
      </w:r>
    </w:p>
    <w:p>
      <w:pPr>
        <w:spacing w:after="0" w:line="183"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the Separation Agreement,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In the event of any conflict between the terms of this Agreement and the Separation Agreement or any other Ancillary Agreement, the terms of this Agreement shall prevail. This Agreement, the Separation Agreement, the other Ancillary Agreements together govern the arrangements in connection with the Separation and the Distribution and would not have been entered into independently.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ind w:firstLine="1296"/>
        <w:spacing w:after="0" w:line="256"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Amendment and Waivers</w:t>
      </w:r>
      <w:r>
        <w:rPr>
          <w:rFonts w:ascii="Times New Roman" w:cs="Times New Roman" w:eastAsia="Times New Roman" w:hAnsi="Times New Roman"/>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it is sought to enforce such waiver, amendment, supplement or modification.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7"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Third-Party Beneficiaries</w:t>
      </w:r>
      <w:r>
        <w:rPr>
          <w:rFonts w:ascii="Times New Roman" w:cs="Times New Roman" w:eastAsia="Times New Roman" w:hAnsi="Times New Roman"/>
          <w:sz w:val="18"/>
          <w:szCs w:val="18"/>
          <w:color w:val="auto"/>
        </w:rPr>
        <w:t>. The provisions of this Agreement are solely for the benefit of the Parties and are not intended to confer in or on behalf of any Person, except the Parties (and their successors and assigns), any rights, benefits, causes of action or remedies hereunder, and there are no Third Party beneficiaries of this Agreement, and this Agreement shall not provide any Third Party with any remedy, claim, Liability, reimbursement, claim of action or other right in excess of those existing without reference to this Agreement.</w:t>
      </w:r>
    </w:p>
    <w:p>
      <w:pPr>
        <w:spacing w:after="0" w:line="180"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Other Remedies</w:t>
      </w:r>
      <w:r>
        <w:rPr>
          <w:rFonts w:ascii="Times New Roman" w:cs="Times New Roman" w:eastAsia="Times New Roman" w:hAnsi="Times New Roman"/>
          <w:sz w:val="18"/>
          <w:szCs w:val="18"/>
          <w:color w:val="auto"/>
        </w:rPr>
        <w:t xml:space="preserve">. Except to the extent set forth otherwise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It is accordingly agreed that,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Parties will be entitled (in addition to any other remedy that may be available to it) to an injunction or injunctions to prevent breaches or threatened breaches of this Agreement and to enforce specifically the terms and provisions hereof and that no Party shall be required to provide any bond or other security in connection with any such decree, order or injunction or in connection with any related action.</w:t>
      </w:r>
    </w:p>
    <w:p>
      <w:pPr>
        <w:spacing w:after="0" w:line="187"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or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so long as confirmation of receipt of such e-mail is requested and received,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960" w:hanging="656"/>
        <w:spacing w:after="0"/>
        <w:tabs>
          <w:tab w:leader="none" w:pos="1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OpCo: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 NAT Solutions, LLC</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11215 N. Community House Road</w:t>
      </w:r>
    </w:p>
    <w:p>
      <w:pPr>
        <w:spacing w:after="0" w:line="207"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Attention:</w:t>
        <w:tab/>
        <w:t>Chief Legal Officer, Jeff Firestone</w:t>
      </w:r>
    </w:p>
    <w:p>
      <w:pPr>
        <w:spacing w:after="0" w:line="27"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[email address]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8" w:name="page139"/>
    <w:bookmarkEnd w:id="138"/>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Attention:</w:t>
        <w:tab/>
        <w:t>Scott Barshay</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Steve J. Williams</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Jonathan Ashtor</w:t>
      </w:r>
    </w:p>
    <w:p>
      <w:pPr>
        <w:spacing w:after="0" w:line="9" w:lineRule="exact"/>
        <w:rPr>
          <w:sz w:val="20"/>
          <w:szCs w:val="20"/>
          <w:color w:val="auto"/>
        </w:rPr>
      </w:pPr>
    </w:p>
    <w:p>
      <w:pPr>
        <w:ind w:left="1960"/>
        <w:spacing w:after="0"/>
        <w:tabs>
          <w:tab w:leader="none" w:pos="27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sbarshay@paulweiss.com</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swilliams@paulweiss.com</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jashtor@paulweiss.com</w:t>
      </w:r>
    </w:p>
    <w:p>
      <w:pPr>
        <w:spacing w:after="0" w:line="207" w:lineRule="exact"/>
        <w:rPr>
          <w:sz w:val="20"/>
          <w:szCs w:val="20"/>
          <w:color w:val="auto"/>
        </w:rPr>
      </w:pPr>
    </w:p>
    <w:p>
      <w:pPr>
        <w:ind w:left="1960" w:hanging="656"/>
        <w:spacing w:after="0"/>
        <w:tabs>
          <w:tab w:leader="none" w:pos="1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w:t>
      </w:r>
    </w:p>
    <w:p>
      <w:pPr>
        <w:spacing w:after="0" w:line="225" w:lineRule="exact"/>
        <w:rPr>
          <w:rFonts w:ascii="Times New Roman" w:cs="Times New Roman" w:eastAsia="Times New Roman" w:hAnsi="Times New Roman"/>
          <w:sz w:val="18"/>
          <w:szCs w:val="18"/>
          <w:color w:val="auto"/>
        </w:rPr>
      </w:pPr>
    </w:p>
    <w:p>
      <w:pPr>
        <w:ind w:left="1960" w:right="67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 Logistics, Inc. Five American Lane Greenwich, Connecticut 06831</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Compliance Officer and Deputy General Counsel, Christopher J. Signorello</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[email address]</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1960" w:right="5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Weiss, Rifkind, Wharton &amp; Garrison LLP 1285 Avenue of the Americas</w:t>
      </w:r>
    </w:p>
    <w:p>
      <w:pPr>
        <w:ind w:left="1960" w:right="65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10019-6064 Attention: Scott Barshay</w:t>
      </w:r>
    </w:p>
    <w:p>
      <w:pPr>
        <w:ind w:left="2920" w:right="68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Steve J. Williams Jonathan Ashtor</w:t>
      </w:r>
    </w:p>
    <w:p>
      <w:pPr>
        <w:ind w:left="2720" w:right="6340" w:hanging="76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Email: sbarshay@paulweiss.com swilliams@paulweiss.com jashtor@paulweiss.com</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Party may, by notice to the other Party, change the address to which such notices are to be given or made.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u w:val="single" w:color="auto"/>
          <w:color w:val="auto"/>
        </w:rPr>
        <w:t>  Governing Law; Waiver of Jury Trial.</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139" w:name="page140"/>
    <w:bookmarkEnd w:id="139"/>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EACH PARTY TO THIS AGREEMENT WAIVES TRIAL BY JURY IN ANY ACTION, PROCEEDING OR COUNTERCLAIM BROUGHT BY EITHER OF THEM AGAINST THE OTHER ARISING OUT OF OR IN ANY WAY CONNECTED WITH THIS AGREEMENT OR THE ADMINISTRATION THEREOF OR ANY OF THE SERVICES OR OTHER TRANSACTIONS CONTEMPLATED HEREIN. NO PARTY TO THIS AGREEMENT SHALL SEEK A JURY TRIAL IN ANY LAWSUIT, PROCEEDING, COUNTERCLAIM OR ANY OTHER LITIGATION PROCEDURE BASED UPON, OR ARISING OUT OF, THIS AGREEMENT OR RELATED INSTRUMENTS. NO PARTY WILL SEEK TO CONSOLIDATE ANY SUCH ACTION IN WHICH A JURY TRIAL HAS BEEN WAIVED WITH ANY OTHER ACTION IN WHICH A JURY TRIAL CANNOT BE OR HAS NOT BEEN WAIVED. EACH PARTY TO THIS AGREEMENT CERTIFIES THAT IT HAS BEEN INDUCED TO ENTER INTO THIS AGREEMENT BY, AMONG OTHER THINGS, THE MUTUAL WAIVERS AND CERTIFICATIONS SET FORTH ABOVE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NO PARTY HAS IN ANY WAY AGREED WITH OR REPRESENTED TO ANY OTHER PARTY THAT THE PROVISIONS OF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WILL NOT BE FULLY ENFORCED IN ALL INSTANCES.</w:t>
      </w:r>
    </w:p>
    <w:p>
      <w:pPr>
        <w:spacing w:after="0" w:line="194" w:lineRule="exact"/>
        <w:rPr>
          <w:sz w:val="20"/>
          <w:szCs w:val="20"/>
          <w:color w:val="auto"/>
        </w:rPr>
      </w:pPr>
    </w:p>
    <w:p>
      <w:pPr>
        <w:ind w:right="340" w:firstLine="1296"/>
        <w:spacing w:after="0" w:line="258" w:lineRule="auto"/>
        <w:rPr>
          <w:sz w:val="20"/>
          <w:szCs w:val="20"/>
          <w:color w:val="auto"/>
        </w:rPr>
      </w:pPr>
      <w:r>
        <w:rPr>
          <w:rFonts w:ascii="Times New Roman" w:cs="Times New Roman" w:eastAsia="Times New Roman" w:hAnsi="Times New Roman"/>
          <w:sz w:val="18"/>
          <w:szCs w:val="18"/>
          <w:color w:val="auto"/>
        </w:rPr>
        <w:t>Section 9.8   </w:t>
      </w:r>
      <w:r>
        <w:rPr>
          <w:rFonts w:ascii="Times New Roman" w:cs="Times New Roman" w:eastAsia="Times New Roman" w:hAnsi="Times New Roman"/>
          <w:sz w:val="18"/>
          <w:szCs w:val="18"/>
          <w:u w:val="single" w:color="auto"/>
          <w:color w:val="auto"/>
        </w:rPr>
        <w:t>  Relationship of the Parties</w:t>
      </w:r>
      <w:r>
        <w:rPr>
          <w:rFonts w:ascii="Times New Roman" w:cs="Times New Roman" w:eastAsia="Times New Roman" w:hAnsi="Times New Roman"/>
          <w:sz w:val="18"/>
          <w:szCs w:val="18"/>
          <w:color w:val="auto"/>
        </w:rPr>
        <w:t>. Nothing contained herein shall be deemed to create a partnership, joint venture or similar relationship between the Parties. Neither Party is the agent, employee, joint venturer, partner, franchisee or representative of the other Party. Each Party specifically acknowledges that it does not have the authority to, and shall not, incur any obligations or responsibilities on behalf of the other Party. Notwithstanding anything to the contrary in this Agreement, each Party (and its officers, directors, agents, employees and members) shall not hold themselves out as employees, agents, representatives or franchisees of the other Party or enter into any agreements on such Party’s behalf.</w:t>
      </w:r>
    </w:p>
    <w:p>
      <w:pPr>
        <w:spacing w:after="0" w:line="183"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color w:val="auto"/>
        </w:rPr>
        <w:t>Section 9.9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Exhibits and Appendices hereto) and not to any particular provision of this Agreement; (c) Article, Section, Schedule, Exhibit and Appendix references are to the Articles, Sections, Schedules, Exhibits and Appendices to this Agreement, unless otherwise specified; (d) unless otherwise stated, all references to any agreement (including this Agreement, the Separation Agreement and any other Ancillary Agreement) shall be deemed to include the exhibits, schedules and annexes (including all Schedules, Exhibits and Appendixes) to such agreement; (e) the word “including” and words of similar import when used in this Agreement shall mean “including, without limitation,” unless otherwise specified; (f) the word “or” shall not be exclusive; (g) unless otherwise specified in a particular case, the word “days” refers to calendar days; (h) references to “business day” shall mean any day other than a Saturday, a Sunday or a day on which banking institutions are generally authorized or required by law to close in the United States or New York, New York; (i) references herein to this Agreement or any other agreement contemplated herein shall be deemed to refer to this Agreement or such other agreement as of the date on which it is executed and as it may be amended, modified or supplemented thereafter, unless otherwise specified; and (j) unless expressly stated to the contrary in this Agreement, all references to “the date hereof,” “the date of this Agreement,” “hereby” and “hereupon” and words of similar import shall all be references to October 24, 2022.</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ind w:firstLine="1296"/>
        <w:spacing w:after="0" w:line="258"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3"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41" w:name="page142"/>
    <w:bookmarkEnd w:id="14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Intellectual Property License Agreement to be executed by their duly authorized representatives as of the date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XPO LOGISTICS,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Ravi Tulsyan</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Ravi Tulsyan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XPO NAT SOLUTIONS,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J. Signorello</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J. Signorello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460"/>
      </w:cols>
      <w:pgMar w:left="320" w:top="337"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1)"/>
      <w:numFmt w:val="lowerLetter"/>
      <w:start w:val="2"/>
    </w:lvl>
  </w:abstractNum>
  <w:abstractNum w:abstractNumId="2">
    <w:nsid w:val="4F4EF005"/>
    <w:multiLevelType w:val="hybridMultilevel"/>
    <w:lvl w:ilvl="0">
      <w:lvlJc w:val="left"/>
      <w:lvlText w:val="(%1)"/>
      <w:numFmt w:val="upperLetter"/>
      <w:start w:val="1"/>
    </w:lvl>
  </w:abstractNum>
  <w:abstractNum w:abstractNumId="3">
    <w:nsid w:val="23F9C13C"/>
    <w:multiLevelType w:val="hybridMultilevel"/>
    <w:lvl w:ilvl="0">
      <w:lvlJc w:val="left"/>
      <w:lvlText w:val="(%1)"/>
      <w:numFmt w:val="lowerLetter"/>
      <w:start w:val="3"/>
    </w:lvl>
  </w:abstractNum>
  <w:abstractNum w:abstractNumId="4">
    <w:nsid w:val="649BB77C"/>
    <w:multiLevelType w:val="hybridMultilevel"/>
    <w:lvl w:ilvl="0">
      <w:lvlJc w:val="left"/>
      <w:lvlText w:val="(%1)"/>
      <w:numFmt w:val="upperLetter"/>
      <w:start w:val="2"/>
    </w:lvl>
  </w:abstractNum>
  <w:abstractNum w:abstractNumId="5">
    <w:nsid w:val="275AC794"/>
    <w:multiLevelType w:val="hybridMultilevel"/>
    <w:lvl w:ilvl="0">
      <w:lvlJc w:val="left"/>
      <w:lvlText w:val="(%1)"/>
      <w:numFmt w:val="lowerRoman"/>
      <w:start w:val="3"/>
    </w:lvl>
  </w:abstractNum>
  <w:abstractNum w:abstractNumId="6">
    <w:nsid w:val="39386575"/>
    <w:multiLevelType w:val="hybridMultilevel"/>
    <w:lvl w:ilvl="0">
      <w:lvlJc w:val="left"/>
      <w:lvlText w:val="(%1)"/>
      <w:numFmt w:val="lowerLetter"/>
      <w:start w:val="1"/>
    </w:lvl>
  </w:abstractNum>
  <w:abstractNum w:abstractNumId="7">
    <w:nsid w:val="1CF10FD8"/>
    <w:multiLevelType w:val="hybridMultilevel"/>
    <w:lvl w:ilvl="0">
      <w:lvlJc w:val="left"/>
      <w:lvlText w:val="(%1)"/>
      <w:numFmt w:val="lowerLetter"/>
      <w:start w:val="2"/>
    </w:lvl>
  </w:abstractNum>
  <w:abstractNum w:abstractNumId="8">
    <w:nsid w:val="180115BE"/>
    <w:multiLevelType w:val="hybridMultilevel"/>
    <w:lvl w:ilvl="0">
      <w:lvlJc w:val="left"/>
      <w:lvlText w:val="(%1)"/>
      <w:numFmt w:val="lowerLetter"/>
      <w:start w:val="1"/>
    </w:lvl>
  </w:abstractNum>
  <w:abstractNum w:abstractNumId="9">
    <w:nsid w:val="235BA861"/>
    <w:multiLevelType w:val="hybridMultilevel"/>
    <w:lvl w:ilvl="0">
      <w:lvlJc w:val="left"/>
      <w:lvlText w:val="(%1)"/>
      <w:numFmt w:val="lowerLetter"/>
      <w:start w:val="7"/>
    </w:lvl>
  </w:abstractNum>
  <w:abstractNum w:abstractNumId="10">
    <w:nsid w:val="47398C89"/>
    <w:multiLevelType w:val="hybridMultilevel"/>
    <w:lvl w:ilvl="0">
      <w:lvlJc w:val="left"/>
      <w:lvlText w:val="(%1)"/>
      <w:numFmt w:val="lowerLetter"/>
      <w:start w:val="16"/>
    </w:lvl>
  </w:abstractNum>
  <w:abstractNum w:abstractNumId="11">
    <w:nsid w:val="354FE9F9"/>
    <w:multiLevelType w:val="hybridMultilevel"/>
    <w:lvl w:ilvl="0">
      <w:lvlJc w:val="left"/>
      <w:lvlText w:val="(%1)"/>
      <w:numFmt w:val="lowerLetter"/>
      <w:start w:val="1"/>
    </w:lvl>
  </w:abstractNum>
  <w:abstractNum w:abstractNumId="12">
    <w:nsid w:val="15B5AF5C"/>
    <w:multiLevelType w:val="hybridMultilevel"/>
    <w:lvl w:ilvl="0">
      <w:lvlJc w:val="left"/>
      <w:lvlText w:val="(%1)"/>
      <w:numFmt w:val="lowerLetter"/>
      <w:start w:val="2"/>
    </w:lvl>
  </w:abstractNum>
  <w:abstractNum w:abstractNumId="13">
    <w:nsid w:val="741226BB"/>
    <w:multiLevelType w:val="hybridMultilevel"/>
    <w:lvl w:ilvl="0">
      <w:lvlJc w:val="left"/>
      <w:lvlText w:val="(%1)"/>
      <w:numFmt w:val="lowerLetter"/>
      <w:start w:val="6"/>
    </w:lvl>
  </w:abstractNum>
  <w:abstractNum w:abstractNumId="14">
    <w:nsid w:val="D34B6A8"/>
    <w:multiLevelType w:val="hybridMultilevel"/>
    <w:lvl w:ilvl="0">
      <w:lvlJc w:val="left"/>
      <w:lvlText w:val="(%1)"/>
      <w:numFmt w:val="lowerLetter"/>
      <w:start w:val="1"/>
    </w:lvl>
  </w:abstractNum>
  <w:abstractNum w:abstractNumId="15">
    <w:nsid w:val="10233C99"/>
    <w:multiLevelType w:val="hybridMultilevel"/>
    <w:lvl w:ilvl="0">
      <w:lvlJc w:val="left"/>
      <w:lvlText w:val="(%1)"/>
      <w:numFmt w:val="lowerLetter"/>
      <w:start w:val="1"/>
    </w:lvl>
    <w:lvl w:ilvl="1">
      <w:lvlJc w:val="left"/>
      <w:lvlText w:val="(%2)"/>
      <w:numFmt w:val="lowerRoman"/>
      <w:start w:val="1"/>
    </w:lvl>
  </w:abstractNum>
  <w:abstractNum w:abstractNumId="16">
    <w:nsid w:val="3F6AB60F"/>
    <w:multiLevelType w:val="hybridMultilevel"/>
    <w:lvl w:ilvl="0">
      <w:lvlJc w:val="left"/>
      <w:lvlText w:val="(%1)"/>
      <w:numFmt w:val="lowerRoman"/>
      <w:start w:val="3"/>
    </w:lvl>
  </w:abstractNum>
  <w:abstractNum w:abstractNumId="17">
    <w:nsid w:val="61574095"/>
    <w:multiLevelType w:val="hybridMultilevel"/>
    <w:lvl w:ilvl="0">
      <w:lvlJc w:val="left"/>
      <w:lvlText w:val="(%1)"/>
      <w:numFmt w:val="lowerLetter"/>
      <w:start w:val="2"/>
    </w:lvl>
  </w:abstractNum>
  <w:abstractNum w:abstractNumId="18">
    <w:nsid w:val="7E0C57B1"/>
    <w:multiLevelType w:val="hybridMultilevel"/>
    <w:lvl w:ilvl="0">
      <w:lvlJc w:val="left"/>
      <w:lvlText w:val="(%1)"/>
      <w:numFmt w:val="lowerLetter"/>
      <w:start w:val="4"/>
    </w:lvl>
    <w:lvl w:ilvl="1">
      <w:lvlJc w:val="left"/>
      <w:lvlText w:val="(%2)"/>
      <w:numFmt w:val="lowerRoman"/>
      <w:start w:val="1"/>
    </w:lvl>
  </w:abstractNum>
  <w:abstractNum w:abstractNumId="19">
    <w:nsid w:val="77AE35EB"/>
    <w:multiLevelType w:val="hybridMultilevel"/>
    <w:lvl w:ilvl="0">
      <w:lvlJc w:val="left"/>
      <w:lvlText w:val="(%1)"/>
      <w:numFmt w:val="lowerLetter"/>
      <w:start w:val="5"/>
    </w:lvl>
  </w:abstractNum>
  <w:abstractNum w:abstractNumId="20">
    <w:nsid w:val="579BE4F1"/>
    <w:multiLevelType w:val="hybridMultilevel"/>
    <w:lvl w:ilvl="0">
      <w:lvlJc w:val="left"/>
      <w:lvlText w:val="(%1)"/>
      <w:numFmt w:val="lowerLetter"/>
      <w:start w:val="1"/>
    </w:lvl>
    <w:lvl w:ilvl="1">
      <w:lvlJc w:val="left"/>
      <w:lvlText w:val="(%2)"/>
      <w:numFmt w:val="lowerLetter"/>
      <w:start w:val="9"/>
    </w:lvl>
  </w:abstractNum>
  <w:abstractNum w:abstractNumId="21">
    <w:nsid w:val="310C50B3"/>
    <w:multiLevelType w:val="hybridMultilevel"/>
    <w:lvl w:ilvl="0">
      <w:lvlJc w:val="left"/>
      <w:lvlText w:val="(%1)"/>
      <w:numFmt w:val="lowerRoman"/>
      <w:start w:val="2"/>
    </w:lvl>
  </w:abstractNum>
  <w:abstractNum w:abstractNumId="22">
    <w:nsid w:val="5FF87E05"/>
    <w:multiLevelType w:val="hybridMultilevel"/>
    <w:lvl w:ilvl="0">
      <w:lvlJc w:val="left"/>
      <w:lvlText w:val="%1"/>
      <w:numFmt w:val="lowerLetter"/>
      <w:start w:val="1"/>
    </w:lvl>
    <w:lvl w:ilvl="1">
      <w:lvlJc w:val="left"/>
      <w:lvlText w:val="(%2)"/>
      <w:numFmt w:val="lowerLetter"/>
      <w:start w:val="24"/>
    </w:lvl>
  </w:abstractNum>
  <w:abstractNum w:abstractNumId="23">
    <w:nsid w:val="2F305DEF"/>
    <w:multiLevelType w:val="hybridMultilevel"/>
    <w:lvl w:ilvl="0">
      <w:lvlJc w:val="left"/>
      <w:lvlText w:val="(%1)"/>
      <w:numFmt w:val="lowerLetter"/>
      <w:start w:val="3"/>
    </w:lvl>
    <w:lvl w:ilvl="1">
      <w:lvlJc w:val="left"/>
      <w:lvlText w:val="%2"/>
      <w:numFmt w:val="lowerLetter"/>
      <w:start w:val="1"/>
    </w:lvl>
  </w:abstractNum>
  <w:abstractNum w:abstractNumId="24">
    <w:nsid w:val="25A70BF7"/>
    <w:multiLevelType w:val="hybridMultilevel"/>
    <w:lvl w:ilvl="0">
      <w:lvlJc w:val="left"/>
      <w:lvlText w:val="(%1)"/>
      <w:numFmt w:val="lowerLetter"/>
      <w:start w:val="1"/>
    </w:lvl>
    <w:lvl w:ilvl="1">
      <w:lvlJc w:val="left"/>
      <w:lvlText w:val="(%2)"/>
      <w:numFmt w:val="lowerRoman"/>
      <w:start w:val="1"/>
    </w:lvl>
  </w:abstractNum>
  <w:abstractNum w:abstractNumId="25">
    <w:nsid w:val="1DBABF00"/>
    <w:multiLevelType w:val="hybridMultilevel"/>
    <w:lvl w:ilvl="0">
      <w:lvlJc w:val="left"/>
      <w:lvlText w:val="(%1)"/>
      <w:numFmt w:val="lowerLetter"/>
      <w:start w:val="1"/>
    </w:lvl>
  </w:abstractNum>
  <w:abstractNum w:abstractNumId="26">
    <w:nsid w:val="4AD084E9"/>
    <w:multiLevelType w:val="hybridMultilevel"/>
    <w:lvl w:ilvl="0">
      <w:lvlJc w:val="left"/>
      <w:lvlText w:val="(%1)"/>
      <w:numFmt w:val="lowerLetter"/>
      <w:start w:val="8"/>
    </w:lvl>
  </w:abstractNum>
  <w:abstractNum w:abstractNumId="27">
    <w:nsid w:val="1F48EAA1"/>
    <w:multiLevelType w:val="hybridMultilevel"/>
    <w:lvl w:ilvl="0">
      <w:lvlJc w:val="left"/>
      <w:lvlText w:val="(%1)"/>
      <w:numFmt w:val="lowerLetter"/>
      <w:start w:val="1"/>
    </w:lvl>
  </w:abstractNum>
  <w:abstractNum w:abstractNumId="28">
    <w:nsid w:val="1381823A"/>
    <w:multiLevelType w:val="hybridMultilevel"/>
    <w:lvl w:ilvl="0">
      <w:lvlJc w:val="left"/>
      <w:lvlText w:val="(%1)"/>
      <w:numFmt w:val="lowerLetter"/>
      <w:start w:val="1"/>
    </w:lvl>
    <w:lvl w:ilvl="1">
      <w:lvlJc w:val="left"/>
      <w:lvlText w:val="(%2)"/>
      <w:numFmt w:val="lowerRoman"/>
      <w:start w:val="1"/>
    </w:lvl>
  </w:abstractNum>
  <w:abstractNum w:abstractNumId="29">
    <w:nsid w:val="5DB70AE5"/>
    <w:multiLevelType w:val="hybridMultilevel"/>
    <w:lvl w:ilvl="0">
      <w:lvlJc w:val="left"/>
      <w:lvlText w:val="(%1)"/>
      <w:numFmt w:val="lowerLetter"/>
      <w:start w:val="6"/>
    </w:lvl>
  </w:abstractNum>
  <w:abstractNum w:abstractNumId="30">
    <w:nsid w:val="100F8FCA"/>
    <w:multiLevelType w:val="hybridMultilevel"/>
    <w:lvl w:ilvl="0">
      <w:lvlJc w:val="left"/>
      <w:lvlText w:val="(%1)"/>
      <w:numFmt w:val="lowerLetter"/>
      <w:start w:val="1"/>
    </w:lvl>
  </w:abstractNum>
  <w:abstractNum w:abstractNumId="31">
    <w:nsid w:val="6590700B"/>
    <w:multiLevelType w:val="hybridMultilevel"/>
    <w:lvl w:ilvl="0">
      <w:lvlJc w:val="left"/>
      <w:lvlText w:val="(%1)"/>
      <w:numFmt w:val="lowerLetter"/>
      <w:start w:val="9"/>
    </w:lvl>
  </w:abstractNum>
  <w:abstractNum w:abstractNumId="32">
    <w:nsid w:val="15014ACB"/>
    <w:multiLevelType w:val="hybridMultilevel"/>
    <w:lvl w:ilvl="0">
      <w:lvlJc w:val="left"/>
      <w:lvlText w:val="(%1)"/>
      <w:numFmt w:val="lowerLetter"/>
      <w:start w:val="1"/>
    </w:lvl>
  </w:abstractNum>
  <w:abstractNum w:abstractNumId="33">
    <w:nsid w:val="5F5E7FD0"/>
    <w:multiLevelType w:val="hybridMultilevel"/>
    <w:lvl w:ilvl="0">
      <w:lvlJc w:val="left"/>
      <w:lvlText w:val="(%1)"/>
      <w:numFmt w:val="lowerLetter"/>
      <w:start w:val="2"/>
    </w:lvl>
  </w:abstractNum>
  <w:abstractNum w:abstractNumId="34">
    <w:nsid w:val="98A3148"/>
    <w:multiLevelType w:val="hybridMultilevel"/>
    <w:lvl w:ilvl="0">
      <w:lvlJc w:val="left"/>
      <w:lvlText w:val="(%1)"/>
      <w:numFmt w:val="lowerLetter"/>
      <w:start w:val="1"/>
    </w:lvl>
  </w:abstractNum>
  <w:abstractNum w:abstractNumId="35">
    <w:nsid w:val="799D0247"/>
    <w:multiLevelType w:val="hybridMultilevel"/>
    <w:lvl w:ilvl="0">
      <w:lvlJc w:val="left"/>
      <w:lvlText w:val="(%1)"/>
      <w:numFmt w:val="lowerLetter"/>
      <w:start w:val="2"/>
    </w:lvl>
  </w:abstractNum>
  <w:abstractNum w:abstractNumId="36">
    <w:nsid w:val="6B94764"/>
    <w:multiLevelType w:val="hybridMultilevel"/>
    <w:lvl w:ilvl="0">
      <w:lvlJc w:val="left"/>
      <w:lvlText w:val="(%1)"/>
      <w:numFmt w:val="lowerLetter"/>
      <w:start w:val="4"/>
    </w:lvl>
    <w:lvl w:ilvl="1">
      <w:lvlJc w:val="left"/>
      <w:lvlText w:val="(%2)"/>
      <w:numFmt w:val="lowerRoman"/>
      <w:start w:val="1"/>
    </w:lvl>
  </w:abstractNum>
  <w:abstractNum w:abstractNumId="37">
    <w:nsid w:val="42C296BD"/>
    <w:multiLevelType w:val="hybridMultilevel"/>
    <w:lvl w:ilvl="0">
      <w:lvlJc w:val="left"/>
      <w:lvlText w:val="(%1)"/>
      <w:numFmt w:val="lowerRoman"/>
      <w:start w:val="6"/>
    </w:lvl>
  </w:abstractNum>
  <w:abstractNum w:abstractNumId="38">
    <w:nsid w:val="168E121F"/>
    <w:multiLevelType w:val="hybridMultilevel"/>
    <w:lvl w:ilvl="0">
      <w:lvlJc w:val="left"/>
      <w:lvlText w:val="(%1)"/>
      <w:numFmt w:val="lowerLetter"/>
      <w:start w:val="5"/>
    </w:lvl>
    <w:lvl w:ilvl="1">
      <w:lvlJc w:val="left"/>
      <w:lvlText w:val="(%2)"/>
      <w:numFmt w:val="lowerLetter"/>
      <w:start w:val="9"/>
    </w:lvl>
  </w:abstractNum>
  <w:abstractNum w:abstractNumId="39">
    <w:nsid w:val="1EBA5D23"/>
    <w:multiLevelType w:val="hybridMultilevel"/>
    <w:lvl w:ilvl="0">
      <w:lvlJc w:val="left"/>
      <w:lvlText w:val="(%1)"/>
      <w:numFmt w:val="lowerRoman"/>
      <w:start w:val="2"/>
    </w:lvl>
  </w:abstractNum>
  <w:abstractNum w:abstractNumId="40">
    <w:nsid w:val="661E3F1E"/>
    <w:multiLevelType w:val="hybridMultilevel"/>
    <w:lvl w:ilvl="0">
      <w:lvlJc w:val="left"/>
      <w:lvlText w:val="(%1)"/>
      <w:numFmt w:val="lowerRoman"/>
      <w:start w:val="3"/>
    </w:lvl>
  </w:abstractNum>
  <w:abstractNum w:abstractNumId="41">
    <w:nsid w:val="5DC79EA8"/>
    <w:multiLevelType w:val="hybridMultilevel"/>
    <w:lvl w:ilvl="0">
      <w:lvlJc w:val="left"/>
      <w:lvlText w:val="(%1)"/>
      <w:numFmt w:val="lowerLetter"/>
      <w:start w:val="1"/>
    </w:lvl>
  </w:abstractNum>
  <w:abstractNum w:abstractNumId="42">
    <w:nsid w:val="540A471C"/>
    <w:multiLevelType w:val="hybridMultilevel"/>
    <w:lvl w:ilvl="0">
      <w:lvlJc w:val="left"/>
      <w:lvlText w:val="(%1)"/>
      <w:numFmt w:val="lowerLetter"/>
      <w:start w:val="10"/>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lowerLetter"/>
      <w:start w:val="3"/>
    </w:lvl>
  </w:abstractNum>
  <w:abstractNum w:abstractNumId="45">
    <w:nsid w:val="613EFDC5"/>
    <w:multiLevelType w:val="hybridMultilevel"/>
    <w:lvl w:ilvl="0">
      <w:lvlJc w:val="left"/>
      <w:lvlText w:val="(%1)"/>
      <w:numFmt w:val="lowerLetter"/>
      <w:start w:val="1"/>
    </w:lvl>
  </w:abstractNum>
  <w:abstractNum w:abstractNumId="46">
    <w:nsid w:val="BF72B14"/>
    <w:multiLevelType w:val="hybridMultilevel"/>
    <w:lvl w:ilvl="0">
      <w:lvlJc w:val="left"/>
      <w:lvlText w:val="(%1)"/>
      <w:numFmt w:val="lowerLetter"/>
      <w:start w:val="4"/>
    </w:lvl>
  </w:abstractNum>
  <w:abstractNum w:abstractNumId="47">
    <w:nsid w:val="11447B73"/>
    <w:multiLevelType w:val="hybridMultilevel"/>
    <w:lvl w:ilvl="0">
      <w:lvlJc w:val="left"/>
      <w:lvlText w:val="(%1)"/>
      <w:numFmt w:val="lowerRoman"/>
      <w:start w:val="1"/>
    </w:lvl>
  </w:abstractNum>
  <w:abstractNum w:abstractNumId="48">
    <w:nsid w:val="42963E5A"/>
    <w:multiLevelType w:val="hybridMultilevel"/>
    <w:lvl w:ilvl="0">
      <w:lvlJc w:val="left"/>
      <w:lvlText w:val="(%1)"/>
      <w:numFmt w:val="lowerLetter"/>
      <w:start w:val="10"/>
    </w:lvl>
  </w:abstractNum>
  <w:abstractNum w:abstractNumId="49">
    <w:nsid w:val="A0382C5"/>
    <w:multiLevelType w:val="hybridMultilevel"/>
    <w:lvl w:ilvl="0">
      <w:lvlJc w:val="left"/>
      <w:lvlText w:val="(%1)"/>
      <w:numFmt w:val="lowerLetter"/>
      <w:start w:val="1"/>
    </w:lvl>
  </w:abstractNum>
  <w:abstractNum w:abstractNumId="50">
    <w:nsid w:val="8F2B15E"/>
    <w:multiLevelType w:val="hybridMultilevel"/>
    <w:lvl w:ilvl="0">
      <w:lvlJc w:val="left"/>
      <w:lvlText w:val="(%1)"/>
      <w:numFmt w:val="lowerLetter"/>
      <w:start w:val="2"/>
    </w:lvl>
    <w:lvl w:ilvl="1">
      <w:lvlJc w:val="left"/>
      <w:lvlText w:val="(%2)"/>
      <w:numFmt w:val="lowerRoman"/>
      <w:start w:val="1"/>
    </w:lvl>
  </w:abstractNum>
  <w:abstractNum w:abstractNumId="51">
    <w:nsid w:val="1A32234B"/>
    <w:multiLevelType w:val="hybridMultilevel"/>
    <w:lvl w:ilvl="0">
      <w:lvlJc w:val="left"/>
      <w:lvlText w:val="(%1)"/>
      <w:numFmt w:val="lowerLetter"/>
      <w:start w:val="1"/>
    </w:lvl>
  </w:abstractNum>
  <w:abstractNum w:abstractNumId="52">
    <w:nsid w:val="3B0FD379"/>
    <w:multiLevelType w:val="hybridMultilevel"/>
    <w:lvl w:ilvl="0">
      <w:lvlJc w:val="left"/>
      <w:lvlText w:val="(%1)"/>
      <w:numFmt w:val="lowerLetter"/>
      <w:start w:val="2"/>
    </w:lvl>
  </w:abstractNum>
  <w:abstractNum w:abstractNumId="53">
    <w:nsid w:val="68EB2F63"/>
    <w:multiLevelType w:val="hybridMultilevel"/>
    <w:lvl w:ilvl="0">
      <w:lvlJc w:val="left"/>
      <w:lvlText w:val="(%1)"/>
      <w:numFmt w:val="lowerLetter"/>
      <w:start w:val="1"/>
    </w:lvl>
  </w:abstractNum>
  <w:abstractNum w:abstractNumId="54">
    <w:nsid w:val="4962813B"/>
    <w:multiLevelType w:val="hybridMultilevel"/>
    <w:lvl w:ilvl="0">
      <w:lvlJc w:val="left"/>
      <w:lvlText w:val="(%1)"/>
      <w:numFmt w:val="lowerLetter"/>
      <w:start w:val="1"/>
    </w:lvl>
  </w:abstractNum>
  <w:abstractNum w:abstractNumId="55">
    <w:nsid w:val="60B6DF70"/>
    <w:multiLevelType w:val="hybridMultilevel"/>
    <w:lvl w:ilvl="0">
      <w:lvlJc w:val="left"/>
      <w:lvlText w:val="(%1)"/>
      <w:numFmt w:val="lowerRoman"/>
      <w:start w:val="1"/>
    </w:lvl>
  </w:abstractNum>
  <w:abstractNum w:abstractNumId="56">
    <w:nsid w:val="6A5EE64"/>
    <w:multiLevelType w:val="hybridMultilevel"/>
    <w:lvl w:ilvl="0">
      <w:lvlJc w:val="left"/>
      <w:lvlText w:val="%1."/>
      <w:numFmt w:val="decimal"/>
      <w:start w:val="1"/>
    </w:lvl>
  </w:abstractNum>
  <w:abstractNum w:abstractNumId="57">
    <w:nsid w:val="14330624"/>
    <w:multiLevelType w:val="hybridMultilevel"/>
    <w:lvl w:ilvl="0">
      <w:lvlJc w:val="left"/>
      <w:lvlText w:val="%1."/>
      <w:numFmt w:val="decimal"/>
      <w:start w:val="5"/>
    </w:lvl>
  </w:abstractNum>
  <w:abstractNum w:abstractNumId="58">
    <w:nsid w:val="7FFFCA11"/>
    <w:multiLevelType w:val="hybridMultilevel"/>
    <w:lvl w:ilvl="0">
      <w:lvlJc w:val="left"/>
      <w:lvlText w:val="%1."/>
      <w:numFmt w:val="decimal"/>
      <w:start w:val="1"/>
    </w:lvl>
  </w:abstractNum>
  <w:abstractNum w:abstractNumId="59">
    <w:nsid w:val="1A27709E"/>
    <w:multiLevelType w:val="hybridMultilevel"/>
    <w:lvl w:ilvl="0">
      <w:lvlJc w:val="left"/>
      <w:lvlText w:val="%1."/>
      <w:numFmt w:val="decimal"/>
      <w:start w:val="3"/>
    </w:lvl>
  </w:abstractNum>
  <w:abstractNum w:abstractNumId="60">
    <w:nsid w:val="71EA1109"/>
    <w:multiLevelType w:val="hybridMultilevel"/>
    <w:lvl w:ilvl="0">
      <w:lvlJc w:val="left"/>
      <w:lvlText w:val="(%1)"/>
      <w:numFmt w:val="decimal"/>
      <w:start w:val="1"/>
    </w:lvl>
    <w:lvl w:ilvl="1">
      <w:lvlJc w:val="left"/>
      <w:lvlText w:val="(%2)"/>
      <w:numFmt w:val="lowerLetter"/>
      <w:start w:val="1"/>
    </w:lvl>
  </w:abstractNum>
  <w:abstractNum w:abstractNumId="61">
    <w:nsid w:val="100F59DC"/>
    <w:multiLevelType w:val="hybridMultilevel"/>
    <w:lvl w:ilvl="0">
      <w:lvlJc w:val="left"/>
      <w:lvlText w:val="(%1)"/>
      <w:numFmt w:val="decimal"/>
      <w:start w:val="1"/>
    </w:lvl>
  </w:abstractNum>
  <w:abstractNum w:abstractNumId="62">
    <w:nsid w:val="7FB7E0AA"/>
    <w:multiLevelType w:val="hybridMultilevel"/>
    <w:lvl w:ilvl="0">
      <w:lvlJc w:val="left"/>
      <w:lvlText w:val="(%1)"/>
      <w:numFmt w:val="decimal"/>
      <w:start w:val="1"/>
    </w:lvl>
  </w:abstractNum>
  <w:abstractNum w:abstractNumId="63">
    <w:nsid w:val="6EB5BD4"/>
    <w:multiLevelType w:val="hybridMultilevel"/>
    <w:lvl w:ilvl="0">
      <w:lvlJc w:val="left"/>
      <w:lvlText w:val="(%1)"/>
      <w:numFmt w:val="decimal"/>
      <w:start w:val="2"/>
    </w:lvl>
  </w:abstractNum>
  <w:abstractNum w:abstractNumId="64">
    <w:nsid w:val="6F6DD9AC"/>
    <w:multiLevelType w:val="hybridMultilevel"/>
    <w:lvl w:ilvl="0">
      <w:lvlJc w:val="left"/>
      <w:lvlText w:val="(%1)"/>
      <w:numFmt w:val="lowerLetter"/>
      <w:start w:val="1"/>
    </w:lvl>
  </w:abstractNum>
  <w:abstractNum w:abstractNumId="65">
    <w:nsid w:val="94211F2"/>
    <w:multiLevelType w:val="hybridMultilevel"/>
    <w:lvl w:ilvl="0">
      <w:lvlJc w:val="left"/>
      <w:lvlText w:val="%1"/>
      <w:numFmt w:val="lowerLetter"/>
      <w:start w:val="1"/>
    </w:lvl>
    <w:lvl w:ilvl="1">
      <w:lvlJc w:val="left"/>
      <w:lvlText w:val="(%2)"/>
      <w:numFmt w:val="lowerRoman"/>
      <w:start w:val="1"/>
    </w:lvl>
  </w:abstractNum>
  <w:abstractNum w:abstractNumId="66">
    <w:nsid w:val="885E1B"/>
    <w:multiLevelType w:val="hybridMultilevel"/>
    <w:lvl w:ilvl="0">
      <w:lvlJc w:val="left"/>
      <w:lvlText w:val="(%1)"/>
      <w:numFmt w:val="lowerLetter"/>
      <w:start w:val="3"/>
    </w:lvl>
    <w:lvl w:ilvl="1">
      <w:lvlJc w:val="left"/>
      <w:lvlText w:val="(%2)"/>
      <w:numFmt w:val="lowerRoman"/>
      <w:start w:val="1"/>
    </w:lvl>
  </w:abstractNum>
  <w:abstractNum w:abstractNumId="67">
    <w:nsid w:val="76272110"/>
    <w:multiLevelType w:val="hybridMultilevel"/>
    <w:lvl w:ilvl="0">
      <w:lvlJc w:val="left"/>
      <w:lvlText w:val="%1"/>
      <w:numFmt w:val="lowerLetter"/>
      <w:start w:val="1"/>
    </w:lvl>
    <w:lvl w:ilvl="1">
      <w:lvlJc w:val="left"/>
      <w:lvlText w:val="(%2)"/>
      <w:numFmt w:val="lowerLetter"/>
      <w:start w:val="35"/>
    </w:lvl>
  </w:abstractNum>
  <w:abstractNum w:abstractNumId="68">
    <w:nsid w:val="4C04A8AF"/>
    <w:multiLevelType w:val="hybridMultilevel"/>
    <w:lvl w:ilvl="0">
      <w:lvlJc w:val="left"/>
      <w:lvlText w:val="(%1)"/>
      <w:numFmt w:val="lowerLetter"/>
      <w:start w:val="4"/>
    </w:lvl>
    <w:lvl w:ilvl="1">
      <w:lvlJc w:val="left"/>
      <w:lvlText w:val="%2"/>
      <w:numFmt w:val="lowerLetter"/>
      <w:start w:val="1"/>
    </w:lvl>
  </w:abstractNum>
  <w:abstractNum w:abstractNumId="69">
    <w:nsid w:val="1716703B"/>
    <w:multiLevelType w:val="hybridMultilevel"/>
    <w:lvl w:ilvl="0">
      <w:lvlJc w:val="left"/>
      <w:lvlText w:val="(%1)"/>
      <w:numFmt w:val="lowerLetter"/>
      <w:start w:val="1"/>
    </w:lvl>
    <w:lvl w:ilvl="1">
      <w:lvlJc w:val="left"/>
      <w:lvlText w:val="(%2)"/>
      <w:numFmt w:val="lowerRoman"/>
      <w:start w:val="1"/>
    </w:lvl>
  </w:abstractNum>
  <w:abstractNum w:abstractNumId="70">
    <w:nsid w:val="14E17E33"/>
    <w:multiLevelType w:val="hybridMultilevel"/>
    <w:lvl w:ilvl="0">
      <w:lvlJc w:val="left"/>
      <w:lvlText w:val="(%1)"/>
      <w:numFmt w:val="upperLetter"/>
      <w:start w:val="1"/>
    </w:lvl>
  </w:abstractNum>
  <w:abstractNum w:abstractNumId="71">
    <w:nsid w:val="3222E7CD"/>
    <w:multiLevelType w:val="hybridMultilevel"/>
    <w:lvl w:ilvl="0">
      <w:lvlJc w:val="left"/>
      <w:lvlText w:val="(%1)"/>
      <w:numFmt w:val="lowerLetter"/>
      <w:start w:val="2"/>
    </w:lvl>
    <w:lvl w:ilvl="1">
      <w:lvlJc w:val="left"/>
      <w:lvlText w:val="(%2)"/>
      <w:numFmt w:val="lowerRoman"/>
      <w:start w:val="1"/>
    </w:lvl>
  </w:abstractNum>
  <w:abstractNum w:abstractNumId="72">
    <w:nsid w:val="74DE0EE3"/>
    <w:multiLevelType w:val="hybridMultilevel"/>
    <w:lvl w:ilvl="0">
      <w:lvlJc w:val="left"/>
      <w:lvlText w:val="(%1)"/>
      <w:numFmt w:val="lowerLetter"/>
      <w:start w:val="3"/>
    </w:lvl>
    <w:lvl w:ilvl="1">
      <w:lvlJc w:val="left"/>
      <w:lvlText w:val="(%2)"/>
      <w:numFmt w:val="lowerLetter"/>
      <w:start w:val="9"/>
    </w:lvl>
  </w:abstractNum>
  <w:abstractNum w:abstractNumId="73">
    <w:nsid w:val="68EBC550"/>
    <w:multiLevelType w:val="hybridMultilevel"/>
    <w:lvl w:ilvl="0">
      <w:lvlJc w:val="left"/>
      <w:lvlText w:val="(%1)"/>
      <w:numFmt w:val="lowerRoman"/>
      <w:start w:val="2"/>
    </w:lvl>
  </w:abstractNum>
  <w:abstractNum w:abstractNumId="74">
    <w:nsid w:val="2DF6D648"/>
    <w:multiLevelType w:val="hybridMultilevel"/>
    <w:lvl w:ilvl="0">
      <w:lvlJc w:val="left"/>
      <w:lvlText w:val="(%1)"/>
      <w:numFmt w:val="lowerLetter"/>
      <w:start w:val="4"/>
    </w:lvl>
    <w:lvl w:ilvl="1">
      <w:lvlJc w:val="left"/>
      <w:lvlText w:val="(%2)"/>
      <w:numFmt w:val="lowerRoman"/>
      <w:start w:val="1"/>
    </w:lvl>
  </w:abstractNum>
  <w:abstractNum w:abstractNumId="75">
    <w:nsid w:val="46B7D447"/>
    <w:multiLevelType w:val="hybridMultilevel"/>
    <w:lvl w:ilvl="0">
      <w:lvlJc w:val="left"/>
      <w:lvlText w:val="(%1)"/>
      <w:numFmt w:val="lowerRoman"/>
      <w:start w:val="2"/>
    </w:lvl>
  </w:abstractNum>
  <w:abstractNum w:abstractNumId="76">
    <w:nsid w:val="4A2AC315"/>
    <w:multiLevelType w:val="hybridMultilevel"/>
    <w:lvl w:ilvl="0">
      <w:lvlJc w:val="left"/>
      <w:lvlText w:val="(%1)"/>
      <w:numFmt w:val="decimal"/>
      <w:start w:val="1"/>
    </w:lvl>
  </w:abstractNum>
  <w:abstractNum w:abstractNumId="77">
    <w:nsid w:val="39EE015C"/>
    <w:multiLevelType w:val="hybridMultilevel"/>
    <w:lvl w:ilvl="0">
      <w:lvlJc w:val="left"/>
      <w:lvlText w:val="(%1)"/>
      <w:numFmt w:val="lowerRoman"/>
      <w:start w:val="3"/>
    </w:lvl>
  </w:abstractNum>
  <w:abstractNum w:abstractNumId="78">
    <w:nsid w:val="57FC4FBB"/>
    <w:multiLevelType w:val="hybridMultilevel"/>
    <w:lvl w:ilvl="0">
      <w:lvlJc w:val="left"/>
      <w:lvlText w:val="%1"/>
      <w:numFmt w:val="lowerLetter"/>
      <w:start w:val="1"/>
    </w:lvl>
    <w:lvl w:ilvl="1">
      <w:lvlJc w:val="left"/>
      <w:lvlText w:val="(%2)"/>
      <w:numFmt w:val="lowerRoman"/>
      <w:start w:val="6"/>
    </w:lvl>
  </w:abstractNum>
  <w:abstractNum w:abstractNumId="79">
    <w:nsid w:val="CC1016F"/>
    <w:multiLevelType w:val="hybridMultilevel"/>
    <w:lvl w:ilvl="0">
      <w:lvlJc w:val="left"/>
      <w:lvlText w:val="(%1)"/>
      <w:numFmt w:val="lowerLetter"/>
      <w:start w:val="6"/>
    </w:lvl>
    <w:lvl w:ilvl="1">
      <w:lvlJc w:val="left"/>
      <w:lvlText w:val="%2"/>
      <w:numFmt w:val="lowerRoman"/>
      <w:start w:val="1"/>
    </w:lvl>
  </w:abstractNum>
  <w:abstractNum w:abstractNumId="80">
    <w:nsid w:val="43F18422"/>
    <w:multiLevelType w:val="hybridMultilevel"/>
    <w:lvl w:ilvl="0">
      <w:lvlJc w:val="left"/>
      <w:lvlText w:val="(%1)"/>
      <w:numFmt w:val="lowerLetter"/>
      <w:start w:val="10"/>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Letter"/>
      <w:start w:val="1"/>
    </w:lvl>
    <w:lvl w:ilvl="1">
      <w:lvlJc w:val="left"/>
      <w:lvlText w:val="(%2)"/>
      <w:numFmt w:val="lowerLetter"/>
      <w:start w:val="2"/>
    </w:lvl>
  </w:abstractNum>
  <w:abstractNum w:abstractNumId="83">
    <w:nsid w:val="7F01579B"/>
    <w:multiLevelType w:val="hybridMultilevel"/>
    <w:lvl w:ilvl="0">
      <w:lvlJc w:val="left"/>
      <w:lvlText w:val="(%1)"/>
      <w:numFmt w:val="lowerLetter"/>
      <w:start w:val="9"/>
    </w:lvl>
    <w:lvl w:ilvl="1">
      <w:lvlJc w:val="left"/>
      <w:lvlText w:val="%2"/>
      <w:numFmt w:val="lowerLetter"/>
      <w:start w:val="1"/>
    </w:lvl>
  </w:abstractNum>
  <w:abstractNum w:abstractNumId="84">
    <w:nsid w:val="49DA307D"/>
    <w:multiLevelType w:val="hybridMultilevel"/>
    <w:lvl w:ilvl="0">
      <w:lvlJc w:val="left"/>
      <w:lvlText w:val="(%1)"/>
      <w:numFmt w:val="lowerLetter"/>
      <w:start w:val="1"/>
    </w:lvl>
  </w:abstractNum>
  <w:abstractNum w:abstractNumId="85">
    <w:nsid w:val="7055A5F5"/>
    <w:multiLevelType w:val="hybridMultilevel"/>
    <w:lvl w:ilvl="0">
      <w:lvlJc w:val="left"/>
      <w:lvlText w:val="(%1)"/>
      <w:numFmt w:val="lowerLetter"/>
      <w:start w:val="2"/>
    </w:lvl>
  </w:abstractNum>
  <w:abstractNum w:abstractNumId="86">
    <w:nsid w:val="5FB8370B"/>
    <w:multiLevelType w:val="hybridMultilevel"/>
    <w:lvl w:ilvl="0">
      <w:lvlJc w:val="left"/>
      <w:lvlText w:val="%1"/>
      <w:numFmt w:val="lowerLetter"/>
      <w:start w:val="1"/>
    </w:lvl>
    <w:lvl w:ilvl="1">
      <w:lvlJc w:val="left"/>
      <w:lvlText w:val="(%2)"/>
      <w:numFmt w:val="lowerLetter"/>
      <w:start w:val="1"/>
    </w:lvl>
  </w:abstractNum>
  <w:abstractNum w:abstractNumId="87">
    <w:nsid w:val="50801EE1"/>
    <w:multiLevelType w:val="hybridMultilevel"/>
    <w:lvl w:ilvl="0">
      <w:lvlJc w:val="left"/>
      <w:lvlText w:val="(%1)"/>
      <w:numFmt w:val="lowerLetter"/>
      <w:start w:val="25"/>
    </w:lvl>
    <w:lvl w:ilvl="1">
      <w:lvlJc w:val="left"/>
      <w:lvlText w:val="%2"/>
      <w:numFmt w:val="lowerLetter"/>
      <w:start w:val="1"/>
    </w:lvl>
  </w:abstractNum>
  <w:abstractNum w:abstractNumId="88">
    <w:nsid w:val="488AC1A"/>
    <w:multiLevelType w:val="hybridMultilevel"/>
    <w:lvl w:ilvl="0">
      <w:lvlJc w:val="left"/>
      <w:lvlText w:val="(%1)"/>
      <w:numFmt w:val="lowerLetter"/>
      <w:start w:val="2"/>
    </w:lvl>
  </w:abstractNum>
  <w:abstractNum w:abstractNumId="89">
    <w:nsid w:val="5FB8011C"/>
    <w:multiLevelType w:val="hybridMultilevel"/>
    <w:lvl w:ilvl="0">
      <w:lvlJc w:val="left"/>
      <w:lvlText w:val="(%1)"/>
      <w:numFmt w:val="lowerLetter"/>
      <w:start w:val="1"/>
    </w:lvl>
    <w:lvl w:ilvl="1">
      <w:lvlJc w:val="left"/>
      <w:lvlText w:val="(%2)"/>
      <w:numFmt w:val="lowerRoman"/>
      <w:start w:val="1"/>
    </w:lvl>
  </w:abstractNum>
  <w:abstractNum w:abstractNumId="90">
    <w:nsid w:val="6AA78F7F"/>
    <w:multiLevelType w:val="hybridMultilevel"/>
    <w:lvl w:ilvl="0">
      <w:lvlJc w:val="left"/>
      <w:lvlText w:val="(%1)"/>
      <w:numFmt w:val="lowerLetter"/>
      <w:start w:val="6"/>
    </w:lvl>
  </w:abstractNum>
  <w:abstractNum w:abstractNumId="91">
    <w:nsid w:val="7672BD23"/>
    <w:multiLevelType w:val="hybridMultilevel"/>
    <w:lvl w:ilvl="0">
      <w:lvlJc w:val="left"/>
      <w:lvlText w:val="(%1)"/>
      <w:numFmt w:val="lowerLetter"/>
      <w:start w:val="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2"/>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1."/>
      <w:numFmt w:val="decimal"/>
      <w:start w:val="4"/>
    </w:lvl>
  </w:abstractNum>
  <w:abstractNum w:abstractNumId="96">
    <w:nsid w:val="73A1821B"/>
    <w:multiLevelType w:val="hybridMultilevel"/>
    <w:lvl w:ilvl="0">
      <w:lvlJc w:val="left"/>
      <w:lvlText w:val="%1."/>
      <w:numFmt w:val="decimal"/>
      <w:start w:val="14"/>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1."/>
      <w:numFmt w:val="decimal"/>
      <w:start w:val="8"/>
    </w:lvl>
  </w:abstractNum>
  <w:abstractNum w:abstractNumId="100">
    <w:nsid w:val="14FCE74E"/>
    <w:multiLevelType w:val="hybridMultilevel"/>
    <w:lvl w:ilvl="0">
      <w:lvlJc w:val="left"/>
      <w:lvlText w:val="%1."/>
      <w:numFmt w:val="decimal"/>
      <w:start w:val="10"/>
    </w:lvl>
  </w:abstractNum>
  <w:abstractNum w:abstractNumId="101">
    <w:nsid w:val="6A3DD3E8"/>
    <w:multiLevelType w:val="hybridMultilevel"/>
    <w:lvl w:ilvl="0">
      <w:lvlJc w:val="left"/>
      <w:lvlText w:val="(%1)"/>
      <w:numFmt w:val="lowerLetter"/>
      <w:start w:val="1"/>
    </w:lvl>
  </w:abstractNum>
  <w:abstractNum w:abstractNumId="102">
    <w:nsid w:val="71C91298"/>
    <w:multiLevelType w:val="hybridMultilevel"/>
    <w:lvl w:ilvl="0">
      <w:lvlJc w:val="left"/>
      <w:lvlText w:val="(%1)"/>
      <w:numFmt w:val="lowerLetter"/>
      <w:start w:val="1"/>
    </w:lvl>
  </w:abstractNum>
  <w:abstractNum w:abstractNumId="103">
    <w:nsid w:val="9DAF632"/>
    <w:multiLevelType w:val="hybridMultilevel"/>
    <w:lvl w:ilvl="0">
      <w:lvlJc w:val="left"/>
      <w:lvlText w:val="(%1)"/>
      <w:numFmt w:val="lowerLetter"/>
      <w:start w:val="1"/>
    </w:lvl>
  </w:abstractNum>
  <w:abstractNum w:abstractNumId="104">
    <w:nsid w:val="53299938"/>
    <w:multiLevelType w:val="hybridMultilevel"/>
    <w:lvl w:ilvl="0">
      <w:lvlJc w:val="left"/>
      <w:lvlText w:val="(%1)"/>
      <w:numFmt w:val="lowerLetter"/>
      <w:start w:val="1"/>
    </w:lvl>
  </w:abstractNum>
  <w:abstractNum w:abstractNumId="105">
    <w:nsid w:val="1FBFE8E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 Type="http://schemas.openxmlformats.org/officeDocument/2006/relationships/hyperlink" Target="http://www.sec.gov/Archives/edgar/data/1166003/000162828022026700/exhibit991-8xk1019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2022-10-25T16:19:24Z</dcterms:created>
  <dcterms:modified xsi:type="dcterms:W3CDTF">2022-10-25T16:19:24Z</dcterms:modified>
</cp:coreProperties>
</file>