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273024.xml.htm"/>
      <w:bookmarkStart w:id="1" w:name="kswkform3_178527302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KNEELAND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XPO,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FIVE AMERICAN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XPO, Inc.</w:t>
              </w:r>
            </w:hyperlink>
            <w:r>
              <w:rPr/>
              <w:t xml:space="preserve"> [ </w:t>
            </w:r>
            <w:r>
              <w:rPr>
                <w:rFonts w:ascii="Times;serif" w:hAnsi="Times;serif"/>
                <w:color w:val="0000FF"/>
                <w:sz w:val="24"/>
                <w:shd w:fill="FFFFFF" w:val="clear"/>
              </w:rPr>
              <w:t>XPO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At the time of becoming a director of the Issuer, the Reporting Person did not beneficially own, directly or indirectly, any securities of the Issuer. See Exhibit 24, Power of Attorney attached.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Cody Bilgrien,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24kneelandpoa.htm"/>
      <w:bookmarkStart w:id="3" w:name="ksex24kneeland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Cody Bilgrien and Riina Tohvert, acting singly, the undersigned’s true and lawful attorney-in-fact to: (1) execute for and on behalf of the undersigned and file on EDGAR Next, in the undersigned’s capacity as an officer or director of XPO, Inc. (the “Company”), Forms 3, 4 and 5 (including amendments thereto) and Forms 144 in accordance with Section 16(a) of the Securities Exchange Act of 1934, as amended (the “Exchange Act”), and the rules and regulations thereunder; and (2) do and perform any and all acts for and on behalf of the undersigned which may be necessary or desirable to complete and execute any such Forms 3, 4 and 5 (including amendments thereto) and Forms 144 and timely file such forms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such attorney-in- fact’s discretion. The undersigned grants to such attorney-in-fact full power and authority to do and perform any and every act and thing whatsoever requisite, necessary or proper to be done in the exercise of any of the rights and powers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such attorney-in-fact, in serving in such capacity at the request of the undersigned, is not assuming, nor is the Company assuming, any of the undersigned’s responsibilities to comply with Section 16 of the Exchange Act. The undersigned agrees that such attorney-in-fact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4 or 5 (including amendments thereto) and Forms 144 and agrees to reimburse the Company and such attorney-in-fact for any legal or other expenses reasonably incurred in connection with investigating or defending against any such loss, claim, damage, liability or action. Exhibit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supersedes any power of attorney previously executed by the undersigned regarding the purposes outlined in the first paragraph hereof (“Prior Powers of Attorney”), and the authority of the attorneys-in-fact named in any Prior Powers of Attorney is hereby revoked. This Power of Attorney shall remain in full force and effect until the undersigned is no longer required to file Forms 4 or 5 or Forms 144 with respect to the undersigned’s holdings of and transactions in securities issued by the Company, unless earlier (a) revoked by the undersigned in a signed writing delivered to the foregoing attorney-in-fact; or (b) superseded by a new power of attorney regarding the purposes outlined in the first paragraph hereof dated as of a later date. IN WITNESS WHEREOF, the undersigned has caused this Power of Attorney to be executed as of this 27th day of July, 2026. Michael Kneeland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65485" TargetMode="External"/><Relationship Id="rId3" Type="http://schemas.openxmlformats.org/officeDocument/2006/relationships/hyperlink" Target="http://www.sec.gov/cgi-bin/browse-edgar?action=getcompany&amp;CIK=000116600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1054</Words>
  <Characters>5645</Characters>
  <CharactersWithSpaces>6657</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ex24kneelandpoa</dc:title>
</cp:coreProperties>
</file>