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375d1_8k.htm"/>
      <w:bookmarkStart w:id="1" w:name="kstm262437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903__20"/>
      <w:bookmarkEnd w:id="2"/>
      <w:r>
        <w:rPr>
          <w:rFonts w:ascii="Times New Roman;Times;Serif" w:hAnsi="Times New Roman;Times;Serif"/>
          <w:b/>
          <w:i w:val="false"/>
          <w:caps w:val="false"/>
          <w:smallCaps w:val="false"/>
          <w:sz w:val="36"/>
        </w:rPr>
        <w:t>8-K</w:t>
      </w:r>
    </w:p>
    <w:p>
      <w:pPr>
        <w:pStyle w:val="TextBody"/>
        <w:bidi w:val="0"/>
        <w:spacing w:before="0" w:after="0"/>
        <w:jc w:val="center"/>
        <w:rPr/>
      </w:pPr>
      <w:r>
        <w:rPr/>
        <w:t> </w:t>
      </w:r>
    </w:p>
    <w:p>
      <w:pPr>
        <w:pStyle w:val="TextBody"/>
        <w:bidi w:val="0"/>
        <w:spacing w:before="0" w:after="0"/>
        <w:jc w:val="center"/>
        <w:rPr>
          <w:b/>
          <w:sz w:val="20"/>
        </w:rPr>
      </w:pPr>
      <w:r>
        <w:rPr>
          <w:b/>
          <w:sz w:val="20"/>
        </w:rPr>
        <w:t>CURRENT REPORT</w:t>
        <w:br/>
        <w:t>Pursuant to Section 13 or 15(d) of the</w:t>
        <w:b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September 3, 2026</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A_edei--EntityRegistrantName_c2026"/>
      <w:bookmarkEnd w:id="4"/>
      <w:r>
        <w:rPr>
          <w:rFonts w:ascii="Times New Roman;Times;Serif" w:hAnsi="Times New Roman;Times;Serif"/>
          <w:b/>
          <w:i w:val="false"/>
          <w:caps w:val="false"/>
          <w:smallCaps w:val="false"/>
          <w:sz w:val="48"/>
        </w:rPr>
        <w:t>XPO,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2525"/>
        <w:gridCol w:w="60"/>
        <w:gridCol w:w="2345"/>
        <w:gridCol w:w="60"/>
        <w:gridCol w:w="1565"/>
      </w:tblGrid>
      <w:tr>
        <w:trPr/>
        <w:tc>
          <w:tcPr>
            <w:tcW w:w="2525" w:type="dxa"/>
            <w:tcBorders/>
            <w:vAlign w:val="center"/>
          </w:tcPr>
          <w:p>
            <w:pPr>
              <w:pStyle w:val="TableContents"/>
              <w:bidi w:val="0"/>
              <w:spacing w:before="0" w:after="283"/>
              <w:jc w:val="center"/>
              <w:rPr/>
            </w:pPr>
            <w:bookmarkStart w:id="5" w:name="xdx_908_edei--EntityIncorporationStateCo"/>
            <w:bookmarkEnd w:id="5"/>
            <w:r>
              <w:rPr>
                <w:b/>
              </w:rPr>
              <w:t>Delaware</w:t>
            </w: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pPr>
            <w:bookmarkStart w:id="6" w:name="xdx_90D_edei--EntityFileNumber_c20260903"/>
            <w:bookmarkEnd w:id="6"/>
            <w:r>
              <w:rPr>
                <w:b/>
              </w:rPr>
              <w:t>001-32172</w:t>
            </w: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03-0450326</w:t>
            </w:r>
          </w:p>
        </w:tc>
      </w:tr>
      <w:tr>
        <w:trPr/>
        <w:tc>
          <w:tcPr>
            <w:tcW w:w="25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(State or other jurisdiction of </w:t>
              <w:br/>
              <w:t>incorporation)</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(Commission File Number)</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Five American Lane, </w:t>
      </w:r>
      <w:bookmarkStart w:id="9" w:name="xdx_900_edei--EntityAddressCityOrTown_c2"/>
      <w:bookmarkEnd w:id="9"/>
      <w:r>
        <w:rPr>
          <w:rFonts w:ascii="Times New Roman;Times;Serif" w:hAnsi="Times New Roman;Times;Serif"/>
          <w:b/>
          <w:i w:val="false"/>
          <w:caps w:val="false"/>
          <w:smallCaps w:val="false"/>
          <w:sz w:val="20"/>
        </w:rPr>
        <w:t xml:space="preserve">Greenwich, </w:t>
      </w:r>
      <w:bookmarkStart w:id="10" w:name="xdx_90B_edei--EntityAddressStateOrProvin"/>
      <w:bookmarkEnd w:id="10"/>
      <w:r>
        <w:rPr>
          <w:rFonts w:ascii="Times New Roman;Times;Serif" w:hAnsi="Times New Roman;Times;Serif"/>
          <w:b/>
          <w:i w:val="false"/>
          <w:caps w:val="false"/>
          <w:smallCaps w:val="false"/>
          <w:sz w:val="20"/>
        </w:rPr>
        <w:t>Connecticut</w:t>
      </w:r>
      <w:r>
        <w:rPr>
          <w:rFonts w:ascii="Times New Roman;Times;Serif" w:hAnsi="Times New Roman;Times;Serif"/>
          <w:b w:val="false"/>
          <w:i w:val="false"/>
          <w:caps w:val="false"/>
          <w:smallCaps w:val="false"/>
          <w:sz w:val="20"/>
        </w:rPr>
        <w:t xml:space="preserve"> </w:t>
      </w:r>
      <w:bookmarkStart w:id="11" w:name="xdx_901_edei--EntityAddressPostalZipCode"/>
      <w:bookmarkEnd w:id="11"/>
      <w:r>
        <w:rPr>
          <w:rFonts w:ascii="Times New Roman;Times;Serif" w:hAnsi="Times New Roman;Times;Serif"/>
          <w:b/>
          <w:i w:val="false"/>
          <w:caps w:val="false"/>
          <w:smallCaps w:val="false"/>
          <w:sz w:val="20"/>
        </w:rPr>
        <w:t>06831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pPr>
      <w:r>
        <w:rPr/>
        <w:t> </w:t>
      </w:r>
    </w:p>
    <w:p>
      <w:pPr>
        <w:pStyle w:val="TextBody"/>
        <w:bidi w:val="0"/>
        <w:spacing w:before="0" w:after="0"/>
        <w:jc w:val="center"/>
        <w:rPr>
          <w:sz w:val="20"/>
        </w:rPr>
      </w:pPr>
      <w:r>
        <w:rPr>
          <w:b/>
          <w:sz w:val="20"/>
        </w:rPr>
        <w:t>(</w:t>
      </w:r>
      <w:bookmarkStart w:id="12" w:name="xdx_906_edei--CityAreaCode_c20260903__20"/>
      <w:bookmarkEnd w:id="12"/>
      <w:r>
        <w:rPr>
          <w:b/>
          <w:sz w:val="20"/>
        </w:rPr>
        <w:t xml:space="preserve">855) </w:t>
      </w:r>
      <w:bookmarkStart w:id="13" w:name="xdx_90F_edei--LocalPhoneNumber_c20260903"/>
      <w:bookmarkEnd w:id="13"/>
      <w:r>
        <w:rPr>
          <w:b/>
          <w:sz w:val="20"/>
        </w:rPr>
        <w:t>976-6951</w:t>
      </w:r>
    </w:p>
    <w:p>
      <w:pPr>
        <w:pStyle w:val="TextBody"/>
        <w:bidi w:val="0"/>
        <w:spacing w:before="0" w:after="0"/>
        <w:jc w:val="center"/>
        <w:rPr>
          <w:sz w:val="20"/>
        </w:rPr>
      </w:pPr>
      <w:r>
        <w:rPr>
          <w:sz w:val="20"/>
        </w:rPr>
        <w:t>(</w:t>
      </w:r>
      <w:r>
        <w:rPr>
          <w:b/>
          <w:sz w:val="20"/>
        </w:rPr>
        <w:t>Registrant’s telephone number, including area code)</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0_edei--SolicitingMaterial_c202609"/>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pPr>
      <w:r>
        <w:rPr/>
        <w:t> </w:t>
      </w:r>
    </w:p>
    <w:tbl>
      <w:tblPr>
        <w:tblW w:w="8145" w:type="dxa"/>
        <w:jc w:val="left"/>
        <w:tblInd w:w="0" w:type="dxa"/>
        <w:tblLayout w:type="fixed"/>
        <w:tblCellMar>
          <w:top w:w="0" w:type="dxa"/>
          <w:left w:w="0" w:type="dxa"/>
          <w:bottom w:w="0" w:type="dxa"/>
          <w:right w:w="0" w:type="dxa"/>
        </w:tblCellMar>
      </w:tblPr>
      <w:tblGrid>
        <w:gridCol w:w="3485"/>
        <w:gridCol w:w="60"/>
        <w:gridCol w:w="830"/>
        <w:gridCol w:w="60"/>
        <w:gridCol w:w="3710"/>
      </w:tblGrid>
      <w:tr>
        <w:trPr/>
        <w:tc>
          <w:tcPr>
            <w:tcW w:w="348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w:t>
              <w:br/>
              <w:t>symbol(s)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3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1_edei--Security12bTitle_c20260903"/>
            <w:bookmarkEnd w:id="18"/>
            <w:r>
              <w:rPr>
                <w:rFonts w:ascii="Times New Roman;Times;Serif" w:hAnsi="Times New Roman;Times;Serif"/>
                <w:b w:val="false"/>
                <w:i w:val="false"/>
                <w:caps w:val="false"/>
                <w:smallCaps w:val="false"/>
                <w:sz w:val="20"/>
              </w:rPr>
              <w:t>Common stock, par value $0.001 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TradingSymbol_c20260903__2"/>
            <w:bookmarkEnd w:id="19"/>
            <w:r>
              <w:rPr>
                <w:rFonts w:ascii="Times New Roman;Times;Serif" w:hAnsi="Times New Roman;Times;Serif"/>
                <w:b w:val="false"/>
                <w:i w:val="false"/>
                <w:caps w:val="false"/>
                <w:smallCaps w:val="false"/>
                <w:sz w:val="20"/>
              </w:rPr>
              <w:t>XPO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rFonts w:ascii="Times New Roman;Times;Serif" w:hAnsi="Times New Roman;Times;Serif"/>
                <w:sz w:val="20"/>
              </w:rPr>
              <w:t xml:space="preserve">Emerging growth company </w:t>
            </w:r>
            <w:bookmarkStart w:id="21" w:name="xdx_900_edei--EntityEmergingGrowthCompan"/>
            <w:bookmarkEnd w:id="21"/>
            <w:r>
              <w:rPr/>
              <w:t>☐</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t>☐</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XPO, Inc. (the “Company”) issued a press release providing preliminary operating metrics for its North American Less-Than-Truckload segment for August 2026. A copy of the press release is attached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providing final operating metrics for its North American Less-Than-Truckload segment for the month of July 2026. In the month of July 2026 tonnage per day increased 5.8%, as compared with July 2025, attributable to a year-over-year increase of 5.9% in shipments per day and a decrease of 0.2% in weight per shipment.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including Exhibit 99.1,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registrant specifically incorporates any such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437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4375d1_ex99-1.htm">
              <w:r>
                <w:rPr>
                  <w:rStyle w:val="InternetLink"/>
                  <w:rFonts w:ascii="Times New Roman;Times;Serif" w:hAnsi="Times New Roman;Times;Serif"/>
                  <w:sz w:val="20"/>
                </w:rPr>
                <w:t xml:space="preserve">Press Release, dated </w:t>
              </w:r>
            </w:hyperlink>
            <w:hyperlink w:anchor="tm2624375d1_ex99-1.htm">
              <w:r>
                <w:rPr>
                  <w:rStyle w:val="InternetLink"/>
                  <w:sz w:val="20"/>
                </w:rPr>
                <w:t>September 3, 2026, issued by XPO, Inc.</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2030"/>
        <w:gridCol w:w="320"/>
        <w:gridCol w:w="1895"/>
      </w:tblGrid>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 2026</w:t>
            </w:r>
          </w:p>
        </w:tc>
        <w:tc>
          <w:tcPr>
            <w:tcW w:w="2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XPO, INC.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Kyle Wismans</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Kyle Wismans</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tm2624375d1_ex99-1.htm"/>
      <w:bookmarkStart w:id="23" w:name="kstm2624375d1_ex991"/>
      <w:bookmarkEnd w:id="22"/>
      <w:bookmarkEnd w:id="23"/>
      <w:r>
        <w:rPr>
          <w:rFonts w:ascii="Times New Roman;Times;Serif" w:hAnsi="Times New Roman;Times;Serif"/>
          <w:b/>
          <w:i w:val="false"/>
          <w:caps w:val="false"/>
          <w:smallCaps w:val="false"/>
          <w:sz w:val="20"/>
        </w:rPr>
        <w:t>Exhibit 99.1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3811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495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XPO Provides North American LTL Operating Data for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GREENWICH, Conn. – September 3, 2026</w:t>
      </w:r>
      <w:r>
        <w:rPr>
          <w:rFonts w:ascii="Times New Roman;Times;Serif" w:hAnsi="Times New Roman;Times;Serif"/>
          <w:b w:val="false"/>
          <w:i w:val="false"/>
          <w:caps w:val="false"/>
          <w:smallCaps w:val="false"/>
          <w:sz w:val="20"/>
        </w:rPr>
        <w:t xml:space="preserve"> – XPO (NYSE: XPO), </w:t>
      </w:r>
      <w:r>
        <w:rPr>
          <w:rFonts w:ascii="Times New Roman;Times;Serif" w:hAnsi="Times New Roman;Times;Serif"/>
          <w:b w:val="false"/>
          <w:i w:val="false"/>
          <w:caps w:val="false"/>
          <w:smallCaps w:val="false"/>
          <w:sz w:val="20"/>
          <w:shd w:fill="FFFFFF" w:val="clear"/>
        </w:rPr>
        <w:t>a leading provider of freight transportation in North America,</w:t>
      </w:r>
      <w:r>
        <w:rPr>
          <w:rFonts w:ascii="Times New Roman;Times;Serif" w:hAnsi="Times New Roman;Times;Serif"/>
          <w:b w:val="false"/>
          <w:i w:val="false"/>
          <w:caps w:val="false"/>
          <w:smallCaps w:val="false"/>
          <w:sz w:val="20"/>
        </w:rPr>
        <w:t xml:space="preserve"> today reported certain preliminary LTL segment operating metrics for August 2026. LTL tonnage per day increased 3.7%, as compared with August 2025, attributable to a year-over-year increase of 5.7% in shipments per day and a decrease of 1.8% in weight per shipment. Actual results for August 2026 may vary from the preliminary results reported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XPO, Inc. (NYSE: XPO) is a leader in asset-based less-than-truckload (LTL) freight transportation in North America. The company’s customer-focused organization efficiently moves 16 billion pounds of freight per year, enabled by its proprietary technology. XPO serves 55,000 customers with 586 locations and 38,000 employees in North America and Europe, and is headquartered in Greenwich, Conn., USA. Visit </w:t>
      </w:r>
      <w:r>
        <w:rPr>
          <w:rFonts w:ascii="Times New Roman;Times;Serif" w:hAnsi="Times New Roman;Times;Serif"/>
          <w:b w:val="false"/>
          <w:i w:val="false"/>
          <w:caps w:val="false"/>
          <w:smallCaps w:val="false"/>
          <w:color w:val="0000FF"/>
          <w:sz w:val="20"/>
          <w:u w:val="single"/>
        </w:rPr>
        <w:t>xpo.com</w:t>
      </w:r>
      <w:r>
        <w:rPr>
          <w:rFonts w:ascii="Times New Roman;Times;Serif" w:hAnsi="Times New Roman;Times;Serif"/>
          <w:b w:val="false"/>
          <w:i w:val="false"/>
          <w:caps w:val="false"/>
          <w:smallCaps w:val="false"/>
          <w:sz w:val="20"/>
        </w:rPr>
        <w:t xml:space="preserve"> for more information, and connect with XPO on </w:t>
      </w:r>
      <w:r>
        <w:rPr>
          <w:rFonts w:ascii="Times New Roman;Times;Serif" w:hAnsi="Times New Roman;Times;Serif"/>
          <w:b w:val="false"/>
          <w:i w:val="false"/>
          <w:caps w:val="false"/>
          <w:smallCaps w:val="false"/>
          <w:color w:val="0000FF"/>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Facebook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Instagram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000FF"/>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release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the effects of business, economic, political, legal, and regulatory impacts or conflicts upon our operations; supply chain disruptions and shortages, strains on production or extraction of raw materials, cost inflation and labor and equipment shortages; our ability to align our investments in capital assets, including equipment, service centers, and warehouses to our customers’ demands; our ability to implement our cost and revenue initiatives and realize growth and expansion as a result of those initiatives; our ability to improve pricing growth; the effectiveness of our action plan, and other management actions, to improve our North American LTL business; our ability to continue insourcing linehaul in ways that enhance our network efficiency and productivity; the anticipated impact of a freight market recovery on our business; our ability to capture profitable share gains, facilitate yield growth, and improve margins during an upcycle; our ability to benefit from a sale, spin-off or other divestiture of one or more business units or to successfully integrate and realize anticipated synergies, cost savings and profit opportunities from acquired companies; goodwill impairment; issues related to compliance with data protection laws, competition laws, and intellectual property laws; fluctuations in currency exchange rates, fuel prices and fuel surcharges; our ability to develop and implement proprietary technology and suitable information technology systems that contribute to cost and productivity improvements; the impact of potential cyber-attacks and information technology or data security breaches or failures; our ability to repurchase shares on favorable terms; our indebtedness; our ability to raise debt and equity capital; fluctuations in interest rates; seasonal fluctuations; our ability to maintain positive relationships with our network of third-party transportation providers; our ability to attract and retain management talent and key employees including qualified drivers; labor matters; litigation; and competition. We caution that our operating results for August 2026 are not necessarily indicative of the results that may be expected for future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forward-looking statements set forth in this release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release speak only as of the date hereof, and we do not undertake any obligation to update forward-looking statements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Scasserra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+1-617-607-6429</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brian.scasserra@xpo.com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Cole Horton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+1-203-609-6004</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cole.horton@xpo.com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1320</Words>
  <Characters>7624</Characters>
  <CharactersWithSpaces>8960</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