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5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spacing w:after="0" w:line="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1"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16"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4080"/>
        <w:spacing w:after="0"/>
        <w:rPr>
          <w:sz w:val="20"/>
          <w:szCs w:val="20"/>
          <w:color w:val="auto"/>
        </w:rPr>
      </w:pPr>
      <w:r>
        <w:rPr>
          <w:rFonts w:ascii="Arial" w:cs="Arial" w:eastAsia="Arial" w:hAnsi="Arial"/>
          <w:sz w:val="14"/>
          <w:szCs w:val="14"/>
          <w:b w:val="1"/>
          <w:bCs w:val="1"/>
          <w:color w:val="auto"/>
        </w:rPr>
        <w:t>___________________________________________</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0"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9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3520" w:right="1440" w:hanging="3312"/>
        <w:spacing w:after="0" w:line="367" w:lineRule="auto"/>
        <w:tabs>
          <w:tab w:leader="none" w:pos="58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w:t>
      </w:r>
      <w:r>
        <w:rPr>
          <w:rFonts w:ascii="Arial" w:cs="Arial" w:eastAsia="Arial" w:hAnsi="Arial"/>
          <w:sz w:val="14"/>
          <w:szCs w:val="14"/>
          <w:b w:val="1"/>
          <w:bCs w:val="1"/>
          <w:color w:val="auto"/>
        </w:rPr>
        <w:t>____________</w:t>
      </w:r>
      <w:r>
        <w:rPr>
          <w:rFonts w:ascii="Arial" w:cs="Arial" w:eastAsia="Arial" w:hAnsi="Arial"/>
          <w:sz w:val="18"/>
          <w:szCs w:val="18"/>
          <w:b w:val="1"/>
          <w:bCs w:val="1"/>
          <w:color w:val="auto"/>
        </w:rPr>
        <w:t>to</w:t>
      </w:r>
      <w:r>
        <w:rPr>
          <w:rFonts w:ascii="Arial" w:cs="Arial" w:eastAsia="Arial" w:hAnsi="Arial"/>
          <w:sz w:val="14"/>
          <w:szCs w:val="14"/>
          <w:b w:val="1"/>
          <w:bCs w:val="1"/>
          <w:color w:val="auto"/>
        </w:rPr>
        <w:t>____________</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001-32172</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2319655</wp:posOffset>
            </wp:positionH>
            <wp:positionV relativeFrom="paragraph">
              <wp:posOffset>73660</wp:posOffset>
            </wp:positionV>
            <wp:extent cx="2511425" cy="3600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11425" cy="3600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XPO Logistics, Inc.</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1"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_______________________________________________________</w:t>
      </w: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25"/>
        </w:trPr>
        <w:tc>
          <w:tcPr>
            <w:tcW w:w="180" w:type="dxa"/>
            <w:vAlign w:val="bottom"/>
          </w:tcPr>
          <w:p>
            <w:pPr>
              <w:spacing w:after="0"/>
              <w:rPr>
                <w:sz w:val="19"/>
                <w:szCs w:val="19"/>
                <w:color w:val="auto"/>
              </w:rPr>
            </w:pPr>
          </w:p>
        </w:tc>
        <w:tc>
          <w:tcPr>
            <w:tcW w:w="3440" w:type="dxa"/>
            <w:vAlign w:val="bottom"/>
            <w:gridSpan w:val="2"/>
          </w:tcPr>
          <w:p>
            <w:pPr>
              <w:jc w:val="center"/>
              <w:ind w:left="1762"/>
              <w:spacing w:after="0"/>
              <w:rPr>
                <w:sz w:val="20"/>
                <w:szCs w:val="20"/>
                <w:color w:val="auto"/>
              </w:rPr>
            </w:pPr>
            <w:r>
              <w:rPr>
                <w:rFonts w:ascii="Arial" w:cs="Arial" w:eastAsia="Arial" w:hAnsi="Arial"/>
                <w:sz w:val="18"/>
                <w:szCs w:val="18"/>
                <w:b w:val="1"/>
                <w:bCs w:val="1"/>
                <w:color w:val="auto"/>
                <w:w w:val="91"/>
              </w:rPr>
              <w:t>Delaware</w:t>
            </w:r>
          </w:p>
        </w:tc>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tcPr>
          <w:p>
            <w:pPr>
              <w:jc w:val="right"/>
              <w:ind w:right="2143"/>
              <w:spacing w:after="0"/>
              <w:rPr>
                <w:sz w:val="20"/>
                <w:szCs w:val="20"/>
                <w:color w:val="auto"/>
              </w:rPr>
            </w:pPr>
            <w:r>
              <w:rPr>
                <w:rFonts w:ascii="Arial" w:cs="Arial" w:eastAsia="Arial" w:hAnsi="Arial"/>
                <w:sz w:val="18"/>
                <w:szCs w:val="18"/>
                <w:b w:val="1"/>
                <w:bCs w:val="1"/>
                <w:color w:val="auto"/>
              </w:rPr>
              <w:t>03-0450326</w:t>
            </w:r>
          </w:p>
        </w:tc>
      </w:tr>
      <w:tr>
        <w:trPr>
          <w:trHeight w:val="144"/>
        </w:trPr>
        <w:tc>
          <w:tcPr>
            <w:tcW w:w="180" w:type="dxa"/>
            <w:vAlign w:val="bottom"/>
          </w:tcPr>
          <w:p>
            <w:pPr>
              <w:spacing w:after="0"/>
              <w:rPr>
                <w:sz w:val="12"/>
                <w:szCs w:val="12"/>
                <w:color w:val="auto"/>
              </w:rPr>
            </w:pPr>
          </w:p>
        </w:tc>
        <w:tc>
          <w:tcPr>
            <w:tcW w:w="7580" w:type="dxa"/>
            <w:vAlign w:val="bottom"/>
            <w:gridSpan w:val="5"/>
          </w:tcPr>
          <w:p>
            <w:pPr>
              <w:jc w:val="center"/>
              <w:ind w:right="230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300" w:type="dxa"/>
            <w:vAlign w:val="bottom"/>
          </w:tcPr>
          <w:p>
            <w:pPr>
              <w:jc w:val="center"/>
              <w:ind w:right="1903"/>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4"/>
        </w:trPr>
        <w:tc>
          <w:tcPr>
            <w:tcW w:w="180" w:type="dxa"/>
            <w:vAlign w:val="bottom"/>
          </w:tcPr>
          <w:p>
            <w:pPr>
              <w:spacing w:after="0"/>
              <w:rPr>
                <w:sz w:val="16"/>
                <w:szCs w:val="16"/>
                <w:color w:val="auto"/>
              </w:rPr>
            </w:pPr>
          </w:p>
        </w:tc>
        <w:tc>
          <w:tcPr>
            <w:tcW w:w="7580" w:type="dxa"/>
            <w:vAlign w:val="bottom"/>
            <w:gridSpan w:val="5"/>
          </w:tcPr>
          <w:p>
            <w:pPr>
              <w:jc w:val="center"/>
              <w:ind w:right="2300"/>
              <w:spacing w:after="0"/>
              <w:rPr>
                <w:sz w:val="20"/>
                <w:szCs w:val="20"/>
                <w:color w:val="auto"/>
              </w:rPr>
            </w:pPr>
            <w:r>
              <w:rPr>
                <w:rFonts w:ascii="Arial" w:cs="Arial" w:eastAsia="Arial" w:hAnsi="Arial"/>
                <w:sz w:val="14"/>
                <w:szCs w:val="14"/>
                <w:b w:val="1"/>
                <w:bCs w:val="1"/>
                <w:color w:val="auto"/>
                <w:w w:val="94"/>
              </w:rPr>
              <w:t>incorporation or organization)</w:t>
            </w:r>
          </w:p>
        </w:tc>
        <w:tc>
          <w:tcPr>
            <w:tcW w:w="3300" w:type="dxa"/>
            <w:vAlign w:val="bottom"/>
          </w:tcPr>
          <w:p>
            <w:pPr>
              <w:jc w:val="center"/>
              <w:ind w:right="1923"/>
              <w:spacing w:after="0"/>
              <w:rPr>
                <w:sz w:val="20"/>
                <w:szCs w:val="20"/>
                <w:color w:val="auto"/>
              </w:rPr>
            </w:pPr>
            <w:r>
              <w:rPr>
                <w:rFonts w:ascii="Arial" w:cs="Arial" w:eastAsia="Arial" w:hAnsi="Arial"/>
                <w:sz w:val="14"/>
                <w:szCs w:val="14"/>
                <w:b w:val="1"/>
                <w:bCs w:val="1"/>
                <w:color w:val="auto"/>
                <w:w w:val="96"/>
              </w:rPr>
              <w:t>Identification No.)</w:t>
            </w:r>
          </w:p>
        </w:tc>
      </w:tr>
      <w:tr>
        <w:trPr>
          <w:trHeight w:val="230"/>
        </w:trPr>
        <w:tc>
          <w:tcPr>
            <w:tcW w:w="180" w:type="dxa"/>
            <w:vAlign w:val="bottom"/>
          </w:tcPr>
          <w:p>
            <w:pPr>
              <w:spacing w:after="0"/>
              <w:rPr>
                <w:sz w:val="19"/>
                <w:szCs w:val="19"/>
                <w:color w:val="auto"/>
              </w:rPr>
            </w:pPr>
          </w:p>
        </w:tc>
        <w:tc>
          <w:tcPr>
            <w:tcW w:w="3440" w:type="dxa"/>
            <w:vAlign w:val="bottom"/>
            <w:gridSpan w:val="2"/>
          </w:tcPr>
          <w:p>
            <w:pPr>
              <w:jc w:val="center"/>
              <w:ind w:left="1762"/>
              <w:spacing w:after="0"/>
              <w:rPr>
                <w:sz w:val="20"/>
                <w:szCs w:val="20"/>
                <w:color w:val="auto"/>
              </w:rPr>
            </w:pPr>
            <w:r>
              <w:rPr>
                <w:rFonts w:ascii="Arial" w:cs="Arial" w:eastAsia="Arial" w:hAnsi="Arial"/>
                <w:sz w:val="18"/>
                <w:szCs w:val="18"/>
                <w:b w:val="1"/>
                <w:bCs w:val="1"/>
                <w:color w:val="auto"/>
                <w:w w:val="91"/>
              </w:rPr>
              <w:t>Five American Lane</w:t>
            </w:r>
          </w:p>
        </w:tc>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tcPr>
          <w:p>
            <w:pPr>
              <w:spacing w:after="0"/>
              <w:rPr>
                <w:sz w:val="19"/>
                <w:szCs w:val="19"/>
                <w:color w:val="auto"/>
              </w:rPr>
            </w:pPr>
          </w:p>
        </w:tc>
      </w:tr>
      <w:tr>
        <w:trPr>
          <w:trHeight w:val="225"/>
        </w:trPr>
        <w:tc>
          <w:tcPr>
            <w:tcW w:w="180" w:type="dxa"/>
            <w:vAlign w:val="bottom"/>
          </w:tcPr>
          <w:p>
            <w:pPr>
              <w:spacing w:after="0"/>
              <w:rPr>
                <w:sz w:val="19"/>
                <w:szCs w:val="19"/>
                <w:color w:val="auto"/>
              </w:rPr>
            </w:pPr>
          </w:p>
        </w:tc>
        <w:tc>
          <w:tcPr>
            <w:tcW w:w="3440" w:type="dxa"/>
            <w:vAlign w:val="bottom"/>
            <w:gridSpan w:val="2"/>
          </w:tcPr>
          <w:p>
            <w:pPr>
              <w:ind w:left="2120"/>
              <w:spacing w:after="0"/>
              <w:rPr>
                <w:sz w:val="20"/>
                <w:szCs w:val="20"/>
                <w:color w:val="auto"/>
              </w:rPr>
            </w:pPr>
            <w:r>
              <w:rPr>
                <w:rFonts w:ascii="Arial" w:cs="Arial" w:eastAsia="Arial" w:hAnsi="Arial"/>
                <w:sz w:val="18"/>
                <w:szCs w:val="18"/>
                <w:b w:val="1"/>
                <w:bCs w:val="1"/>
                <w:color w:val="auto"/>
              </w:rPr>
              <w:t>Greenwich, CT</w:t>
            </w:r>
          </w:p>
        </w:tc>
        <w:tc>
          <w:tcPr>
            <w:tcW w:w="3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300" w:type="dxa"/>
            <w:vAlign w:val="bottom"/>
          </w:tcPr>
          <w:p>
            <w:pPr>
              <w:jc w:val="right"/>
              <w:ind w:right="2343"/>
              <w:spacing w:after="0"/>
              <w:rPr>
                <w:sz w:val="20"/>
                <w:szCs w:val="20"/>
                <w:color w:val="auto"/>
              </w:rPr>
            </w:pPr>
            <w:r>
              <w:rPr>
                <w:rFonts w:ascii="Arial" w:cs="Arial" w:eastAsia="Arial" w:hAnsi="Arial"/>
                <w:sz w:val="18"/>
                <w:szCs w:val="18"/>
                <w:b w:val="1"/>
                <w:bCs w:val="1"/>
                <w:color w:val="auto"/>
              </w:rPr>
              <w:t>06831</w:t>
            </w:r>
          </w:p>
        </w:tc>
      </w:tr>
      <w:tr>
        <w:trPr>
          <w:trHeight w:val="186"/>
        </w:trPr>
        <w:tc>
          <w:tcPr>
            <w:tcW w:w="180" w:type="dxa"/>
            <w:vAlign w:val="bottom"/>
          </w:tcPr>
          <w:p>
            <w:pPr>
              <w:spacing w:after="0"/>
              <w:rPr>
                <w:sz w:val="16"/>
                <w:szCs w:val="16"/>
                <w:color w:val="auto"/>
              </w:rPr>
            </w:pPr>
          </w:p>
        </w:tc>
        <w:tc>
          <w:tcPr>
            <w:tcW w:w="7580" w:type="dxa"/>
            <w:vAlign w:val="bottom"/>
            <w:gridSpan w:val="5"/>
          </w:tcPr>
          <w:p>
            <w:pPr>
              <w:jc w:val="center"/>
              <w:ind w:right="22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300" w:type="dxa"/>
            <w:vAlign w:val="bottom"/>
          </w:tcPr>
          <w:p>
            <w:pPr>
              <w:jc w:val="center"/>
              <w:ind w:right="1923"/>
              <w:spacing w:after="0"/>
              <w:rPr>
                <w:sz w:val="20"/>
                <w:szCs w:val="20"/>
                <w:color w:val="auto"/>
              </w:rPr>
            </w:pPr>
            <w:r>
              <w:rPr>
                <w:rFonts w:ascii="Arial" w:cs="Arial" w:eastAsia="Arial" w:hAnsi="Arial"/>
                <w:sz w:val="14"/>
                <w:szCs w:val="14"/>
                <w:b w:val="1"/>
                <w:bCs w:val="1"/>
                <w:color w:val="auto"/>
                <w:w w:val="95"/>
              </w:rPr>
              <w:t>(Zip Code)</w:t>
            </w:r>
          </w:p>
        </w:tc>
      </w:tr>
      <w:tr>
        <w:trPr>
          <w:trHeight w:val="309"/>
        </w:trPr>
        <w:tc>
          <w:tcPr>
            <w:tcW w:w="1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60" w:type="dxa"/>
            <w:vAlign w:val="bottom"/>
            <w:gridSpan w:val="2"/>
          </w:tcPr>
          <w:p>
            <w:pPr>
              <w:jc w:val="center"/>
              <w:ind w:left="286"/>
              <w:spacing w:after="0"/>
              <w:rPr>
                <w:sz w:val="20"/>
                <w:szCs w:val="20"/>
                <w:color w:val="auto"/>
              </w:rPr>
            </w:pPr>
            <w:r>
              <w:rPr>
                <w:rFonts w:ascii="Arial" w:cs="Arial" w:eastAsia="Arial" w:hAnsi="Arial"/>
                <w:sz w:val="18"/>
                <w:szCs w:val="18"/>
                <w:b w:val="1"/>
                <w:bCs w:val="1"/>
                <w:color w:val="auto"/>
                <w:w w:val="90"/>
              </w:rPr>
              <w:t>(855) 976-6951</w:t>
            </w:r>
          </w:p>
        </w:tc>
        <w:tc>
          <w:tcPr>
            <w:tcW w:w="48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18"/>
        </w:trPr>
        <w:tc>
          <w:tcPr>
            <w:tcW w:w="18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00" w:type="dxa"/>
            <w:vAlign w:val="bottom"/>
          </w:tcPr>
          <w:p>
            <w:pPr>
              <w:spacing w:after="0"/>
              <w:rPr>
                <w:sz w:val="18"/>
                <w:szCs w:val="18"/>
                <w:color w:val="auto"/>
              </w:rPr>
            </w:pPr>
          </w:p>
        </w:tc>
      </w:tr>
      <w:tr>
        <w:trPr>
          <w:trHeight w:val="140"/>
        </w:trPr>
        <w:tc>
          <w:tcPr>
            <w:tcW w:w="1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140" w:type="dxa"/>
            <w:vAlign w:val="bottom"/>
            <w:gridSpan w:val="3"/>
          </w:tcPr>
          <w:p>
            <w:pPr>
              <w:jc w:val="center"/>
              <w:ind w:right="14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3300" w:type="dxa"/>
            <w:vAlign w:val="bottom"/>
          </w:tcPr>
          <w:p>
            <w:pPr>
              <w:spacing w:after="0"/>
              <w:rPr>
                <w:sz w:val="12"/>
                <w:szCs w:val="12"/>
                <w:color w:val="auto"/>
              </w:rPr>
            </w:pPr>
          </w:p>
        </w:tc>
      </w:tr>
      <w:tr>
        <w:trPr>
          <w:trHeight w:val="205"/>
        </w:trPr>
        <w:tc>
          <w:tcPr>
            <w:tcW w:w="18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9"/>
              </w:rPr>
              <w:t>N/A</w:t>
            </w:r>
          </w:p>
        </w:tc>
        <w:tc>
          <w:tcPr>
            <w:tcW w:w="3300" w:type="dxa"/>
            <w:vAlign w:val="bottom"/>
          </w:tcPr>
          <w:p>
            <w:pPr>
              <w:spacing w:after="0"/>
              <w:rPr>
                <w:sz w:val="17"/>
                <w:szCs w:val="17"/>
                <w:color w:val="auto"/>
              </w:rPr>
            </w:pPr>
          </w:p>
        </w:tc>
      </w:tr>
      <w:tr>
        <w:trPr>
          <w:trHeight w:val="92"/>
        </w:trPr>
        <w:tc>
          <w:tcPr>
            <w:tcW w:w="180" w:type="dxa"/>
            <w:vAlign w:val="bottom"/>
          </w:tcPr>
          <w:p>
            <w:pPr>
              <w:spacing w:after="0"/>
              <w:rPr>
                <w:sz w:val="8"/>
                <w:szCs w:val="8"/>
                <w:color w:val="auto"/>
              </w:rPr>
            </w:pPr>
          </w:p>
        </w:tc>
        <w:tc>
          <w:tcPr>
            <w:tcW w:w="3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140" w:type="dxa"/>
            <w:vAlign w:val="bottom"/>
            <w:gridSpan w:val="3"/>
          </w:tcPr>
          <w:p>
            <w:pPr>
              <w:jc w:val="center"/>
              <w:ind w:right="140"/>
              <w:spacing w:after="0"/>
              <w:rPr>
                <w:sz w:val="20"/>
                <w:szCs w:val="20"/>
                <w:color w:val="auto"/>
              </w:rPr>
            </w:pPr>
            <w:r>
              <w:rPr>
                <w:rFonts w:ascii="Arial" w:cs="Arial" w:eastAsia="Arial" w:hAnsi="Arial"/>
                <w:sz w:val="7"/>
                <w:szCs w:val="7"/>
                <w:b w:val="1"/>
                <w:bCs w:val="1"/>
                <w:color w:val="auto"/>
                <w:w w:val="92"/>
              </w:rPr>
              <w:t>______________________________________________________________________________________________________________</w:t>
            </w:r>
          </w:p>
        </w:tc>
        <w:tc>
          <w:tcPr>
            <w:tcW w:w="3300" w:type="dxa"/>
            <w:vAlign w:val="bottom"/>
          </w:tcPr>
          <w:p>
            <w:pPr>
              <w:spacing w:after="0"/>
              <w:rPr>
                <w:sz w:val="8"/>
                <w:szCs w:val="8"/>
                <w:color w:val="auto"/>
              </w:rPr>
            </w:pPr>
          </w:p>
        </w:tc>
      </w:tr>
      <w:tr>
        <w:trPr>
          <w:trHeight w:val="211"/>
        </w:trPr>
        <w:tc>
          <w:tcPr>
            <w:tcW w:w="180" w:type="dxa"/>
            <w:vAlign w:val="bottom"/>
          </w:tcPr>
          <w:p>
            <w:pPr>
              <w:spacing w:after="0"/>
              <w:rPr>
                <w:sz w:val="18"/>
                <w:szCs w:val="18"/>
                <w:color w:val="auto"/>
              </w:rPr>
            </w:pPr>
          </w:p>
        </w:tc>
        <w:tc>
          <w:tcPr>
            <w:tcW w:w="10880" w:type="dxa"/>
            <w:vAlign w:val="bottom"/>
            <w:gridSpan w:val="6"/>
          </w:tcPr>
          <w:p>
            <w:pPr>
              <w:jc w:val="center"/>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216"/>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w w:val="93"/>
              </w:rPr>
              <w:t>Securities registered pursuant to Section 12(b) of the Act:</w:t>
            </w:r>
          </w:p>
        </w:tc>
        <w:tc>
          <w:tcPr>
            <w:tcW w:w="34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300" w:type="dxa"/>
            <w:vAlign w:val="bottom"/>
          </w:tcPr>
          <w:p>
            <w:pPr>
              <w:spacing w:after="0"/>
              <w:rPr>
                <w:sz w:val="18"/>
                <w:szCs w:val="18"/>
                <w:color w:val="auto"/>
              </w:rPr>
            </w:pPr>
          </w:p>
        </w:tc>
      </w:tr>
      <w:tr>
        <w:trPr>
          <w:trHeight w:val="263"/>
        </w:trPr>
        <w:tc>
          <w:tcPr>
            <w:tcW w:w="180" w:type="dxa"/>
            <w:vAlign w:val="bottom"/>
          </w:tcPr>
          <w:p>
            <w:pPr>
              <w:spacing w:after="0"/>
              <w:rPr>
                <w:sz w:val="22"/>
                <w:szCs w:val="22"/>
                <w:color w:val="auto"/>
              </w:rPr>
            </w:pPr>
          </w:p>
        </w:tc>
        <w:tc>
          <w:tcPr>
            <w:tcW w:w="3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Title of each class</w:t>
            </w:r>
          </w:p>
        </w:tc>
        <w:tc>
          <w:tcPr>
            <w:tcW w:w="340" w:type="dxa"/>
            <w:vAlign w:val="bottom"/>
          </w:tcPr>
          <w:p>
            <w:pPr>
              <w:spacing w:after="0"/>
              <w:rPr>
                <w:sz w:val="22"/>
                <w:szCs w:val="22"/>
                <w:color w:val="auto"/>
              </w:rPr>
            </w:pPr>
          </w:p>
        </w:tc>
        <w:tc>
          <w:tcPr>
            <w:tcW w:w="38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Trading symbol(s)</w:t>
            </w: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2"/>
        </w:trPr>
        <w:tc>
          <w:tcPr>
            <w:tcW w:w="18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$0.001 per share</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XPO</w:t>
            </w:r>
          </w:p>
        </w:tc>
        <w:tc>
          <w:tcPr>
            <w:tcW w:w="480" w:type="dxa"/>
            <w:vAlign w:val="bottom"/>
          </w:tcPr>
          <w:p>
            <w:pPr>
              <w:spacing w:after="0"/>
              <w:rPr>
                <w:sz w:val="15"/>
                <w:szCs w:val="15"/>
                <w:color w:val="auto"/>
              </w:rPr>
            </w:pPr>
          </w:p>
        </w:tc>
        <w:tc>
          <w:tcPr>
            <w:tcW w:w="33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New York Stock Exchange</w:t>
            </w:r>
          </w:p>
        </w:tc>
      </w:tr>
    </w:tbl>
    <w:p>
      <w:pPr>
        <w:spacing w:after="0" w:line="8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spacing w:after="0" w:line="226"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4" w:lineRule="exact"/>
        <w:rPr>
          <w:sz w:val="24"/>
          <w:szCs w:val="24"/>
          <w:color w:val="auto"/>
        </w:rPr>
      </w:pPr>
    </w:p>
    <w:p>
      <w:pPr>
        <w:ind w:right="40" w:firstLine="445"/>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20" w:firstLine="445"/>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1700" w:type="dxa"/>
        <w:tblCellMar>
          <w:top w:w="0" w:type="dxa"/>
          <w:left w:w="0" w:type="dxa"/>
          <w:bottom w:w="0" w:type="dxa"/>
          <w:right w:w="0" w:type="dxa"/>
        </w:tblCellMar>
      </w:tblPr>
      <w:tr>
        <w:trPr>
          <w:trHeight w:val="283"/>
        </w:trPr>
        <w:tc>
          <w:tcPr>
            <w:tcW w:w="25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34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8"/>
                <w:szCs w:val="18"/>
                <w:color w:val="auto"/>
              </w:rPr>
              <w:t>Accelerated filer</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540" w:type="dxa"/>
            <w:vAlign w:val="bottom"/>
          </w:tcPr>
          <w:p>
            <w:pPr>
              <w:spacing w:after="0"/>
              <w:rPr>
                <w:sz w:val="20"/>
                <w:szCs w:val="20"/>
                <w:color w:val="auto"/>
              </w:rPr>
            </w:pPr>
            <w:r>
              <w:rPr>
                <w:rFonts w:ascii="Arial" w:cs="Arial" w:eastAsia="Arial" w:hAnsi="Arial"/>
                <w:sz w:val="18"/>
                <w:szCs w:val="18"/>
                <w:color w:val="auto"/>
              </w:rPr>
              <w:t>Non-accelerated filer</w:t>
            </w:r>
          </w:p>
        </w:tc>
        <w:tc>
          <w:tcPr>
            <w:tcW w:w="1340" w:type="dxa"/>
            <w:vAlign w:val="bottom"/>
          </w:tcPr>
          <w:p>
            <w:pPr>
              <w:ind w:left="940"/>
              <w:spacing w:after="0" w:line="181" w:lineRule="exact"/>
              <w:rPr>
                <w:sz w:val="20"/>
                <w:szCs w:val="20"/>
                <w:color w:val="auto"/>
              </w:rPr>
            </w:pPr>
            <w:r>
              <w:rPr>
                <w:rFonts w:ascii="MS PGothic" w:cs="MS PGothic" w:eastAsia="MS PGothic" w:hAnsi="MS PGothic"/>
                <w:sz w:val="18"/>
                <w:szCs w:val="18"/>
                <w:color w:val="auto"/>
              </w:rPr>
              <w:t>☐</w:t>
            </w:r>
          </w:p>
        </w:tc>
        <w:tc>
          <w:tcPr>
            <w:tcW w:w="2980" w:type="dxa"/>
            <w:vAlign w:val="bottom"/>
          </w:tcPr>
          <w:p>
            <w:pPr>
              <w:ind w:left="240"/>
              <w:spacing w:after="0"/>
              <w:rPr>
                <w:sz w:val="20"/>
                <w:szCs w:val="20"/>
                <w:color w:val="auto"/>
              </w:rPr>
            </w:pPr>
            <w:r>
              <w:rPr>
                <w:rFonts w:ascii="Arial" w:cs="Arial" w:eastAsia="Arial" w:hAnsi="Arial"/>
                <w:sz w:val="18"/>
                <w:szCs w:val="18"/>
                <w:color w:val="auto"/>
              </w:rPr>
              <w:t>Smaller reporting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5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980" w:type="dxa"/>
            <w:vAlign w:val="bottom"/>
          </w:tcPr>
          <w:p>
            <w:pPr>
              <w:ind w:left="240"/>
              <w:spacing w:after="0"/>
              <w:rPr>
                <w:sz w:val="20"/>
                <w:szCs w:val="20"/>
                <w:color w:val="auto"/>
              </w:rPr>
            </w:pPr>
            <w:r>
              <w:rPr>
                <w:rFonts w:ascii="Arial" w:cs="Arial" w:eastAsia="Arial" w:hAnsi="Arial"/>
                <w:sz w:val="18"/>
                <w:szCs w:val="18"/>
                <w:color w:val="auto"/>
              </w:rPr>
              <w:t>Emerging growth company</w:t>
            </w:r>
          </w:p>
        </w:tc>
        <w:tc>
          <w:tcPr>
            <w:tcW w:w="900" w:type="dxa"/>
            <w:vAlign w:val="bottom"/>
          </w:tcPr>
          <w:p>
            <w:pPr>
              <w:ind w:left="7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7"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July 29, 2021, there were 114,626,250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58" w:right="399" w:bottom="1440" w:gutter="0" w:footer="0" w:header="0"/>
        </w:sectPr>
      </w:pPr>
    </w:p>
    <w:bookmarkStart w:id="1" w:name="page2"/>
    <w:bookmarkEnd w:id="1"/>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060" w:type="dxa"/>
            <w:vAlign w:val="bottom"/>
            <w:gridSpan w:val="18"/>
            <w:vMerge w:val="restart"/>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I—Financial Information</w:t>
              </w:r>
            </w:hyperlink>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60" w:type="dxa"/>
            <w:vAlign w:val="bottom"/>
            <w:gridSpan w:val="18"/>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6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Financial Statements (Unaudited):</w:t>
              </w:r>
            </w:hyperlink>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17"/>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Balance Sheets</w:t>
              </w:r>
            </w:hyperlink>
          </w:p>
        </w:tc>
        <w:tc>
          <w:tcPr>
            <w:tcW w:w="620" w:type="dxa"/>
            <w:vAlign w:val="bottom"/>
            <w:gridSpan w:val="2"/>
          </w:tcPr>
          <w:p>
            <w:pPr>
              <w:jc w:val="center"/>
              <w:ind w:left="4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17"/>
          </w:tcPr>
          <w:p>
            <w:pPr>
              <w:ind w:left="20"/>
              <w:spacing w:after="0"/>
              <w:rPr>
                <w:rFonts w:ascii="Arial" w:cs="Arial" w:eastAsia="Arial" w:hAnsi="Arial"/>
                <w:sz w:val="18"/>
                <w:szCs w:val="18"/>
                <w:color w:val="0000FF"/>
              </w:rPr>
            </w:pPr>
            <w:hyperlink w:anchor="page3">
              <w:r>
                <w:rPr>
                  <w:rFonts w:ascii="Arial" w:cs="Arial" w:eastAsia="Arial" w:hAnsi="Arial"/>
                  <w:sz w:val="18"/>
                  <w:szCs w:val="18"/>
                  <w:color w:val="0000FF"/>
                </w:rPr>
                <w:t>Condensed Consolidated Statements of Income (Loss)</w:t>
              </w:r>
            </w:hyperlink>
          </w:p>
        </w:tc>
        <w:tc>
          <w:tcPr>
            <w:tcW w:w="620" w:type="dxa"/>
            <w:vAlign w:val="bottom"/>
            <w:gridSpan w:val="2"/>
          </w:tcPr>
          <w:p>
            <w:pPr>
              <w:jc w:val="center"/>
              <w:ind w:left="450"/>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2</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00" w:type="dxa"/>
            <w:vAlign w:val="bottom"/>
            <w:gridSpan w:val="15"/>
          </w:tcPr>
          <w:p>
            <w:pPr>
              <w:ind w:left="20"/>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Condensed Consolidated Statements of Comprehensive Income (Loss)</w:t>
              </w:r>
            </w:hyperlink>
          </w:p>
        </w:tc>
        <w:tc>
          <w:tcPr>
            <w:tcW w:w="4640" w:type="dxa"/>
            <w:vAlign w:val="bottom"/>
            <w:gridSpan w:val="2"/>
          </w:tcPr>
          <w:p>
            <w:pPr>
              <w:spacing w:after="0"/>
              <w:rPr>
                <w:sz w:val="18"/>
                <w:szCs w:val="18"/>
                <w:color w:val="auto"/>
              </w:rPr>
            </w:pPr>
          </w:p>
        </w:tc>
        <w:tc>
          <w:tcPr>
            <w:tcW w:w="620" w:type="dxa"/>
            <w:vAlign w:val="bottom"/>
            <w:gridSpan w:val="2"/>
          </w:tcPr>
          <w:p>
            <w:pPr>
              <w:jc w:val="center"/>
              <w:ind w:left="450"/>
              <w:spacing w:after="0"/>
              <w:rPr>
                <w:rFonts w:ascii="Arial" w:cs="Arial" w:eastAsia="Arial" w:hAnsi="Arial"/>
                <w:sz w:val="18"/>
                <w:szCs w:val="18"/>
                <w:color w:val="0000FF"/>
                <w:w w:val="79"/>
              </w:rPr>
            </w:pPr>
            <w:hyperlink w:anchor="page4">
              <w:r>
                <w:rPr>
                  <w:rFonts w:ascii="Arial" w:cs="Arial" w:eastAsia="Arial" w:hAnsi="Arial"/>
                  <w:sz w:val="18"/>
                  <w:szCs w:val="18"/>
                  <w:color w:val="0000FF"/>
                  <w:w w:val="79"/>
                </w:rPr>
                <w:t>3</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00" w:type="dxa"/>
            <w:vAlign w:val="bottom"/>
            <w:gridSpan w:val="15"/>
          </w:tcPr>
          <w:p>
            <w:pPr>
              <w:ind w:left="20"/>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Cash Flows</w:t>
              </w:r>
            </w:hyperlink>
          </w:p>
        </w:tc>
        <w:tc>
          <w:tcPr>
            <w:tcW w:w="4640" w:type="dxa"/>
            <w:vAlign w:val="bottom"/>
            <w:gridSpan w:val="2"/>
          </w:tcPr>
          <w:p>
            <w:pPr>
              <w:spacing w:after="0"/>
              <w:rPr>
                <w:sz w:val="18"/>
                <w:szCs w:val="18"/>
                <w:color w:val="auto"/>
              </w:rPr>
            </w:pPr>
          </w:p>
        </w:tc>
        <w:tc>
          <w:tcPr>
            <w:tcW w:w="620" w:type="dxa"/>
            <w:vAlign w:val="bottom"/>
            <w:gridSpan w:val="2"/>
          </w:tcPr>
          <w:p>
            <w:pPr>
              <w:jc w:val="center"/>
              <w:ind w:left="450"/>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4</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740" w:type="dxa"/>
            <w:vAlign w:val="bottom"/>
            <w:gridSpan w:val="17"/>
          </w:tcPr>
          <w:p>
            <w:pPr>
              <w:ind w:left="20"/>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Changes in Equity</w:t>
              </w:r>
            </w:hyperlink>
          </w:p>
        </w:tc>
        <w:tc>
          <w:tcPr>
            <w:tcW w:w="620" w:type="dxa"/>
            <w:vAlign w:val="bottom"/>
            <w:gridSpan w:val="2"/>
          </w:tcPr>
          <w:p>
            <w:pPr>
              <w:jc w:val="center"/>
              <w:ind w:left="450"/>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5</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0" w:type="dxa"/>
            <w:vAlign w:val="bottom"/>
            <w:gridSpan w:val="13"/>
          </w:tcPr>
          <w:p>
            <w:pPr>
              <w:ind w:left="20"/>
              <w:spacing w:after="0"/>
              <w:rPr>
                <w:rFonts w:ascii="Arial" w:cs="Arial" w:eastAsia="Arial" w:hAnsi="Arial"/>
                <w:sz w:val="18"/>
                <w:szCs w:val="18"/>
                <w:color w:val="0000FF"/>
                <w:w w:val="93"/>
              </w:rPr>
            </w:pPr>
            <w:hyperlink w:anchor="page8">
              <w:r>
                <w:rPr>
                  <w:rFonts w:ascii="Arial" w:cs="Arial" w:eastAsia="Arial" w:hAnsi="Arial"/>
                  <w:sz w:val="18"/>
                  <w:szCs w:val="18"/>
                  <w:color w:val="0000FF"/>
                  <w:w w:val="93"/>
                </w:rPr>
                <w:t>Notes to Condensed Consolidated Financial Statements</w:t>
              </w:r>
            </w:hyperlink>
          </w:p>
        </w:tc>
        <w:tc>
          <w:tcPr>
            <w:tcW w:w="5540" w:type="dxa"/>
            <w:vAlign w:val="bottom"/>
            <w:gridSpan w:val="4"/>
          </w:tcPr>
          <w:p>
            <w:pPr>
              <w:spacing w:after="0"/>
              <w:rPr>
                <w:sz w:val="18"/>
                <w:szCs w:val="18"/>
                <w:color w:val="auto"/>
              </w:rPr>
            </w:pPr>
          </w:p>
        </w:tc>
        <w:tc>
          <w:tcPr>
            <w:tcW w:w="620" w:type="dxa"/>
            <w:vAlign w:val="bottom"/>
            <w:gridSpan w:val="2"/>
          </w:tcPr>
          <w:p>
            <w:pPr>
              <w:jc w:val="center"/>
              <w:ind w:left="450"/>
              <w:spacing w:after="0"/>
              <w:rPr>
                <w:rFonts w:ascii="Arial" w:cs="Arial" w:eastAsia="Arial" w:hAnsi="Arial"/>
                <w:sz w:val="18"/>
                <w:szCs w:val="18"/>
                <w:color w:val="0000FF"/>
                <w:w w:val="79"/>
              </w:rPr>
            </w:pPr>
            <w:hyperlink w:anchor="page8">
              <w:r>
                <w:rPr>
                  <w:rFonts w:ascii="Arial" w:cs="Arial" w:eastAsia="Arial" w:hAnsi="Arial"/>
                  <w:sz w:val="18"/>
                  <w:szCs w:val="18"/>
                  <w:color w:val="0000FF"/>
                  <w:w w:val="79"/>
                </w:rPr>
                <w:t>7</w:t>
              </w:r>
            </w:hyperlink>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40" w:type="dxa"/>
            <w:vAlign w:val="bottom"/>
            <w:gridSpan w:val="5"/>
            <w:shd w:val="clear" w:color="auto" w:fill="0000FF"/>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020" w:type="dxa"/>
            <w:vAlign w:val="bottom"/>
            <w:gridSpan w:val="17"/>
          </w:tcPr>
          <w:p>
            <w:pPr>
              <w:spacing w:after="0"/>
              <w:rPr>
                <w:rFonts w:ascii="Arial" w:cs="Arial" w:eastAsia="Arial" w:hAnsi="Arial"/>
                <w:sz w:val="18"/>
                <w:szCs w:val="18"/>
                <w:color w:val="0000FF"/>
                <w:w w:val="91"/>
              </w:rPr>
            </w:pPr>
            <w:hyperlink w:anchor="page23">
              <w:r>
                <w:rPr>
                  <w:rFonts w:ascii="Arial" w:cs="Arial" w:eastAsia="Arial" w:hAnsi="Arial"/>
                  <w:sz w:val="18"/>
                  <w:szCs w:val="18"/>
                  <w:color w:val="0000FF"/>
                  <w:w w:val="91"/>
                </w:rPr>
                <w:t>Item 2. Management’s Discussion and Analysis of Financial Condition and Results of Operations</w:t>
              </w:r>
            </w:hyperlink>
          </w:p>
        </w:tc>
        <w:tc>
          <w:tcPr>
            <w:tcW w:w="3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23">
              <w:r>
                <w:rPr>
                  <w:rFonts w:ascii="Arial" w:cs="Arial" w:eastAsia="Arial" w:hAnsi="Arial"/>
                  <w:sz w:val="15"/>
                  <w:szCs w:val="15"/>
                  <w:color w:val="0000FF"/>
                  <w:w w:val="71"/>
                </w:rPr>
                <w:t>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Item 3. Quantitative and Qualitative Disclosures About Market Risk</w:t>
              </w:r>
            </w:hyperlink>
          </w:p>
        </w:tc>
        <w:tc>
          <w:tcPr>
            <w:tcW w:w="2120" w:type="dxa"/>
            <w:vAlign w:val="bottom"/>
            <w:gridSpan w:val="2"/>
          </w:tcPr>
          <w:p>
            <w:pPr>
              <w:spacing w:after="0"/>
              <w:rPr>
                <w:sz w:val="18"/>
                <w:szCs w:val="18"/>
                <w:color w:val="auto"/>
              </w:rPr>
            </w:pPr>
          </w:p>
        </w:tc>
        <w:tc>
          <w:tcPr>
            <w:tcW w:w="3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Item 4. Controls and Procedures</w:t>
              </w:r>
            </w:hyperlink>
          </w:p>
        </w:tc>
        <w:tc>
          <w:tcPr>
            <w:tcW w:w="516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33</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60" w:type="dxa"/>
            <w:vAlign w:val="bottom"/>
            <w:tcBorders>
              <w:top w:val="single" w:sz="8" w:color="0000FF"/>
              <w:bottom w:val="single" w:sz="8" w:color="0000FF"/>
            </w:tcBorders>
            <w:gridSpan w:val="6"/>
          </w:tcPr>
          <w:p>
            <w:pPr>
              <w:spacing w:after="0"/>
              <w:rPr>
                <w:rFonts w:ascii="Arial" w:cs="Arial" w:eastAsia="Arial" w:hAnsi="Arial"/>
                <w:sz w:val="18"/>
                <w:szCs w:val="18"/>
                <w:b w:val="1"/>
                <w:bCs w:val="1"/>
                <w:color w:val="0000FF"/>
                <w:w w:val="97"/>
              </w:rPr>
            </w:pPr>
            <w:hyperlink w:anchor="page35">
              <w:r>
                <w:rPr>
                  <w:rFonts w:ascii="Arial" w:cs="Arial" w:eastAsia="Arial" w:hAnsi="Arial"/>
                  <w:sz w:val="18"/>
                  <w:szCs w:val="18"/>
                  <w:b w:val="1"/>
                  <w:bCs w:val="1"/>
                  <w:color w:val="0000FF"/>
                  <w:w w:val="97"/>
                </w:rPr>
                <w:t>Part II—Other Information</w:t>
              </w:r>
            </w:hyperlink>
          </w:p>
        </w:tc>
        <w:tc>
          <w:tcPr>
            <w:tcW w:w="160" w:type="dxa"/>
            <w:vAlign w:val="bottom"/>
            <w:tcBorders>
              <w:top w:val="single" w:sz="8" w:color="0000FF"/>
            </w:tcBorders>
          </w:tcPr>
          <w:p>
            <w:pPr>
              <w:spacing w:after="0"/>
              <w:rPr>
                <w:sz w:val="18"/>
                <w:szCs w:val="18"/>
                <w:color w:val="auto"/>
              </w:rPr>
            </w:pPr>
          </w:p>
        </w:tc>
        <w:tc>
          <w:tcPr>
            <w:tcW w:w="7740" w:type="dxa"/>
            <w:vAlign w:val="bottom"/>
            <w:gridSpan w:val="11"/>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w w:val="87"/>
              </w:rPr>
            </w:pPr>
            <w:hyperlink w:anchor="page35">
              <w:r>
                <w:rPr>
                  <w:rFonts w:ascii="Arial" w:cs="Arial" w:eastAsia="Arial" w:hAnsi="Arial"/>
                  <w:sz w:val="18"/>
                  <w:szCs w:val="18"/>
                  <w:color w:val="0000FF"/>
                  <w:w w:val="87"/>
                </w:rPr>
                <w:t>Item 1. Legal Proceedings</w:t>
              </w:r>
            </w:hyperlink>
          </w:p>
        </w:tc>
        <w:tc>
          <w:tcPr>
            <w:tcW w:w="81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5">
              <w:r>
                <w:rPr>
                  <w:rFonts w:ascii="Arial" w:cs="Arial" w:eastAsia="Arial" w:hAnsi="Arial"/>
                  <w:sz w:val="15"/>
                  <w:szCs w:val="15"/>
                  <w:color w:val="0000FF"/>
                  <w:w w:val="71"/>
                </w:rPr>
                <w:t>33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600" w:type="dxa"/>
            <w:vAlign w:val="bottom"/>
            <w:gridSpan w:val="4"/>
          </w:tcPr>
          <w:p>
            <w:pPr>
              <w:spacing w:after="0"/>
              <w:rPr>
                <w:rFonts w:ascii="Arial" w:cs="Arial" w:eastAsia="Arial" w:hAnsi="Arial"/>
                <w:sz w:val="18"/>
                <w:szCs w:val="18"/>
                <w:color w:val="0000FF"/>
                <w:w w:val="91"/>
              </w:rPr>
            </w:pPr>
            <w:hyperlink w:anchor="page36">
              <w:r>
                <w:rPr>
                  <w:rFonts w:ascii="Arial" w:cs="Arial" w:eastAsia="Arial" w:hAnsi="Arial"/>
                  <w:sz w:val="18"/>
                  <w:szCs w:val="18"/>
                  <w:color w:val="0000FF"/>
                  <w:w w:val="91"/>
                </w:rPr>
                <w:t>Item 1A. Risk Factors</w:t>
              </w:r>
            </w:hyperlink>
          </w:p>
        </w:tc>
        <w:tc>
          <w:tcPr>
            <w:tcW w:w="280" w:type="dxa"/>
            <w:vAlign w:val="bottom"/>
          </w:tcPr>
          <w:p>
            <w:pPr>
              <w:spacing w:after="0"/>
              <w:rPr>
                <w:sz w:val="18"/>
                <w:szCs w:val="18"/>
                <w:color w:val="auto"/>
              </w:rPr>
            </w:pPr>
          </w:p>
        </w:tc>
        <w:tc>
          <w:tcPr>
            <w:tcW w:w="81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6">
              <w:r>
                <w:rPr>
                  <w:rFonts w:ascii="Arial" w:cs="Arial" w:eastAsia="Arial" w:hAnsi="Arial"/>
                  <w:sz w:val="15"/>
                  <w:szCs w:val="15"/>
                  <w:color w:val="0000FF"/>
                  <w:w w:val="71"/>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5160" w:type="dxa"/>
            <w:vAlign w:val="bottom"/>
            <w:gridSpan w:val="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60" w:type="dxa"/>
            <w:vAlign w:val="bottom"/>
            <w:gridSpan w:val="18"/>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Item 2. Unregistered Sales of Equity Securities and Use of Proceeds</w:t>
              </w:r>
            </w:hyperlink>
          </w:p>
        </w:tc>
        <w:tc>
          <w:tcPr>
            <w:tcW w:w="1160" w:type="dxa"/>
            <w:vAlign w:val="bottom"/>
            <w:gridSpan w:val="3"/>
          </w:tcPr>
          <w:p>
            <w:pPr>
              <w:jc w:val="center"/>
              <w:ind w:right="20"/>
              <w:spacing w:after="0"/>
              <w:rPr>
                <w:rFonts w:ascii="Arial" w:cs="Arial" w:eastAsia="Arial" w:hAnsi="Arial"/>
                <w:sz w:val="18"/>
                <w:szCs w:val="18"/>
                <w:color w:val="0000FF"/>
                <w:w w:val="89"/>
              </w:rPr>
            </w:pPr>
            <w:hyperlink w:anchor="page36">
              <w:r>
                <w:rPr>
                  <w:rFonts w:ascii="Arial" w:cs="Arial" w:eastAsia="Arial" w:hAnsi="Arial"/>
                  <w:sz w:val="18"/>
                  <w:szCs w:val="18"/>
                  <w:color w:val="0000FF"/>
                  <w:w w:val="89"/>
                </w:rPr>
                <w:t>34</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15"/>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3. Defaults Upon Senior Securities</w:t>
              </w:r>
            </w:hyperlink>
          </w:p>
        </w:tc>
        <w:tc>
          <w:tcPr>
            <w:tcW w:w="5160" w:type="dxa"/>
            <w:vAlign w:val="bottom"/>
            <w:gridSpan w:val="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180" w:type="dxa"/>
            <w:vAlign w:val="bottom"/>
            <w:gridSpan w:val="10"/>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gridSpan w:val="8"/>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Item 4. Mine Safety Disclosures</w:t>
              </w:r>
            </w:hyperlink>
          </w:p>
        </w:tc>
        <w:tc>
          <w:tcPr>
            <w:tcW w:w="7180" w:type="dxa"/>
            <w:vAlign w:val="bottom"/>
            <w:gridSpan w:val="10"/>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7740" w:type="dxa"/>
            <w:vAlign w:val="bottom"/>
            <w:gridSpan w:val="11"/>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w w:val="91"/>
              </w:rPr>
            </w:pPr>
            <w:hyperlink w:anchor="page37">
              <w:r>
                <w:rPr>
                  <w:rFonts w:ascii="Arial" w:cs="Arial" w:eastAsia="Arial" w:hAnsi="Arial"/>
                  <w:sz w:val="18"/>
                  <w:szCs w:val="18"/>
                  <w:color w:val="0000FF"/>
                  <w:w w:val="91"/>
                </w:rPr>
                <w:t>Item 5. Other Information</w:t>
              </w:r>
            </w:hyperlink>
          </w:p>
        </w:tc>
        <w:tc>
          <w:tcPr>
            <w:tcW w:w="440" w:type="dxa"/>
            <w:vAlign w:val="bottom"/>
            <w:gridSpan w:val="2"/>
          </w:tcPr>
          <w:p>
            <w:pPr>
              <w:spacing w:after="0"/>
              <w:rPr>
                <w:sz w:val="18"/>
                <w:szCs w:val="18"/>
                <w:color w:val="auto"/>
              </w:rPr>
            </w:pPr>
          </w:p>
        </w:tc>
        <w:tc>
          <w:tcPr>
            <w:tcW w:w="7740" w:type="dxa"/>
            <w:vAlign w:val="bottom"/>
            <w:gridSpan w:val="11"/>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7">
              <w:r>
                <w:rPr>
                  <w:rFonts w:ascii="Arial" w:cs="Arial" w:eastAsia="Arial" w:hAnsi="Arial"/>
                  <w:sz w:val="15"/>
                  <w:szCs w:val="15"/>
                  <w:color w:val="0000FF"/>
                  <w:w w:val="71"/>
                </w:rPr>
                <w:t>35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80" w:type="dxa"/>
            <w:vAlign w:val="bottom"/>
            <w:gridSpan w:val="13"/>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880" w:type="dxa"/>
            <w:vAlign w:val="bottom"/>
            <w:gridSpan w:val="5"/>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Item 6. Exhibits</w:t>
              </w:r>
            </w:hyperlink>
          </w:p>
        </w:tc>
        <w:tc>
          <w:tcPr>
            <w:tcW w:w="8180" w:type="dxa"/>
            <w:vAlign w:val="bottom"/>
            <w:gridSpan w:val="13"/>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8">
              <w:r>
                <w:rPr>
                  <w:rFonts w:ascii="Arial" w:cs="Arial" w:eastAsia="Arial" w:hAnsi="Arial"/>
                  <w:sz w:val="15"/>
                  <w:szCs w:val="15"/>
                  <w:color w:val="0000FF"/>
                  <w:w w:val="71"/>
                </w:rPr>
                <w:t>37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900" w:type="dxa"/>
            <w:vAlign w:val="bottom"/>
            <w:gridSpan w:val="15"/>
          </w:tcPr>
          <w:p>
            <w:pPr>
              <w:spacing w:after="0" w:line="20" w:lineRule="exact"/>
              <w:rPr>
                <w:sz w:val="1"/>
                <w:szCs w:val="1"/>
                <w:color w:val="auto"/>
              </w:rPr>
            </w:pPr>
          </w:p>
        </w:tc>
        <w:tc>
          <w:tcPr>
            <w:tcW w:w="54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Signatures</w:t>
              </w:r>
            </w:hyperlink>
          </w:p>
        </w:tc>
        <w:tc>
          <w:tcPr>
            <w:tcW w:w="8900" w:type="dxa"/>
            <w:vAlign w:val="bottom"/>
            <w:gridSpan w:val="15"/>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2"/>
          </w:tcPr>
          <w:p>
            <w:pPr>
              <w:jc w:val="center"/>
              <w:ind w:right="500"/>
              <w:spacing w:after="0"/>
              <w:rPr>
                <w:rFonts w:ascii="Arial" w:cs="Arial" w:eastAsia="Arial" w:hAnsi="Arial"/>
                <w:sz w:val="15"/>
                <w:szCs w:val="15"/>
                <w:color w:val="0000FF"/>
                <w:w w:val="71"/>
              </w:rPr>
            </w:pPr>
            <w:hyperlink w:anchor="page39">
              <w:r>
                <w:rPr>
                  <w:rFonts w:ascii="Arial" w:cs="Arial" w:eastAsia="Arial" w:hAnsi="Arial"/>
                  <w:sz w:val="15"/>
                  <w:szCs w:val="15"/>
                  <w:color w:val="0000FF"/>
                  <w:w w:val="71"/>
                </w:rPr>
                <w:t>38</w:t>
              </w:r>
            </w:hyperlink>
          </w:p>
        </w:tc>
        <w:tc>
          <w:tcPr>
            <w:tcW w:w="0" w:type="dxa"/>
            <w:vAlign w:val="bottom"/>
          </w:tcPr>
          <w:p>
            <w:pPr>
              <w:spacing w:after="0"/>
              <w:rPr>
                <w:sz w:val="1"/>
                <w:szCs w:val="1"/>
                <w:color w:val="auto"/>
              </w:rPr>
            </w:pPr>
          </w:p>
        </w:tc>
      </w:tr>
      <w:tr>
        <w:trPr>
          <w:trHeight w:val="1513"/>
        </w:trPr>
        <w:tc>
          <w:tcPr>
            <w:tcW w:w="2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440" w:type="dxa"/>
            <w:vAlign w:val="bottom"/>
            <w:tcBorders>
              <w:top w:val="single" w:sz="8" w:color="0000FF"/>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16"/>
                <w:szCs w:val="16"/>
                <w:color w:val="auto"/>
              </w:rPr>
            </w:pPr>
          </w:p>
        </w:tc>
        <w:tc>
          <w:tcPr>
            <w:tcW w:w="1140" w:type="dxa"/>
            <w:vAlign w:val="bottom"/>
          </w:tcPr>
          <w:p>
            <w:pPr>
              <w:jc w:val="right"/>
              <w:ind w:right="151"/>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95"/>
        </w:trPr>
        <w:tc>
          <w:tcPr>
            <w:tcW w:w="8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260" w:type="dxa"/>
            <w:vAlign w:val="bottom"/>
          </w:tcPr>
          <w:p>
            <w:pPr>
              <w:spacing w:after="0"/>
              <w:rPr>
                <w:sz w:val="16"/>
                <w:szCs w:val="16"/>
                <w:color w:val="auto"/>
              </w:rPr>
            </w:pPr>
          </w:p>
        </w:tc>
        <w:tc>
          <w:tcPr>
            <w:tcW w:w="1060" w:type="dxa"/>
            <w:vAlign w:val="bottom"/>
          </w:tcPr>
          <w:p>
            <w:pPr>
              <w:jc w:val="right"/>
              <w:ind w:right="41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5"/>
        </w:trPr>
        <w:tc>
          <w:tcPr>
            <w:tcW w:w="8380" w:type="dxa"/>
            <w:vAlign w:val="bottom"/>
            <w:tcBorders>
              <w:top w:val="single" w:sz="8" w:color="auto"/>
            </w:tcBorders>
            <w:shd w:val="clear" w:color="auto" w:fill="CCEEFF"/>
          </w:tcPr>
          <w:p>
            <w:pPr>
              <w:ind w:left="3900"/>
              <w:spacing w:after="0"/>
              <w:rPr>
                <w:sz w:val="20"/>
                <w:szCs w:val="20"/>
                <w:color w:val="auto"/>
              </w:rPr>
            </w:pPr>
            <w:r>
              <w:rPr>
                <w:rFonts w:ascii="Arial" w:cs="Arial" w:eastAsia="Arial" w:hAnsi="Arial"/>
                <w:sz w:val="16"/>
                <w:szCs w:val="16"/>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Accounts receivable, net of allowances of $62 and $65, respectively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3,171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2,886</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5,370</w:t>
            </w:r>
          </w:p>
        </w:tc>
        <w:tc>
          <w:tcPr>
            <w:tcW w:w="0" w:type="dxa"/>
            <w:vAlign w:val="bottom"/>
          </w:tcPr>
          <w:p>
            <w:pPr>
              <w:spacing w:after="0"/>
              <w:rPr>
                <w:sz w:val="1"/>
                <w:szCs w:val="1"/>
                <w:color w:val="auto"/>
              </w:rPr>
            </w:pPr>
          </w:p>
        </w:tc>
      </w:tr>
      <w:tr>
        <w:trPr>
          <w:trHeight w:val="19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assets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Property and equipment, net of $2,783 and $2,568 in accumulated depreciation, respectively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2,661</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Operating lease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29"/>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4,599</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Identifiable intangible assets, net of $981 and $909 in accumulated amortization, respectively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Total long-term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10,799</w:t>
            </w:r>
          </w:p>
        </w:tc>
        <w:tc>
          <w:tcPr>
            <w:tcW w:w="0" w:type="dxa"/>
            <w:vAlign w:val="bottom"/>
          </w:tcPr>
          <w:p>
            <w:pPr>
              <w:spacing w:after="0"/>
              <w:rPr>
                <w:sz w:val="1"/>
                <w:szCs w:val="1"/>
                <w:color w:val="auto"/>
              </w:rPr>
            </w:pPr>
          </w:p>
        </w:tc>
      </w:tr>
      <w:tr>
        <w:trPr>
          <w:trHeight w:val="223"/>
        </w:trPr>
        <w:tc>
          <w:tcPr>
            <w:tcW w:w="8480" w:type="dxa"/>
            <w:vAlign w:val="bottom"/>
            <w:gridSpan w:val="2"/>
          </w:tcPr>
          <w:p>
            <w:pPr>
              <w:ind w:left="68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480" w:type="dxa"/>
            <w:vAlign w:val="bottom"/>
            <w:gridSpan w:val="2"/>
            <w:shd w:val="clear" w:color="auto" w:fill="CCEEFF"/>
          </w:tcPr>
          <w:p>
            <w:pPr>
              <w:ind w:left="244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Short-term borrowings and current maturities of long-term debt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Short-term operating lease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5,153</w:t>
            </w:r>
          </w:p>
        </w:tc>
        <w:tc>
          <w:tcPr>
            <w:tcW w:w="0" w:type="dxa"/>
            <w:vAlign w:val="bottom"/>
          </w:tcPr>
          <w:p>
            <w:pPr>
              <w:spacing w:after="0"/>
              <w:rPr>
                <w:sz w:val="1"/>
                <w:szCs w:val="1"/>
                <w:color w:val="auto"/>
              </w:rPr>
            </w:pPr>
          </w:p>
        </w:tc>
      </w:tr>
      <w:tr>
        <w:trPr>
          <w:trHeight w:val="196"/>
        </w:trPr>
        <w:tc>
          <w:tcPr>
            <w:tcW w:w="8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Long-term liabilities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Long-term debt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5,181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5,369</w:t>
            </w: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Deferred tax liability</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Employee benefit obligations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gridSpan w:val="2"/>
          </w:tcPr>
          <w:p>
            <w:pPr>
              <w:ind w:left="40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80"/>
              <w:spacing w:after="0"/>
              <w:rPr>
                <w:sz w:val="20"/>
                <w:szCs w:val="20"/>
                <w:color w:val="auto"/>
              </w:rPr>
            </w:pPr>
            <w:r>
              <w:rPr>
                <w:rFonts w:ascii="Arial" w:cs="Arial" w:eastAsia="Arial" w:hAnsi="Arial"/>
                <w:sz w:val="16"/>
                <w:szCs w:val="16"/>
                <w:b w:val="1"/>
                <w:bCs w:val="1"/>
                <w:color w:val="auto"/>
              </w:rPr>
              <w:t>Total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0" w:type="dxa"/>
            <w:vAlign w:val="bottom"/>
          </w:tcPr>
          <w:p>
            <w:pPr>
              <w:spacing w:after="0"/>
              <w:rPr>
                <w:sz w:val="1"/>
                <w:szCs w:val="1"/>
                <w:color w:val="auto"/>
              </w:rPr>
            </w:pPr>
          </w:p>
        </w:tc>
      </w:tr>
      <w:tr>
        <w:trPr>
          <w:trHeight w:val="193"/>
        </w:trPr>
        <w:tc>
          <w:tcPr>
            <w:tcW w:w="848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8480" w:type="dxa"/>
            <w:vAlign w:val="bottom"/>
            <w:gridSpan w:val="2"/>
            <w:shd w:val="clear" w:color="auto" w:fill="CCEEFF"/>
          </w:tcPr>
          <w:p>
            <w:pPr>
              <w:ind w:left="440"/>
              <w:spacing w:after="0" w:line="168" w:lineRule="exact"/>
              <w:rPr>
                <w:sz w:val="20"/>
                <w:szCs w:val="20"/>
                <w:color w:val="auto"/>
              </w:rPr>
            </w:pPr>
            <w:r>
              <w:rPr>
                <w:rFonts w:ascii="Arial" w:cs="Arial" w:eastAsia="Arial" w:hAnsi="Arial"/>
                <w:sz w:val="16"/>
                <w:szCs w:val="16"/>
                <w:color w:val="auto"/>
                <w:w w:val="92"/>
              </w:rPr>
              <w:t>Convertible perpetual preferred stock, $0.001 par value; 10 shares authorized; — and 0.001 of Series A shares issued and</w:t>
            </w:r>
          </w:p>
        </w:tc>
        <w:tc>
          <w:tcPr>
            <w:tcW w:w="26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2"/>
        </w:trPr>
        <w:tc>
          <w:tcPr>
            <w:tcW w:w="8480" w:type="dxa"/>
            <w:vAlign w:val="bottom"/>
            <w:gridSpan w:val="2"/>
            <w:shd w:val="clear" w:color="auto" w:fill="CCEEFF"/>
          </w:tcPr>
          <w:p>
            <w:pPr>
              <w:ind w:left="600"/>
              <w:spacing w:after="0"/>
              <w:rPr>
                <w:sz w:val="20"/>
                <w:szCs w:val="20"/>
                <w:color w:val="auto"/>
              </w:rPr>
            </w:pPr>
            <w:r>
              <w:rPr>
                <w:rFonts w:ascii="Arial" w:cs="Arial" w:eastAsia="Arial" w:hAnsi="Arial"/>
                <w:sz w:val="16"/>
                <w:szCs w:val="16"/>
                <w:color w:val="auto"/>
              </w:rPr>
              <w:t>outstanding as of June 30, 2021 and December 31, 2020, respectively</w:t>
            </w:r>
          </w:p>
        </w:tc>
        <w:tc>
          <w:tcPr>
            <w:tcW w:w="260" w:type="dxa"/>
            <w:vAlign w:val="bottom"/>
            <w:shd w:val="clear" w:color="auto" w:fill="CCEEFF"/>
          </w:tcPr>
          <w:p>
            <w:pPr>
              <w:spacing w:after="0"/>
              <w:rPr>
                <w:sz w:val="18"/>
                <w:szCs w:val="18"/>
                <w:color w:val="auto"/>
              </w:rPr>
            </w:pPr>
          </w:p>
        </w:tc>
        <w:tc>
          <w:tcPr>
            <w:tcW w:w="11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48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2"/>
              </w:rPr>
              <w:t>Common stock, $0.001 par value; 300 shares authorized; 112 and 102 shares issued and outstanding as of June 30, 2021</w:t>
            </w:r>
          </w:p>
        </w:tc>
        <w:tc>
          <w:tcPr>
            <w:tcW w:w="260" w:type="dxa"/>
            <w:vAlign w:val="bottom"/>
          </w:tcPr>
          <w:p>
            <w:pPr>
              <w:spacing w:after="0"/>
              <w:rPr>
                <w:sz w:val="14"/>
                <w:szCs w:val="1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8480" w:type="dxa"/>
            <w:vAlign w:val="bottom"/>
            <w:gridSpan w:val="2"/>
          </w:tcPr>
          <w:p>
            <w:pPr>
              <w:ind w:left="600"/>
              <w:spacing w:after="0"/>
              <w:rPr>
                <w:sz w:val="20"/>
                <w:szCs w:val="20"/>
                <w:color w:val="auto"/>
              </w:rPr>
            </w:pPr>
            <w:r>
              <w:rPr>
                <w:rFonts w:ascii="Arial" w:cs="Arial" w:eastAsia="Arial" w:hAnsi="Arial"/>
                <w:sz w:val="16"/>
                <w:szCs w:val="16"/>
                <w:color w:val="auto"/>
              </w:rPr>
              <w:t>and December 31, 2020, respectively</w:t>
            </w:r>
          </w:p>
        </w:tc>
        <w:tc>
          <w:tcPr>
            <w:tcW w:w="260" w:type="dxa"/>
            <w:vAlign w:val="bottom"/>
          </w:tcPr>
          <w:p>
            <w:pPr>
              <w:spacing w:after="0"/>
              <w:rPr>
                <w:sz w:val="18"/>
                <w:szCs w:val="18"/>
                <w:color w:val="auto"/>
              </w:rPr>
            </w:pPr>
          </w:p>
        </w:tc>
        <w:tc>
          <w:tcPr>
            <w:tcW w:w="11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30"/>
        </w:trPr>
        <w:tc>
          <w:tcPr>
            <w:tcW w:w="8480" w:type="dxa"/>
            <w:vAlign w:val="bottom"/>
            <w:gridSpan w:val="2"/>
          </w:tcPr>
          <w:p>
            <w:pPr>
              <w:ind w:left="400"/>
              <w:spacing w:after="0"/>
              <w:rPr>
                <w:sz w:val="20"/>
                <w:szCs w:val="20"/>
                <w:color w:val="auto"/>
              </w:rPr>
            </w:pPr>
            <w:r>
              <w:rPr>
                <w:rFonts w:ascii="Arial" w:cs="Arial" w:eastAsia="Arial" w:hAnsi="Arial"/>
                <w:sz w:val="16"/>
                <w:szCs w:val="16"/>
                <w:color w:val="auto"/>
              </w:rPr>
              <w:t>Retained earnings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30"/>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stockholders’ equity before noncontrolling interests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w:t>
            </w:r>
          </w:p>
        </w:tc>
        <w:tc>
          <w:tcPr>
            <w:tcW w:w="0" w:type="dxa"/>
            <w:vAlign w:val="bottom"/>
          </w:tcPr>
          <w:p>
            <w:pPr>
              <w:spacing w:after="0"/>
              <w:rPr>
                <w:sz w:val="1"/>
                <w:szCs w:val="1"/>
                <w:color w:val="auto"/>
              </w:rPr>
            </w:pPr>
          </w:p>
        </w:tc>
      </w:tr>
      <w:tr>
        <w:trPr>
          <w:trHeight w:val="223"/>
        </w:trPr>
        <w:tc>
          <w:tcPr>
            <w:tcW w:w="84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gridSpan w:val="2"/>
          </w:tcPr>
          <w:p>
            <w:pPr>
              <w:ind w:left="480"/>
              <w:spacing w:after="0"/>
              <w:rPr>
                <w:sz w:val="20"/>
                <w:szCs w:val="20"/>
                <w:color w:val="auto"/>
              </w:rPr>
            </w:pPr>
            <w:r>
              <w:rPr>
                <w:rFonts w:ascii="Arial" w:cs="Arial" w:eastAsia="Arial" w:hAnsi="Arial"/>
                <w:sz w:val="16"/>
                <w:szCs w:val="16"/>
                <w:b w:val="1"/>
                <w:bCs w:val="1"/>
                <w:color w:val="auto"/>
              </w:rPr>
              <w:t>Total equity</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2,849</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6"/>
                <w:szCs w:val="16"/>
                <w:b w:val="1"/>
                <w:bCs w:val="1"/>
                <w:color w:val="auto"/>
              </w:rPr>
              <w:t>Total liabilities and equity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16,169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center"/>
              <w:ind w:right="171"/>
              <w:spacing w:after="0"/>
              <w:rPr>
                <w:sz w:val="20"/>
                <w:szCs w:val="20"/>
                <w:color w:val="auto"/>
              </w:rPr>
            </w:pPr>
            <w:r>
              <w:rPr>
                <w:rFonts w:ascii="Arial" w:cs="Arial" w:eastAsia="Arial" w:hAnsi="Arial"/>
                <w:sz w:val="14"/>
                <w:szCs w:val="14"/>
                <w:b w:val="1"/>
                <w:bCs w:val="1"/>
                <w:color w:val="auto"/>
                <w:w w:val="92"/>
              </w:rPr>
              <w:t>Six Months Ended June 30,</w:t>
            </w:r>
          </w:p>
        </w:tc>
      </w:tr>
      <w:tr>
        <w:trPr>
          <w:trHeight w:val="188"/>
        </w:trPr>
        <w:tc>
          <w:tcPr>
            <w:tcW w:w="54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2020</w:t>
            </w:r>
          </w:p>
        </w:tc>
      </w:tr>
      <w:tr>
        <w:trPr>
          <w:trHeight w:val="224"/>
        </w:trPr>
        <w:tc>
          <w:tcPr>
            <w:tcW w:w="5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5,036</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18"/>
                <w:szCs w:val="18"/>
                <w:color w:val="auto"/>
              </w:rPr>
              <w:t>Cost of transportation and services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2,514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1,641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3,539</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Direct operating expense</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2,730</w:t>
            </w:r>
          </w:p>
        </w:tc>
      </w:tr>
      <w:tr>
        <w:trPr>
          <w:trHeight w:val="229"/>
        </w:trPr>
        <w:tc>
          <w:tcPr>
            <w:tcW w:w="5440" w:type="dxa"/>
            <w:vAlign w:val="bottom"/>
            <w:tcBorders>
              <w:bottom w:val="single" w:sz="8" w:color="CCEEFF"/>
            </w:tcBorders>
            <w:gridSpan w:val="2"/>
          </w:tcPr>
          <w:p>
            <w:pPr>
              <w:ind w:left="400"/>
              <w:spacing w:after="0"/>
              <w:rPr>
                <w:sz w:val="20"/>
                <w:szCs w:val="20"/>
                <w:color w:val="auto"/>
              </w:rPr>
            </w:pPr>
            <w:r>
              <w:rPr>
                <w:rFonts w:ascii="Arial" w:cs="Arial" w:eastAsia="Arial" w:hAnsi="Arial"/>
                <w:sz w:val="18"/>
                <w:szCs w:val="18"/>
                <w:color w:val="auto"/>
              </w:rPr>
              <w:t>Sales, general and administrative expense</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r>
      <w:tr>
        <w:trPr>
          <w:trHeight w:val="223"/>
        </w:trPr>
        <w:tc>
          <w:tcPr>
            <w:tcW w:w="5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5440" w:type="dxa"/>
            <w:vAlign w:val="bottom"/>
            <w:gridSpan w:val="2"/>
          </w:tcPr>
          <w:p>
            <w:pPr>
              <w:ind w:left="400"/>
              <w:spacing w:after="0"/>
              <w:rPr>
                <w:sz w:val="20"/>
                <w:szCs w:val="20"/>
                <w:color w:val="auto"/>
              </w:rPr>
            </w:pPr>
            <w:r>
              <w:rPr>
                <w:rFonts w:ascii="Arial" w:cs="Arial" w:eastAsia="Arial" w:hAnsi="Arial"/>
                <w:sz w:val="18"/>
                <w:szCs w:val="18"/>
                <w:color w:val="auto"/>
              </w:rPr>
              <w:t>Other income</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Foreign currency (gain) loss</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5440" w:type="dxa"/>
            <w:vAlign w:val="bottom"/>
            <w:gridSpan w:val="2"/>
          </w:tcPr>
          <w:p>
            <w:pPr>
              <w:ind w:left="400"/>
              <w:spacing w:after="0"/>
              <w:rPr>
                <w:sz w:val="20"/>
                <w:szCs w:val="20"/>
                <w:color w:val="auto"/>
              </w:rPr>
            </w:pPr>
            <w:r>
              <w:rPr>
                <w:rFonts w:ascii="Arial" w:cs="Arial" w:eastAsia="Arial" w:hAnsi="Arial"/>
                <w:sz w:val="18"/>
                <w:szCs w:val="18"/>
                <w:color w:val="auto"/>
              </w:rPr>
              <w:t>Debt extinguishment loss</w:t>
            </w:r>
          </w:p>
        </w:tc>
        <w:tc>
          <w:tcPr>
            <w:tcW w:w="88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Interest expense</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(loss) before income tax provision (benefit)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30"/>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Income tax provision (benefit)</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Net (income) loss attributable to noncontrolling interests</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XPO</w:t>
            </w:r>
          </w:p>
        </w:tc>
        <w:tc>
          <w:tcPr>
            <w:tcW w:w="880" w:type="dxa"/>
            <w:vAlign w:val="bottom"/>
            <w:tcBorders>
              <w:bottom w:val="single" w:sz="8" w:color="auto"/>
            </w:tcBorders>
          </w:tcPr>
          <w:p>
            <w:pPr>
              <w:jc w:val="right"/>
              <w:ind w:right="675"/>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income (loss) attributable to common shareholders</w:t>
            </w: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56"/>
        </w:trPr>
        <w:tc>
          <w:tcPr>
            <w:tcW w:w="5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30"/>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 data</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 earnings (loss) per share</w:t>
            </w:r>
          </w:p>
        </w:tc>
        <w:tc>
          <w:tcPr>
            <w:tcW w:w="88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18"/>
                <w:szCs w:val="18"/>
                <w:color w:val="auto"/>
              </w:rPr>
              <w:t>Diluted earnings (loss) per share</w:t>
            </w:r>
          </w:p>
        </w:tc>
        <w:tc>
          <w:tcPr>
            <w:tcW w:w="880" w:type="dxa"/>
            <w:vAlign w:val="bottom"/>
          </w:tcPr>
          <w:p>
            <w:pPr>
              <w:jc w:val="right"/>
              <w:ind w:right="675"/>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900" w:type="dxa"/>
            <w:vAlign w:val="bottom"/>
          </w:tcPr>
          <w:p>
            <w:pPr>
              <w:jc w:val="right"/>
              <w:ind w:right="713"/>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3"/>
              </w:rPr>
              <w:t>(1.45)</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40" w:type="dxa"/>
            <w:vAlign w:val="bottom"/>
          </w:tcPr>
          <w:p>
            <w:pPr>
              <w:jc w:val="center"/>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57"/>
        </w:trPr>
        <w:tc>
          <w:tcPr>
            <w:tcW w:w="53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29"/>
        </w:trPr>
        <w:tc>
          <w:tcPr>
            <w:tcW w:w="5440" w:type="dxa"/>
            <w:vAlign w:val="bottom"/>
            <w:gridSpan w:val="2"/>
          </w:tcPr>
          <w:p>
            <w:pPr>
              <w:ind w:left="20"/>
              <w:spacing w:after="0"/>
              <w:rPr>
                <w:sz w:val="20"/>
                <w:szCs w:val="20"/>
                <w:color w:val="auto"/>
              </w:rPr>
            </w:pPr>
            <w:r>
              <w:rPr>
                <w:rFonts w:ascii="Arial" w:cs="Arial" w:eastAsia="Arial" w:hAnsi="Arial"/>
                <w:sz w:val="18"/>
                <w:szCs w:val="18"/>
                <w:b w:val="1"/>
                <w:bCs w:val="1"/>
                <w:color w:val="auto"/>
              </w:rPr>
              <w:t>Weighted-average common shares outstanding</w:t>
            </w:r>
          </w:p>
        </w:tc>
        <w:tc>
          <w:tcPr>
            <w:tcW w:w="8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4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Basic weighted-average common shares outstanding</w:t>
            </w:r>
          </w:p>
        </w:tc>
        <w:tc>
          <w:tcPr>
            <w:tcW w:w="88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30"/>
        </w:trPr>
        <w:tc>
          <w:tcPr>
            <w:tcW w:w="5440" w:type="dxa"/>
            <w:vAlign w:val="bottom"/>
            <w:gridSpan w:val="2"/>
          </w:tcPr>
          <w:p>
            <w:pPr>
              <w:ind w:left="400"/>
              <w:spacing w:after="0"/>
              <w:rPr>
                <w:sz w:val="20"/>
                <w:szCs w:val="20"/>
                <w:color w:val="auto"/>
              </w:rPr>
            </w:pPr>
            <w:r>
              <w:rPr>
                <w:rFonts w:ascii="Arial" w:cs="Arial" w:eastAsia="Arial" w:hAnsi="Arial"/>
                <w:sz w:val="18"/>
                <w:szCs w:val="18"/>
                <w:color w:val="auto"/>
              </w:rPr>
              <w:t>Diluted weighted-average common shares outstanding</w:t>
            </w:r>
          </w:p>
        </w:tc>
        <w:tc>
          <w:tcPr>
            <w:tcW w:w="8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w:t>
            </w:r>
          </w:p>
        </w:tc>
        <w:tc>
          <w:tcPr>
            <w:tcW w:w="100" w:type="dxa"/>
            <w:vAlign w:val="bottom"/>
          </w:tcPr>
          <w:p>
            <w:pPr>
              <w:spacing w:after="0"/>
              <w:rPr>
                <w:sz w:val="14"/>
                <w:szCs w:val="14"/>
                <w:color w:val="auto"/>
              </w:rPr>
            </w:pPr>
          </w:p>
        </w:tc>
        <w:tc>
          <w:tcPr>
            <w:tcW w:w="1800" w:type="dxa"/>
            <w:vAlign w:val="bottom"/>
            <w:gridSpan w:val="4"/>
            <w:vMerge w:val="restart"/>
          </w:tcPr>
          <w:p>
            <w:pPr>
              <w:jc w:val="right"/>
              <w:ind w:right="32"/>
              <w:spacing w:after="0"/>
              <w:rPr>
                <w:sz w:val="20"/>
                <w:szCs w:val="20"/>
                <w:color w:val="auto"/>
              </w:rPr>
            </w:pPr>
            <w:r>
              <w:rPr>
                <w:rFonts w:ascii="Arial" w:cs="Arial" w:eastAsia="Arial" w:hAnsi="Arial"/>
                <w:sz w:val="14"/>
                <w:szCs w:val="14"/>
                <w:b w:val="1"/>
                <w:bCs w:val="1"/>
                <w:color w:val="auto"/>
                <w:w w:val="91"/>
              </w:rPr>
              <w:t>Six Months Ended June 30,</w:t>
            </w:r>
          </w:p>
        </w:tc>
        <w:tc>
          <w:tcPr>
            <w:tcW w:w="0" w:type="dxa"/>
            <w:vAlign w:val="bottom"/>
          </w:tcPr>
          <w:p>
            <w:pPr>
              <w:spacing w:after="0"/>
              <w:rPr>
                <w:sz w:val="1"/>
                <w:szCs w:val="1"/>
                <w:color w:val="auto"/>
              </w:rPr>
            </w:pPr>
          </w:p>
        </w:tc>
      </w:tr>
      <w:tr>
        <w:trPr>
          <w:trHeight w:val="186"/>
        </w:trPr>
        <w:tc>
          <w:tcPr>
            <w:tcW w:w="6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w w:val="92"/>
              </w:rPr>
              <w:t>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52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0" w:type="dxa"/>
            <w:vAlign w:val="bottom"/>
          </w:tcPr>
          <w:p>
            <w:pPr>
              <w:spacing w:after="0"/>
              <w:rPr>
                <w:sz w:val="15"/>
                <w:szCs w:val="15"/>
                <w:color w:val="auto"/>
              </w:rPr>
            </w:pPr>
          </w:p>
        </w:tc>
        <w:tc>
          <w:tcPr>
            <w:tcW w:w="720" w:type="dxa"/>
            <w:vAlign w:val="bottom"/>
          </w:tcPr>
          <w:p>
            <w:pPr>
              <w:jc w:val="right"/>
              <w:ind w:right="154"/>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ind w:right="21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6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 net of tax</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gridSpan w:val="2"/>
          </w:tcPr>
          <w:p>
            <w:pPr>
              <w:ind w:left="360"/>
              <w:spacing w:after="0"/>
              <w:rPr>
                <w:sz w:val="20"/>
                <w:szCs w:val="20"/>
                <w:color w:val="auto"/>
              </w:rPr>
            </w:pPr>
            <w:r>
              <w:rPr>
                <w:rFonts w:ascii="Arial" w:cs="Arial" w:eastAsia="Arial" w:hAnsi="Arial"/>
                <w:sz w:val="18"/>
                <w:szCs w:val="18"/>
                <w:color w:val="auto"/>
                <w:w w:val="96"/>
              </w:rPr>
              <w:t>Foreign currency translation gain (loss), net of tax effect of $3, $4, $(3) and $(7)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3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Defined benefit plans adjustments, net of tax effect of $—, $—, $— and $2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65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Other comprehensive income (loss)</w:t>
            </w:r>
          </w:p>
        </w:tc>
        <w:tc>
          <w:tcPr>
            <w:tcW w:w="1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6520" w:type="dxa"/>
            <w:vAlign w:val="bottom"/>
            <w:gridSpan w:val="2"/>
          </w:tcPr>
          <w:p>
            <w:pPr>
              <w:ind w:left="360"/>
              <w:spacing w:after="0"/>
              <w:rPr>
                <w:sz w:val="20"/>
                <w:szCs w:val="20"/>
                <w:color w:val="auto"/>
              </w:rPr>
            </w:pPr>
            <w:r>
              <w:rPr>
                <w:rFonts w:ascii="Arial" w:cs="Arial" w:eastAsia="Arial" w:hAnsi="Arial"/>
                <w:sz w:val="18"/>
                <w:szCs w:val="18"/>
                <w:color w:val="auto"/>
              </w:rPr>
              <w:t>Less: Comprehensive income (loss) attributable to noncontrolling interests</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income (loss) attributable to XPO</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229" w:right="739" w:bottom="1440" w:gutter="0" w:footer="0" w:header="0"/>
        </w:sectPr>
      </w:pPr>
    </w:p>
    <w:bookmarkStart w:id="5" w:name="page6"/>
    <w:bookmarkEnd w:id="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XPO Logistics,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1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88"/>
        </w:trPr>
        <w:tc>
          <w:tcPr>
            <w:tcW w:w="83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400"/>
              <w:spacing w:after="0"/>
              <w:rPr>
                <w:sz w:val="20"/>
                <w:szCs w:val="20"/>
                <w:color w:val="auto"/>
              </w:rPr>
            </w:pPr>
            <w:r>
              <w:rPr>
                <w:rFonts w:ascii="Arial" w:cs="Arial" w:eastAsia="Arial" w:hAnsi="Arial"/>
                <w:sz w:val="18"/>
                <w:szCs w:val="18"/>
                <w:color w:val="auto"/>
              </w:rPr>
              <w:t>Net income (loss)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Adjustments to reconcile net income (loss) to net cash from operating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Depreciation, amortization and net lease activity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Stock compensation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Accretion of debt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Deferred tax (benefit) expense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Debt extinguishment loss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Unrealized (gain) loss on foreign currency option and forward contracts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Gains on sales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836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Changes in assets and liabilities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0"/>
        </w:trPr>
        <w:tc>
          <w:tcPr>
            <w:tcW w:w="836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0"/>
        </w:trPr>
        <w:tc>
          <w:tcPr>
            <w:tcW w:w="83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Payment for purchases of property and equipment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29"/>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Proceeds from sale of property and equipment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0"/>
        </w:trPr>
        <w:tc>
          <w:tcPr>
            <w:tcW w:w="83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Proceeds from issuance of debt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Proceeds from (repayment of) borrowings related to securitization program</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Repurchase of debt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Proceeds from borrowings on ABL facility</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Repayment of borrowings on ABL facility</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Repayment of debt and finance leases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Payment for debt issuance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Purchase of noncontrolling interests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Change in bank overdrafts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Payment for tax withholdings for restricted shares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3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23"/>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8360" w:type="dxa"/>
            <w:vAlign w:val="bottom"/>
            <w:gridSpan w:val="2"/>
          </w:tcPr>
          <w:p>
            <w:pPr>
              <w:ind w:left="140"/>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1,908</w:t>
            </w: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23"/>
        </w:trPr>
        <w:tc>
          <w:tcPr>
            <w:tcW w:w="8360" w:type="dxa"/>
            <w:vAlign w:val="bottom"/>
            <w:gridSpan w:val="2"/>
          </w:tcPr>
          <w:p>
            <w:pPr>
              <w:ind w:left="1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360" w:type="dxa"/>
            <w:vAlign w:val="bottom"/>
            <w:gridSpan w:val="2"/>
          </w:tcPr>
          <w:p>
            <w:pPr>
              <w:ind w:left="520"/>
              <w:spacing w:after="0" w:line="176" w:lineRule="exact"/>
              <w:rPr>
                <w:sz w:val="20"/>
                <w:szCs w:val="20"/>
                <w:color w:val="auto"/>
              </w:rPr>
            </w:pPr>
            <w:r>
              <w:rPr>
                <w:rFonts w:ascii="Arial" w:cs="Arial" w:eastAsia="Arial" w:hAnsi="Arial"/>
                <w:sz w:val="18"/>
                <w:szCs w:val="18"/>
                <w:color w:val="auto"/>
                <w:w w:val="99"/>
              </w:rPr>
              <w:t>Leased assets obtained in exchange for new operating lease liabilities, including $281 related to an</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5"/>
                <w:szCs w:val="15"/>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29"/>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acquisition in 2021</w:t>
            </w:r>
          </w:p>
        </w:tc>
        <w:tc>
          <w:tcPr>
            <w:tcW w:w="32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8360" w:type="dxa"/>
            <w:vAlign w:val="bottom"/>
            <w:gridSpan w:val="2"/>
          </w:tcPr>
          <w:p>
            <w:pPr>
              <w:ind w:left="520"/>
              <w:spacing w:after="0"/>
              <w:rPr>
                <w:sz w:val="20"/>
                <w:szCs w:val="20"/>
                <w:color w:val="auto"/>
              </w:rPr>
            </w:pPr>
            <w:r>
              <w:rPr>
                <w:rFonts w:ascii="Arial" w:cs="Arial" w:eastAsia="Arial" w:hAnsi="Arial"/>
                <w:sz w:val="18"/>
                <w:szCs w:val="18"/>
                <w:color w:val="auto"/>
              </w:rPr>
              <w:t>Cash paid for interest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29"/>
        </w:trPr>
        <w:tc>
          <w:tcPr>
            <w:tcW w:w="83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condensed4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111,676</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1,988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983</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2,776</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138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2,914</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156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Conversion of preferred stock to common stock</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11"/>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111,726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2,927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40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2,967</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2"/>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2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Capital</w:t>
            </w: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102,052</w:t>
            </w:r>
          </w:p>
        </w:tc>
        <w:tc>
          <w:tcPr>
            <w:tcW w:w="1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1,998</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2,709</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140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2,849</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income</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271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10"/>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276</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314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4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Conversion of preferred stock to common stock</w:t>
            </w:r>
          </w:p>
        </w:tc>
        <w:tc>
          <w:tcPr>
            <w:tcW w:w="5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Purchase of noncontrolling interests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Exercise of warrants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9,215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2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3"/>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111,726</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76"/>
              </w:rPr>
              <w:t>$</w:t>
            </w: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1,139</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2,927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40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2,967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7" w:name="page8"/>
    <w:bookmarkEnd w:id="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XPO Logistics,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Equity (continued)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2"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2"/>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2020</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91,044</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2,578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2,728</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Other</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1"/>
        </w:trPr>
        <w:tc>
          <w:tcPr>
            <w:tcW w:w="37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91,322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1,963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2,484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5"/>
          </w:tcPr>
          <w:p>
            <w:pPr>
              <w:ind w:left="100"/>
              <w:spacing w:after="0"/>
              <w:rPr>
                <w:sz w:val="20"/>
                <w:szCs w:val="20"/>
                <w:color w:val="auto"/>
              </w:rPr>
            </w:pPr>
            <w:r>
              <w:rPr>
                <w:rFonts w:ascii="Arial" w:cs="Arial" w:eastAsia="Arial" w:hAnsi="Arial"/>
                <w:sz w:val="12"/>
                <w:szCs w:val="12"/>
                <w:b w:val="1"/>
                <w:bCs w:val="1"/>
                <w:color w:val="auto"/>
              </w:rPr>
              <w:t>Series A Preferred</w:t>
            </w:r>
          </w:p>
        </w:tc>
        <w:tc>
          <w:tcPr>
            <w:tcW w:w="1040" w:type="dxa"/>
            <w:vAlign w:val="bottom"/>
            <w:gridSpan w:val="3"/>
            <w:vMerge w:val="restart"/>
          </w:tcPr>
          <w:p>
            <w:pPr>
              <w:jc w:val="right"/>
              <w:spacing w:after="0"/>
              <w:rPr>
                <w:sz w:val="20"/>
                <w:szCs w:val="20"/>
                <w:color w:val="auto"/>
              </w:rPr>
            </w:pPr>
            <w:r>
              <w:rPr>
                <w:rFonts w:ascii="Arial" w:cs="Arial" w:eastAsia="Arial" w:hAnsi="Arial"/>
                <w:sz w:val="12"/>
                <w:szCs w:val="12"/>
                <w:b w:val="1"/>
                <w:bCs w:val="1"/>
                <w:color w:val="auto"/>
              </w:rPr>
              <w:t>Common Stock</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Borders>
              <w:bottom w:val="single" w:sz="8" w:color="auto"/>
            </w:tcBorders>
            <w:gridSpan w:val="3"/>
          </w:tcPr>
          <w:p>
            <w:pPr>
              <w:ind w:left="420"/>
              <w:spacing w:after="0"/>
              <w:rPr>
                <w:sz w:val="20"/>
                <w:szCs w:val="20"/>
                <w:color w:val="auto"/>
              </w:rPr>
            </w:pPr>
            <w:r>
              <w:rPr>
                <w:rFonts w:ascii="Arial" w:cs="Arial" w:eastAsia="Arial" w:hAnsi="Arial"/>
                <w:sz w:val="12"/>
                <w:szCs w:val="12"/>
                <w:b w:val="1"/>
                <w:bCs w:val="1"/>
                <w:color w:val="auto"/>
              </w:rPr>
              <w:t>Stock</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3"/>
            <w:vMerge w:val="restart"/>
          </w:tcPr>
          <w:p>
            <w:pPr>
              <w:jc w:val="center"/>
              <w:ind w:right="100"/>
              <w:spacing w:after="0"/>
              <w:rPr>
                <w:sz w:val="20"/>
                <w:szCs w:val="20"/>
                <w:color w:val="auto"/>
              </w:rPr>
            </w:pPr>
            <w:r>
              <w:rPr>
                <w:rFonts w:ascii="Arial" w:cs="Arial" w:eastAsia="Arial" w:hAnsi="Arial"/>
                <w:sz w:val="12"/>
                <w:szCs w:val="12"/>
                <w:b w:val="1"/>
                <w:bCs w:val="1"/>
                <w:color w:val="auto"/>
                <w:w w:val="95"/>
              </w:rPr>
              <w:t>Additional</w:t>
            </w: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2"/>
              </w:rPr>
              <w:t>Accumulated</w:t>
            </w:r>
          </w:p>
        </w:tc>
        <w:tc>
          <w:tcPr>
            <w:tcW w:w="100" w:type="dxa"/>
            <w:vAlign w:val="bottom"/>
          </w:tcPr>
          <w:p>
            <w:pPr>
              <w:spacing w:after="0"/>
              <w:rPr>
                <w:sz w:val="9"/>
                <w:szCs w:val="9"/>
                <w:color w:val="auto"/>
              </w:rPr>
            </w:pPr>
          </w:p>
        </w:tc>
        <w:tc>
          <w:tcPr>
            <w:tcW w:w="78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97"/>
              </w:rPr>
              <w:t>Total XPO</w:t>
            </w:r>
          </w:p>
        </w:tc>
        <w:tc>
          <w:tcPr>
            <w:tcW w:w="100" w:type="dxa"/>
            <w:vAlign w:val="bottom"/>
          </w:tcPr>
          <w:p>
            <w:pPr>
              <w:spacing w:after="0"/>
              <w:rPr>
                <w:sz w:val="9"/>
                <w:szCs w:val="9"/>
                <w:color w:val="auto"/>
              </w:rPr>
            </w:pP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2"/>
                <w:szCs w:val="12"/>
                <w:b w:val="1"/>
                <w:bCs w:val="1"/>
                <w:color w:val="auto"/>
                <w:w w:val="87"/>
              </w:rPr>
              <w:t>Non-</w:t>
            </w: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continue"/>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Retained</w:t>
            </w:r>
          </w:p>
        </w:tc>
        <w:tc>
          <w:tcPr>
            <w:tcW w:w="10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3"/>
              </w:rPr>
              <w:t>Other</w:t>
            </w:r>
          </w:p>
        </w:tc>
        <w:tc>
          <w:tcPr>
            <w:tcW w:w="10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vMerge w:val="restart"/>
          </w:tcPr>
          <w:p>
            <w:pPr>
              <w:jc w:val="center"/>
              <w:ind w:right="30"/>
              <w:spacing w:after="0"/>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21"/>
        </w:trPr>
        <w:tc>
          <w:tcPr>
            <w:tcW w:w="37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(Shares in thousands, dollars in millions)</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Shares</w:t>
            </w:r>
          </w:p>
        </w:tc>
        <w:tc>
          <w:tcPr>
            <w:tcW w:w="6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0"/>
                <w:szCs w:val="10"/>
                <w:color w:val="auto"/>
              </w:rPr>
            </w:pPr>
          </w:p>
        </w:tc>
        <w:tc>
          <w:tcPr>
            <w:tcW w:w="640" w:type="dxa"/>
            <w:vAlign w:val="bottom"/>
            <w:gridSpan w:val="2"/>
          </w:tcPr>
          <w:p>
            <w:pPr>
              <w:jc w:val="center"/>
              <w:ind w:right="200"/>
              <w:spacing w:after="0" w:line="122" w:lineRule="exact"/>
              <w:rPr>
                <w:sz w:val="20"/>
                <w:szCs w:val="20"/>
                <w:color w:val="auto"/>
              </w:rPr>
            </w:pPr>
            <w:r>
              <w:rPr>
                <w:rFonts w:ascii="Arial" w:cs="Arial" w:eastAsia="Arial" w:hAnsi="Arial"/>
                <w:sz w:val="12"/>
                <w:szCs w:val="12"/>
                <w:b w:val="1"/>
                <w:bCs w:val="1"/>
                <w:color w:val="auto"/>
                <w:w w:val="99"/>
              </w:rPr>
              <w:t>Paid-In</w:t>
            </w:r>
          </w:p>
        </w:tc>
        <w:tc>
          <w:tcPr>
            <w:tcW w:w="1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1000" w:type="dxa"/>
            <w:vAlign w:val="bottom"/>
            <w:gridSpan w:val="3"/>
          </w:tcPr>
          <w:p>
            <w:pPr>
              <w:jc w:val="center"/>
              <w:ind w:right="100"/>
              <w:spacing w:after="0" w:line="122" w:lineRule="exact"/>
              <w:rPr>
                <w:sz w:val="20"/>
                <w:szCs w:val="20"/>
                <w:color w:val="auto"/>
              </w:rPr>
            </w:pPr>
            <w:r>
              <w:rPr>
                <w:rFonts w:ascii="Arial" w:cs="Arial" w:eastAsia="Arial" w:hAnsi="Arial"/>
                <w:sz w:val="12"/>
                <w:szCs w:val="12"/>
                <w:b w:val="1"/>
                <w:bCs w:val="1"/>
                <w:color w:val="auto"/>
                <w:w w:val="91"/>
              </w:rPr>
              <w:t>Comprehensive</w:t>
            </w:r>
          </w:p>
        </w:tc>
        <w:tc>
          <w:tcPr>
            <w:tcW w:w="88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1"/>
              </w:rPr>
              <w:t>Stockholders'</w:t>
            </w:r>
          </w:p>
        </w:tc>
        <w:tc>
          <w:tcPr>
            <w:tcW w:w="760" w:type="dxa"/>
            <w:vAlign w:val="bottom"/>
            <w:gridSpan w:val="3"/>
          </w:tcPr>
          <w:p>
            <w:pPr>
              <w:jc w:val="center"/>
              <w:ind w:right="80"/>
              <w:spacing w:after="0" w:line="122" w:lineRule="exact"/>
              <w:rPr>
                <w:sz w:val="20"/>
                <w:szCs w:val="20"/>
                <w:color w:val="auto"/>
              </w:rPr>
            </w:pPr>
            <w:r>
              <w:rPr>
                <w:rFonts w:ascii="Arial" w:cs="Arial" w:eastAsia="Arial" w:hAnsi="Arial"/>
                <w:sz w:val="12"/>
                <w:szCs w:val="12"/>
                <w:b w:val="1"/>
                <w:bCs w:val="1"/>
                <w:color w:val="auto"/>
                <w:w w:val="90"/>
              </w:rPr>
              <w:t>controlling</w:t>
            </w:r>
          </w:p>
        </w:tc>
        <w:tc>
          <w:tcPr>
            <w:tcW w:w="10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3720" w:type="dxa"/>
            <w:vAlign w:val="bottom"/>
            <w:gridSpan w:val="2"/>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4"/>
              </w:rPr>
              <w:t>Capital</w:t>
            </w:r>
          </w:p>
        </w:tc>
        <w:tc>
          <w:tcPr>
            <w:tcW w:w="14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Earnings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5"/>
              </w:rPr>
              <w:t>Loss</w:t>
            </w:r>
          </w:p>
        </w:tc>
        <w:tc>
          <w:tcPr>
            <w:tcW w:w="10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Equity</w:t>
            </w: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7"/>
              </w:rPr>
              <w:t>Interests</w:t>
            </w:r>
          </w:p>
        </w:tc>
        <w:tc>
          <w:tcPr>
            <w:tcW w:w="100" w:type="dxa"/>
            <w:vAlign w:val="bottom"/>
          </w:tcPr>
          <w:p>
            <w:pPr>
              <w:spacing w:after="0"/>
              <w:rPr>
                <w:sz w:val="14"/>
                <w:szCs w:val="14"/>
                <w:color w:val="auto"/>
              </w:rPr>
            </w:pPr>
          </w:p>
        </w:tc>
        <w:tc>
          <w:tcPr>
            <w:tcW w:w="480" w:type="dxa"/>
            <w:vAlign w:val="bottom"/>
          </w:tcPr>
          <w:p>
            <w:pPr>
              <w:jc w:val="center"/>
              <w:ind w:right="30"/>
              <w:spacing w:after="0"/>
              <w:rPr>
                <w:sz w:val="20"/>
                <w:szCs w:val="20"/>
                <w:color w:val="auto"/>
              </w:rPr>
            </w:pPr>
            <w:r>
              <w:rPr>
                <w:rFonts w:ascii="Arial" w:cs="Arial" w:eastAsia="Arial" w:hAnsi="Arial"/>
                <w:sz w:val="12"/>
                <w:szCs w:val="12"/>
                <w:b w:val="1"/>
                <w:bCs w:val="1"/>
                <w:color w:val="auto"/>
                <w:w w:val="92"/>
              </w:rPr>
              <w:t>Equity</w:t>
            </w:r>
          </w:p>
        </w:tc>
        <w:tc>
          <w:tcPr>
            <w:tcW w:w="0" w:type="dxa"/>
            <w:vAlign w:val="bottom"/>
          </w:tcPr>
          <w:p>
            <w:pPr>
              <w:spacing w:after="0"/>
              <w:rPr>
                <w:sz w:val="1"/>
                <w:szCs w:val="1"/>
                <w:color w:val="auto"/>
              </w:rPr>
            </w:pPr>
          </w:p>
        </w:tc>
      </w:tr>
      <w:tr>
        <w:trPr>
          <w:trHeight w:val="189"/>
        </w:trPr>
        <w:tc>
          <w:tcPr>
            <w:tcW w:w="3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10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92,342</w:t>
            </w: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2,061</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786</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(145)</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2,743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153</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2,896</w:t>
            </w:r>
          </w:p>
        </w:tc>
        <w:tc>
          <w:tcPr>
            <w:tcW w:w="0" w:type="dxa"/>
            <w:vAlign w:val="bottom"/>
          </w:tcPr>
          <w:p>
            <w:pPr>
              <w:spacing w:after="0"/>
              <w:rPr>
                <w:sz w:val="1"/>
                <w:szCs w:val="1"/>
                <w:color w:val="auto"/>
              </w:rPr>
            </w:pPr>
          </w:p>
        </w:tc>
      </w:tr>
      <w:tr>
        <w:trPr>
          <w:trHeight w:val="179"/>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Net loss</w:t>
            </w:r>
          </w:p>
        </w:tc>
        <w:tc>
          <w:tcPr>
            <w:tcW w:w="5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Exercise and vesting of stock compensation awards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37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Tax withholdings related to vesting of stock compensation</w:t>
            </w:r>
          </w:p>
        </w:tc>
        <w:tc>
          <w:tcPr>
            <w:tcW w:w="6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9"/>
        </w:trPr>
        <w:tc>
          <w:tcPr>
            <w:tcW w:w="37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awards</w:t>
            </w:r>
          </w:p>
        </w:tc>
        <w:tc>
          <w:tcPr>
            <w:tcW w:w="62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Retirement of common stock</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Dividend declared</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6"/>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Stock compensation expense</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Adoption of new accounting standard and other</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3"/>
        </w:trPr>
        <w:tc>
          <w:tcPr>
            <w:tcW w:w="3720" w:type="dxa"/>
            <w:vAlign w:val="bottom"/>
            <w:gridSpan w:val="2"/>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72</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91,322</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76"/>
              </w:rPr>
              <w:t>$</w:t>
            </w: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1,963</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2,484</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150</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2,634</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XPO Logistics, Inc.</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Description of Business and Basis of Presentation</w:t>
      </w:r>
    </w:p>
    <w:p>
      <w:pPr>
        <w:spacing w:after="0" w:line="1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XPO Logistics, Inc., together with its subsidiaries (“XPO” or “we”), provides cutting-edge supply chain solutions to the most successful companies in the world. We use our extensive network of people, technology and physical assets to help customers manage their goods most efficiently throughout their supply chains. Our customers are multinational, national, mid-size and small enterprises. We run our business on a global basis, with two reportable segments: Transportation and Logistics. See Note 3—Segment Reporting for additional information on our operations.</w:t>
      </w:r>
    </w:p>
    <w:p>
      <w:pPr>
        <w:spacing w:after="0" w:line="6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August 2, 2021, we completed the previously announced spin-off of our Logistics segment in a transaction intended to qualify as tax-free to our stockholders for U.S. federal income tax purposes, which was accomplished by the distribution of 100% of the outstanding common stock of GXO Logistics, Inc. (“GXO”) to XPO stockholders. XPO stockholders received one share of GXO common stock for every share of XPO common stock held at the close of business on July 23, 2021, the record date for the distribution. XPO does not beneficially own any shares of GXO’s common stock following the spin-off. GXO, a global provider of contract logistics services, is an independent public company trading under the symbol “GXO” on the New York Stock Exchange. The historical results of operations and the financial position of GXO are included in these condensed consolidated financial statements. After the spin-off, we will no longer consolidate GXO, and all periods prior to the spin-off will reflect our Logistics segment as a discontinued operation.</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spin-off, we have entered into a separation and distribution agreement as well as various other agreements with GXO that provide a framework for the relationships between the parties going forward, including, among others, an employee matters agreement, a tax matters agreement, an intellectual property license agreement and a transition services agreement, through which XPO will continue to provide certain services to GXO following the spin-off. With the completion of the spin-off, XPO is a leading provider of transportation services, primarily less-than-truckload (“LTL”) transportation and truck brokerage services.</w:t>
      </w:r>
    </w:p>
    <w:p>
      <w:pPr>
        <w:spacing w:after="0" w:line="80"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prepared our Condensed Consolidated Financial Statements in accordance with U.S. generally accepted accounting principles (“GAAP”) and on the same basis as the accounting policies described in our annual report on Form 10-K for the year ended December 31, 2020 (the “2020 Form 10-K”). The interim reporting requirements of Form 10-Q allow certain information and note disclosures normally included in annual consolidated financial statements to be condensed or omitted. These Condensed Consolidated Financial Statements should be read in conjunction with the 2020 Form 10-K.</w:t>
      </w:r>
    </w:p>
    <w:p>
      <w:pPr>
        <w:spacing w:after="0" w:line="4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historical results reflect a noncontrolling interest in XPO Logistics Europe SA (“XPO Logistics Europe”), a business we acquired majority ownership of in 2015. In April 2021, we announced a buy-out offer to be followed by a squeeze-out for the remaining 3% of XPO Logistics Europe that we did not already own. The buy-out offer and squeeze-out were completed in the second quarter of 2021 at a cost of $128 million plus expenses. Following the squeeze-out, we own all of the outstanding shares of XPO Logistics Europe.</w:t>
      </w:r>
    </w:p>
    <w:p>
      <w:pPr>
        <w:spacing w:after="0" w:line="7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Condensed Consolidated Financial Statements are not audited but reflect all adjustments that are of a normal recurring nature and are necessary for a fair presentation of the financial condition, operating results and cash flows for the interim periods presented. Operating results for the three and six months ended June 30, 2021 are not necessarily indicative of the results that may be expected for the year ending December 31,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As of June 30, 2021 and December 31, 2020, our restricted cash included in Other long-term assets on our Condensed Consolidated Balance Sheets was $11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9" w:name="page10"/>
    <w:bookmarkEnd w:id="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XPO Logistics Europe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7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our continuing involvement is limited to servicing the receivables and, in the case of the securitization arrangements, providing recourse in certain defined circumstances.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We had no such borrowings outstanding as of June 30, 2021 and had borrowings of €41 million ($50 million) as of December 31, 2020. See Note 7—Debt for additional information on these borrowings.</w:t>
      </w:r>
    </w:p>
    <w:p>
      <w:pPr>
        <w:spacing w:after="0" w:line="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maximum amount of net cash proceeds available at any one time under the securitization program, inclusive of any unsecured borrowings, is €400 million (approximately $474 million as of June 30, 2021). As of June 30, 2021, €59 million (approximately $70 million) was available to us, subject to having sufficient receivables available to sell to the Purchasers. The weighted average interest rate was 0.60% as of June 30, 2021. Charges for commitment fees, which are based on a percentage of available amounts, and charges for administrative fees were not material to our results of operations for the three and six months ended June 30, 2021 and 2020.</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70"/>
        </w:trPr>
        <w:tc>
          <w:tcPr>
            <w:tcW w:w="4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bl>
    <w:p>
      <w:pPr>
        <w:spacing w:after="0" w:line="161" w:lineRule="exact"/>
        <w:rPr>
          <w:sz w:val="20"/>
          <w:szCs w:val="20"/>
          <w:color w:val="auto"/>
        </w:rPr>
      </w:pPr>
    </w:p>
    <w:p>
      <w:pPr>
        <w:ind w:right="1960"/>
        <w:spacing w:after="0" w:line="406" w:lineRule="auto"/>
        <w:rPr>
          <w:sz w:val="20"/>
          <w:szCs w:val="20"/>
          <w:color w:val="auto"/>
        </w:rPr>
      </w:pPr>
      <w:r>
        <w:rPr>
          <w:rFonts w:ascii="Arial" w:cs="Arial" w:eastAsia="Arial" w:hAnsi="Arial"/>
          <w:sz w:val="18"/>
          <w:szCs w:val="18"/>
          <w:color w:val="auto"/>
        </w:rPr>
        <w:t xml:space="preserve">The trade receivables securitization program was amended in July 2021. See Note 11—Subsequent Events for more information. </w:t>
      </w:r>
      <w:r>
        <w:rPr>
          <w:rFonts w:ascii="Arial" w:cs="Arial" w:eastAsia="Arial" w:hAnsi="Arial"/>
          <w:sz w:val="18"/>
          <w:szCs w:val="18"/>
          <w:b w:val="1"/>
          <w:bCs w:val="1"/>
          <w:i w:val="1"/>
          <w:iCs w:val="1"/>
          <w:color w:val="auto"/>
        </w:rPr>
        <w:t>Fair Value Measurements</w:t>
      </w:r>
    </w:p>
    <w:p>
      <w:pPr>
        <w:spacing w:after="0" w:line="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levels of inputs used to measure fair value are:</w:t>
      </w:r>
    </w:p>
    <w:p>
      <w:pPr>
        <w:spacing w:after="0" w:line="6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17"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model-derived valuations in which all significant inputs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observable in active markets; and</w:t>
      </w:r>
    </w:p>
    <w:p>
      <w:pPr>
        <w:spacing w:after="0" w:line="117" w:lineRule="exact"/>
        <w:rPr>
          <w:sz w:val="20"/>
          <w:szCs w:val="20"/>
          <w:color w:val="auto"/>
        </w:rPr>
      </w:pPr>
    </w:p>
    <w:p>
      <w:pPr>
        <w:ind w:left="660" w:right="88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generally utilizing pricing models or other valuation techniques that reflect management’s judgment and estimates.</w:t>
      </w:r>
    </w:p>
    <w:p>
      <w:pPr>
        <w:spacing w:after="0" w:line="6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base our fair value estimates on market assumptions and available information. The carrying values of cash and cash equivalents, accounts receivable, accounts payable, accrued expenses and current maturities of long-term debt approximated their fair values as of June 30, 2021 and December 31, 2020 due to their short-term nature and/or being receivable or payable on demand. The Level 1 cash equivalents include money market funds valued using quoted prices in active markets. For information on the fair value hierarchy of our derivative instruments, see Note 6—Derivative Instruments and for information on financial liabilities, see Note 7—Debt.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hierarchy of cash equivalents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Carrying Value</w:t>
            </w:r>
          </w:p>
        </w:tc>
        <w:tc>
          <w:tcPr>
            <w:tcW w:w="260" w:type="dxa"/>
            <w:vAlign w:val="bottom"/>
          </w:tcPr>
          <w:p>
            <w:pPr>
              <w:spacing w:after="0"/>
              <w:rPr>
                <w:sz w:val="16"/>
                <w:szCs w:val="16"/>
                <w:color w:val="auto"/>
              </w:rPr>
            </w:pPr>
          </w:p>
        </w:tc>
        <w:tc>
          <w:tcPr>
            <w:tcW w:w="132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Level 1</w:t>
            </w:r>
          </w:p>
        </w:tc>
      </w:tr>
      <w:tr>
        <w:trPr>
          <w:trHeight w:val="229"/>
        </w:trPr>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w:t>
            </w:r>
          </w:p>
        </w:tc>
      </w:tr>
      <w:tr>
        <w:trPr>
          <w:trHeight w:val="230"/>
        </w:trPr>
        <w:tc>
          <w:tcPr>
            <w:tcW w:w="666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1,738</w:t>
            </w:r>
          </w:p>
        </w:tc>
      </w:tr>
    </w:tbl>
    <w:p>
      <w:pPr>
        <w:spacing w:after="0" w:line="187"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color w:val="auto"/>
        </w:rPr>
        <w:t>The decrease in cash equivalents from December 31, 2020 was primarily due to the redemption of our senior notes due 2022 in January 2021 and the repayment of borrowings under our revolving loan credit agreement (the “ABL Facility”). For further information, see Note 7—Debt for further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New Accounting Standard</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2019, the Financial Accounting Standards Board (“FASB”) issued Accounting Standards Update (“ASU”) 2019-12, “Income Taxes (Topic 740): Simplifying the Accounting for Income Taxes.” The ASU is intended to simplify the accounting for income taxes by removing certain exceptions to the general principles in Topic 740. The ASU also clarifies and amends existing guidance to enhance consistency and comparability among reporting entities. We adopted this standard on January 1, 2021 on a prospective basis. The adoption did not have a material effect on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 Issued but Not Yet Effective</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March 2020, the FASB issued ASU 2020-04, “Reference rate reform (Topic 848)—Facilitation of the effects of reference rate reform on financial reporting.” The ASU provides optional expedients and exceptions for applying GAAP to contracts, hedging relationships and other transactions affected by reference rate reform. The amendments apply only to contracts and hedging relationships that reference London Interbank Offered Rate (“LIBOR”) or another reference rate expected to be discontinued due to reference rate reform. The amendments are elective and are effective upon issuance through December 31, 2022. We are currently evaluating the impact of the new guidance.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January 2021, our XPO Logistics Europe subsidiary acquired the majority of Kuehne + Nagel’s contract logistics operations in the United Kingdom and Ireland, which generated annual revenues in 2020 of approximately £450 million ($585 million). The operations, which provide a range of logistics services, including inbound and outbound distribution, reverse logistics management and inventory management, are included in our Logistics segment from the acquisition date. Pro forma results of operations for this acquisition have not been presented as it is not material to the condensed consolidated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Segment Reporting</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are organized into two reportable segments: Transportation and Logistics. We evaluate our performance in large part based on the various financial measures of our two reporting segments.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our Transportation segment, we provide multiple services to facilitate the movement of raw materials, parts and finished goods. We accomplish this by using our proprietary technology, third-party independent carriers and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transportation assets and service centers. Our transportation services include LTL, truck brokerage services and other transportation services.</w:t>
      </w:r>
    </w:p>
    <w:p>
      <w:pPr>
        <w:spacing w:after="0" w:line="1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our Logistics segment, we provide a wide range of services differentiated by our proprietary technology and our ability to customize solutions for individual customers. Our services include value-added warehousing and distribution, e-commerce and omnichannel fulfillment, cold-chain logistics, packaging and labeling, factory support, aftermarket support, inventory management, order personalization and supply chain optimization, such as product flow management. In addition, our Logistics segment provides reverse logistics, which is also called returns management.</w:t>
      </w:r>
    </w:p>
    <w:p>
      <w:pPr>
        <w:spacing w:after="0" w:line="63"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Some of our operating units provide services to our other operating units outside of their reportable segment. Billings for such services are based on negotiated rates and are reflected as revenues of the billing segment. We adjust these rates from time to time based on market conditions. We eliminate intersegment revenues and expenses in our consolidated results.</w:t>
      </w:r>
    </w:p>
    <w:p>
      <w:pPr>
        <w:spacing w:after="0" w:line="7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Corporate includes corporate headquarters costs for executive officers and certain legal and financial functions, and other costs and credits not attributed to our reporting segments.</w:t>
      </w:r>
    </w:p>
    <w:p>
      <w:pPr>
        <w:spacing w:after="0" w:line="6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Our chief operating decision maker (“CODM”) regularly reviews financial information at the operating segment level to allocate resources to the segments and to assess their performance. We include items directly attributable to a segment, and those that can be allocated on a reasonable basis, in segment results reported to the CODM. We do not provide asset information by segment to the CODM.</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for our segments is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Transportation</w:t>
            </w:r>
          </w:p>
        </w:tc>
        <w:tc>
          <w:tcPr>
            <w:tcW w:w="26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Logistics</w:t>
            </w:r>
          </w:p>
        </w:tc>
        <w:tc>
          <w:tcPr>
            <w:tcW w:w="24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500" w:type="dxa"/>
            <w:vAlign w:val="bottom"/>
            <w:gridSpan w:val="3"/>
          </w:tcPr>
          <w:p>
            <w:pPr>
              <w:ind w:left="100"/>
              <w:spacing w:after="0"/>
              <w:rPr>
                <w:sz w:val="20"/>
                <w:szCs w:val="20"/>
                <w:color w:val="auto"/>
              </w:rPr>
            </w:pPr>
            <w:r>
              <w:rPr>
                <w:rFonts w:ascii="Arial" w:cs="Arial" w:eastAsia="Arial" w:hAnsi="Arial"/>
                <w:sz w:val="14"/>
                <w:szCs w:val="14"/>
                <w:b w:val="1"/>
                <w:bCs w:val="1"/>
                <w:color w:val="auto"/>
              </w:rPr>
              <w:t>Eliminations/Other</w:t>
            </w:r>
          </w:p>
        </w:tc>
        <w:tc>
          <w:tcPr>
            <w:tcW w:w="32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Total</w:t>
            </w:r>
          </w:p>
        </w:tc>
      </w:tr>
      <w:tr>
        <w:trPr>
          <w:trHeight w:val="22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Three months ended June 30, 2021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4"/>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370"/>
              <w:spacing w:after="0"/>
              <w:rPr>
                <w:sz w:val="20"/>
                <w:szCs w:val="20"/>
                <w:color w:val="auto"/>
              </w:rPr>
            </w:pPr>
            <w:r>
              <w:rPr>
                <w:rFonts w:ascii="Arial" w:cs="Arial" w:eastAsia="Arial" w:hAnsi="Arial"/>
                <w:sz w:val="18"/>
                <w:szCs w:val="18"/>
                <w:color w:val="auto"/>
                <w:w w:val="93"/>
              </w:rPr>
              <w:t>(31)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5,036</w:t>
            </w:r>
          </w:p>
        </w:tc>
      </w:tr>
      <w:tr>
        <w:trPr>
          <w:trHeight w:val="229"/>
        </w:trPr>
        <w:tc>
          <w:tcPr>
            <w:tcW w:w="38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70"/>
        </w:trPr>
        <w:tc>
          <w:tcPr>
            <w:tcW w:w="3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Three months ended June 30, 2020</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(29)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3,502</w:t>
            </w:r>
          </w:p>
        </w:tc>
      </w:tr>
      <w:tr>
        <w:trPr>
          <w:trHeight w:val="230"/>
        </w:trPr>
        <w:tc>
          <w:tcPr>
            <w:tcW w:w="38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30"/>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70"/>
        </w:trPr>
        <w:tc>
          <w:tcPr>
            <w:tcW w:w="3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Six months ended June 30, 2021</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3,699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94"/>
              <w:spacing w:after="0"/>
              <w:rPr>
                <w:sz w:val="20"/>
                <w:szCs w:val="20"/>
                <w:color w:val="auto"/>
              </w:rPr>
            </w:pPr>
            <w:r>
              <w:rPr>
                <w:rFonts w:ascii="Arial" w:cs="Arial" w:eastAsia="Arial" w:hAnsi="Arial"/>
                <w:sz w:val="18"/>
                <w:szCs w:val="18"/>
                <w:color w:val="auto"/>
                <w:w w:val="79"/>
              </w:rPr>
              <w:t>$</w:t>
            </w:r>
          </w:p>
        </w:tc>
        <w:tc>
          <w:tcPr>
            <w:tcW w:w="800" w:type="dxa"/>
            <w:vAlign w:val="bottom"/>
          </w:tcPr>
          <w:p>
            <w:pPr>
              <w:jc w:val="center"/>
              <w:ind w:left="370"/>
              <w:spacing w:after="0"/>
              <w:rPr>
                <w:sz w:val="20"/>
                <w:szCs w:val="20"/>
                <w:color w:val="auto"/>
              </w:rPr>
            </w:pPr>
            <w:r>
              <w:rPr>
                <w:rFonts w:ascii="Arial" w:cs="Arial" w:eastAsia="Arial" w:hAnsi="Arial"/>
                <w:sz w:val="18"/>
                <w:szCs w:val="18"/>
                <w:color w:val="auto"/>
                <w:w w:val="93"/>
              </w:rPr>
              <w:t>(64)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9,810</w:t>
            </w:r>
          </w:p>
        </w:tc>
      </w:tr>
      <w:tr>
        <w:trPr>
          <w:trHeight w:val="230"/>
        </w:trPr>
        <w:tc>
          <w:tcPr>
            <w:tcW w:w="386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(3)</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r>
      <w:tr>
        <w:trPr>
          <w:trHeight w:val="230"/>
        </w:trPr>
        <w:tc>
          <w:tcPr>
            <w:tcW w:w="3860" w:type="dxa"/>
            <w:vAlign w:val="bottom"/>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r>
      <w:tr>
        <w:trPr>
          <w:trHeight w:val="270"/>
        </w:trPr>
        <w:tc>
          <w:tcPr>
            <w:tcW w:w="3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Six months ended June 30, 2020</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4"/>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center"/>
              <w:ind w:left="370"/>
              <w:spacing w:after="0"/>
              <w:rPr>
                <w:sz w:val="20"/>
                <w:szCs w:val="20"/>
                <w:color w:val="auto"/>
              </w:rPr>
            </w:pPr>
            <w:r>
              <w:rPr>
                <w:rFonts w:ascii="Arial" w:cs="Arial" w:eastAsia="Arial" w:hAnsi="Arial"/>
                <w:sz w:val="18"/>
                <w:szCs w:val="18"/>
                <w:color w:val="auto"/>
                <w:w w:val="93"/>
              </w:rPr>
              <w:t>(61)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7,366</w:t>
            </w:r>
          </w:p>
        </w:tc>
      </w:tr>
      <w:tr>
        <w:trPr>
          <w:trHeight w:val="230"/>
        </w:trPr>
        <w:tc>
          <w:tcPr>
            <w:tcW w:w="386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Operating income (loss) </w:t>
            </w:r>
            <w:r>
              <w:rPr>
                <w:rFonts w:ascii="Arial" w:cs="Arial" w:eastAsia="Arial" w:hAnsi="Arial"/>
                <w:sz w:val="23"/>
                <w:szCs w:val="23"/>
                <w:color w:val="auto"/>
                <w:vertAlign w:val="superscript"/>
              </w:rPr>
              <w:t>(4)</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20" w:type="dxa"/>
            <w:vAlign w:val="bottom"/>
            <w:gridSpan w:val="2"/>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30"/>
        </w:trPr>
        <w:tc>
          <w:tcPr>
            <w:tcW w:w="3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bl>
    <w:p>
      <w:pPr>
        <w:spacing w:after="0" w:line="170" w:lineRule="exact"/>
        <w:rPr>
          <w:sz w:val="20"/>
          <w:szCs w:val="20"/>
          <w:color w:val="auto"/>
        </w:rPr>
      </w:pPr>
    </w:p>
    <w:p>
      <w:pPr>
        <w:ind w:left="500" w:right="180" w:hanging="330"/>
        <w:spacing w:after="0" w:line="273" w:lineRule="auto"/>
        <w:tabs>
          <w:tab w:leader="none" w:pos="488" w:val="left"/>
        </w:tabs>
        <w:numPr>
          <w:ilvl w:val="0"/>
          <w:numId w:val="5"/>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June 30, 2021 includes $35 million of transaction and integration costs and $2 million of restructuring income. $2 million of the transaction and integration costs relate to our Transportation segment, $7 million relate to our Logistics segment and $26 million relate to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00" w:right="180" w:hanging="330"/>
        <w:spacing w:after="0" w:line="273" w:lineRule="auto"/>
        <w:tabs>
          <w:tab w:leader="none" w:pos="488"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loss for the three months ended June 30, 2020 includes $46 million of transaction and integration costs and $50 million of restructuring expense. $13 million of the transaction and integration costs relate to our Transportation segment, $18 million relate to our Logistics segment and $15 million relate to Corporate.</w:t>
      </w:r>
    </w:p>
    <w:p>
      <w:pPr>
        <w:spacing w:after="0" w:line="65" w:lineRule="exact"/>
        <w:rPr>
          <w:rFonts w:ascii="Arial" w:cs="Arial" w:eastAsia="Arial" w:hAnsi="Arial"/>
          <w:sz w:val="14"/>
          <w:szCs w:val="14"/>
          <w:color w:val="auto"/>
        </w:rPr>
      </w:pPr>
    </w:p>
    <w:p>
      <w:pPr>
        <w:ind w:left="500" w:hanging="330"/>
        <w:spacing w:after="0" w:line="273" w:lineRule="auto"/>
        <w:tabs>
          <w:tab w:leader="none" w:pos="5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income for the six months ended June 30, 2021 includes $53 million of transaction and integration costs and $2 million of restructuring expense. $3 million of the transaction and integration costs relate to our Transportation segment, $12 million relate to our Logistics segment and $38 million relate to Corporate.</w:t>
      </w:r>
    </w:p>
    <w:p>
      <w:pPr>
        <w:spacing w:after="0" w:line="65" w:lineRule="exact"/>
        <w:rPr>
          <w:rFonts w:ascii="Arial" w:cs="Arial" w:eastAsia="Arial" w:hAnsi="Arial"/>
          <w:sz w:val="14"/>
          <w:szCs w:val="14"/>
          <w:color w:val="auto"/>
        </w:rPr>
      </w:pPr>
    </w:p>
    <w:p>
      <w:pPr>
        <w:ind w:left="500" w:right="60" w:hanging="330"/>
        <w:spacing w:after="0" w:line="273" w:lineRule="auto"/>
        <w:tabs>
          <w:tab w:leader="none" w:pos="524" w:val="left"/>
        </w:tabs>
        <w:numPr>
          <w:ilvl w:val="0"/>
          <w:numId w:val="6"/>
        </w:numPr>
        <w:rPr>
          <w:rFonts w:ascii="Arial" w:cs="Arial" w:eastAsia="Arial" w:hAnsi="Arial"/>
          <w:sz w:val="14"/>
          <w:szCs w:val="14"/>
          <w:color w:val="auto"/>
        </w:rPr>
      </w:pPr>
      <w:r>
        <w:rPr>
          <w:rFonts w:ascii="Arial" w:cs="Arial" w:eastAsia="Arial" w:hAnsi="Arial"/>
          <w:sz w:val="14"/>
          <w:szCs w:val="14"/>
          <w:color w:val="auto"/>
        </w:rPr>
        <w:t>Consolidated operating loss for the six months ended June 30, 2020 includes $90 million of transaction and integration costs and $53 million of restructuring expense. $20 million of the transaction and integration costs relate to our Transportation segment, $25 million relate to our Logistics segment and $45 million relate to Corporate.</w:t>
      </w:r>
    </w:p>
    <w:p>
      <w:pPr>
        <w:spacing w:after="0" w:line="70"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 transaction and integration costs for the first six months of 2021 are primarily related to the spin-off of the Logistics segment and our acquisition of the Kuehne + Nagel business in January 2021. The transaction and integration costs for the first six months of 2020 are primarily related to our previously announced exploration of strategic alternatives that was terminated in March 2020. For further information on our restructuring actions, see Note 5— Restructuring Charges. We also incurred net incremental and direct costs as a result of the COVID-19 pandemic in the second quarter and first six months of 2021 and 2020, including costs for personal protective equipment, site cleanings and enhanced employee benefits, such as appreciation pay.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Revenue Recognition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disaggregate our revenue by geographic area and service offering. Our revenue disaggregated by geographical area, based on sales office location, was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880" w:type="dxa"/>
            <w:vAlign w:val="bottom"/>
            <w:tcBorders>
              <w:bottom w:val="single" w:sz="8" w:color="auto"/>
            </w:tcBorders>
            <w:gridSpan w:val="8"/>
          </w:tcPr>
          <w:p>
            <w:pPr>
              <w:ind w:left="100"/>
              <w:spacing w:after="0"/>
              <w:rPr>
                <w:sz w:val="20"/>
                <w:szCs w:val="20"/>
                <w:color w:val="auto"/>
              </w:rPr>
            </w:pPr>
            <w:r>
              <w:rPr>
                <w:rFonts w:ascii="Arial" w:cs="Arial" w:eastAsia="Arial" w:hAnsi="Arial"/>
                <w:sz w:val="15"/>
                <w:szCs w:val="15"/>
                <w:b w:val="1"/>
                <w:bCs w:val="1"/>
                <w:color w:val="auto"/>
              </w:rPr>
              <w:t>Three Months Ended June 30, 2021</w:t>
            </w: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200"/>
        </w:trPr>
        <w:tc>
          <w:tcPr>
            <w:tcW w:w="20" w:type="dxa"/>
            <w:vAlign w:val="bottom"/>
          </w:tcPr>
          <w:p>
            <w:pPr>
              <w:spacing w:after="0"/>
              <w:rPr>
                <w:sz w:val="17"/>
                <w:szCs w:val="17"/>
                <w:color w:val="auto"/>
              </w:rPr>
            </w:pPr>
          </w:p>
        </w:tc>
        <w:tc>
          <w:tcPr>
            <w:tcW w:w="5040" w:type="dxa"/>
            <w:vAlign w:val="bottom"/>
            <w:gridSpan w:val="3"/>
          </w:tcPr>
          <w:p>
            <w:pPr>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Transportation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220"/>
              <w:spacing w:after="0"/>
              <w:rPr>
                <w:sz w:val="20"/>
                <w:szCs w:val="20"/>
                <w:color w:val="auto"/>
              </w:rPr>
            </w:pPr>
            <w:r>
              <w:rPr>
                <w:rFonts w:ascii="Arial" w:cs="Arial" w:eastAsia="Arial" w:hAnsi="Arial"/>
                <w:sz w:val="15"/>
                <w:szCs w:val="15"/>
                <w:b w:val="1"/>
                <w:bCs w:val="1"/>
                <w:color w:val="auto"/>
              </w:rPr>
              <w:t>Logistics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ind w:left="100"/>
              <w:spacing w:after="0"/>
              <w:rPr>
                <w:sz w:val="20"/>
                <w:szCs w:val="20"/>
                <w:color w:val="auto"/>
              </w:rPr>
            </w:pPr>
            <w:r>
              <w:rPr>
                <w:rFonts w:ascii="Arial" w:cs="Arial" w:eastAsia="Arial" w:hAnsi="Arial"/>
                <w:sz w:val="15"/>
                <w:szCs w:val="15"/>
                <w:b w:val="1"/>
                <w:bCs w:val="1"/>
                <w:color w:val="auto"/>
              </w:rPr>
              <w:t>Eliminations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72"/>
              <w:spacing w:after="0"/>
              <w:rPr>
                <w:sz w:val="20"/>
                <w:szCs w:val="20"/>
                <w:color w:val="auto"/>
              </w:rPr>
            </w:pPr>
            <w:r>
              <w:rPr>
                <w:rFonts w:ascii="Arial" w:cs="Arial" w:eastAsia="Arial" w:hAnsi="Arial"/>
                <w:sz w:val="15"/>
                <w:szCs w:val="15"/>
                <w:b w:val="1"/>
                <w:bCs w:val="1"/>
                <w:color w:val="auto"/>
              </w:rPr>
              <w:t>Total</w:t>
            </w: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4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United States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2,276</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2,817</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North America (excluding United States)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20" w:type="dxa"/>
            <w:vAlign w:val="bottom"/>
          </w:tcPr>
          <w:p>
            <w:pPr>
              <w:spacing w:after="0"/>
              <w:rPr>
                <w:sz w:val="19"/>
                <w:szCs w:val="19"/>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540</w:t>
            </w:r>
          </w:p>
        </w:tc>
      </w:tr>
      <w:tr>
        <w:trPr>
          <w:trHeight w:val="230"/>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r>
      <w:tr>
        <w:trPr>
          <w:trHeight w:val="230"/>
        </w:trPr>
        <w:tc>
          <w:tcPr>
            <w:tcW w:w="20" w:type="dxa"/>
            <w:vAlign w:val="bottom"/>
          </w:tcPr>
          <w:p>
            <w:pPr>
              <w:spacing w:after="0"/>
              <w:rPr>
                <w:sz w:val="19"/>
                <w:szCs w:val="19"/>
                <w:color w:val="auto"/>
              </w:rPr>
            </w:pPr>
          </w:p>
        </w:tc>
        <w:tc>
          <w:tcPr>
            <w:tcW w:w="5040" w:type="dxa"/>
            <w:vAlign w:val="bottom"/>
            <w:gridSpan w:val="3"/>
          </w:tcPr>
          <w:p>
            <w:pPr>
              <w:ind w:left="160"/>
              <w:spacing w:after="0"/>
              <w:rPr>
                <w:sz w:val="20"/>
                <w:szCs w:val="20"/>
                <w:color w:val="auto"/>
              </w:rPr>
            </w:pPr>
            <w:r>
              <w:rPr>
                <w:rFonts w:ascii="Arial" w:cs="Arial" w:eastAsia="Arial" w:hAnsi="Arial"/>
                <w:sz w:val="18"/>
                <w:szCs w:val="18"/>
                <w:color w:val="auto"/>
              </w:rPr>
              <w:t>Europe (excluding France and United Kingdom)</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w:t>
            </w:r>
          </w:p>
        </w:tc>
      </w:tr>
      <w:tr>
        <w:trPr>
          <w:trHeight w:val="229"/>
        </w:trPr>
        <w:tc>
          <w:tcPr>
            <w:tcW w:w="20" w:type="dxa"/>
            <w:vAlign w:val="bottom"/>
            <w:shd w:val="clear" w:color="auto" w:fill="CCEEFF"/>
          </w:tcPr>
          <w:p>
            <w:pPr>
              <w:spacing w:after="0"/>
              <w:rPr>
                <w:sz w:val="19"/>
                <w:szCs w:val="19"/>
                <w:color w:val="auto"/>
              </w:rPr>
            </w:pPr>
          </w:p>
        </w:tc>
        <w:tc>
          <w:tcPr>
            <w:tcW w:w="50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20" w:type="dxa"/>
            <w:vAlign w:val="bottom"/>
          </w:tcPr>
          <w:p>
            <w:pPr>
              <w:spacing w:after="0"/>
              <w:rPr>
                <w:sz w:val="19"/>
                <w:szCs w:val="19"/>
                <w:color w:val="auto"/>
              </w:rPr>
            </w:pPr>
          </w:p>
        </w:tc>
        <w:tc>
          <w:tcPr>
            <w:tcW w:w="504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r>
      <w:tr>
        <w:trPr>
          <w:trHeight w:val="21"/>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54"/>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8"/>
          </w:tcPr>
          <w:p>
            <w:pPr>
              <w:ind w:left="120"/>
              <w:spacing w:after="0"/>
              <w:rPr>
                <w:sz w:val="20"/>
                <w:szCs w:val="20"/>
                <w:color w:val="auto"/>
              </w:rPr>
            </w:pPr>
            <w:r>
              <w:rPr>
                <w:rFonts w:ascii="Arial" w:cs="Arial" w:eastAsia="Arial" w:hAnsi="Arial"/>
                <w:sz w:val="15"/>
                <w:szCs w:val="15"/>
                <w:b w:val="1"/>
                <w:bCs w:val="1"/>
                <w:color w:val="auto"/>
              </w:rPr>
              <w:t>Three Months Ended June 30, 2020</w:t>
            </w: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504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ind w:left="80"/>
              <w:spacing w:after="0"/>
              <w:rPr>
                <w:sz w:val="20"/>
                <w:szCs w:val="20"/>
                <w:color w:val="auto"/>
              </w:rPr>
            </w:pPr>
            <w:r>
              <w:rPr>
                <w:rFonts w:ascii="Arial" w:cs="Arial" w:eastAsia="Arial" w:hAnsi="Arial"/>
                <w:sz w:val="15"/>
                <w:szCs w:val="15"/>
                <w:b w:val="1"/>
                <w:bCs w:val="1"/>
                <w:color w:val="auto"/>
              </w:rPr>
              <w:t>Transportation</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3"/>
          </w:tcPr>
          <w:p>
            <w:pPr>
              <w:ind w:left="240"/>
              <w:spacing w:after="0"/>
              <w:rPr>
                <w:sz w:val="20"/>
                <w:szCs w:val="20"/>
                <w:color w:val="auto"/>
              </w:rPr>
            </w:pPr>
            <w:r>
              <w:rPr>
                <w:rFonts w:ascii="Arial" w:cs="Arial" w:eastAsia="Arial" w:hAnsi="Arial"/>
                <w:sz w:val="15"/>
                <w:szCs w:val="15"/>
                <w:b w:val="1"/>
                <w:bCs w:val="1"/>
                <w:color w:val="auto"/>
              </w:rPr>
              <w:t>Logistics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ind w:left="120"/>
              <w:spacing w:after="0"/>
              <w:rPr>
                <w:sz w:val="20"/>
                <w:szCs w:val="20"/>
                <w:color w:val="auto"/>
              </w:rPr>
            </w:pPr>
            <w:r>
              <w:rPr>
                <w:rFonts w:ascii="Arial" w:cs="Arial" w:eastAsia="Arial" w:hAnsi="Arial"/>
                <w:sz w:val="15"/>
                <w:szCs w:val="15"/>
                <w:b w:val="1"/>
                <w:bCs w:val="1"/>
                <w:color w:val="auto"/>
              </w:rPr>
              <w:t>Eliminations</w:t>
            </w: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25"/>
        </w:trPr>
        <w:tc>
          <w:tcPr>
            <w:tcW w:w="20" w:type="dxa"/>
            <w:vAlign w:val="bottom"/>
          </w:tcPr>
          <w:p>
            <w:pPr>
              <w:spacing w:after="0"/>
              <w:rPr>
                <w:sz w:val="19"/>
                <w:szCs w:val="19"/>
                <w:color w:val="auto"/>
              </w:rPr>
            </w:pPr>
          </w:p>
        </w:tc>
        <w:tc>
          <w:tcPr>
            <w:tcW w:w="4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2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509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2,004</w:t>
            </w:r>
          </w:p>
        </w:tc>
      </w:tr>
      <w:tr>
        <w:trPr>
          <w:trHeight w:val="230"/>
        </w:trPr>
        <w:tc>
          <w:tcPr>
            <w:tcW w:w="20" w:type="dxa"/>
            <w:vAlign w:val="bottom"/>
          </w:tcPr>
          <w:p>
            <w:pPr>
              <w:spacing w:after="0"/>
              <w:rPr>
                <w:sz w:val="19"/>
                <w:szCs w:val="19"/>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29"/>
        </w:trPr>
        <w:tc>
          <w:tcPr>
            <w:tcW w:w="20" w:type="dxa"/>
            <w:vAlign w:val="bottom"/>
          </w:tcPr>
          <w:p>
            <w:pPr>
              <w:spacing w:after="0"/>
              <w:rPr>
                <w:sz w:val="19"/>
                <w:szCs w:val="19"/>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20" w:type="dxa"/>
            <w:vAlign w:val="bottom"/>
          </w:tcPr>
          <w:p>
            <w:pPr>
              <w:spacing w:after="0"/>
              <w:rPr>
                <w:sz w:val="19"/>
                <w:szCs w:val="19"/>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r>
      <w:tr>
        <w:trPr>
          <w:trHeight w:val="230"/>
        </w:trPr>
        <w:tc>
          <w:tcPr>
            <w:tcW w:w="20" w:type="dxa"/>
            <w:vAlign w:val="bottom"/>
          </w:tcPr>
          <w:p>
            <w:pPr>
              <w:spacing w:after="0"/>
              <w:rPr>
                <w:sz w:val="19"/>
                <w:szCs w:val="19"/>
                <w:color w:val="auto"/>
              </w:rPr>
            </w:pPr>
          </w:p>
        </w:tc>
        <w:tc>
          <w:tcPr>
            <w:tcW w:w="5040" w:type="dxa"/>
            <w:vAlign w:val="bottom"/>
            <w:gridSpan w:val="3"/>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30"/>
        </w:trPr>
        <w:tc>
          <w:tcPr>
            <w:tcW w:w="20" w:type="dxa"/>
            <w:vAlign w:val="bottom"/>
          </w:tcPr>
          <w:p>
            <w:pPr>
              <w:spacing w:after="0"/>
              <w:rPr>
                <w:sz w:val="19"/>
                <w:szCs w:val="19"/>
                <w:color w:val="auto"/>
              </w:rPr>
            </w:pPr>
          </w:p>
        </w:tc>
        <w:tc>
          <w:tcPr>
            <w:tcW w:w="50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20" w:type="dxa"/>
            <w:vAlign w:val="bottom"/>
          </w:tcPr>
          <w:p>
            <w:pPr>
              <w:spacing w:after="0"/>
              <w:rPr>
                <w:sz w:val="19"/>
                <w:szCs w:val="19"/>
                <w:color w:val="auto"/>
              </w:rPr>
            </w:pPr>
          </w:p>
        </w:tc>
        <w:tc>
          <w:tcPr>
            <w:tcW w:w="5040" w:type="dxa"/>
            <w:vAlign w:val="bottom"/>
            <w:gridSpan w:val="3"/>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4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Six Months Ended June 30, 2021</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200"/>
        </w:trPr>
        <w:tc>
          <w:tcPr>
            <w:tcW w:w="5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26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Logistics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5"/>
                <w:szCs w:val="15"/>
                <w:b w:val="1"/>
                <w:bCs w:val="1"/>
                <w:color w:val="auto"/>
              </w:rPr>
              <w:t>Eliminations</w:t>
            </w:r>
          </w:p>
        </w:tc>
        <w:tc>
          <w:tcPr>
            <w:tcW w:w="34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25"/>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4,394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1,135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5,510</w:t>
            </w:r>
          </w:p>
        </w:tc>
      </w:tr>
      <w:tr>
        <w:trPr>
          <w:trHeight w:val="230"/>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1,059</w:t>
            </w: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1,567</w:t>
            </w: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w:t>
            </w: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419"/>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5"/>
          </w:tcPr>
          <w:p>
            <w:pPr>
              <w:ind w:left="140"/>
              <w:spacing w:after="0"/>
              <w:rPr>
                <w:sz w:val="20"/>
                <w:szCs w:val="20"/>
                <w:color w:val="auto"/>
              </w:rPr>
            </w:pPr>
            <w:r>
              <w:rPr>
                <w:rFonts w:ascii="Arial" w:cs="Arial" w:eastAsia="Arial" w:hAnsi="Arial"/>
                <w:sz w:val="15"/>
                <w:szCs w:val="15"/>
                <w:b w:val="1"/>
                <w:bCs w:val="1"/>
                <w:color w:val="auto"/>
              </w:rPr>
              <w:t>Six Months Ended June 30, 2020</w:t>
            </w: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r>
        <w:trPr>
          <w:trHeight w:val="200"/>
        </w:trPr>
        <w:tc>
          <w:tcPr>
            <w:tcW w:w="50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7"/>
                <w:szCs w:val="17"/>
                <w:color w:val="auto"/>
              </w:rPr>
            </w:pPr>
          </w:p>
        </w:tc>
        <w:tc>
          <w:tcPr>
            <w:tcW w:w="1420" w:type="dxa"/>
            <w:vAlign w:val="bottom"/>
            <w:gridSpan w:val="2"/>
          </w:tcPr>
          <w:p>
            <w:pPr>
              <w:ind w:left="60"/>
              <w:spacing w:after="0"/>
              <w:rPr>
                <w:sz w:val="20"/>
                <w:szCs w:val="20"/>
                <w:color w:val="auto"/>
              </w:rPr>
            </w:pPr>
            <w:r>
              <w:rPr>
                <w:rFonts w:ascii="Arial" w:cs="Arial" w:eastAsia="Arial" w:hAnsi="Arial"/>
                <w:sz w:val="15"/>
                <w:szCs w:val="15"/>
                <w:b w:val="1"/>
                <w:bCs w:val="1"/>
                <w:color w:val="auto"/>
              </w:rPr>
              <w:t>Transportation</w:t>
            </w:r>
          </w:p>
        </w:tc>
        <w:tc>
          <w:tcPr>
            <w:tcW w:w="260" w:type="dxa"/>
            <w:vAlign w:val="bottom"/>
          </w:tcPr>
          <w:p>
            <w:pPr>
              <w:spacing w:after="0"/>
              <w:rPr>
                <w:sz w:val="17"/>
                <w:szCs w:val="17"/>
                <w:color w:val="auto"/>
              </w:rPr>
            </w:pPr>
          </w:p>
        </w:tc>
        <w:tc>
          <w:tcPr>
            <w:tcW w:w="1280" w:type="dxa"/>
            <w:vAlign w:val="bottom"/>
            <w:gridSpan w:val="2"/>
          </w:tcPr>
          <w:p>
            <w:pPr>
              <w:ind w:left="180"/>
              <w:spacing w:after="0"/>
              <w:rPr>
                <w:sz w:val="20"/>
                <w:szCs w:val="20"/>
                <w:color w:val="auto"/>
              </w:rPr>
            </w:pPr>
            <w:r>
              <w:rPr>
                <w:rFonts w:ascii="Arial" w:cs="Arial" w:eastAsia="Arial" w:hAnsi="Arial"/>
                <w:sz w:val="15"/>
                <w:szCs w:val="15"/>
                <w:b w:val="1"/>
                <w:bCs w:val="1"/>
                <w:color w:val="auto"/>
              </w:rPr>
              <w:t>Logistics</w:t>
            </w:r>
          </w:p>
        </w:tc>
        <w:tc>
          <w:tcPr>
            <w:tcW w:w="220" w:type="dxa"/>
            <w:vAlign w:val="bottom"/>
          </w:tcPr>
          <w:p>
            <w:pPr>
              <w:spacing w:after="0"/>
              <w:rPr>
                <w:sz w:val="17"/>
                <w:szCs w:val="17"/>
                <w:color w:val="auto"/>
              </w:rPr>
            </w:pPr>
          </w:p>
        </w:tc>
        <w:tc>
          <w:tcPr>
            <w:tcW w:w="1340" w:type="dxa"/>
            <w:vAlign w:val="bottom"/>
            <w:gridSpan w:val="2"/>
          </w:tcPr>
          <w:p>
            <w:pPr>
              <w:ind w:left="100"/>
              <w:spacing w:after="0"/>
              <w:rPr>
                <w:sz w:val="20"/>
                <w:szCs w:val="20"/>
                <w:color w:val="auto"/>
              </w:rPr>
            </w:pPr>
            <w:r>
              <w:rPr>
                <w:rFonts w:ascii="Arial" w:cs="Arial" w:eastAsia="Arial" w:hAnsi="Arial"/>
                <w:sz w:val="15"/>
                <w:szCs w:val="15"/>
                <w:b w:val="1"/>
                <w:bCs w:val="1"/>
                <w:color w:val="auto"/>
              </w:rPr>
              <w:t>Eliminations</w:t>
            </w:r>
          </w:p>
        </w:tc>
        <w:tc>
          <w:tcPr>
            <w:tcW w:w="34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5"/>
                <w:szCs w:val="15"/>
                <w:b w:val="1"/>
                <w:bCs w:val="1"/>
                <w:color w:val="auto"/>
              </w:rPr>
              <w:t>Total</w:t>
            </w:r>
          </w:p>
        </w:tc>
      </w:tr>
      <w:tr>
        <w:trPr>
          <w:trHeight w:val="225"/>
        </w:trPr>
        <w:tc>
          <w:tcPr>
            <w:tcW w:w="4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r>
      <w:tr>
        <w:trPr>
          <w:trHeight w:val="229"/>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United States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3,207</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4,233</w:t>
            </w: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North America (excluding United States)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France</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w:t>
            </w: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United Kingdom</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w:t>
            </w:r>
          </w:p>
        </w:tc>
      </w:tr>
      <w:tr>
        <w:trPr>
          <w:trHeight w:val="230"/>
        </w:trPr>
        <w:tc>
          <w:tcPr>
            <w:tcW w:w="5060" w:type="dxa"/>
            <w:vAlign w:val="bottom"/>
            <w:gridSpan w:val="2"/>
          </w:tcPr>
          <w:p>
            <w:pPr>
              <w:ind w:left="180"/>
              <w:spacing w:after="0"/>
              <w:rPr>
                <w:sz w:val="20"/>
                <w:szCs w:val="20"/>
                <w:color w:val="auto"/>
              </w:rPr>
            </w:pPr>
            <w:r>
              <w:rPr>
                <w:rFonts w:ascii="Arial" w:cs="Arial" w:eastAsia="Arial" w:hAnsi="Arial"/>
                <w:sz w:val="18"/>
                <w:szCs w:val="18"/>
                <w:color w:val="auto"/>
              </w:rPr>
              <w:t>Europe (excluding France and United Kingdom)</w:t>
            </w: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1,096</w:t>
            </w:r>
          </w:p>
        </w:tc>
      </w:tr>
      <w:tr>
        <w:trPr>
          <w:trHeight w:val="229"/>
        </w:trPr>
        <w:tc>
          <w:tcPr>
            <w:tcW w:w="50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7,366</w:t>
            </w:r>
          </w:p>
        </w:tc>
      </w:tr>
      <w:tr>
        <w:trPr>
          <w:trHeight w:val="21"/>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revenue disaggregated by service offering was as follows:</w:t>
      </w:r>
    </w:p>
    <w:p>
      <w:pPr>
        <w:spacing w:after="0" w:line="149"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rPr>
              <w:t>Three Months Ended June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77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3840" w:type="dxa"/>
            <w:vAlign w:val="bottom"/>
            <w:gridSpan w:val="2"/>
          </w:tcPr>
          <w:p>
            <w:pPr>
              <w:spacing w:after="0"/>
              <w:rPr>
                <w:sz w:val="20"/>
                <w:szCs w:val="20"/>
                <w:color w:val="auto"/>
              </w:rPr>
            </w:pPr>
            <w:r>
              <w:rPr>
                <w:rFonts w:ascii="Arial" w:cs="Arial" w:eastAsia="Arial" w:hAnsi="Arial"/>
                <w:sz w:val="14"/>
                <w:szCs w:val="14"/>
                <w:i w:val="1"/>
                <w:iCs w:val="1"/>
                <w:color w:val="auto"/>
              </w:rPr>
              <w:t>(In millions)</w:t>
            </w:r>
          </w:p>
        </w:tc>
        <w:tc>
          <w:tcPr>
            <w:tcW w:w="1060" w:type="dxa"/>
            <w:vAlign w:val="bottom"/>
          </w:tcPr>
          <w:p>
            <w:pPr>
              <w:jc w:val="right"/>
              <w:ind w:right="19"/>
              <w:spacing w:after="0"/>
              <w:rPr>
                <w:sz w:val="20"/>
                <w:szCs w:val="20"/>
                <w:color w:val="auto"/>
              </w:rPr>
            </w:pPr>
            <w:r>
              <w:rPr>
                <w:rFonts w:ascii="Arial" w:cs="Arial" w:eastAsia="Arial" w:hAnsi="Arial"/>
                <w:sz w:val="14"/>
                <w:szCs w:val="14"/>
                <w:b w:val="1"/>
                <w:bCs w:val="1"/>
                <w:color w:val="auto"/>
              </w:rPr>
              <w:t>2021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6"/>
              <w:spacing w:after="0"/>
              <w:rPr>
                <w:sz w:val="20"/>
                <w:szCs w:val="20"/>
                <w:color w:val="auto"/>
              </w:rPr>
            </w:pPr>
            <w:r>
              <w:rPr>
                <w:rFonts w:ascii="Arial" w:cs="Arial" w:eastAsia="Arial" w:hAnsi="Arial"/>
                <w:sz w:val="14"/>
                <w:szCs w:val="14"/>
                <w:b w:val="1"/>
                <w:bCs w:val="1"/>
                <w:color w:val="auto"/>
              </w:rPr>
              <w:t>2020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2020</w:t>
            </w:r>
          </w:p>
        </w:tc>
      </w:tr>
      <w:tr>
        <w:trPr>
          <w:trHeight w:val="224"/>
        </w:trPr>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Transportation segment:</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30"/>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LTL</w:t>
            </w:r>
          </w:p>
        </w:tc>
        <w:tc>
          <w:tcPr>
            <w:tcW w:w="1060" w:type="dxa"/>
            <w:vAlign w:val="bottom"/>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19"/>
                <w:szCs w:val="19"/>
                <w:color w:val="auto"/>
              </w:rPr>
            </w:pPr>
          </w:p>
        </w:tc>
        <w:tc>
          <w:tcPr>
            <w:tcW w:w="1060" w:type="dxa"/>
            <w:vAlign w:val="bottom"/>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2,584</w:t>
            </w:r>
          </w:p>
        </w:tc>
        <w:tc>
          <w:tcPr>
            <w:tcW w:w="10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2,114</w:t>
            </w:r>
          </w:p>
        </w:tc>
      </w:tr>
      <w:tr>
        <w:trPr>
          <w:trHeight w:val="230"/>
        </w:trPr>
        <w:tc>
          <w:tcPr>
            <w:tcW w:w="3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Freight brokerage and truckload</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r>
      <w:tr>
        <w:trPr>
          <w:trHeight w:val="229"/>
        </w:trPr>
        <w:tc>
          <w:tcPr>
            <w:tcW w:w="3840" w:type="dxa"/>
            <w:vAlign w:val="bottom"/>
            <w:gridSpan w:val="2"/>
          </w:tcPr>
          <w:p>
            <w:pPr>
              <w:ind w:left="340"/>
              <w:spacing w:after="0" w:line="230" w:lineRule="exact"/>
              <w:rPr>
                <w:sz w:val="20"/>
                <w:szCs w:val="20"/>
                <w:color w:val="auto"/>
              </w:rPr>
            </w:pPr>
            <w:r>
              <w:rPr>
                <w:rFonts w:ascii="Arial" w:cs="Arial" w:eastAsia="Arial" w:hAnsi="Arial"/>
                <w:sz w:val="18"/>
                <w:szCs w:val="18"/>
                <w:color w:val="auto"/>
              </w:rPr>
              <w:t xml:space="preserve">Last mile </w:t>
            </w:r>
            <w:r>
              <w:rPr>
                <w:rFonts w:ascii="Arial" w:cs="Arial" w:eastAsia="Arial" w:hAnsi="Arial"/>
                <w:sz w:val="23"/>
                <w:szCs w:val="23"/>
                <w:color w:val="auto"/>
                <w:vertAlign w:val="superscript"/>
              </w:rPr>
              <w:t>(1)</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3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Managed transportation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30"/>
        </w:trPr>
        <w:tc>
          <w:tcPr>
            <w:tcW w:w="3840" w:type="dxa"/>
            <w:vAlign w:val="bottom"/>
            <w:gridSpan w:val="2"/>
          </w:tcPr>
          <w:p>
            <w:pPr>
              <w:ind w:left="340"/>
              <w:spacing w:after="0"/>
              <w:rPr>
                <w:sz w:val="20"/>
                <w:szCs w:val="20"/>
                <w:color w:val="auto"/>
              </w:rPr>
            </w:pPr>
            <w:r>
              <w:rPr>
                <w:rFonts w:ascii="Arial" w:cs="Arial" w:eastAsia="Arial" w:hAnsi="Arial"/>
                <w:sz w:val="18"/>
                <w:szCs w:val="18"/>
                <w:color w:val="auto"/>
              </w:rPr>
              <w:t>Global forwarding</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0"/>
        </w:trPr>
        <w:tc>
          <w:tcPr>
            <w:tcW w:w="3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Transportation eliminations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color w:val="auto"/>
              </w:rPr>
              <w:t>Total Transportation segment revenue</w:t>
            </w: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4,586</w:t>
            </w:r>
          </w:p>
        </w:tc>
      </w:tr>
      <w:tr>
        <w:trPr>
          <w:trHeight w:val="230"/>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Logistics segment revenue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w:t>
            </w:r>
          </w:p>
        </w:tc>
      </w:tr>
      <w:tr>
        <w:trPr>
          <w:trHeight w:val="229"/>
        </w:trPr>
        <w:tc>
          <w:tcPr>
            <w:tcW w:w="3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Intersegment eliminations</w:t>
            </w: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r>
      <w:tr>
        <w:trPr>
          <w:trHeight w:val="248"/>
        </w:trPr>
        <w:tc>
          <w:tcPr>
            <w:tcW w:w="38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7,366</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Comprised of our North American last mile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17" w:lineRule="exact"/>
        <w:rPr>
          <w:sz w:val="20"/>
          <w:szCs w:val="20"/>
          <w:color w:val="auto"/>
        </w:rPr>
      </w:pPr>
    </w:p>
    <w:p>
      <w:pPr>
        <w:jc w:val="both"/>
        <w:ind w:right="280"/>
        <w:spacing w:after="0" w:line="311" w:lineRule="auto"/>
        <w:rPr>
          <w:sz w:val="20"/>
          <w:szCs w:val="20"/>
          <w:color w:val="auto"/>
        </w:rPr>
      </w:pPr>
      <w:r>
        <w:rPr>
          <w:rFonts w:ascii="Arial" w:cs="Arial" w:eastAsia="Arial" w:hAnsi="Arial"/>
          <w:sz w:val="16"/>
          <w:szCs w:val="16"/>
          <w:color w:val="auto"/>
        </w:rPr>
        <w:t>Remaining performance obligations represent firm contracts for which services have not been performed and future revenue recognition is expected. As permitted in determining the remaining performance obligation, we omit obligations that: (i) have original expected durations of one year or less or (ii) contain variable consideration. On June 30, 2021, the fixed consideration component of our remaining performance obligation was approximately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$2.2 billion, and we expect approximately 67% of that amount to be recognized over the next three years and the remainder thereafter. The remaining performance obligation at June 30, 2021 includes contracts related to the Kuehne + Nagel acquisition. The majority of the remaining performance obligation relates to our Logistics reportable segment. We estimate remaining performance obligations at a point in time and actual amounts may differ from these estimates due to changes in foreign currency exchange rates and contract revisions or terminations.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Restructuring Charges</w:t>
      </w:r>
    </w:p>
    <w:p>
      <w:pPr>
        <w:spacing w:after="0" w:line="12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engage in restructuring actions as part of our ongoing efforts to best use our resources and infrastructure, including actions in response to COVID-19. These actions generally include severance and facility-related costs, including impairment of right-of-use assets, and are intended to improve our efficiency and profitability.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(credits) were recorded on our Condensed Consolidated Statements of Income (Loss)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transportation and services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4360" w:type="dxa"/>
            <w:vAlign w:val="bottom"/>
          </w:tcPr>
          <w:p>
            <w:pPr>
              <w:ind w:left="20"/>
              <w:spacing w:after="0"/>
              <w:rPr>
                <w:sz w:val="20"/>
                <w:szCs w:val="20"/>
                <w:color w:val="auto"/>
              </w:rPr>
            </w:pPr>
            <w:r>
              <w:rPr>
                <w:rFonts w:ascii="Arial" w:cs="Arial" w:eastAsia="Arial" w:hAnsi="Arial"/>
                <w:sz w:val="18"/>
                <w:szCs w:val="18"/>
                <w:color w:val="auto"/>
              </w:rPr>
              <w:t>Direct operating expense</w:t>
            </w:r>
          </w:p>
        </w:tc>
        <w:tc>
          <w:tcPr>
            <w:tcW w:w="40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 expense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restructuring-related activity was as follows:</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1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Six Months Ended June 30, 2021</w:t>
            </w:r>
          </w:p>
        </w:tc>
        <w:tc>
          <w:tcPr>
            <w:tcW w:w="3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1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tcPr>
          <w:p>
            <w:pPr>
              <w:jc w:val="center"/>
              <w:ind w:right="260"/>
              <w:spacing w:after="0" w:line="122" w:lineRule="exact"/>
              <w:rPr>
                <w:sz w:val="20"/>
                <w:szCs w:val="20"/>
                <w:color w:val="auto"/>
              </w:rPr>
            </w:pPr>
            <w:r>
              <w:rPr>
                <w:rFonts w:ascii="Arial" w:cs="Arial" w:eastAsia="Arial" w:hAnsi="Arial"/>
                <w:sz w:val="14"/>
                <w:szCs w:val="14"/>
                <w:b w:val="1"/>
                <w:bCs w:val="1"/>
                <w:color w:val="auto"/>
                <w:w w:val="88"/>
              </w:rPr>
              <w:t>Reserve</w:t>
            </w: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Foreign Exchange and</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Reserve Balance as of</w:t>
            </w:r>
          </w:p>
        </w:tc>
        <w:tc>
          <w:tcPr>
            <w:tcW w:w="0" w:type="dxa"/>
            <w:vAlign w:val="bottom"/>
          </w:tcPr>
          <w:p>
            <w:pPr>
              <w:spacing w:after="0"/>
              <w:rPr>
                <w:sz w:val="1"/>
                <w:szCs w:val="1"/>
                <w:color w:val="auto"/>
              </w:rPr>
            </w:pPr>
          </w:p>
        </w:tc>
      </w:tr>
      <w:tr>
        <w:trPr>
          <w:trHeight w:val="135"/>
        </w:trPr>
        <w:tc>
          <w:tcPr>
            <w:tcW w:w="20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20" w:type="dxa"/>
            <w:vAlign w:val="bottom"/>
          </w:tcPr>
          <w:p>
            <w:pPr>
              <w:spacing w:after="0"/>
              <w:rPr>
                <w:sz w:val="11"/>
                <w:szCs w:val="11"/>
                <w:color w:val="auto"/>
              </w:rPr>
            </w:pPr>
          </w:p>
        </w:tc>
        <w:tc>
          <w:tcPr>
            <w:tcW w:w="142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Charges Incurred</w:t>
            </w:r>
          </w:p>
        </w:tc>
        <w:tc>
          <w:tcPr>
            <w:tcW w:w="260" w:type="dxa"/>
            <w:vAlign w:val="bottom"/>
          </w:tcPr>
          <w:p>
            <w:pPr>
              <w:spacing w:after="0"/>
              <w:rPr>
                <w:sz w:val="11"/>
                <w:szCs w:val="11"/>
                <w:color w:val="auto"/>
              </w:rPr>
            </w:pPr>
          </w:p>
        </w:tc>
        <w:tc>
          <w:tcPr>
            <w:tcW w:w="12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Payments</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Reversals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gridSpan w:val="2"/>
          </w:tcPr>
          <w:p>
            <w:pPr>
              <w:ind w:left="200"/>
              <w:spacing w:after="0"/>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6"/>
                <w:szCs w:val="16"/>
                <w:color w:val="auto"/>
              </w:rPr>
            </w:pPr>
          </w:p>
        </w:tc>
        <w:tc>
          <w:tcPr>
            <w:tcW w:w="1220" w:type="dxa"/>
            <w:vAlign w:val="bottom"/>
          </w:tcPr>
          <w:p>
            <w:pPr>
              <w:jc w:val="right"/>
              <w:ind w:right="212"/>
              <w:spacing w:after="0"/>
              <w:rPr>
                <w:sz w:val="20"/>
                <w:szCs w:val="20"/>
                <w:color w:val="auto"/>
              </w:rPr>
            </w:pPr>
            <w:r>
              <w:rPr>
                <w:rFonts w:ascii="Arial" w:cs="Arial" w:eastAsia="Arial" w:hAnsi="Arial"/>
                <w:sz w:val="14"/>
                <w:szCs w:val="14"/>
                <w:b w:val="1"/>
                <w:bCs w:val="1"/>
                <w:color w:val="auto"/>
                <w:w w:val="98"/>
              </w:rPr>
              <w:t>June 30, 2021</w:t>
            </w:r>
          </w:p>
        </w:tc>
        <w:tc>
          <w:tcPr>
            <w:tcW w:w="0" w:type="dxa"/>
            <w:vAlign w:val="bottom"/>
          </w:tcPr>
          <w:p>
            <w:pPr>
              <w:spacing w:after="0"/>
              <w:rPr>
                <w:sz w:val="1"/>
                <w:szCs w:val="1"/>
                <w:color w:val="auto"/>
              </w:rPr>
            </w:pPr>
          </w:p>
        </w:tc>
      </w:tr>
      <w:tr>
        <w:trPr>
          <w:trHeight w:val="224"/>
        </w:trPr>
        <w:tc>
          <w:tcPr>
            <w:tcW w:w="1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Severance</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gridSpan w:val="2"/>
          </w:tcPr>
          <w:p>
            <w:pPr>
              <w:ind w:left="220"/>
              <w:spacing w:after="0"/>
              <w:rPr>
                <w:sz w:val="20"/>
                <w:szCs w:val="20"/>
                <w:color w:val="auto"/>
              </w:rPr>
            </w:pPr>
            <w:r>
              <w:rPr>
                <w:rFonts w:ascii="Arial" w:cs="Arial" w:eastAsia="Arial" w:hAnsi="Arial"/>
                <w:sz w:val="18"/>
                <w:szCs w:val="18"/>
                <w:color w:val="auto"/>
              </w:rPr>
              <w:t>Transportation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9"/>
                <w:szCs w:val="19"/>
                <w:color w:val="auto"/>
              </w:rPr>
            </w:pPr>
          </w:p>
        </w:tc>
        <w:tc>
          <w:tcPr>
            <w:tcW w:w="1080" w:type="dxa"/>
            <w:vAlign w:val="bottom"/>
          </w:tcPr>
          <w:p>
            <w:pPr>
              <w:jc w:val="right"/>
              <w:ind w:right="896"/>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Logistics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80" w:type="dxa"/>
            <w:vAlign w:val="bottom"/>
            <w:gridSpan w:val="2"/>
          </w:tcPr>
          <w:p>
            <w:pPr>
              <w:ind w:left="2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2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severance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(9)</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Facilities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2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facilities</w:t>
            </w: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8"/>
        </w:trPr>
        <w:tc>
          <w:tcPr>
            <w:tcW w:w="2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9"/>
              </w:rPr>
              <w:t>(9)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We expect the majority of the cash outlays related to the charges incurred in 2021 will be complete within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the normal course of business, we are exposed to risks arising from business operations and economic factors, including fluctuations in interest rates and foreign currencies. We use derivative instruments to manage the volatility related to these exposures. The objective of these derivative instruments is to reduce fluctuations in our earnings and cash flows associated with changes in foreign currency exchange rates and interest rates. These financial instruments are not used for trading or other speculative purposes. Historically, we have not incurred, and do not expect to incur in the future, any losses as a result of counterparty default.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derivative instruments and the related notional amounts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0"/>
              </w:rPr>
              <w:t>June 30, 2021</w:t>
            </w:r>
          </w:p>
        </w:tc>
        <w:tc>
          <w:tcPr>
            <w:tcW w:w="1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1,040</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6"/>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Derivatives not designated as hedges</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Foreign currency option contracts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392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0"/>
        </w:trPr>
        <w:tc>
          <w:tcPr>
            <w:tcW w:w="3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3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3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4"/>
                <w:szCs w:val="14"/>
                <w:b w:val="1"/>
                <w:bCs w:val="1"/>
                <w:color w:val="auto"/>
                <w:w w:val="91"/>
              </w:rPr>
              <w:t>December 31, 2020</w:t>
            </w:r>
          </w:p>
        </w:tc>
        <w:tc>
          <w:tcPr>
            <w:tcW w:w="1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Borders>
              <w:bottom w:val="single" w:sz="8" w:color="auto"/>
            </w:tcBorders>
            <w:gridSpan w:val="2"/>
          </w:tcPr>
          <w:p>
            <w:pPr>
              <w:ind w:left="940"/>
              <w:spacing w:after="0"/>
              <w:rPr>
                <w:sz w:val="20"/>
                <w:szCs w:val="20"/>
                <w:color w:val="auto"/>
              </w:rPr>
            </w:pPr>
            <w:r>
              <w:rPr>
                <w:rFonts w:ascii="Arial" w:cs="Arial" w:eastAsia="Arial" w:hAnsi="Arial"/>
                <w:sz w:val="14"/>
                <w:szCs w:val="14"/>
                <w:b w:val="1"/>
                <w:bCs w:val="1"/>
                <w:color w:val="auto"/>
                <w:w w:val="89"/>
              </w:rPr>
              <w:t>Derivative Assets</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2"/>
          </w:tcPr>
          <w:p>
            <w:pPr>
              <w:ind w:left="720"/>
              <w:spacing w:after="0"/>
              <w:rPr>
                <w:sz w:val="20"/>
                <w:szCs w:val="20"/>
                <w:color w:val="auto"/>
              </w:rPr>
            </w:pPr>
            <w:r>
              <w:rPr>
                <w:rFonts w:ascii="Arial" w:cs="Arial" w:eastAsia="Arial" w:hAnsi="Arial"/>
                <w:sz w:val="14"/>
                <w:szCs w:val="14"/>
                <w:b w:val="1"/>
                <w:bCs w:val="1"/>
                <w:color w:val="auto"/>
                <w:w w:val="98"/>
              </w:rPr>
              <w:t>Derivative Liabilities</w:t>
            </w: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92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0"/>
                <w:szCs w:val="10"/>
                <w:color w:val="auto"/>
              </w:rPr>
            </w:pPr>
          </w:p>
        </w:tc>
        <w:tc>
          <w:tcPr>
            <w:tcW w:w="900" w:type="dxa"/>
            <w:vAlign w:val="bottom"/>
            <w:gridSpan w:val="2"/>
          </w:tcPr>
          <w:p>
            <w:pPr>
              <w:ind w:left="60"/>
              <w:spacing w:after="0" w:line="118" w:lineRule="exact"/>
              <w:rPr>
                <w:sz w:val="20"/>
                <w:szCs w:val="20"/>
                <w:color w:val="auto"/>
              </w:rPr>
            </w:pPr>
            <w:r>
              <w:rPr>
                <w:rFonts w:ascii="Arial" w:cs="Arial" w:eastAsia="Arial" w:hAnsi="Arial"/>
                <w:sz w:val="13"/>
                <w:szCs w:val="13"/>
                <w:b w:val="1"/>
                <w:bCs w:val="1"/>
                <w:color w:val="auto"/>
              </w:rPr>
              <w:t>Notional</w:t>
            </w:r>
          </w:p>
        </w:tc>
        <w:tc>
          <w:tcPr>
            <w:tcW w:w="20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0"/>
              </w:rPr>
              <w:t>Balance Sheet Caption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20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Balance Sheet Caption</w:t>
            </w:r>
          </w:p>
        </w:tc>
        <w:tc>
          <w:tcPr>
            <w:tcW w:w="100" w:type="dxa"/>
            <w:vAlign w:val="bottom"/>
          </w:tcPr>
          <w:p>
            <w:pPr>
              <w:spacing w:after="0"/>
              <w:rPr>
                <w:sz w:val="10"/>
                <w:szCs w:val="10"/>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8"/>
        </w:trPr>
        <w:tc>
          <w:tcPr>
            <w:tcW w:w="3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20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hedges</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450</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92"/>
        </w:trPr>
        <w:tc>
          <w:tcPr>
            <w:tcW w:w="39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Cross-currency swap agreements</w:t>
            </w: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20" w:type="dxa"/>
            <w:vAlign w:val="bottom"/>
            <w:shd w:val="clear" w:color="auto" w:fill="CCEEFF"/>
          </w:tcPr>
          <w:p>
            <w:pPr>
              <w:spacing w:after="0"/>
              <w:rPr>
                <w:sz w:val="16"/>
                <w:szCs w:val="16"/>
                <w:color w:val="auto"/>
              </w:rPr>
            </w:pPr>
          </w:p>
        </w:tc>
        <w:tc>
          <w:tcPr>
            <w:tcW w:w="2000" w:type="dxa"/>
            <w:vAlign w:val="bottom"/>
            <w:gridSpan w:val="2"/>
            <w:shd w:val="clear" w:color="auto" w:fill="CCEEFF"/>
          </w:tcPr>
          <w:p>
            <w:pPr>
              <w:jc w:val="center"/>
              <w:ind w:right="20"/>
              <w:spacing w:after="0"/>
              <w:rPr>
                <w:sz w:val="20"/>
                <w:szCs w:val="20"/>
                <w:color w:val="auto"/>
              </w:rPr>
            </w:pPr>
            <w:r>
              <w:rPr>
                <w:rFonts w:ascii="Arial" w:cs="Arial" w:eastAsia="Arial" w:hAnsi="Arial"/>
                <w:sz w:val="14"/>
                <w:szCs w:val="14"/>
                <w:color w:val="auto"/>
                <w:w w:val="91"/>
              </w:rPr>
              <w:t>Other long-term assets</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3"/>
            <w:shd w:val="clear" w:color="auto" w:fill="CCEEFF"/>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shd w:val="clear" w:color="auto" w:fill="CCEEFF"/>
          </w:tcPr>
          <w:p>
            <w:pPr>
              <w:jc w:val="center"/>
              <w:ind w:right="320"/>
              <w:spacing w:after="0"/>
              <w:rPr>
                <w:sz w:val="20"/>
                <w:szCs w:val="20"/>
                <w:color w:val="auto"/>
              </w:rPr>
            </w:pPr>
            <w:r>
              <w:rPr>
                <w:rFonts w:ascii="Arial" w:cs="Arial" w:eastAsia="Arial" w:hAnsi="Arial"/>
                <w:sz w:val="14"/>
                <w:szCs w:val="14"/>
                <w:color w:val="auto"/>
                <w:w w:val="98"/>
              </w:rPr>
              <w:t>Other long-term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6"/>
        </w:trPr>
        <w:tc>
          <w:tcPr>
            <w:tcW w:w="3920" w:type="dxa"/>
            <w:vAlign w:val="bottom"/>
            <w:gridSpan w:val="2"/>
          </w:tcPr>
          <w:p>
            <w:pPr>
              <w:ind w:left="140"/>
              <w:spacing w:after="0"/>
              <w:rPr>
                <w:sz w:val="20"/>
                <w:szCs w:val="20"/>
                <w:color w:val="auto"/>
              </w:rPr>
            </w:pPr>
            <w:r>
              <w:rPr>
                <w:rFonts w:ascii="Arial" w:cs="Arial" w:eastAsia="Arial" w:hAnsi="Arial"/>
                <w:sz w:val="14"/>
                <w:szCs w:val="14"/>
                <w:color w:val="auto"/>
              </w:rPr>
              <w:t>Interest rate swaps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2,003</w:t>
            </w:r>
          </w:p>
        </w:tc>
        <w:tc>
          <w:tcPr>
            <w:tcW w:w="120" w:type="dxa"/>
            <w:vAlign w:val="bottom"/>
          </w:tcPr>
          <w:p>
            <w:pPr>
              <w:spacing w:after="0"/>
              <w:rPr>
                <w:sz w:val="16"/>
                <w:szCs w:val="16"/>
                <w:color w:val="auto"/>
              </w:rPr>
            </w:pPr>
          </w:p>
        </w:tc>
        <w:tc>
          <w:tcPr>
            <w:tcW w:w="2000" w:type="dxa"/>
            <w:vAlign w:val="bottom"/>
            <w:gridSpan w:val="2"/>
          </w:tcPr>
          <w:p>
            <w:pPr>
              <w:jc w:val="center"/>
              <w:ind w:right="20"/>
              <w:spacing w:after="0"/>
              <w:rPr>
                <w:sz w:val="20"/>
                <w:szCs w:val="20"/>
                <w:color w:val="auto"/>
              </w:rPr>
            </w:pPr>
            <w:r>
              <w:rPr>
                <w:rFonts w:ascii="Arial" w:cs="Arial" w:eastAsia="Arial" w:hAnsi="Arial"/>
                <w:sz w:val="14"/>
                <w:szCs w:val="14"/>
                <w:color w:val="auto"/>
                <w:w w:val="89"/>
              </w:rPr>
              <w:t>Other current assets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2080" w:type="dxa"/>
            <w:vAlign w:val="bottom"/>
            <w:gridSpan w:val="2"/>
          </w:tcPr>
          <w:p>
            <w:pPr>
              <w:jc w:val="center"/>
              <w:ind w:right="320"/>
              <w:spacing w:after="0"/>
              <w:rPr>
                <w:sz w:val="20"/>
                <w:szCs w:val="20"/>
                <w:color w:val="auto"/>
              </w:rPr>
            </w:pPr>
            <w:r>
              <w:rPr>
                <w:rFonts w:ascii="Arial" w:cs="Arial" w:eastAsia="Arial" w:hAnsi="Arial"/>
                <w:sz w:val="14"/>
                <w:szCs w:val="14"/>
                <w:color w:val="auto"/>
                <w:w w:val="97"/>
              </w:rPr>
              <w:t>Other current liabilities</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39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CCEEFF"/>
              <w:bottom w:val="single" w:sz="8" w:color="CCEEFF"/>
            </w:tcBorders>
            <w:gridSpan w:val="2"/>
            <w:shd w:val="clear" w:color="auto" w:fill="CCEEFF"/>
          </w:tcPr>
          <w:p>
            <w:pPr>
              <w:spacing w:after="0"/>
              <w:rPr>
                <w:sz w:val="17"/>
                <w:szCs w:val="17"/>
                <w:color w:val="auto"/>
              </w:rPr>
            </w:pPr>
          </w:p>
        </w:tc>
        <w:tc>
          <w:tcPr>
            <w:tcW w:w="19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derivatives are classified as Level 2 within the fair value hierarchy. The derivatives are valued using inputs other than quoted prices such as foreign exchange rates and yield curves.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The effect of derivative and nonderivative instruments designated as hedges on our Condensed Consolidated Statements of Income (Loss)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Amount of Gain (Loss) Recognized</w:t>
            </w:r>
          </w:p>
        </w:tc>
        <w:tc>
          <w:tcPr>
            <w:tcW w:w="2440" w:type="dxa"/>
            <w:vAlign w:val="bottom"/>
            <w:gridSpan w:val="6"/>
            <w:vMerge w:val="restart"/>
          </w:tcPr>
          <w:p>
            <w:pPr>
              <w:jc w:val="center"/>
              <w:ind w:right="120"/>
              <w:spacing w:after="0"/>
              <w:rPr>
                <w:sz w:val="20"/>
                <w:szCs w:val="20"/>
                <w:color w:val="auto"/>
              </w:rPr>
            </w:pPr>
            <w:r>
              <w:rPr>
                <w:rFonts w:ascii="Arial" w:cs="Arial" w:eastAsia="Arial" w:hAnsi="Arial"/>
                <w:sz w:val="14"/>
                <w:szCs w:val="14"/>
                <w:b w:val="1"/>
                <w:bCs w:val="1"/>
                <w:color w:val="auto"/>
                <w:w w:val="91"/>
              </w:rPr>
              <w:t>Amount of Gain (Loss) Reclassified</w:t>
            </w:r>
          </w:p>
        </w:tc>
        <w:tc>
          <w:tcPr>
            <w:tcW w:w="160" w:type="dxa"/>
            <w:vAlign w:val="bottom"/>
          </w:tcPr>
          <w:p>
            <w:pPr>
              <w:spacing w:after="0"/>
              <w:rPr>
                <w:sz w:val="14"/>
                <w:szCs w:val="14"/>
                <w:color w:val="auto"/>
              </w:rPr>
            </w:pPr>
          </w:p>
        </w:tc>
        <w:tc>
          <w:tcPr>
            <w:tcW w:w="2180" w:type="dxa"/>
            <w:vAlign w:val="bottom"/>
            <w:gridSpan w:val="4"/>
          </w:tcPr>
          <w:p>
            <w:pPr>
              <w:ind w:left="80"/>
              <w:spacing w:after="0"/>
              <w:rPr>
                <w:sz w:val="20"/>
                <w:szCs w:val="20"/>
                <w:color w:val="auto"/>
              </w:rPr>
            </w:pPr>
            <w:r>
              <w:rPr>
                <w:rFonts w:ascii="Arial" w:cs="Arial" w:eastAsia="Arial" w:hAnsi="Arial"/>
                <w:sz w:val="14"/>
                <w:szCs w:val="14"/>
                <w:b w:val="1"/>
                <w:bCs w:val="1"/>
                <w:color w:val="auto"/>
              </w:rPr>
              <w:t>Amount of Gain Recognized in</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gridSpan w:val="6"/>
          </w:tcPr>
          <w:p>
            <w:pPr>
              <w:jc w:val="center"/>
              <w:ind w:right="140"/>
              <w:spacing w:after="0" w:line="135" w:lineRule="exact"/>
              <w:rPr>
                <w:sz w:val="20"/>
                <w:szCs w:val="20"/>
                <w:color w:val="auto"/>
              </w:rPr>
            </w:pPr>
            <w:r>
              <w:rPr>
                <w:rFonts w:ascii="Arial" w:cs="Arial" w:eastAsia="Arial" w:hAnsi="Arial"/>
                <w:sz w:val="14"/>
                <w:szCs w:val="14"/>
                <w:b w:val="1"/>
                <w:bCs w:val="1"/>
                <w:color w:val="auto"/>
                <w:w w:val="93"/>
              </w:rPr>
              <w:t>in Other Comprehensive Income on</w:t>
            </w:r>
          </w:p>
        </w:tc>
        <w:tc>
          <w:tcPr>
            <w:tcW w:w="2440" w:type="dxa"/>
            <w:vAlign w:val="bottom"/>
            <w:gridSpan w:val="6"/>
            <w:vMerge w:val="continue"/>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4"/>
          </w:tcPr>
          <w:p>
            <w:pPr>
              <w:ind w:left="60"/>
              <w:spacing w:after="0" w:line="135" w:lineRule="exact"/>
              <w:rPr>
                <w:sz w:val="20"/>
                <w:szCs w:val="20"/>
                <w:color w:val="auto"/>
              </w:rPr>
            </w:pPr>
            <w:r>
              <w:rPr>
                <w:rFonts w:ascii="Arial" w:cs="Arial" w:eastAsia="Arial" w:hAnsi="Arial"/>
                <w:sz w:val="14"/>
                <w:szCs w:val="14"/>
                <w:b w:val="1"/>
                <w:bCs w:val="1"/>
                <w:color w:val="auto"/>
              </w:rPr>
              <w:t>Income on Derivative (Amount</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608"/>
              <w:spacing w:after="0"/>
              <w:rPr>
                <w:sz w:val="20"/>
                <w:szCs w:val="20"/>
                <w:color w:val="auto"/>
              </w:rPr>
            </w:pPr>
            <w:r>
              <w:rPr>
                <w:rFonts w:ascii="Arial" w:cs="Arial" w:eastAsia="Arial" w:hAnsi="Arial"/>
                <w:sz w:val="14"/>
                <w:szCs w:val="14"/>
                <w:b w:val="1"/>
                <w:bCs w:val="1"/>
                <w:color w:val="auto"/>
                <w:w w:val="93"/>
              </w:rPr>
              <w:t>Derivatives</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6"/>
              </w:rPr>
              <w:t>from AOCI into Net Income (Loss)</w:t>
            </w: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Excluded from Effectiveness Testing)</w:t>
            </w: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36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2"/>
              </w:rPr>
              <w:t>Three Months Ended June 30,</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5"/>
                <w:szCs w:val="15"/>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cash flow hedges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ind w:left="8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Pr>
          <w:p>
            <w:pPr>
              <w:ind w:left="660"/>
              <w:spacing w:after="0"/>
              <w:rPr>
                <w:sz w:val="20"/>
                <w:szCs w:val="20"/>
                <w:color w:val="auto"/>
              </w:rPr>
            </w:pPr>
            <w:r>
              <w:rPr>
                <w:rFonts w:ascii="Arial" w:cs="Arial" w:eastAsia="Arial" w:hAnsi="Arial"/>
                <w:sz w:val="14"/>
                <w:szCs w:val="14"/>
                <w:color w:val="auto"/>
                <w:w w:val="93"/>
              </w:rPr>
              <w:t>(3)</w:t>
            </w:r>
          </w:p>
        </w:tc>
        <w:tc>
          <w:tcPr>
            <w:tcW w:w="12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Derivatives designated as net investment hedges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2"/>
          </w:tcPr>
          <w:p>
            <w:pPr>
              <w:ind w:left="8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1"/>
        </w:trPr>
        <w:tc>
          <w:tcPr>
            <w:tcW w:w="39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w w:val="93"/>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2"/>
              </w:rPr>
              <w:t>Amount of Gain (Loss) Recognized</w:t>
            </w:r>
          </w:p>
        </w:tc>
        <w:tc>
          <w:tcPr>
            <w:tcW w:w="100" w:type="dxa"/>
            <w:vAlign w:val="bottom"/>
          </w:tcPr>
          <w:p>
            <w:pPr>
              <w:spacing w:after="0"/>
              <w:rPr>
                <w:sz w:val="14"/>
                <w:szCs w:val="14"/>
                <w:color w:val="auto"/>
              </w:rPr>
            </w:pPr>
          </w:p>
        </w:tc>
        <w:tc>
          <w:tcPr>
            <w:tcW w:w="2340" w:type="dxa"/>
            <w:vAlign w:val="bottom"/>
            <w:gridSpan w:val="5"/>
            <w:vMerge w:val="restart"/>
          </w:tcPr>
          <w:p>
            <w:pPr>
              <w:jc w:val="center"/>
              <w:ind w:right="200"/>
              <w:spacing w:after="0"/>
              <w:rPr>
                <w:sz w:val="20"/>
                <w:szCs w:val="20"/>
                <w:color w:val="auto"/>
              </w:rPr>
            </w:pPr>
            <w:r>
              <w:rPr>
                <w:rFonts w:ascii="Arial" w:cs="Arial" w:eastAsia="Arial" w:hAnsi="Arial"/>
                <w:sz w:val="14"/>
                <w:szCs w:val="14"/>
                <w:b w:val="1"/>
                <w:bCs w:val="1"/>
                <w:color w:val="auto"/>
                <w:w w:val="93"/>
              </w:rPr>
              <w:t>Amount of Gain Reclassified from</w:t>
            </w:r>
          </w:p>
        </w:tc>
        <w:tc>
          <w:tcPr>
            <w:tcW w:w="160" w:type="dxa"/>
            <w:vAlign w:val="bottom"/>
          </w:tcPr>
          <w:p>
            <w:pPr>
              <w:spacing w:after="0"/>
              <w:rPr>
                <w:sz w:val="14"/>
                <w:szCs w:val="14"/>
                <w:color w:val="auto"/>
              </w:rPr>
            </w:pPr>
          </w:p>
        </w:tc>
        <w:tc>
          <w:tcPr>
            <w:tcW w:w="218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95"/>
              </w:rPr>
              <w:t>Amount of Gain Recognized in</w:t>
            </w:r>
          </w:p>
        </w:tc>
        <w:tc>
          <w:tcPr>
            <w:tcW w:w="0" w:type="dxa"/>
            <w:vAlign w:val="bottom"/>
          </w:tcPr>
          <w:p>
            <w:pPr>
              <w:spacing w:after="0"/>
              <w:rPr>
                <w:sz w:val="1"/>
                <w:szCs w:val="1"/>
                <w:color w:val="auto"/>
              </w:rPr>
            </w:pPr>
          </w:p>
        </w:tc>
      </w:tr>
      <w:tr>
        <w:trPr>
          <w:trHeight w:val="135"/>
        </w:trPr>
        <w:tc>
          <w:tcPr>
            <w:tcW w:w="3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80" w:type="dxa"/>
            <w:vAlign w:val="bottom"/>
            <w:gridSpan w:val="5"/>
          </w:tcPr>
          <w:p>
            <w:pPr>
              <w:jc w:val="center"/>
              <w:ind w:right="220"/>
              <w:spacing w:after="0" w:line="135" w:lineRule="exact"/>
              <w:rPr>
                <w:sz w:val="20"/>
                <w:szCs w:val="20"/>
                <w:color w:val="auto"/>
              </w:rPr>
            </w:pPr>
            <w:r>
              <w:rPr>
                <w:rFonts w:ascii="Arial" w:cs="Arial" w:eastAsia="Arial" w:hAnsi="Arial"/>
                <w:sz w:val="14"/>
                <w:szCs w:val="14"/>
                <w:b w:val="1"/>
                <w:bCs w:val="1"/>
                <w:color w:val="auto"/>
                <w:w w:val="92"/>
              </w:rPr>
              <w:t>in Other Comprehensive Income</w:t>
            </w:r>
          </w:p>
        </w:tc>
        <w:tc>
          <w:tcPr>
            <w:tcW w:w="100" w:type="dxa"/>
            <w:vAlign w:val="bottom"/>
          </w:tcPr>
          <w:p>
            <w:pPr>
              <w:spacing w:after="0"/>
              <w:rPr>
                <w:sz w:val="11"/>
                <w:szCs w:val="11"/>
                <w:color w:val="auto"/>
              </w:rPr>
            </w:pPr>
          </w:p>
        </w:tc>
        <w:tc>
          <w:tcPr>
            <w:tcW w:w="2340" w:type="dxa"/>
            <w:vAlign w:val="bottom"/>
            <w:gridSpan w:val="5"/>
            <w:vMerge w:val="continue"/>
          </w:tcPr>
          <w:p>
            <w:pPr>
              <w:spacing w:after="0"/>
              <w:rPr>
                <w:sz w:val="11"/>
                <w:szCs w:val="11"/>
                <w:color w:val="auto"/>
              </w:rPr>
            </w:pPr>
          </w:p>
        </w:tc>
        <w:tc>
          <w:tcPr>
            <w:tcW w:w="160" w:type="dxa"/>
            <w:vAlign w:val="bottom"/>
          </w:tcPr>
          <w:p>
            <w:pPr>
              <w:spacing w:after="0"/>
              <w:rPr>
                <w:sz w:val="11"/>
                <w:szCs w:val="11"/>
                <w:color w:val="auto"/>
              </w:rPr>
            </w:pPr>
          </w:p>
        </w:tc>
        <w:tc>
          <w:tcPr>
            <w:tcW w:w="2180" w:type="dxa"/>
            <w:vAlign w:val="bottom"/>
            <w:gridSpan w:val="4"/>
          </w:tcPr>
          <w:p>
            <w:pPr>
              <w:jc w:val="right"/>
              <w:ind w:right="128"/>
              <w:spacing w:after="0" w:line="135" w:lineRule="exact"/>
              <w:rPr>
                <w:sz w:val="20"/>
                <w:szCs w:val="20"/>
                <w:color w:val="auto"/>
              </w:rPr>
            </w:pPr>
            <w:r>
              <w:rPr>
                <w:rFonts w:ascii="Arial" w:cs="Arial" w:eastAsia="Arial" w:hAnsi="Arial"/>
                <w:sz w:val="14"/>
                <w:szCs w:val="14"/>
                <w:b w:val="1"/>
                <w:bCs w:val="1"/>
                <w:color w:val="auto"/>
                <w:w w:val="96"/>
              </w:rPr>
              <w:t>Income on Derivative (Amount</w:t>
            </w:r>
          </w:p>
        </w:tc>
        <w:tc>
          <w:tcPr>
            <w:tcW w:w="0" w:type="dxa"/>
            <w:vAlign w:val="bottom"/>
          </w:tcPr>
          <w:p>
            <w:pPr>
              <w:spacing w:after="0"/>
              <w:rPr>
                <w:sz w:val="1"/>
                <w:szCs w:val="1"/>
                <w:color w:val="auto"/>
              </w:rPr>
            </w:pPr>
          </w:p>
        </w:tc>
      </w:tr>
      <w:tr>
        <w:trPr>
          <w:trHeight w:val="188"/>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4"/>
                <w:szCs w:val="14"/>
                <w:b w:val="1"/>
                <w:bCs w:val="1"/>
                <w:color w:val="auto"/>
                <w:w w:val="91"/>
              </w:rPr>
              <w:t>(Loss) on Derivatives</w:t>
            </w:r>
          </w:p>
        </w:tc>
        <w:tc>
          <w:tcPr>
            <w:tcW w:w="1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7"/>
              </w:rPr>
              <w:t>AOCI into Net Income</w:t>
            </w:r>
          </w:p>
        </w:tc>
        <w:tc>
          <w:tcPr>
            <w:tcW w:w="23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w w:val="91"/>
              </w:rPr>
              <w:t>Excluded from Effectiveness Testing)</w:t>
            </w:r>
          </w:p>
        </w:tc>
        <w:tc>
          <w:tcPr>
            <w:tcW w:w="0" w:type="dxa"/>
            <w:vAlign w:val="bottom"/>
          </w:tcPr>
          <w:p>
            <w:pPr>
              <w:spacing w:after="0"/>
              <w:rPr>
                <w:sz w:val="1"/>
                <w:szCs w:val="1"/>
                <w:color w:val="auto"/>
              </w:rPr>
            </w:pPr>
          </w:p>
        </w:tc>
      </w:tr>
      <w:tr>
        <w:trPr>
          <w:trHeight w:val="181"/>
        </w:trPr>
        <w:tc>
          <w:tcPr>
            <w:tcW w:w="3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2"/>
              </w:rPr>
              <w:t>Six Months Ended June 30,</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9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80" w:type="dxa"/>
            <w:vAlign w:val="bottom"/>
          </w:tcPr>
          <w:p>
            <w:pPr>
              <w:spacing w:after="0"/>
              <w:rPr>
                <w:sz w:val="15"/>
                <w:szCs w:val="15"/>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84"/>
        </w:trPr>
        <w:tc>
          <w:tcPr>
            <w:tcW w:w="3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Derivatives designated as cash flow hedges</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900" w:type="dxa"/>
            <w:vAlign w:val="bottom"/>
            <w:gridSpan w:val="2"/>
          </w:tcPr>
          <w:p>
            <w:pPr>
              <w:ind w:left="140"/>
              <w:spacing w:after="0"/>
              <w:rPr>
                <w:sz w:val="20"/>
                <w:szCs w:val="20"/>
                <w:color w:val="auto"/>
              </w:rPr>
            </w:pPr>
            <w:r>
              <w:rPr>
                <w:rFonts w:ascii="Arial" w:cs="Arial" w:eastAsia="Arial" w:hAnsi="Arial"/>
                <w:sz w:val="14"/>
                <w:szCs w:val="14"/>
                <w:color w:val="auto"/>
              </w:rPr>
              <w:t>Cross-currency swap agreements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Interest rate swaps</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Derivatives designated as net investment hedges</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9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Cross-currency swap agreements</w:t>
            </w: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3"/>
        </w:trPr>
        <w:tc>
          <w:tcPr>
            <w:tcW w:w="390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pre-tax gain (loss) recognized in earnings for foreign currency option and forward contracts not designated as hedging instruments were losses of $2 million and $1 million for the three and six months ended June 30, 2021, respectively, and a loss of $2 million and a gain of $2 million for the three and six months ended June 30, 2020, respectively. These amounts are recorded in Foreign currency (gain) loss on our Condensed Consolidated Statements of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Cross-Currency Swap Agreements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enter into cross-currency swap agreements to manage the foreign currency exchange risk related to our international operations by effectively converting our fixed-rate USD-denominated debt, including the associated interest payments, to fixed-rate, euro (“EUR”)-denominated debt. The risk management objective of these transactions is to manage foreign currency risk relating to net investments in subsidiaries denominated in foreign currencies and reduce the variability in the functional currency equivalent cash flows of this debt.</w:t>
      </w:r>
    </w:p>
    <w:p>
      <w:pPr>
        <w:spacing w:after="0" w:line="79"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During the term of the swap contracts, we will receive interest, either on a quarterly or semi-annual basis, from the counterparties based on USD fixed interest rates, and we will pay interest, also on a quarterly or semi-annual basis, to the counterparties based on EUR fixed interest rates. At maturity, we will repay the original principal amount in EUR and receive the principal amount in USD. These agreements expire at various dates through 2024.</w:t>
      </w:r>
    </w:p>
    <w:p>
      <w:pPr>
        <w:spacing w:after="0" w:line="4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designated these cross-currency swaps as qualifying hedging instruments and account for them as net investment hedges. We apply the simplified method of assessing the effectiveness of our net investment hedging relationships. Under this method, for each reporting period, the change in the fair value of the cross-currency swaps is initially recognized in Accumulated other comprehensive income (“AOCI”). The change in the fair value due to foreign exchange remains in AOCI and the initial component excluded from effectiveness testing will initially remain in AOCI and then will be reclassified from AOCI to Interest expense each period in a systematic manner. For net investment hedges that were de-designated prior to their maturity, the amounts in AOCI will remain in AOCI until the subsidiary is sold or substantially liquidated. Cash flows related to the periodic exchange of interest payments for these net investment hedges are included in Operating activities on our Condensed Consolidated Statements of Cash Flows.</w:t>
      </w:r>
    </w:p>
    <w:p>
      <w:pPr>
        <w:spacing w:after="0" w:line="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also enter into cross-currency swap agreements to manage the related foreign currency exposure from intercompany loans. We designated these cross-currency swaps as qualifying hedging instruments and account for them as cash flow hedges. Gains and losses resulting from the change in the fair value of the cross-currency swaps are initially recognized in AOCI and reclassified to Foreign currency (gain) loss to offset the foreign exchange impact in earnings created by the intercompany loans. Cash flows related to these cash flow hedges are included in Operating activities on our Condensed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Hedging</w:t>
      </w:r>
    </w:p>
    <w:p>
      <w:pPr>
        <w:spacing w:after="0" w:line="117"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execute short-term interest rate swaps to mitigate variability in forecasted interest payments on our Senior Secured Term Loan Credit Agreement (the “Term Loan Credit Agreement”). The interest rate swaps convert floating-rate interest payments into fixed rate interest payments. We designated the interest rate swaps as qualifying hedging instruments and account for these derivatives as cash flow hedges. There were no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outstanding as of June 30, 2021.</w:t>
      </w:r>
    </w:p>
    <w:p>
      <w:pPr>
        <w:spacing w:after="0" w:line="117"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record gains and losses resulting from fair value adjustments to the designated portion of interest rate swaps in AOCI and reclassify them to Interest expense on the dates that interest payments accrue. Cash flows related to the interest rate swaps are included in Operating activities on our Condensed Consolidated Statements of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Option and Forward Contracts</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use foreign currency option contracts to mitigate the risk of a reduction in the value of earnings from our operations that use the EUR or the British pound sterling as their functional currency. Additionally, we use foreign currency forward contracts to mitigate exposure from intercompany loans that are not designated as permanent and can create volatility in earnings. The foreign currency contracts (both option and forward contracts) were not designated as qualifying hedging instruments as of June 30, 2021. The contracts are used to manage our exposure to foreign currency exchange rate fluctuations and are not speculative. The contracts generally expire in 12 months or less. Gains or losses on the contracts are recorded in Foreign currency (gain) loss on our Condensed Consolidated Statements of Income (Loss). Cash flows related to the foreign currency contracts are included in Investing activities on our Condensed Consolidated Statements of Cash Flows, consistent with the nature and purpose for which these derivatives were acquired.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360" w:type="dxa"/>
            <w:vAlign w:val="bottom"/>
            <w:gridSpan w:val="5"/>
          </w:tcPr>
          <w:p>
            <w:pPr>
              <w:ind w:left="480"/>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Pr>
          <w:p>
            <w:pPr>
              <w:spacing w:after="0"/>
              <w:rPr>
                <w:sz w:val="16"/>
                <w:szCs w:val="16"/>
                <w:color w:val="auto"/>
              </w:rPr>
            </w:pPr>
          </w:p>
        </w:tc>
        <w:tc>
          <w:tcPr>
            <w:tcW w:w="2260" w:type="dxa"/>
            <w:vAlign w:val="bottom"/>
            <w:gridSpan w:val="4"/>
          </w:tcPr>
          <w:p>
            <w:pPr>
              <w:jc w:val="right"/>
              <w:ind w:right="691"/>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570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4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Principal Balance</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Carrying Value</w:t>
            </w:r>
          </w:p>
        </w:tc>
        <w:tc>
          <w:tcPr>
            <w:tcW w:w="120" w:type="dxa"/>
            <w:vAlign w:val="bottom"/>
          </w:tcPr>
          <w:p>
            <w:pPr>
              <w:spacing w:after="0"/>
              <w:rPr>
                <w:sz w:val="16"/>
                <w:szCs w:val="16"/>
                <w:color w:val="auto"/>
              </w:rPr>
            </w:pPr>
          </w:p>
        </w:tc>
        <w:tc>
          <w:tcPr>
            <w:tcW w:w="1400" w:type="dxa"/>
            <w:vAlign w:val="bottom"/>
            <w:tcBorders>
              <w:top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Principal Balance</w:t>
            </w: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b w:val="1"/>
                <w:bCs w:val="1"/>
                <w:color w:val="auto"/>
                <w:w w:val="97"/>
              </w:rPr>
              <w:t>Carrying Value</w:t>
            </w:r>
          </w:p>
        </w:tc>
      </w:tr>
      <w:tr>
        <w:trPr>
          <w:trHeight w:val="224"/>
        </w:trPr>
        <w:tc>
          <w:tcPr>
            <w:tcW w:w="5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ABL facility</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Term loan facilities</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1,974</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6.50%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4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w:t>
            </w: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6.125% Senior notes due 2023</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6.75%</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6.25%</w:t>
            </w:r>
          </w:p>
        </w:tc>
        <w:tc>
          <w:tcPr>
            <w:tcW w:w="5180" w:type="dxa"/>
            <w:vAlign w:val="bottom"/>
            <w:gridSpan w:val="2"/>
          </w:tcPr>
          <w:p>
            <w:pPr>
              <w:ind w:left="20"/>
              <w:spacing w:after="0"/>
              <w:rPr>
                <w:sz w:val="20"/>
                <w:szCs w:val="20"/>
                <w:color w:val="auto"/>
              </w:rPr>
            </w:pPr>
            <w:r>
              <w:rPr>
                <w:rFonts w:ascii="Arial" w:cs="Arial" w:eastAsia="Arial" w:hAnsi="Arial"/>
                <w:sz w:val="18"/>
                <w:szCs w:val="18"/>
                <w:color w:val="auto"/>
              </w:rPr>
              <w:t>Senior notes due 2025</w:t>
            </w: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1,138</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6.70%</w:t>
            </w:r>
          </w:p>
        </w:tc>
        <w:tc>
          <w:tcPr>
            <w:tcW w:w="5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debentures due 2034</w:t>
            </w: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30"/>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Borrowings related to securitization program</w:t>
            </w:r>
          </w:p>
        </w:tc>
        <w:tc>
          <w:tcPr>
            <w:tcW w:w="4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Finance leases, asset financing and other</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w:t>
            </w:r>
          </w:p>
        </w:tc>
      </w:tr>
      <w:tr>
        <w:trPr>
          <w:trHeight w:val="223"/>
        </w:trPr>
        <w:tc>
          <w:tcPr>
            <w:tcW w:w="570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Total debt</w:t>
            </w: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6,707</w:t>
            </w:r>
          </w:p>
        </w:tc>
      </w:tr>
      <w:tr>
        <w:trPr>
          <w:trHeight w:val="223"/>
        </w:trPr>
        <w:tc>
          <w:tcPr>
            <w:tcW w:w="5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 maturities of long-term debt</w:t>
            </w: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r>
      <w:tr>
        <w:trPr>
          <w:trHeight w:val="223"/>
        </w:trPr>
        <w:tc>
          <w:tcPr>
            <w:tcW w:w="5700" w:type="dxa"/>
            <w:vAlign w:val="bottom"/>
            <w:gridSpan w:val="3"/>
          </w:tcPr>
          <w:p>
            <w:pPr>
              <w:ind w:left="20"/>
              <w:spacing w:after="0"/>
              <w:rPr>
                <w:sz w:val="20"/>
                <w:szCs w:val="20"/>
                <w:color w:val="auto"/>
              </w:rPr>
            </w:pPr>
            <w:r>
              <w:rPr>
                <w:rFonts w:ascii="Arial" w:cs="Arial" w:eastAsia="Arial" w:hAnsi="Arial"/>
                <w:sz w:val="18"/>
                <w:szCs w:val="18"/>
                <w:color w:val="auto"/>
              </w:rPr>
              <w:t>Long-term debt</w:t>
            </w:r>
          </w:p>
        </w:tc>
        <w:tc>
          <w:tcPr>
            <w:tcW w:w="46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5,515</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5,369</w:t>
            </w:r>
          </w:p>
        </w:tc>
      </w:tr>
      <w:tr>
        <w:trPr>
          <w:trHeight w:val="21"/>
        </w:trPr>
        <w:tc>
          <w:tcPr>
            <w:tcW w:w="5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In July and August 2021, we issued notices to redeem our outstanding senior notes due 2024 and senior notes due 2023, respectively. See Note 11— Subsequent Events for more information.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debt and classification in the fair value hierarchy was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Fair Value</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416"/>
              <w:spacing w:after="0"/>
              <w:rPr>
                <w:sz w:val="20"/>
                <w:szCs w:val="20"/>
                <w:color w:val="auto"/>
              </w:rPr>
            </w:pPr>
            <w:r>
              <w:rPr>
                <w:rFonts w:ascii="Arial" w:cs="Arial" w:eastAsia="Arial" w:hAnsi="Arial"/>
                <w:sz w:val="14"/>
                <w:szCs w:val="14"/>
                <w:b w:val="1"/>
                <w:bCs w:val="1"/>
                <w:color w:val="auto"/>
              </w:rPr>
              <w:t>Level 2</w:t>
            </w:r>
          </w:p>
        </w:tc>
      </w:tr>
      <w:tr>
        <w:trPr>
          <w:trHeight w:val="229"/>
        </w:trPr>
        <w:tc>
          <w:tcPr>
            <w:tcW w:w="6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3,168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r>
      <w:tr>
        <w:trPr>
          <w:trHeight w:val="230"/>
        </w:trPr>
        <w:tc>
          <w:tcPr>
            <w:tcW w:w="672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7,094</w:t>
            </w: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4,431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2,663</w:t>
            </w:r>
          </w:p>
        </w:tc>
      </w:tr>
    </w:tbl>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valued Level 1 debt using quoted prices in active markets. We valued Level 2 debt using bid evaluation pricing models or quoted prices of securities with similar characteristics. The fair value of the asset financing arrangements approximates carrying value as the debt is primarily issued at a floating rate, the debt may be prepaid at any time at par without penalty, and the remaining life of the debt is short-term in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Facility</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As of June 30, 2021, our borrowing base was $1.1 billion and our availability under our ABL Facility was $1.084 billion after considering outstanding letters of credit on the ABL Facility of $16 million. As of June 30, 2021, we were in compliance with the ABL Facility’s financial covenants. The ABL facility was amended in July 2021. See Note 11—Subsequent Events for more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Secured Debt</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Under our Senior Secured Term Loan Credit Agreement, we have a $200 million uncommitted secured evergreen letter of credit facility, under which we have issued $198 million in aggregate face amount of letters of credit as of June 30, 2021. As of June 30, 2021, we were in compliance with the financial covenants in the Senior Secured Term Loan Agreement.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17"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In the first quarter of 2021, we amended the Term Loan Credit Agreement to consolidate our tranches and lower the interest rate. The applicable terms of the Term Loan Credit Agreement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 Tranche</w:t>
            </w:r>
          </w:p>
        </w:tc>
        <w:tc>
          <w:tcPr>
            <w:tcW w:w="240" w:type="dxa"/>
            <w:vAlign w:val="bottom"/>
          </w:tcPr>
          <w:p>
            <w:pPr>
              <w:spacing w:after="0"/>
              <w:rPr>
                <w:sz w:val="16"/>
                <w:szCs w:val="16"/>
                <w:color w:val="auto"/>
              </w:rPr>
            </w:pPr>
          </w:p>
        </w:tc>
        <w:tc>
          <w:tcPr>
            <w:tcW w:w="144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Second Tranche</w:t>
            </w:r>
          </w:p>
        </w:tc>
      </w:tr>
      <w:tr>
        <w:trPr>
          <w:trHeight w:val="224"/>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balance</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Interest spread:</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Base rate loans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LIBOR loans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February 2025</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February 2025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recorded a debt extinguishment loss of $3 million in the first six months of 2021 due to this amendment.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interest rate on our term loan facility was 1.87% as of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2022</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January 2021, we redeemed our outstanding 6.50% senior notes due 2022. The redemption price for the notes was 100.0% of the principal amount, plus accrued and unpaid interest. We paid for the redemption with available cash. We recorded a debt extinguishment loss of $5 million in the first six months of 2021 due to this redemption.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2025</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second quarter of 2020, we completed private placements of $1.15 billion aggregate principal amount of senior notes due 2025. Net proceeds from the notes were initially invested in cash and cash equivalents and were subsequently used to redeem our outstanding senior notes due 2022 in January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GXO Revolving Credit Facility</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2021, in preparation for the spin-off, GXO, which was our wholly-owned subsidiary at the time, entered into a five-year, unsecured, multi-currency revolving credit facility (the “GXO Facility”). Initially, the GXO Facility provides commitments up to $800 million, of which $60 million will be available for the issuance of letters of credit. Loans under the GXO Facility will bear interest at a fluctuating rate equal to: (i) with respect to borrowings in dollars, at GXO’s option, the alternate base rate or the reserve-adjusted LIBOR, (ii) with respect to borrowings in Canadian dollars, the reserve-adjusted Canadian Dollar Offered Rate and (iii) with respect to borrowings in Euros, the reserve-adjusted Euro Interbank Offered Rate, in each case, plus an applicable margin calculated based on GXO’s credit ratings. The availability of the GXO Facility was subject to the spin-off occurring.</w:t>
      </w:r>
    </w:p>
    <w:p>
      <w:pPr>
        <w:spacing w:after="0" w:line="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covenants in the GXO Facility, which are customary for financings of this type, can limit the ability to incur indebtedness and grant liens, among other restrictions. In addition, the GXO Facility requires GXO to maintain a consolidated leverage ratio below a stated maximum consolidated leverage ratio.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There was no amount outstanding under the GXO Facility at June 30, 2021. Following the spin-off, the GXO Facility is not available to 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A Convertible Perpetual Preferred Stock and Warrants</w:t>
      </w:r>
    </w:p>
    <w:p>
      <w:pPr>
        <w:spacing w:after="0" w:line="117" w:lineRule="exact"/>
        <w:rPr>
          <w:sz w:val="20"/>
          <w:szCs w:val="20"/>
          <w:color w:val="auto"/>
        </w:rPr>
      </w:pPr>
    </w:p>
    <w:p>
      <w:pPr>
        <w:jc w:val="both"/>
        <w:ind w:right="260"/>
        <w:spacing w:after="0" w:line="275" w:lineRule="auto"/>
        <w:rPr>
          <w:sz w:val="20"/>
          <w:szCs w:val="20"/>
          <w:color w:val="auto"/>
        </w:rPr>
      </w:pPr>
      <w:r>
        <w:rPr>
          <w:rFonts w:ascii="Arial" w:cs="Arial" w:eastAsia="Arial" w:hAnsi="Arial"/>
          <w:sz w:val="17"/>
          <w:szCs w:val="17"/>
          <w:color w:val="auto"/>
        </w:rPr>
        <w:t>In 2011, we issued 75,000 shares of the Series A Preferred Stock with an initial liquidation preference of $1,000 per share which were convertible into shares of our common stock at a conversion price of $7.00 per common share (subject to customary anti-dilution adjustments). We also issued warrants exercisable for shares of our common stock at an initial exercise price of $7.00 per common share (subject to customary anti-dilution adjustments). Our preferred stock paid quarterly cash dividends equal to the greater of: (i) the “as-converted” dividends on our underlying common stock for the relevant quarter and (ii) 4% of the then-applicable liquidation preference per annum.</w:t>
      </w:r>
    </w:p>
    <w:p>
      <w:pPr>
        <w:spacing w:after="0" w:line="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 their holdings, including Jacobs Private Equity, LLC (“JPE”), an entity controlled by the Company’s chairman and chief executive officer,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through December 31, 2020, 69,445 shares were exchanged, and we issued 9.9 million shares of common stock and paid $22 million of cash. With respect to the warrants, through December 31, 2020, 0.3 million warrants were exchanged, and we issued 0.3 million shares of common stock. In the first quarter of 2021, 975 preferred shares were exchanged, and we issued 0.1 million shares of common stock. In the second quarter of 2021, the remaining 40 preferred shares were exchanged, and we issued 5,714 shares of common stock. With respect to the warrants, in the first quarter of 2021, 9.8 million warrants were exchanged, and we issued 9.2 million shares of common stock. These exchanges were intended to simplify our equity capital structure, including in contemplation of the spin-off of our Logistics segment. As of June 30, 2021, there were no shares of preferred stock or warrants outstanding.</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February 2019, our Board of Directors authorized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63"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In the first quarter of 2020, we purchased and retired 2 million shares at an aggregate value of $114 million. The share purchases were funded by our available cash and proceeds from our 2019 debt offerings. There were no share purchases in the first six months of 2021 or in the second quarter of 2020. Our remaining share repurchase authorization was $503 million as of June 30,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Earnings per Share</w:t>
      </w:r>
    </w:p>
    <w:p>
      <w:pPr>
        <w:spacing w:after="0" w:line="12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compute basic and diluted earnings per share using the two-class method, which allocates earnings to participating securities. The participating securities in 2020 consisted of our Series A Convertible Perpetual Preferred Stock. The undistributed earnings are allocated between common shares and participating securities as if all earnings had been distributed during the period. Losses are not allocated to the preferred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2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computations of basic and diluted earnings (loss) per share were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54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except per share data)</w:t>
            </w: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r>
      <w:tr>
        <w:trPr>
          <w:trHeight w:val="224"/>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(loss) per common share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Net income (loss) attributable to XPO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Series A preferred stock dividends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common shares, basic</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7"/>
        </w:trPr>
        <w:tc>
          <w:tcPr>
            <w:tcW w:w="5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Basic weighted-average common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earnings (loss) per share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5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(loss) per common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Net income (loss) attributable to common shares, diluted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70"/>
        </w:trPr>
        <w:tc>
          <w:tcPr>
            <w:tcW w:w="5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Basic weighted-average common shares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Dilutive effect of stock-based awards and warrants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Diluted weighted-average common shares</w:t>
            </w: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w:t>
            </w:r>
          </w:p>
        </w:tc>
      </w:tr>
      <w:tr>
        <w:trPr>
          <w:trHeight w:val="270"/>
        </w:trPr>
        <w:tc>
          <w:tcPr>
            <w:tcW w:w="5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29"/>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Diluted earnings (loss) per share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70"/>
        </w:trPr>
        <w:tc>
          <w:tcPr>
            <w:tcW w:w="5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Potential common shares excluded</w:t>
            </w:r>
          </w:p>
        </w:tc>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Certain shares were not included in the computation of diluted earnings (loss) per share because the effect was anti-dilutive.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Legal and Regulatory Matters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involved, and will continue to be involved, in numerous proceedings arising out of the conduct of our business. These proceedings may include claims for property damage or personal injury incurred in connection with the transportation of freight, claims regarding anti-competitive practices, and employment-related claims, including claims involving asserted breaches of employee restrictive covenants. These matters also include numerous putative class action, multi-plaintiff and individual lawsuits, and administrative proceedings involving claims that our owner-operators or contract carriers should be treated as employees, rather than independent contractors (“misclassification claims”). These lawsuits and proceedings may seek substantial monetary damages (including claims for unpaid wages, overtime, failure to provide meal and rest breaks, unreimbursed business expenses, penalties and other items), injunctive relief, or both.</w:t>
      </w:r>
    </w:p>
    <w:p>
      <w:pPr>
        <w:spacing w:after="0" w:line="8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establish accruals for specific legal proceedings when it is considered probable that a loss has been incurred and the amount of the loss can be reasonably estimated. We review and adjust accruals for loss contingencies quarterly and as additional information becomes available. If a loss is not both probable and reasonably estimable, or if an exposure to loss exists in excess of the amount accrued, we assess whether there is at least a reasonable possibility that a loss, or additional loss, may have been incurred. If there is a reasonable possibility that a loss, or additional loss, may have been incurred, we disclose the estimate of the possible loss or range of loss if it is material and an estimate can be made, or disclose that such an estimate cannot be made. The determination as to whether a loss can reasonably be considered to be possible or probable is based on our assessment, together with legal counsel, regarding the ultimate outcome of the matter.</w:t>
      </w:r>
    </w:p>
    <w:p>
      <w:pPr>
        <w:spacing w:after="0" w:line="6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that we have adequately accrued for the potential impact of loss contingencies that are probable and reasonably estimable. We do not believe that the ultimate resolution of any matters to which we are presently 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will have a material adverse effect on our results of operations, financial condition or cash flows. However, the results of these matters cannot be predicted with certainty, and an unfavorable resolution of one or more of these matters could have a material adverse effect on our financial condition, results of operations or cash flows. Legal costs incurred related to these matters are expensed as incurred.</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carry liability and excess umbrella insurance policies that we deem sufficient to cover potential legal claims arising in the normal course of conducting our operations as a transportation and logistics company. The liability and excess umbrella insurance policies generally do not cover the misclassification claims described in this note. In the event we are required to satisfy a legal claim outside the scope of the coverage provided by insurance, our financial condition, results of operations or cash flows could be negatively impacted.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described in Note 1—Organization, Description of Business and Basis of Presentation, on August 2, 2021, we completed the spin-off of our Logistics segment into an independent public company, GXO, in a transaction intended to qualify as tax-free to our stockholders for U.S. federal income tax</w:t>
      </w:r>
    </w:p>
    <w:p>
      <w:pPr>
        <w:spacing w:after="0"/>
        <w:rPr>
          <w:sz w:val="20"/>
          <w:szCs w:val="20"/>
          <w:color w:val="auto"/>
        </w:rPr>
      </w:pPr>
      <w:r>
        <w:rPr>
          <w:rFonts w:ascii="Arial" w:cs="Arial" w:eastAsia="Arial" w:hAnsi="Arial"/>
          <w:sz w:val="18"/>
          <w:szCs w:val="18"/>
          <w:color w:val="auto"/>
        </w:rPr>
        <w:t>purposes</w:t>
      </w:r>
      <w:r>
        <w:rPr>
          <w:rFonts w:ascii="Arial" w:cs="Arial" w:eastAsia="Arial" w:hAnsi="Arial"/>
          <w:sz w:val="21"/>
          <w:szCs w:val="2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GXO Notes</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preparation for the spin-off, in July 2021, GXO completed an offering of $800 million aggregate principal amount of notes, consisting of $400 million of notes due 2026 (the “GXO 2026 Notes”) and $400 million of notes due 2031 (the “GXO 2031 Notes”, and together with the GXO 2026 Notes, the “GXO Notes”).</w:t>
      </w:r>
    </w:p>
    <w:p>
      <w:pPr>
        <w:spacing w:after="0" w:line="7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GXO 2026 Notes will bear interest at a rate of 1.65% per annum payable semiannually in cash in arrears on January 15 and July 15 of each year, beginning January 15, 2022, and will mature on July 15, 2026. The GXO 2031 Notes will bear interest at a rate of 2.65% per annum payable semiannually in cash in arrears on January 15 and July 15 of each year, beginning January 15, 2022, and will mature on July 15, 2031.</w:t>
      </w:r>
    </w:p>
    <w:p>
      <w:pPr>
        <w:spacing w:after="0" w:line="5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net proceeds from the sale of the GXO Notes were used to fund a cash payment from GXO to XPO of $794 million, which we intend to use to repay a portion of our outstanding borrowings as noted below. Following the completion of the spin-off, the GXO Notes are no longer an obligation of XPO.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In July 2021, we completed a registered underwritten offering of 5.0 million shares of our common stock at a public offering price of $138.00 per share, plus an additional 750,000 shares of our common stock through an option granted to underwriters. Of the 5.0 million shares, we offered 2.5 million shares directly and 2.5 million shares were offered by JPE. The additional 750,000 purchased shares were also split equally between us and JPE. We received approximately $385 million of proceeds, net of fees and expenses, from the sale of the shares and intend to use them to repay a portion of our outstanding borrowings as noted below and for general corporate purposes. XPO did not receive any proceeds from the sale of shares by JPE.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w:t>
      </w:r>
    </w:p>
    <w:p>
      <w:pPr>
        <w:spacing w:after="0" w:line="11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 July 2021, we issued notice to redeem our outstanding 6.75% senior notes due 2024 that had a principal balance of $1.0 billion as of June 30, 2021. Also, in August 2021, we issued notice to redeem our outstanding 6.125% senior notes due 2023 that had a principal balance of $535 million as of June 30, 2021. The redemption price for our senior notes due 2024 was 103.375%, plus accrued and unpaid interest. The redemption price for our senior notes due 2023 was 100.0% of the principal amount, plus accrued and unpaid interest. We expect to pay for these redemptions using the cash payment of $794 million received from GXO, the proceeds from the July 2021 equity offering and available cash.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Amendment</w:t>
      </w:r>
    </w:p>
    <w:p>
      <w:pPr>
        <w:spacing w:after="0" w:line="11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July 2021, we amended our existing ABL facility which matures in April 2024 to reduce the commitments from $1.1 billion to $1.0 billion. There were no other significant changes made to the terms of the facility, including the maturity date, the interest rate margin, and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Securitization Program</w:t>
      </w:r>
    </w:p>
    <w:p>
      <w:pPr>
        <w:spacing w:after="0" w:line="11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July 2021, in connection with the spin-off, the existing trade receivables securitization program was amended; the existing €400 million program is now comprised of two separate €200 million programs, one of which will continue to be available to us and one of which will be part of GXO following the spin-off. The new program expires in July 2024.</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to Legal Entity Structure</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 July 2021, in connection with the spin-off of our Logistics segment, we amended our legal entity structure. These changes will result in one-time cash and non-cash tax expenses in the second half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Statement Regarding Forward-Looking Statements</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i w:val="1"/>
          <w:iCs w:val="1"/>
          <w:color w:val="auto"/>
        </w:rPr>
        <w:t>This Quarterly Report on Form 10-Q and other written reports and oral statements we make from time to time contain forward-looking statements within the meaning of Section 27A of the Securities Act of 1933, as amended (the “Securities Act”), and Section 21E of the Securities Exchange Act of 1934, as amended (the “Exchange Act”). All statements other than statements of historical fact are, or may be deemed to be, forward-looking statements. In some cases, forward-looking statements can be identified by the use of forward-looking terms such as “anticipate,” “estimate,” “believe,” “continue,” “could,” “intend,” “may,” “plan,” “potential,” “predict,” “should,” “will,” “expect,” “objective,” “projection,” “forecast,” “goal,” “guidance,” “outlook,” “effort,” “target,” “trajectory” or the negative of these terms or other comparable terms. However, the absence of these words does not mean that the statements are not forward-looking. These forward-looking statements are based on certain assumptions and analyses made by the Company in light of its experience and its perception of historical trends, current conditions and expected future developments, as well as other factors it believes are appropriate in the circumstances. These forward-looking statements are subject to known and unknown risks, uncertainties and assumptions that may cause actual results, levels of activity, performance or achievements to be materially different from any future results, levels of activity, performance or achievements expressed or implied by such forward-looking statements. Factors that might cause or contribute to a material difference include those discussed below and the risks discussed in the Company’s other filings with the Securities and Exchange Commission (the “SEC”). All forward-looking statements set forth in this Quarterly Report are qualified by these cautionary statements, and there can be no assurance that the actual results or developments anticipated by the Company will be realized or, even if substantially realized, that they will have the expected consequence to or effects on the Company or its business or operations. The following discussion should be read in conjunction with the Company’s unaudited Condensed Consolidated Financial Statements and related notes thereto included elsewhere in this Quarterly Report, and with the audited consolidated financial statements and related notes thereto included in the 2020 Annual Report on Form 10-K. Forward-looking statements set forth in this Quarterly Report speak only as of the date hereof, and we do not undertake any obligation to update forward-looking statements to reflect subsequent events or circumstances, changes in expectations or the occurrence of unanticipated events, except to the extent required by law.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jc w:val="both"/>
        <w:ind w:right="340"/>
        <w:spacing w:after="0" w:line="277" w:lineRule="auto"/>
        <w:rPr>
          <w:sz w:val="20"/>
          <w:szCs w:val="20"/>
          <w:color w:val="auto"/>
        </w:rPr>
      </w:pPr>
      <w:r>
        <w:rPr>
          <w:rFonts w:ascii="Arial" w:cs="Arial" w:eastAsia="Arial" w:hAnsi="Arial"/>
          <w:sz w:val="18"/>
          <w:szCs w:val="18"/>
          <w:color w:val="auto"/>
        </w:rPr>
        <w:t>XPO Logistics, Inc., a Delaware corporation, together with its subsidiaries (“XPO,” or “we”), provides cutting-edge supply chain solutions to the most successful companies in the world.</w:t>
      </w:r>
    </w:p>
    <w:p>
      <w:pPr>
        <w:spacing w:after="0" w:line="62"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color w:val="auto"/>
        </w:rPr>
        <w:t>We have two reporting segments: Transportation and Logistics, each with robust service offerings, leadership positions and growth prospects. In 2020, approximately 62% of our revenue came from Transportation, and the remaining 38% came from Logistics. Within each segment, we are positioned to capitalize on fast-growing areas of demand.</w:t>
      </w:r>
    </w:p>
    <w:p>
      <w:pPr>
        <w:spacing w:after="0" w:line="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August 2, 2021, we completed the previously announced spin-off of our Logistics segment in a transaction intended to qualify as tax-free to our stockholders for U.S. federal income tax purposes, which was accomplished by the distribution of 100% of the outstanding common stock of GXO Logistics, Inc. (“GXO”) to XPO stockholders. XPO stockholders received one share of GXO common stock for every share of XPO common stock held at the close of business on July 23, 2021, the record date for the distribution. XPO does not beneficially own any shares of GXO’s common stock following the spin-off. GXO, a global provider of contract logistics services, is an independent public company trading under the symbol “GXO” on the New York Stock Exchange. The historical results of operations and the financial position of GXO are included in these condensed consolidated financial statements. After the spin-off, we will no longer consolidate GXO, and all periods prior to the spin-off will reflect our Logistics segment as a discontinued operation.</w:t>
      </w:r>
    </w:p>
    <w:p>
      <w:pPr>
        <w:spacing w:after="0" w:line="5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connection with the spin-off, we have entered into a separation and distribution agreement as well as various other agreements with GXO that provide a framework for the relationships between the parties going forward, including, among others, an employee matters agreement, a tax matters agreement, an intellectual property license agreement and a transition services agreement, through which XPO will continue to provide certain services to GXO following the spin-off. With the completion of the spin-off, XPO is a leading provider of transportation services, primarily less-than-truckload (“LTL”) transportation and truck brokerage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June 30, 2021, we had approximately 141,000 team members (comprised of approximately 107,000 full-time and part-time employees and 34,000 third-party, temporary workers), and 1,623 locations in 30 countries. Substantially all of our services operate under the single brand of XPO Logistics. We use our highly extensive network to help more than 50,000 customers operate their supply chains most efficiently.</w:t>
      </w:r>
    </w:p>
    <w:p>
      <w:pPr>
        <w:spacing w:after="0" w:line="5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Maintaining strong liquidity has been and will continue to be a top priority for XPO, and we are targeting for XPO to receive investment-grade credit ratings in the future. As discussed in greater detail below, as of June 30, 2021, we had $1.9 billion of available liquidity, including $801 million of cash and cash equivalents.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Transportation Segment</w:t>
      </w:r>
    </w:p>
    <w:p>
      <w:pPr>
        <w:spacing w:after="0" w:line="11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Transportation segment facilitates the movement of raw materials, parts and finished goods. Our largest service offering within the Transportation segment is LTL, which contributed 43% of 2020 segment revenue. We are a top three provider of LTL services in North America, and we have one of the largest LTL networks in Western Europe.</w:t>
      </w:r>
    </w:p>
    <w:p>
      <w:pPr>
        <w:spacing w:after="0" w:line="7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other primary service offering within the Transportation segment is truck brokerage. We are the second largest brokerage provider globally and the third largest brokerage provider in North America. As of June 30, 2021, we had truck brokerage relationships with approximately 85,000 independent carriers representing over 1,000,000 trucks. Our truck brokerage operations are a central part of the freight brokerage services we provide, which also include additional, asset-light services for expedite, intermodal and drayage.</w:t>
      </w:r>
    </w:p>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owned capacity of our Transportation segment includes approximately 13,000 tractors and 35,000 trailers operated by professional drivers employed by XPO. This equipment is related primarily to our LTL operations in North America.</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Logistics Segment</w:t>
      </w:r>
    </w:p>
    <w:p>
      <w:pPr>
        <w:spacing w:after="0" w:line="11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Our Logistics segment provides order fulfillment and other distribution services differentiated by our ability to deliver technology-enabled, customized solutions. XPO is the second largest provider of contract logistics globally as of June 30, 2021, with one of the largest outsourced e-fulfillment platforms.</w:t>
      </w:r>
    </w:p>
    <w:p>
      <w:pPr>
        <w:spacing w:after="0" w:line="16"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Our logistics services include high-value-add warehousing and distribution, order fulfillment and personalization, cold-chain logistics, packaging and labeling, aftermarket support, inventory management and supply chain optimization. In addition, many of our e-commerce facilities manage merchandise returns, also known as reverse logistics. Depending on the merchandise being returned, this fast-growing area of logistics can include inspection, testing, repackaging, refurbishment, resale or product disposal, as well as refunding and warranty management. Reverse logistics services are mission-critical for companies with consumer end-markets, as shoppers increasingly “test-drive” the merchandise they buy online.</w:t>
      </w:r>
    </w:p>
    <w:p>
      <w:pPr>
        <w:spacing w:after="0" w:line="6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As of June 30, 2021, we operated 208 million square feet (19 million square meters) of logistics warehouse space worldwide. Approximately 97 million square feet (8 million square meters) was located in North America; 104 million square feet (10 million square meters) was located in Europe; and 7 million square feet (1 million square meters) was located in Asia.</w:t>
      </w:r>
    </w:p>
    <w:p>
      <w:pPr>
        <w:spacing w:after="0" w:line="76"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Our logistics customers primarily operate in industries with high-growth outsourcing opportunities, including e-commerce and retail, food and beverage, consumer packaged goods, technology, aerospace, telecommunications, industrial and manufacturing, chemicals, agribusiness, life sciences and healthcare.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Philosophy</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believe that our rapid pace of innovation differentiates our services, enables us to better utilize our assets and makes the most of the talent within our organization. Our proprietary technology strengthens our relationships with customers by addressing their immediate supply chain needs in ways that accommodate their strategic plans, such as entry into new markets. Technology allows us to be a true partner to our customers by helping them meet their objectives for efficiency, safety, customer service and growth.</w:t>
      </w:r>
    </w:p>
    <w:p>
      <w:pPr>
        <w:spacing w:after="0" w:line="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When developing our technology, we concentrate our efforts in four areas that can create value for our shareholders and our customers, primarily by creating “smart” supply chains: our digital freight marketplace, automation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intelligent machines, dynamic data science, and visibility, particularly as it affects customer service in the e-commerce supply chain.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Environmental sustainability is a significant priority for us. In the U.S., XPO has been named a Top 75 Green Supply Chain Partner by </w:t>
      </w:r>
      <w:r>
        <w:rPr>
          <w:rFonts w:ascii="Arial" w:cs="Arial" w:eastAsia="Arial" w:hAnsi="Arial"/>
          <w:sz w:val="18"/>
          <w:szCs w:val="18"/>
          <w:i w:val="1"/>
          <w:iCs w:val="1"/>
          <w:color w:val="auto"/>
        </w:rPr>
        <w:t>Inbound Logistics</w:t>
      </w:r>
      <w:r>
        <w:rPr>
          <w:rFonts w:ascii="Arial" w:cs="Arial" w:eastAsia="Arial" w:hAnsi="Arial"/>
          <w:sz w:val="18"/>
          <w:szCs w:val="18"/>
          <w:color w:val="auto"/>
        </w:rPr>
        <w:t xml:space="preserve"> for six consecutive years. In France, we have renewed our commitment to the CO2 Charter for another three years. In Spain, all of our sites meet Leadership in Energy and Environmental Design (“LEED”) energy certification standards for 100% consumption of renewable energy. In the U.K., the Digital Distribution Warehouse of the Future we created with Nestlé operates with environmentally friendly ammonia refrigeration systems, energy-saving lighting, air-source heat pumps for administration areas and rainwater harvesting.</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More broadly in our Logistics segment, a number of our facilities are ISO 14001-certified, which ensures environmental and other regulatory compliances. We monitor fuel emissions from forklifts, with protocols in place to take immediate corrective action if needed. Our packaging engineers ensure that the optimal carton size is used for each product slated for distribution, and when feasible, we purchase recycled packaging. As a byproduct of managing returned merchandise, we recycle millions of electronic components and batteries each year.</w:t>
      </w:r>
    </w:p>
    <w:p>
      <w:pPr>
        <w:spacing w:after="0" w:line="7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our Transportation segment, we have made substantial investments in fuel-efficient tractors that use Environmental Protection Agency 2013-compliant and Greenhouse Gas 2014- compliant Selective Catalytic Reduction technology for our LTL business in North America. Our LTL drivers operate from terminals that have energy-saving policies in place and are implementing a phased upgrade to LED lighting.</w:t>
      </w:r>
    </w:p>
    <w:p>
      <w:pPr>
        <w:spacing w:after="0" w:line="76"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In Europe, our modern road fleet is 98% compliant with Euro V, EEV and Euro VI standards. We also own a large alternative-fuel road fleet that operates in France, the U.K., Spain and Portugal, including more than 250 natural gas vehicles. In Spain, we own government-approved mega-trucks to transport freight with fewer trips, and our last mile operations in Europe use electric vehicles for deliveries in certain urban areas, reducing those emissions to zero.</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Impacts of COVID-19</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As a global provider of supply chain solutions, our business can be impacted to varying degrees by factors beyond our control. The rapid escalation of COVID-19 into a pandemic in 2020 affected, and may continue to affect, economic activity broadly and customer sectors served by our industry.</w:t>
      </w:r>
    </w:p>
    <w:p>
      <w:pPr>
        <w:spacing w:after="0" w:line="1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We believe the COVID-19 pandemic and associated impacts on economic activity had adverse effects on our results of operations and financial condition for the three and six months ended June 30, 2020, and to a lesser extent for the three and six months ended June 30, 2021, as discussed below.</w:t>
      </w:r>
    </w:p>
    <w:p>
      <w:pPr>
        <w:spacing w:after="0" w:line="1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Due to the evolving nature of the pandemic, it remains difficult to predict the extent of the impact on our industry generally and our business in particular. Furthermore, the extent and pace of a recovery remains uncertain and may differ significantly among the countries in which we operate. Our results of operations may continue to be impacted by the pandemic throughout 2021.</w:t>
      </w:r>
    </w:p>
    <w:p>
      <w:pPr>
        <w:spacing w:after="0" w:line="76"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We have incurred net incremental and direct costs related to COVID-19 to ensure that we meet the needs of our employees and customers; these include costs for personal protective equipment (“PPE”), site cleanings and enhanced employee benefits. The majority of our cost base is variable, and while we expect to continue to incur additional costs related to the pandemic, we also have the ability to continue to adjust our expenses to address significant changes in demand for our services, if necessary, as we did in 2020. These actions include reduced use of contractors, reduced employee hours, furloughs, layoffs and required use of paid time off, consistent with applicable regulations.</w:t>
      </w:r>
    </w:p>
    <w:p>
      <w:pPr>
        <w:spacing w:after="0" w:line="6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totality of the actions we have taken during the pandemic, and continue to take, combined with the variable components of our cost structure, have mitigated the impact on our profitability relative to the impact on our revenue and volumes, while our strong liquidity and disciplined capital management enable us to continue to invest in key growth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29" w:right="41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Summary Financial Table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186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Percent of Revenue</w:t>
            </w:r>
          </w:p>
        </w:tc>
        <w:tc>
          <w:tcPr>
            <w:tcW w:w="9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1660" w:type="dxa"/>
            <w:vAlign w:val="bottom"/>
            <w:gridSpan w:val="7"/>
          </w:tcPr>
          <w:p>
            <w:pPr>
              <w:ind w:left="40"/>
              <w:spacing w:after="0"/>
              <w:rPr>
                <w:sz w:val="20"/>
                <w:szCs w:val="20"/>
                <w:color w:val="auto"/>
              </w:rPr>
            </w:pPr>
            <w:r>
              <w:rPr>
                <w:rFonts w:ascii="Arial" w:cs="Arial" w:eastAsia="Arial" w:hAnsi="Arial"/>
                <w:sz w:val="14"/>
                <w:szCs w:val="14"/>
                <w:b w:val="1"/>
                <w:bCs w:val="1"/>
                <w:color w:val="auto"/>
              </w:rPr>
              <w:t>Six Months Ended June</w:t>
            </w:r>
          </w:p>
        </w:tc>
        <w:tc>
          <w:tcPr>
            <w:tcW w:w="1900" w:type="dxa"/>
            <w:vAlign w:val="bottom"/>
            <w:gridSpan w:val="4"/>
            <w:vMerge w:val="restart"/>
          </w:tcPr>
          <w:p>
            <w:pPr>
              <w:ind w:left="320"/>
              <w:spacing w:after="0"/>
              <w:rPr>
                <w:sz w:val="20"/>
                <w:szCs w:val="20"/>
                <w:color w:val="auto"/>
              </w:rPr>
            </w:pPr>
            <w:r>
              <w:rPr>
                <w:rFonts w:ascii="Arial" w:cs="Arial" w:eastAsia="Arial" w:hAnsi="Arial"/>
                <w:sz w:val="14"/>
                <w:szCs w:val="14"/>
                <w:b w:val="1"/>
                <w:bCs w:val="1"/>
                <w:color w:val="auto"/>
              </w:rPr>
              <w:t>Percent of Revenue</w:t>
            </w: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2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860" w:type="dxa"/>
            <w:vAlign w:val="bottom"/>
            <w:gridSpan w:val="4"/>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w w:val="92"/>
              </w:rPr>
              <w:t>30,</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4"/>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00" w:type="dxa"/>
            <w:vAlign w:val="bottom"/>
            <w:tcBorders>
              <w:top w:val="single" w:sz="8" w:color="auto"/>
              <w:bottom w:val="single" w:sz="8" w:color="auto"/>
            </w:tcBorders>
          </w:tcPr>
          <w:p>
            <w:pPr>
              <w:spacing w:after="0"/>
              <w:rPr>
                <w:sz w:val="16"/>
                <w:szCs w:val="16"/>
                <w:color w:val="auto"/>
              </w:rPr>
            </w:pPr>
          </w:p>
        </w:tc>
        <w:tc>
          <w:tcPr>
            <w:tcW w:w="640" w:type="dxa"/>
            <w:vAlign w:val="bottom"/>
            <w:tcBorders>
              <w:top w:val="single" w:sz="8" w:color="auto"/>
              <w:bottom w:val="single" w:sz="8" w:color="auto"/>
            </w:tcBorders>
          </w:tcPr>
          <w:p>
            <w:pPr>
              <w:jc w:val="right"/>
              <w:ind w:right="88"/>
              <w:spacing w:after="0" w:line="185" w:lineRule="exact"/>
              <w:rPr>
                <w:sz w:val="20"/>
                <w:szCs w:val="20"/>
                <w:color w:val="auto"/>
              </w:rPr>
            </w:pPr>
            <w:r>
              <w:rPr>
                <w:rFonts w:ascii="Arial" w:cs="Arial" w:eastAsia="Arial" w:hAnsi="Arial"/>
                <w:sz w:val="14"/>
                <w:szCs w:val="14"/>
                <w:b w:val="1"/>
                <w:bCs w:val="1"/>
                <w:color w:val="auto"/>
                <w:w w:val="92"/>
              </w:rPr>
              <w:t xml:space="preserve">2021 </w:t>
            </w:r>
            <w:r>
              <w:rPr>
                <w:rFonts w:ascii="Arial" w:cs="Arial" w:eastAsia="Arial" w:hAnsi="Arial"/>
                <w:sz w:val="18"/>
                <w:szCs w:val="18"/>
                <w:b w:val="1"/>
                <w:bCs w:val="1"/>
                <w:color w:val="auto"/>
                <w:w w:val="92"/>
                <w:vertAlign w:val="superscript"/>
              </w:rPr>
              <w:t>(1)</w:t>
            </w:r>
          </w:p>
        </w:tc>
        <w:tc>
          <w:tcPr>
            <w:tcW w:w="8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88"/>
              <w:spacing w:after="0" w:line="185" w:lineRule="exact"/>
              <w:rPr>
                <w:sz w:val="20"/>
                <w:szCs w:val="20"/>
                <w:color w:val="auto"/>
              </w:rPr>
            </w:pPr>
            <w:r>
              <w:rPr>
                <w:rFonts w:ascii="Arial" w:cs="Arial" w:eastAsia="Arial" w:hAnsi="Arial"/>
                <w:sz w:val="14"/>
                <w:szCs w:val="14"/>
                <w:b w:val="1"/>
                <w:bCs w:val="1"/>
                <w:color w:val="auto"/>
                <w:w w:val="88"/>
              </w:rPr>
              <w:t xml:space="preserve">2020 </w:t>
            </w:r>
            <w:r>
              <w:rPr>
                <w:rFonts w:ascii="Arial" w:cs="Arial" w:eastAsia="Arial" w:hAnsi="Arial"/>
                <w:sz w:val="18"/>
                <w:szCs w:val="18"/>
                <w:b w:val="1"/>
                <w:bCs w:val="1"/>
                <w:color w:val="auto"/>
                <w:w w:val="88"/>
                <w:vertAlign w:val="superscript"/>
              </w:rPr>
              <w:t>(2)</w:t>
            </w:r>
          </w:p>
        </w:tc>
        <w:tc>
          <w:tcPr>
            <w:tcW w:w="100" w:type="dxa"/>
            <w:vAlign w:val="bottom"/>
            <w:tcBorders>
              <w:bottom w:val="single" w:sz="8" w:color="CCEEFF"/>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2021 vs. 2020</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ind w:right="28"/>
              <w:spacing w:after="0" w:line="185" w:lineRule="exact"/>
              <w:rPr>
                <w:sz w:val="20"/>
                <w:szCs w:val="20"/>
                <w:color w:val="auto"/>
              </w:rPr>
            </w:pPr>
            <w:r>
              <w:rPr>
                <w:rFonts w:ascii="Arial" w:cs="Arial" w:eastAsia="Arial" w:hAnsi="Arial"/>
                <w:sz w:val="14"/>
                <w:szCs w:val="14"/>
                <w:b w:val="1"/>
                <w:bCs w:val="1"/>
                <w:color w:val="auto"/>
                <w:w w:val="88"/>
              </w:rPr>
              <w:t xml:space="preserve">2021 </w:t>
            </w:r>
            <w:r>
              <w:rPr>
                <w:rFonts w:ascii="Arial" w:cs="Arial" w:eastAsia="Arial" w:hAnsi="Arial"/>
                <w:sz w:val="18"/>
                <w:szCs w:val="18"/>
                <w:b w:val="1"/>
                <w:bCs w:val="1"/>
                <w:color w:val="auto"/>
                <w:w w:val="88"/>
                <w:vertAlign w:val="superscript"/>
              </w:rPr>
              <w:t>(3)</w:t>
            </w:r>
          </w:p>
        </w:tc>
        <w:tc>
          <w:tcPr>
            <w:tcW w:w="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ind w:right="88"/>
              <w:spacing w:after="0" w:line="185" w:lineRule="exact"/>
              <w:rPr>
                <w:sz w:val="20"/>
                <w:szCs w:val="20"/>
                <w:color w:val="auto"/>
              </w:rPr>
            </w:pPr>
            <w:r>
              <w:rPr>
                <w:rFonts w:ascii="Arial" w:cs="Arial" w:eastAsia="Arial" w:hAnsi="Arial"/>
                <w:sz w:val="14"/>
                <w:szCs w:val="14"/>
                <w:b w:val="1"/>
                <w:bCs w:val="1"/>
                <w:color w:val="auto"/>
                <w:w w:val="88"/>
              </w:rPr>
              <w:t xml:space="preserve">2020 </w:t>
            </w:r>
            <w:r>
              <w:rPr>
                <w:rFonts w:ascii="Arial" w:cs="Arial" w:eastAsia="Arial" w:hAnsi="Arial"/>
                <w:sz w:val="18"/>
                <w:szCs w:val="18"/>
                <w:b w:val="1"/>
                <w:bCs w:val="1"/>
                <w:color w:val="auto"/>
                <w:w w:val="88"/>
                <w:vertAlign w:val="superscript"/>
              </w:rPr>
              <w:t>(4)</w:t>
            </w:r>
          </w:p>
        </w:tc>
        <w:tc>
          <w:tcPr>
            <w:tcW w:w="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2021 vs. 2020</w:t>
            </w:r>
          </w:p>
        </w:tc>
        <w:tc>
          <w:tcPr>
            <w:tcW w:w="0" w:type="dxa"/>
            <w:vAlign w:val="bottom"/>
          </w:tcPr>
          <w:p>
            <w:pPr>
              <w:spacing w:after="0"/>
              <w:rPr>
                <w:sz w:val="1"/>
                <w:szCs w:val="1"/>
                <w:color w:val="auto"/>
              </w:rPr>
            </w:pPr>
          </w:p>
        </w:tc>
      </w:tr>
      <w:tr>
        <w:trPr>
          <w:trHeight w:val="183"/>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9,810</w:t>
            </w: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7,366</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33.2 %</w:t>
            </w:r>
          </w:p>
        </w:tc>
        <w:tc>
          <w:tcPr>
            <w:tcW w:w="0" w:type="dxa"/>
            <w:vAlign w:val="bottom"/>
          </w:tcPr>
          <w:p>
            <w:pPr>
              <w:spacing w:after="0"/>
              <w:rPr>
                <w:sz w:val="1"/>
                <w:szCs w:val="1"/>
                <w:color w:val="auto"/>
              </w:rPr>
            </w:pPr>
          </w:p>
        </w:tc>
      </w:tr>
      <w:tr>
        <w:trPr>
          <w:trHeight w:val="186"/>
        </w:trPr>
        <w:tc>
          <w:tcPr>
            <w:tcW w:w="2340" w:type="dxa"/>
            <w:vAlign w:val="bottom"/>
          </w:tcPr>
          <w:p>
            <w:pPr>
              <w:ind w:left="20"/>
              <w:spacing w:after="0"/>
              <w:rPr>
                <w:sz w:val="20"/>
                <w:szCs w:val="20"/>
                <w:color w:val="auto"/>
              </w:rPr>
            </w:pPr>
            <w:r>
              <w:rPr>
                <w:rFonts w:ascii="Arial" w:cs="Arial" w:eastAsia="Arial" w:hAnsi="Arial"/>
                <w:sz w:val="14"/>
                <w:szCs w:val="14"/>
                <w:color w:val="auto"/>
              </w:rPr>
              <w:t>Cost of transportation and services</w:t>
            </w:r>
          </w:p>
        </w:tc>
        <w:tc>
          <w:tcPr>
            <w:tcW w:w="10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2,514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1,641</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49.9 %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46.9 %</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53.2 %</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4,842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8"/>
              <w:spacing w:after="0"/>
              <w:rPr>
                <w:sz w:val="20"/>
                <w:szCs w:val="20"/>
                <w:color w:val="auto"/>
              </w:rPr>
            </w:pPr>
            <w:r>
              <w:rPr>
                <w:rFonts w:ascii="Arial" w:cs="Arial" w:eastAsia="Arial" w:hAnsi="Arial"/>
                <w:sz w:val="14"/>
                <w:szCs w:val="14"/>
                <w:color w:val="auto"/>
              </w:rPr>
              <w:t>3,539</w:t>
            </w:r>
          </w:p>
        </w:tc>
        <w:tc>
          <w:tcPr>
            <w:tcW w:w="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49.4 %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48.0 %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36.8 %</w:t>
            </w: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 operating expense</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39.1 %</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22.8 %</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3,338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2,730</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22.3 %</w:t>
            </w:r>
          </w:p>
        </w:tc>
        <w:tc>
          <w:tcPr>
            <w:tcW w:w="0" w:type="dxa"/>
            <w:vAlign w:val="bottom"/>
          </w:tcPr>
          <w:p>
            <w:pPr>
              <w:spacing w:after="0"/>
              <w:rPr>
                <w:sz w:val="1"/>
                <w:szCs w:val="1"/>
                <w:color w:val="auto"/>
              </w:rPr>
            </w:pPr>
          </w:p>
        </w:tc>
      </w:tr>
      <w:tr>
        <w:trPr>
          <w:trHeight w:val="135"/>
        </w:trPr>
        <w:tc>
          <w:tcPr>
            <w:tcW w:w="2340" w:type="dxa"/>
            <w:vAlign w:val="bottom"/>
          </w:tcPr>
          <w:p>
            <w:pPr>
              <w:ind w:left="20"/>
              <w:spacing w:after="0" w:line="135" w:lineRule="exact"/>
              <w:rPr>
                <w:sz w:val="20"/>
                <w:szCs w:val="20"/>
                <w:color w:val="auto"/>
              </w:rPr>
            </w:pPr>
            <w:r>
              <w:rPr>
                <w:rFonts w:ascii="Arial" w:cs="Arial" w:eastAsia="Arial" w:hAnsi="Arial"/>
                <w:sz w:val="14"/>
                <w:szCs w:val="14"/>
                <w:color w:val="auto"/>
              </w:rPr>
              <w:t>Sales, general and administrative</w:t>
            </w:r>
          </w:p>
        </w:tc>
        <w:tc>
          <w:tcPr>
            <w:tcW w:w="100" w:type="dxa"/>
            <w:vAlign w:val="bottom"/>
          </w:tcPr>
          <w:p>
            <w:pPr>
              <w:spacing w:after="0"/>
              <w:rPr>
                <w:sz w:val="11"/>
                <w:szCs w:val="11"/>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594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632</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11.8 %</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18.0 %</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1,182</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jc w:val="right"/>
              <w:ind w:right="8"/>
              <w:spacing w:after="0"/>
              <w:rPr>
                <w:sz w:val="20"/>
                <w:szCs w:val="20"/>
                <w:color w:val="auto"/>
              </w:rPr>
            </w:pPr>
            <w:r>
              <w:rPr>
                <w:rFonts w:ascii="Arial" w:cs="Arial" w:eastAsia="Arial" w:hAnsi="Arial"/>
                <w:sz w:val="14"/>
                <w:szCs w:val="14"/>
                <w:color w:val="auto"/>
              </w:rPr>
              <w:t>1,157</w:t>
            </w:r>
          </w:p>
        </w:tc>
        <w:tc>
          <w:tcPr>
            <w:tcW w:w="8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12.0 %</w:t>
            </w:r>
          </w:p>
        </w:tc>
        <w:tc>
          <w:tcPr>
            <w:tcW w:w="10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15.7 %</w:t>
            </w:r>
          </w:p>
        </w:tc>
        <w:tc>
          <w:tcPr>
            <w:tcW w:w="10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2.2 %</w:t>
            </w:r>
          </w:p>
        </w:tc>
        <w:tc>
          <w:tcPr>
            <w:tcW w:w="0" w:type="dxa"/>
            <w:vAlign w:val="bottom"/>
          </w:tcPr>
          <w:p>
            <w:pPr>
              <w:spacing w:after="0"/>
              <w:rPr>
                <w:sz w:val="1"/>
                <w:szCs w:val="1"/>
                <w:color w:val="auto"/>
              </w:rPr>
            </w:pPr>
          </w:p>
        </w:tc>
      </w:tr>
      <w:tr>
        <w:trPr>
          <w:trHeight w:val="186"/>
        </w:trPr>
        <w:tc>
          <w:tcPr>
            <w:tcW w:w="23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expense</w:t>
            </w: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246</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4.9 %</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9"/>
        </w:trPr>
        <w:tc>
          <w:tcPr>
            <w:tcW w:w="234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(0.6)%</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(39)</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28.2 %</w:t>
            </w: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Foreign currency (gain) loss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0.1 %</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w:t>
            </w:r>
          </w:p>
        </w:tc>
        <w:tc>
          <w:tcPr>
            <w:tcW w:w="0" w:type="dxa"/>
            <w:vAlign w:val="bottom"/>
          </w:tcPr>
          <w:p>
            <w:pPr>
              <w:spacing w:after="0"/>
              <w:rPr>
                <w:sz w:val="1"/>
                <w:szCs w:val="1"/>
                <w:color w:val="auto"/>
              </w:rPr>
            </w:pPr>
          </w:p>
        </w:tc>
      </w:tr>
      <w:tr>
        <w:trPr>
          <w:trHeight w:val="186"/>
        </w:trPr>
        <w:tc>
          <w:tcPr>
            <w:tcW w:w="2340" w:type="dxa"/>
            <w:vAlign w:val="bottom"/>
          </w:tcPr>
          <w:p>
            <w:pPr>
              <w:ind w:left="360"/>
              <w:spacing w:after="0"/>
              <w:rPr>
                <w:sz w:val="20"/>
                <w:szCs w:val="20"/>
                <w:color w:val="auto"/>
              </w:rPr>
            </w:pPr>
            <w:r>
              <w:rPr>
                <w:rFonts w:ascii="Arial" w:cs="Arial" w:eastAsia="Arial" w:hAnsi="Arial"/>
                <w:sz w:val="14"/>
                <w:szCs w:val="14"/>
                <w:color w:val="auto"/>
              </w:rPr>
              <w:t>Debt extinguishment loss</w:t>
            </w:r>
          </w:p>
        </w:tc>
        <w:tc>
          <w:tcPr>
            <w:tcW w:w="10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9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2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0.1 %</w:t>
            </w:r>
          </w:p>
        </w:tc>
        <w:tc>
          <w:tcPr>
            <w:tcW w:w="10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86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2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6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154</w:t>
            </w:r>
          </w:p>
        </w:tc>
        <w:tc>
          <w:tcPr>
            <w:tcW w:w="8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0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100" w:type="dxa"/>
            <w:vAlign w:val="bottom"/>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15"/>
        </w:trPr>
        <w:tc>
          <w:tcPr>
            <w:tcW w:w="2340" w:type="dxa"/>
            <w:vAlign w:val="bottom"/>
          </w:tcPr>
          <w:p>
            <w:pPr>
              <w:ind w:left="20"/>
              <w:spacing w:after="0" w:line="115" w:lineRule="exact"/>
              <w:rPr>
                <w:sz w:val="20"/>
                <w:szCs w:val="20"/>
                <w:color w:val="auto"/>
              </w:rPr>
            </w:pPr>
            <w:r>
              <w:rPr>
                <w:rFonts w:ascii="Arial" w:cs="Arial" w:eastAsia="Arial" w:hAnsi="Arial"/>
                <w:sz w:val="13"/>
                <w:szCs w:val="13"/>
                <w:b w:val="1"/>
                <w:bCs w:val="1"/>
                <w:color w:val="auto"/>
              </w:rPr>
              <w:t>Income (loss) before income tax</w:t>
            </w:r>
          </w:p>
        </w:tc>
        <w:tc>
          <w:tcPr>
            <w:tcW w:w="100" w:type="dxa"/>
            <w:vAlign w:val="bottom"/>
          </w:tcPr>
          <w:p>
            <w:pPr>
              <w:spacing w:after="0"/>
              <w:rPr>
                <w:sz w:val="10"/>
                <w:szCs w:val="10"/>
                <w:color w:val="auto"/>
              </w:rPr>
            </w:pPr>
          </w:p>
        </w:tc>
        <w:tc>
          <w:tcPr>
            <w:tcW w:w="640" w:type="dxa"/>
            <w:vAlign w:val="bottom"/>
            <w:vMerge w:val="restart"/>
          </w:tcPr>
          <w:p>
            <w:pPr>
              <w:jc w:val="right"/>
              <w:ind w:right="8"/>
              <w:spacing w:after="0"/>
              <w:rPr>
                <w:sz w:val="20"/>
                <w:szCs w:val="20"/>
                <w:color w:val="auto"/>
              </w:rPr>
            </w:pPr>
            <w:r>
              <w:rPr>
                <w:rFonts w:ascii="Arial" w:cs="Arial" w:eastAsia="Arial" w:hAnsi="Arial"/>
                <w:sz w:val="14"/>
                <w:szCs w:val="14"/>
                <w:color w:val="auto"/>
              </w:rPr>
              <w:t>204</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0"/>
                <w:szCs w:val="10"/>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NM</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357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(170)</w:t>
            </w:r>
          </w:p>
        </w:tc>
        <w:tc>
          <w:tcPr>
            <w:tcW w:w="8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3.6 %</w:t>
            </w:r>
          </w:p>
        </w:tc>
        <w:tc>
          <w:tcPr>
            <w:tcW w:w="10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0"/>
                <w:szCs w:val="10"/>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8"/>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provision (benefit)</w:t>
            </w:r>
          </w:p>
        </w:tc>
        <w:tc>
          <w:tcPr>
            <w:tcW w:w="10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3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Income tax provision (benefit)</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NM</w:t>
            </w:r>
          </w:p>
        </w:tc>
        <w:tc>
          <w:tcPr>
            <w:tcW w:w="12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0.8 %</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79"/>
        </w:trPr>
        <w:tc>
          <w:tcPr>
            <w:tcW w:w="234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6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8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2.8 %</w:t>
            </w:r>
          </w:p>
        </w:tc>
        <w:tc>
          <w:tcPr>
            <w:tcW w:w="10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4"/>
        </w:trPr>
        <w:tc>
          <w:tcPr>
            <w:tcW w:w="2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80"/>
        <w:spacing w:after="0"/>
        <w:rPr>
          <w:sz w:val="20"/>
          <w:szCs w:val="20"/>
          <w:color w:val="auto"/>
        </w:rPr>
      </w:pPr>
      <w:r>
        <w:rPr>
          <w:rFonts w:ascii="Arial" w:cs="Arial" w:eastAsia="Arial" w:hAnsi="Arial"/>
          <w:sz w:val="14"/>
          <w:szCs w:val="14"/>
          <w:color w:val="auto"/>
        </w:rPr>
        <w:t>NM - Not meaningful</w:t>
      </w:r>
    </w:p>
    <w:p>
      <w:pPr>
        <w:spacing w:after="0" w:line="109" w:lineRule="exact"/>
        <w:rPr>
          <w:sz w:val="20"/>
          <w:szCs w:val="20"/>
          <w:color w:val="auto"/>
        </w:rPr>
      </w:pPr>
    </w:p>
    <w:p>
      <w:pPr>
        <w:ind w:left="500" w:right="180" w:hanging="330"/>
        <w:spacing w:after="0" w:line="273" w:lineRule="auto"/>
        <w:tabs>
          <w:tab w:leader="none" w:pos="492"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Consolidated operating income for the three months ended June 30, 2021 includes $35 million of transaction and integration costs and $2 million of restructuring income. $2 million of the transaction and integration costs relate to our Transportation segment, $7 million relate to our Logistics segment and $26 million relate to Corporate.</w:t>
      </w:r>
    </w:p>
    <w:p>
      <w:pPr>
        <w:spacing w:after="0" w:line="65" w:lineRule="exact"/>
        <w:rPr>
          <w:rFonts w:ascii="Arial" w:cs="Arial" w:eastAsia="Arial" w:hAnsi="Arial"/>
          <w:sz w:val="14"/>
          <w:szCs w:val="14"/>
          <w:color w:val="auto"/>
        </w:rPr>
      </w:pPr>
    </w:p>
    <w:p>
      <w:pPr>
        <w:ind w:left="500" w:right="200" w:hanging="330"/>
        <w:spacing w:after="0" w:line="273" w:lineRule="auto"/>
        <w:tabs>
          <w:tab w:leader="none" w:pos="492"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Consolidated operating loss for the three months ended June 30, 2020 includes $46 million of transaction and integration costs and $50 million of restructuring expense. $13 million of the transaction and integration costs relate to our Transportation segment, $18 million relate to our Logistics segment and $15 million relate to Corporate.</w:t>
      </w:r>
    </w:p>
    <w:p>
      <w:pPr>
        <w:spacing w:after="0" w:line="65" w:lineRule="exact"/>
        <w:rPr>
          <w:rFonts w:ascii="Arial" w:cs="Arial" w:eastAsia="Arial" w:hAnsi="Arial"/>
          <w:sz w:val="14"/>
          <w:szCs w:val="14"/>
          <w:color w:val="auto"/>
        </w:rPr>
      </w:pPr>
    </w:p>
    <w:p>
      <w:pPr>
        <w:ind w:left="500" w:right="60" w:hanging="330"/>
        <w:spacing w:after="0" w:line="273" w:lineRule="auto"/>
        <w:tabs>
          <w:tab w:leader="none" w:pos="492"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Consolidated operating income for the six months ended June 30, 2021 includes $53 million of transaction and integration costs and $2 million of restructuring expense. $3 million of the transaction and integration costs relate to our Transportation segment, $12 million relate to our Logistics segment and $38 million relate to Corporate.</w:t>
      </w:r>
    </w:p>
    <w:p>
      <w:pPr>
        <w:spacing w:after="0" w:line="65" w:lineRule="exact"/>
        <w:rPr>
          <w:rFonts w:ascii="Arial" w:cs="Arial" w:eastAsia="Arial" w:hAnsi="Arial"/>
          <w:sz w:val="14"/>
          <w:szCs w:val="14"/>
          <w:color w:val="auto"/>
        </w:rPr>
      </w:pPr>
    </w:p>
    <w:p>
      <w:pPr>
        <w:ind w:left="500" w:right="100" w:hanging="330"/>
        <w:spacing w:after="0" w:line="273" w:lineRule="auto"/>
        <w:tabs>
          <w:tab w:leader="none" w:pos="492" w:val="left"/>
        </w:tabs>
        <w:numPr>
          <w:ilvl w:val="0"/>
          <w:numId w:val="7"/>
        </w:numPr>
        <w:rPr>
          <w:rFonts w:ascii="Arial" w:cs="Arial" w:eastAsia="Arial" w:hAnsi="Arial"/>
          <w:sz w:val="14"/>
          <w:szCs w:val="14"/>
          <w:color w:val="auto"/>
        </w:rPr>
      </w:pPr>
      <w:r>
        <w:rPr>
          <w:rFonts w:ascii="Arial" w:cs="Arial" w:eastAsia="Arial" w:hAnsi="Arial"/>
          <w:sz w:val="14"/>
          <w:szCs w:val="14"/>
          <w:color w:val="auto"/>
        </w:rPr>
        <w:t>Consolidated operating loss for the six months ended June 30, 2020 includes $90 million of transaction and integration costs and $53 million of restructuring expense. $20 million of the transaction and integration costs relate to our Transportation segment, $25 million relate to our Logistics segment and $45 million relate to Corporate.</w:t>
      </w:r>
    </w:p>
    <w:p>
      <w:pPr>
        <w:spacing w:after="0" w:line="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transaction and integration costs for the first six months of 2021 are primarily related to the spin-off of the Logistics segment and our acquisition of the Kuehne + Nagel business in January 2021. The transaction and integration costs for the first six months of 2020 are primarily related to our previously announced exploration of strategic alternatives that was terminated in March 2020. For further information on our restructuring actions, see Note 5— Restructuring Charges to the Condensed Consolidated Financial Statements. We also incurred net incremental and direct costs as a result of the COVID-19 pandemic in the second quarter and first six months of 2021 and 2020.</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and Six Months Ended June 30, 2021 Compared with Three and Six Months Ended June 30, 2020</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Revenue for the second quarter of 2021 increased 43.8% to $5.0 billion, compared with the same quarter in 2020. Revenue for the first six months of 2021 increased 33.2% to $9.8 billion compared with the same period in 2020. The increase in revenue in the second quarter and first six months of 2021 compared to the same periods in 2020 reflects the impact of COVID-19 on our results in 2020 and strong growth in both our transportation and logistics businesses, including the impact of the acquired Kuehne + Nagel business in January 2021. The Kuehne + Nagel business contributed approximately 4.3 percentage points to revenue growth for the second quarter of 2021 and 3.6 percentage points for the first six months of 2021. Additionally, foreign currency movement increased revenue by approximately 4.5 percentage points in the second quarter of 2021 and 3.8 percentage points in the first six months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Cost of transportation and services includes the cost of providing or procuring freight transportation for XPO customers and salaries paid to employee drivers in our LTL and truckload businesses.</w:t>
      </w:r>
    </w:p>
    <w:p>
      <w:pPr>
        <w:spacing w:after="0" w:line="6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Cost of transportation and services for the second quarter of 2021 was $2.5 billion, or 49.9% of revenue, compared with $1.6 billion, or 46.9% of revenue, for the same period in 2020. Cost of transportation and services for the first six months of 2021 was $4.8 billion, or 49.4% of revenue, compared with $3.5 billion or 48.0% of revenue, for the same period in 2020. The year-over-year increase as a percentage of revenue in both periods reflects higher costs in both segments, as well as the impact of a higher proportion of revenue from our Transportation segment in 2021 as compared to prior year. These increases were partially offset by lower COVID-19-related costs.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Direct operating expenses are comprised of both fixed and variable expenses and consist of operating costs related to our warehousing facilities and LTL service centers. Direct operating expenses consist mainly of personnel costs, facility and equipment expenses, such as rent, utilities, equipment maintenance and repair, costs of materials and supplies, information technology expenses, depreciation expense, and gains and losses on sales of property and equipment.</w:t>
      </w:r>
    </w:p>
    <w:p>
      <w:pPr>
        <w:spacing w:after="0" w:line="79"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Direct operating expense for the second quarter of 2021 was $1.7 billion, or 33.4% of revenue, compared with $1.4 billion, or 39.1% of revenue, for the same quarter in 2020. Direct operating expense for the first six months of 2021 was $3.3 billion, or 34.0% of revenue, compared with $2.7 billion, or</w:t>
      </w:r>
    </w:p>
    <w:p>
      <w:pPr>
        <w:spacing w:after="0" w:line="253" w:lineRule="auto"/>
        <w:rPr>
          <w:sz w:val="20"/>
          <w:szCs w:val="20"/>
          <w:color w:val="auto"/>
        </w:rPr>
      </w:pPr>
      <w:r>
        <w:rPr>
          <w:rFonts w:ascii="Arial" w:cs="Arial" w:eastAsia="Arial" w:hAnsi="Arial"/>
          <w:sz w:val="18"/>
          <w:szCs w:val="18"/>
          <w:color w:val="auto"/>
        </w:rPr>
        <w:t>37.1% of revenue, for the same period in 2020. The year-over-year decrease as a percentage of revenue in both periods was primarily driven by the impact of higher proportion of revenue from our Transportation segment in 2021 as compared to prior year as well as lower COVID-19-related, personnel and facilities costs as a percentage of revenue as we leveraged our fixed costs across increased revenues this quarter and six month period. Direct operating expense for the second quarters of 2021 and 2020 included $7 million and $12 million, respectively, and the first six months of 2021 and 2020 included $31 million and $39 million, respectively, of gains on sales of property and equipment.</w:t>
      </w:r>
    </w:p>
    <w:p>
      <w:pPr>
        <w:spacing w:after="0" w:line="8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Sales, general and administrative expense (“SG&amp;A”) primarily consists of salaries and commissions for the sales function, salary and benefit costs for executive and certain administration functions, depreciation and amortization expense, professional fees, facility costs, bad debt expense and legal costs.</w:t>
      </w:r>
    </w:p>
    <w:p>
      <w:pPr>
        <w:spacing w:after="0" w:line="16" w:lineRule="exact"/>
        <w:rPr>
          <w:sz w:val="20"/>
          <w:szCs w:val="20"/>
          <w:color w:val="auto"/>
        </w:rPr>
      </w:pPr>
    </w:p>
    <w:p>
      <w:pPr>
        <w:ind w:right="200"/>
        <w:spacing w:after="0" w:line="272" w:lineRule="auto"/>
        <w:rPr>
          <w:sz w:val="20"/>
          <w:szCs w:val="20"/>
          <w:color w:val="auto"/>
        </w:rPr>
      </w:pPr>
      <w:r>
        <w:rPr>
          <w:rFonts w:ascii="Arial" w:cs="Arial" w:eastAsia="Arial" w:hAnsi="Arial"/>
          <w:sz w:val="17"/>
          <w:szCs w:val="17"/>
          <w:color w:val="auto"/>
        </w:rPr>
        <w:t>SG&amp;A for the second quarter of 2021 was $594 million, or 11.8% of revenue, compared with $632 million, or 18.0% of revenue, for the same period in 2020. SG&amp;A for the first six months of 2021 was $1.18 billion, or 12.0% of revenue, compared with $1.16 billion, or 15.7% of revenue, for the same period in 2020. SG&amp;A for the second quarter and first six months of 2021 included approximately $31 million and $44 million, respectively, of expenses related to the spin-off of our Logistics segment, including professional service fees. In comparison, SG&amp;A for the second quarter and first six months of 2020 included approximately $33 million and $73 million, respectively, of expenses related to our exploration of strategic alternatives, including professional service fees and employee retention costs. Further impacting the decrease in SG&amp;A as a percentage of revenue were lower restructuring charges, COVID-19-related costs and bad debt expense in the second quarter and first six months of 2021.</w:t>
      </w:r>
    </w:p>
    <w:p>
      <w:pPr>
        <w:spacing w:after="0" w:line="69"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Other income primarily consists of pension income. Other income for the second quarter of 2021 was $24 million, compared with $21 million for the same period in 2020. Other income for the first six months of 2021 was $50 million, compared with $39 million for the same period in 2020. The year-over-year increase primarily reflects higher net periodic pension income in the second quarter and first six months of 2021, compared with the same periods in 2020.</w:t>
      </w:r>
    </w:p>
    <w:p>
      <w:pPr>
        <w:spacing w:after="0" w:line="4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Foreign currency (gain) loss was a $3 million loss for both the second quarter of 2021 and 2020. Foreign currency (gain) loss was a $1 million loss for the first six months of 2021, compared with an $5 million gain for the same period in 2020. Foreign currency loss in the first six months of 2021 primarily reflected unrealized losses on foreign currency option and forward contracts. Foreign currency gain in the first six months of 2020 primarily reflected realized gains on foreign currency option and forward contracts and other derivative contracts, including a gain on a terminated net investment hedge on foreign currency option and forward contracts. For additional information on our foreign currency option and forward contracts, see Note 6—Derivative Instruments to our Condensed Consolidated Financial Statements.</w:t>
      </w:r>
    </w:p>
    <w:p>
      <w:pPr>
        <w:spacing w:after="0" w:line="8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Debt extinguishment loss was $8 million for the first six months of 2021 and related to the write-off of debt issuance costs for the redemption of our outstanding senior notes due 2022, as well as costs related to the amendment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term loan credit agreement. There were no debt extinguishment losses in the second quarter of 2021 or the first six months of 2020.</w:t>
      </w:r>
    </w:p>
    <w:p>
      <w:pPr>
        <w:spacing w:after="0" w:line="11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Interest expense decreased to $63 million for the second quarter of 2021 from $82 million for the second quarter of 2020. Interest expense decreased to $132 million for the first six months of 2021 from $154 million for the first six months of 2020. The declines in interest expense reflected the lower debt balances, including the redemption of our senior notes due 2022 in the first quarter of 2021.</w:t>
      </w:r>
    </w:p>
    <w:p>
      <w:pPr>
        <w:spacing w:after="0" w:line="76"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effective income tax rates were 22.4% and 34.8% for the second quarter of 2021 and 2020, respectively, and 22.5% and 35.8% for the first six months of 2021 and 2020, respectively. The effective tax rates for the second quarter and six-month periods of 2021 and 2020 were based on forecasted full-year effective tax rates, adjusted for discrete items that occurred within the periods presented. The change in our effective tax rate for the second quarter of 2021 compared to the same quarter in 2020 was primarily driven by higher pre-tax book income which diluted the impact of contribution- and margin-based taxes. The primary discrete item impacting the effective tax rate for the second quarter of 2021 was a tax benefit of $6 million from changes in reserves for uncertain tax positions. The primary items impacting the effective tax rate for the first six months of 2021 included discrete tax benefits of $6 million from changes in reserves for uncertain tax positions and $4 million of excess tax benefit from stock-based compensation. There were no material discrete items impacting the effective tax rate for the second quarter and first six months of 2020.</w:t>
      </w:r>
    </w:p>
    <w:p>
      <w:pPr>
        <w:spacing w:after="0" w:line="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July 2021, in connection with the spin-off of our Logistics segment, we amended our legal entity structure. These changes will result in one-time cash and non-cash tax expenses in the second half of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Charges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engage in restructuring actions as part of our ongoing efforts to best use our resources and infrastructure, including actions in response to COVID-19.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 (credits) were recorded on our Condensed Consolidated Statements of Income (Loss)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1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380" w:type="dxa"/>
            <w:vAlign w:val="bottom"/>
          </w:tcPr>
          <w:p>
            <w:pPr>
              <w:spacing w:after="0"/>
              <w:rPr>
                <w:sz w:val="16"/>
                <w:szCs w:val="16"/>
                <w:color w:val="auto"/>
              </w:rPr>
            </w:pPr>
          </w:p>
        </w:tc>
        <w:tc>
          <w:tcPr>
            <w:tcW w:w="3000" w:type="dxa"/>
            <w:vAlign w:val="bottom"/>
            <w:gridSpan w:val="4"/>
          </w:tcPr>
          <w:p>
            <w:pPr>
              <w:jc w:val="right"/>
              <w:ind w:right="77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2020</w:t>
            </w:r>
          </w:p>
        </w:tc>
      </w:tr>
      <w:tr>
        <w:trPr>
          <w:trHeight w:val="224"/>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transportation and services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4360" w:type="dxa"/>
            <w:vAlign w:val="bottom"/>
          </w:tcPr>
          <w:p>
            <w:pPr>
              <w:ind w:left="20"/>
              <w:spacing w:after="0"/>
              <w:rPr>
                <w:sz w:val="20"/>
                <w:szCs w:val="20"/>
                <w:color w:val="auto"/>
              </w:rPr>
            </w:pPr>
            <w:r>
              <w:rPr>
                <w:rFonts w:ascii="Arial" w:cs="Arial" w:eastAsia="Arial" w:hAnsi="Arial"/>
                <w:sz w:val="18"/>
                <w:szCs w:val="18"/>
                <w:color w:val="auto"/>
              </w:rPr>
              <w:t>Direct operating expense</w:t>
            </w:r>
          </w:p>
        </w:tc>
        <w:tc>
          <w:tcPr>
            <w:tcW w:w="400" w:type="dxa"/>
            <w:vAlign w:val="bottom"/>
          </w:tcPr>
          <w:p>
            <w:pPr>
              <w:spacing w:after="0"/>
              <w:rPr>
                <w:sz w:val="19"/>
                <w:szCs w:val="19"/>
                <w:color w:val="auto"/>
              </w:rPr>
            </w:pPr>
          </w:p>
        </w:tc>
        <w:tc>
          <w:tcPr>
            <w:tcW w:w="134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4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general and administrative expense</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436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99"/>
              </w:rPr>
              <w:t>(2)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r>
      <w:tr>
        <w:trPr>
          <w:trHeight w:val="21"/>
        </w:trPr>
        <w:tc>
          <w:tcPr>
            <w:tcW w:w="4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For more information, see Note 5—Restructuring Charges to the Condensed Consolidated Financial Statements. We may incur incremental restructuring costs in 2021 in connection with the spin-off of our Logistics segment or for other reasons; however, we are currently unable to reasonably estimate these costs.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Transportation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86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10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6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Six Months Ended June</w:t>
            </w:r>
          </w:p>
        </w:tc>
        <w:tc>
          <w:tcPr>
            <w:tcW w:w="18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9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92"/>
              </w:rPr>
              <w:t>June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92"/>
              </w:rPr>
              <w:t>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4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2021 vs. 2020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82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2021 vs. 2020</w:t>
            </w:r>
          </w:p>
        </w:tc>
        <w:tc>
          <w:tcPr>
            <w:tcW w:w="0" w:type="dxa"/>
            <w:vAlign w:val="bottom"/>
          </w:tcPr>
          <w:p>
            <w:pPr>
              <w:spacing w:after="0"/>
              <w:rPr>
                <w:sz w:val="1"/>
                <w:szCs w:val="1"/>
                <w:color w:val="auto"/>
              </w:rPr>
            </w:pPr>
          </w:p>
        </w:tc>
      </w:tr>
      <w:tr>
        <w:trPr>
          <w:trHeight w:val="184"/>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3,186</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2,127</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49.8 %</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6,175</w:t>
            </w: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4,586</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34.6 %</w:t>
            </w:r>
          </w:p>
        </w:tc>
        <w:tc>
          <w:tcPr>
            <w:tcW w:w="0" w:type="dxa"/>
            <w:vAlign w:val="bottom"/>
          </w:tcPr>
          <w:p>
            <w:pPr>
              <w:spacing w:after="0"/>
              <w:rPr>
                <w:sz w:val="1"/>
                <w:szCs w:val="1"/>
                <w:color w:val="auto"/>
              </w:rPr>
            </w:pPr>
          </w:p>
        </w:tc>
      </w:tr>
      <w:tr>
        <w:trPr>
          <w:trHeight w:val="188"/>
        </w:trPr>
        <w:tc>
          <w:tcPr>
            <w:tcW w:w="214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1020" w:type="dxa"/>
            <w:vAlign w:val="bottom"/>
            <w:gridSpan w:val="2"/>
          </w:tcPr>
          <w:p>
            <w:pPr>
              <w:ind w:left="68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464</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105</w:t>
            </w: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7.5 %</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2.3 %</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341.9 %</w:t>
            </w:r>
          </w:p>
        </w:tc>
        <w:tc>
          <w:tcPr>
            <w:tcW w:w="0" w:type="dxa"/>
            <w:vAlign w:val="bottom"/>
          </w:tcPr>
          <w:p>
            <w:pPr>
              <w:spacing w:after="0"/>
              <w:rPr>
                <w:sz w:val="1"/>
                <w:szCs w:val="1"/>
                <w:color w:val="auto"/>
              </w:rPr>
            </w:pPr>
          </w:p>
        </w:tc>
      </w:tr>
      <w:tr>
        <w:trPr>
          <w:trHeight w:val="190"/>
        </w:trPr>
        <w:tc>
          <w:tcPr>
            <w:tcW w:w="21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and amortization</w:t>
            </w: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w:t>
            </w: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Revenue in our Transportation segment increased 49.8% to $3.2 billion for the second quarter of 2021, compared with $2.1 billion for the same quarter in 2020. Revenue increased 34.6% to $6.2 billion for the first six months of 2021, compared with $4.6 billion for the same period in 2020. The increase in revenue in the second quarter and first six months of 2021 reflected the impact of COVID-19 on our results in 2020 and strong growth in all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transportation businesses. Additionally, foreign currency movement increased revenue by approximately 2.5 percentage points in the second quarter of 2021 and 2.1 percentage points in the first six months of 2021.</w:t>
      </w:r>
    </w:p>
    <w:p>
      <w:pPr>
        <w:spacing w:after="0" w:line="6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Operating income in our transportation segment was $255 million, or 8.0% of revenue, for the second quarter of 2021, compared with the operating loss of $15 million, or 0.7% of revenue, for the same quarter in 2020. Operating income was $464 million, or 7.5% of revenue, for the first six months of 2021, compared with $105 million, or 2.3% of revenue, for the same period in 2020. The increase in both periods was primarily driven by significantly higher revenue and lower restructuring charges and COVID-19-related costs. Additionally, expenses related to our exploration of strategic alternatives were approximately $8 million in the second quarter of 2020 and $15 million in the first six months of 2020.</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Logistics Segment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8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10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16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Six Months Ended June</w:t>
            </w:r>
          </w:p>
        </w:tc>
        <w:tc>
          <w:tcPr>
            <w:tcW w:w="1880" w:type="dxa"/>
            <w:vAlign w:val="bottom"/>
            <w:gridSpan w:val="4"/>
            <w:vMerge w:val="restart"/>
          </w:tcPr>
          <w:p>
            <w:pPr>
              <w:ind w:left="300"/>
              <w:spacing w:after="0"/>
              <w:rPr>
                <w:sz w:val="20"/>
                <w:szCs w:val="20"/>
                <w:color w:val="auto"/>
              </w:rPr>
            </w:pPr>
            <w:r>
              <w:rPr>
                <w:rFonts w:ascii="Arial" w:cs="Arial" w:eastAsia="Arial" w:hAnsi="Arial"/>
                <w:sz w:val="14"/>
                <w:szCs w:val="14"/>
                <w:b w:val="1"/>
                <w:bCs w:val="1"/>
                <w:color w:val="auto"/>
              </w:rPr>
              <w:t>Percent of Revenue</w:t>
            </w: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center"/>
              <w:ind w:left="328"/>
              <w:spacing w:after="0"/>
              <w:rPr>
                <w:sz w:val="20"/>
                <w:szCs w:val="20"/>
                <w:color w:val="auto"/>
              </w:rPr>
            </w:pPr>
            <w:r>
              <w:rPr>
                <w:rFonts w:ascii="Arial" w:cs="Arial" w:eastAsia="Arial" w:hAnsi="Arial"/>
                <w:sz w:val="14"/>
                <w:szCs w:val="14"/>
                <w:b w:val="1"/>
                <w:bCs w:val="1"/>
                <w:color w:val="auto"/>
                <w:w w:val="89"/>
              </w:rPr>
              <w:t>June 30,</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gridSpan w:val="3"/>
          </w:tcPr>
          <w:p>
            <w:pPr>
              <w:jc w:val="right"/>
              <w:ind w:right="48"/>
              <w:spacing w:after="0"/>
              <w:rPr>
                <w:sz w:val="20"/>
                <w:szCs w:val="20"/>
                <w:color w:val="auto"/>
              </w:rPr>
            </w:pPr>
            <w:r>
              <w:rPr>
                <w:rFonts w:ascii="Arial" w:cs="Arial" w:eastAsia="Arial" w:hAnsi="Arial"/>
                <w:sz w:val="14"/>
                <w:szCs w:val="14"/>
                <w:b w:val="1"/>
                <w:bCs w:val="1"/>
                <w:color w:val="auto"/>
                <w:w w:val="81"/>
              </w:rPr>
              <w:t>30,</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4"/>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1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jc w:val="right"/>
              <w:ind w:right="168"/>
              <w:spacing w:after="0"/>
              <w:rPr>
                <w:sz w:val="20"/>
                <w:szCs w:val="20"/>
                <w:color w:val="auto"/>
              </w:rPr>
            </w:pPr>
            <w:r>
              <w:rPr>
                <w:rFonts w:ascii="Arial" w:cs="Arial" w:eastAsia="Arial" w:hAnsi="Arial"/>
                <w:sz w:val="14"/>
                <w:szCs w:val="14"/>
                <w:b w:val="1"/>
                <w:bCs w:val="1"/>
                <w:color w:val="auto"/>
                <w:w w:val="83"/>
              </w:rPr>
              <w:t>2020</w:t>
            </w:r>
          </w:p>
        </w:tc>
        <w:tc>
          <w:tcPr>
            <w:tcW w:w="80" w:type="dxa"/>
            <w:vAlign w:val="bottom"/>
          </w:tcPr>
          <w:p>
            <w:pPr>
              <w:spacing w:after="0"/>
              <w:rPr>
                <w:sz w:val="15"/>
                <w:szCs w:val="15"/>
                <w:color w:val="auto"/>
              </w:rPr>
            </w:pPr>
          </w:p>
        </w:tc>
        <w:tc>
          <w:tcPr>
            <w:tcW w:w="840" w:type="dxa"/>
            <w:vAlign w:val="bottom"/>
            <w:tcBorders>
              <w:top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2021 vs. 2020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84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2021 vs. 2020</w:t>
            </w:r>
          </w:p>
        </w:tc>
        <w:tc>
          <w:tcPr>
            <w:tcW w:w="0" w:type="dxa"/>
            <w:vAlign w:val="bottom"/>
          </w:tcPr>
          <w:p>
            <w:pPr>
              <w:spacing w:after="0"/>
              <w:rPr>
                <w:sz w:val="1"/>
                <w:szCs w:val="1"/>
                <w:color w:val="auto"/>
              </w:rPr>
            </w:pPr>
          </w:p>
        </w:tc>
      </w:tr>
      <w:tr>
        <w:trPr>
          <w:trHeight w:val="184"/>
        </w:trPr>
        <w:tc>
          <w:tcPr>
            <w:tcW w:w="2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1,881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1,404</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10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34.0 %</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3,699</w:t>
            </w: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2,841</w:t>
            </w:r>
          </w:p>
        </w:tc>
        <w:tc>
          <w:tcPr>
            <w:tcW w:w="10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30.2 %</w:t>
            </w:r>
          </w:p>
        </w:tc>
        <w:tc>
          <w:tcPr>
            <w:tcW w:w="0" w:type="dxa"/>
            <w:vAlign w:val="bottom"/>
          </w:tcPr>
          <w:p>
            <w:pPr>
              <w:spacing w:after="0"/>
              <w:rPr>
                <w:sz w:val="1"/>
                <w:szCs w:val="1"/>
                <w:color w:val="auto"/>
              </w:rPr>
            </w:pPr>
          </w:p>
        </w:tc>
      </w:tr>
      <w:tr>
        <w:trPr>
          <w:trHeight w:val="188"/>
        </w:trPr>
        <w:tc>
          <w:tcPr>
            <w:tcW w:w="212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income (loss)</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(43)</w:t>
            </w:r>
          </w:p>
        </w:tc>
        <w:tc>
          <w:tcPr>
            <w:tcW w:w="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00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16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139</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0"/>
        </w:trPr>
        <w:tc>
          <w:tcPr>
            <w:tcW w:w="21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Depreciation and amortization</w:t>
            </w: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6.7 %</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Revenue in our Logistics segment increased 34.0% to $1.9 billion for the second quarter of 2021, compared with $1.4 billion for the same quarter in 2020. Revenue increased 30.2% to $3.7 billion for the first six months of 2021, compared with $2.8 billion for the same period in 2020. The increases in revenue in the second quarter and first six months of 2021 compared to the same period in 2020 reflect the impact of COVID-19 on our results in 2020 and strong growth in our European business, including the impact of the acquired Kuehne + Nagel business in January 2021. The Kuehne + Nagel business contributed approximately 10.7 percentage points to segment revenue growth in the second quarter of 2021 and 9.4 percentage points for the first six months of 2021. Additionally, foreign currency movement increased revenue by approximately 7.6 percentage points in the second quarter of 2021 and 6.6 percentage points in the first six months of 2021.</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in our Logistics segment was $71 million, or 3.8% of revenue, for the second quarter of 2021, compared with a loss of $43 million,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3.1% of revenue, for the same quarter in 2020. Operating income was $139 million, or 3.8% of revenue, for the first six months of 2021, compared with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of $5 million, or 0.2% of revenue, for the same period in 2020. The increase in both periods was primarily driven by significantly higher revenue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lower restructuring charges and COVID-19-related costs. Operating income for the second quarter and first six months of 2021 included $7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 million, respectively, of transaction and integration costs, including amounts related to our acquisition of the Kuehne + Nagel business. In comparison,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loss for the second quarter and first six months of 2020 included $11 million and $17 million, respectively, of expenses related to our exploration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strategic alternatives.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2021, we had cash and cash equivalents of $801 million. Our principal existing sources of cash are (i) cash generated from operations; (ii)</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borrowings available under our Second Amended and Restated Revolving Loan Credit Agreement, as amended (the “ABL Facility”); and (iii) proceeds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from the issuance of other debt. As of June 30, 2021, we have $1.084 billion available to draw under our ABL Facility, based on a borrowing base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 billion and outstanding letters of credit of $16 million. Additionally, under our Senior Secured Term Loan Credit Agreement, we have a $200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uncommitted secured evergreen letter of credit facility, under which we have issued $198 million in aggregate face amount of letters of credit as of June 30,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2021.</w:t>
      </w:r>
    </w:p>
    <w:p>
      <w:pPr>
        <w:spacing w:after="0" w:line="103"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In July 2021, we amended our existing ABL facility which matures in April 2024 to reduce the commitments from $1.1 billion to $1.0 billion. There were no other significant changes made to the terms of the facility, including the maturity date, the interest rate margin, and financial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continually evaluate our liquidity requirements in light of our operating needs, growth initiatives and capital resources. We believe that our existing liquidity and sources of capital are sufficient to support our operations over the next 12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Receivables Securitization and Factoring Programs</w:t>
      </w:r>
    </w:p>
    <w:p>
      <w:pPr>
        <w:spacing w:after="0" w:line="117"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We sell certain of our trade accounts receivable on a non-recourse basis to third-party financial institutions under factoring agreements. We account for these transactions as sales of receivables and present cash proceeds as cash provided by operating activities in the Condensed Consolidated Statements of Cash Flows. We also sell trade accounts receivable under a securitization program described below. We use trade receivables securitization and factoring programs to help manage our cash flows and offset the impact of extended payment terms for some of our customers.</w:t>
      </w:r>
    </w:p>
    <w:p>
      <w:pPr>
        <w:spacing w:after="0" w:line="4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XPO Logistics Europe SA (“XPO Logistics Europe”) participates in a trade receivables securitization program co-arranged by three European banks (the “Purchasers”). Under the program, a wholly-owned bankruptcy-remote special purpose entity of XPO Logistics Europe sells trade receivables that originate with wholly-owned subsidiaries of XPO Logistics Europe in the United Kingdom and France to unaffiliated entities managed by the Purchasers. The special purpose entity is a variable interest entity and is consolidated by XPO based on our control of the entity’s activities.</w:t>
      </w:r>
    </w:p>
    <w:p>
      <w:pPr>
        <w:spacing w:after="0" w:line="6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account for transfers under our securitization and factoring arrangements as sales because we sell full title and ownership in the underlying receivables and control of the receivables is considered transferred. For these transfers, the receivables are removed from our Condensed Consolidated Balance Sheets at the date of transfer. In the securitization and factoring arrangements, our continuing involvement is limited to servicing the receivables and, in the case of the securitization arrangements, providing recourse in certain defined circumstances. The fair value of any servicing assets and liabilities is immaterial. Our trade receivables securitization program permits us to borrow, on an unsecured basis, cash collected in a servicing capacity on previously sold receivables, which we report within short-term debt on our Condensed Consolidated Balance Sheets. We had no such borrowings outstanding as of June 30, 2021 and €41 million ($50 million) as of December 31, 2020.</w:t>
      </w:r>
    </w:p>
    <w:p>
      <w:pPr>
        <w:spacing w:after="0" w:line="69"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maximum amount of net cash proceeds available at any one time under the securitization program, inclusive of any unsecured borrowings, is €400 million (approximately $474 million as of June 30, 2021). As of June 30, 2021, €59 million (approximately $70 million) was available to us, subject to having sufficient receivables available to sell to the Purchasers.</w:t>
      </w:r>
    </w:p>
    <w:p>
      <w:pPr>
        <w:spacing w:after="0" w:line="7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Under the program, we service the receivables we sell on behalf of the Purchasers, which gives us visibility into the timing of customer payments. The benefit to our cash flow includes the difference between the cash consideration in the table below and the amount we collected as a servicer on behalf of the Purchasers. In the first six months of 2021 and 2020, we collected cash as servicer of $1.7 billion and $1.3 billion, respectively.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the trade receivables sold was as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60" w:type="dxa"/>
            <w:vAlign w:val="bottom"/>
          </w:tcPr>
          <w:p>
            <w:pPr>
              <w:spacing w:after="0"/>
              <w:rPr>
                <w:sz w:val="16"/>
                <w:szCs w:val="16"/>
                <w:color w:val="auto"/>
              </w:rPr>
            </w:pPr>
          </w:p>
        </w:tc>
        <w:tc>
          <w:tcPr>
            <w:tcW w:w="2780" w:type="dxa"/>
            <w:vAlign w:val="bottom"/>
            <w:gridSpan w:val="4"/>
          </w:tcPr>
          <w:p>
            <w:pPr>
              <w:jc w:val="right"/>
              <w:ind w:right="654"/>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486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224"/>
        </w:trPr>
        <w:tc>
          <w:tcPr>
            <w:tcW w:w="4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Securitization programs</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1,657</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1,289</w:t>
            </w:r>
          </w:p>
        </w:tc>
      </w:tr>
      <w:tr>
        <w:trPr>
          <w:trHeight w:val="229"/>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r>
      <w:tr>
        <w:trPr>
          <w:trHeight w:val="270"/>
        </w:trPr>
        <w:tc>
          <w:tcPr>
            <w:tcW w:w="4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30"/>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Factoring programs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860" w:type="dxa"/>
            <w:vAlign w:val="bottom"/>
            <w:gridSpan w:val="2"/>
          </w:tcPr>
          <w:p>
            <w:pPr>
              <w:ind w:left="220"/>
              <w:spacing w:after="0"/>
              <w:rPr>
                <w:sz w:val="20"/>
                <w:szCs w:val="20"/>
                <w:color w:val="auto"/>
              </w:rPr>
            </w:pPr>
            <w:r>
              <w:rPr>
                <w:rFonts w:ascii="Arial" w:cs="Arial" w:eastAsia="Arial" w:hAnsi="Arial"/>
                <w:sz w:val="18"/>
                <w:szCs w:val="18"/>
                <w:color w:val="auto"/>
              </w:rPr>
              <w:t>Receivables sold in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30"/>
        </w:trPr>
        <w:tc>
          <w:tcPr>
            <w:tcW w:w="4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Cash consideration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In July 2021, in connection with the spin-off of our Logistics segment, the existing trade receivables securitization program was amended; the existing</w:t>
      </w:r>
    </w:p>
    <w:p>
      <w:pPr>
        <w:spacing w:after="0" w:line="35"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€400 million program is now comprised of two separate €200 million programs, one of which will continue to be available to us and one of which will be part of GXO following the spin-off. The new program expires in July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Facilities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In the first quarter of 2021, we amended the Term Loan Credit Agreement to consolidate our tranches and lower the interest rate. The applicable terms of the Term Loan Credit Agreement are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1054"/>
              <w:spacing w:after="0"/>
              <w:rPr>
                <w:sz w:val="20"/>
                <w:szCs w:val="20"/>
                <w:color w:val="auto"/>
              </w:rPr>
            </w:pPr>
            <w:r>
              <w:rPr>
                <w:rFonts w:ascii="Arial" w:cs="Arial" w:eastAsia="Arial" w:hAnsi="Arial"/>
                <w:sz w:val="14"/>
                <w:szCs w:val="14"/>
                <w:b w:val="1"/>
                <w:bCs w:val="1"/>
                <w:color w:val="auto"/>
              </w:rPr>
              <w:t>December 31, 2020</w:t>
            </w:r>
          </w:p>
        </w:tc>
      </w:tr>
      <w:tr>
        <w:trPr>
          <w:trHeight w:val="188"/>
        </w:trPr>
        <w:tc>
          <w:tcPr>
            <w:tcW w:w="600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2021</w:t>
            </w:r>
          </w:p>
        </w:tc>
        <w:tc>
          <w:tcPr>
            <w:tcW w:w="26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First Tranche</w:t>
            </w:r>
          </w:p>
        </w:tc>
        <w:tc>
          <w:tcPr>
            <w:tcW w:w="240" w:type="dxa"/>
            <w:vAlign w:val="bottom"/>
          </w:tcPr>
          <w:p>
            <w:pPr>
              <w:spacing w:after="0"/>
              <w:rPr>
                <w:sz w:val="16"/>
                <w:szCs w:val="16"/>
                <w:color w:val="auto"/>
              </w:rPr>
            </w:pPr>
          </w:p>
        </w:tc>
        <w:tc>
          <w:tcPr>
            <w:tcW w:w="1440" w:type="dxa"/>
            <w:vAlign w:val="bottom"/>
          </w:tcPr>
          <w:p>
            <w:pPr>
              <w:jc w:val="right"/>
              <w:ind w:right="254"/>
              <w:spacing w:after="0"/>
              <w:rPr>
                <w:sz w:val="20"/>
                <w:szCs w:val="20"/>
                <w:color w:val="auto"/>
              </w:rPr>
            </w:pPr>
            <w:r>
              <w:rPr>
                <w:rFonts w:ascii="Arial" w:cs="Arial" w:eastAsia="Arial" w:hAnsi="Arial"/>
                <w:sz w:val="14"/>
                <w:szCs w:val="14"/>
                <w:b w:val="1"/>
                <w:bCs w:val="1"/>
                <w:color w:val="auto"/>
                <w:w w:val="99"/>
              </w:rPr>
              <w:t>Second Tranche</w:t>
            </w:r>
          </w:p>
        </w:tc>
      </w:tr>
      <w:tr>
        <w:trPr>
          <w:trHeight w:val="224"/>
        </w:trPr>
        <w:tc>
          <w:tcPr>
            <w:tcW w:w="5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Principal balance</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2,003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rPr>
              <w:t>1,503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500</w:t>
            </w:r>
          </w:p>
        </w:tc>
      </w:tr>
      <w:tr>
        <w:trPr>
          <w:trHeight w:val="229"/>
        </w:trPr>
        <w:tc>
          <w:tcPr>
            <w:tcW w:w="6000" w:type="dxa"/>
            <w:vAlign w:val="bottom"/>
            <w:gridSpan w:val="2"/>
          </w:tcPr>
          <w:p>
            <w:pPr>
              <w:ind w:left="20"/>
              <w:spacing w:after="0"/>
              <w:rPr>
                <w:sz w:val="20"/>
                <w:szCs w:val="20"/>
                <w:color w:val="auto"/>
              </w:rPr>
            </w:pPr>
            <w:r>
              <w:rPr>
                <w:rFonts w:ascii="Arial" w:cs="Arial" w:eastAsia="Arial" w:hAnsi="Arial"/>
                <w:sz w:val="18"/>
                <w:szCs w:val="18"/>
                <w:color w:val="auto"/>
              </w:rPr>
              <w:t>Interest spread:</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6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Base rate loans</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r>
      <w:tr>
        <w:trPr>
          <w:trHeight w:val="230"/>
        </w:trPr>
        <w:tc>
          <w:tcPr>
            <w:tcW w:w="6000" w:type="dxa"/>
            <w:vAlign w:val="bottom"/>
            <w:gridSpan w:val="2"/>
          </w:tcPr>
          <w:p>
            <w:pPr>
              <w:ind w:left="220"/>
              <w:spacing w:after="0"/>
              <w:rPr>
                <w:sz w:val="20"/>
                <w:szCs w:val="20"/>
                <w:color w:val="auto"/>
              </w:rPr>
            </w:pPr>
            <w:r>
              <w:rPr>
                <w:rFonts w:ascii="Arial" w:cs="Arial" w:eastAsia="Arial" w:hAnsi="Arial"/>
                <w:sz w:val="18"/>
                <w:szCs w:val="18"/>
                <w:color w:val="auto"/>
              </w:rPr>
              <w:t>LIBOR loans</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2.50 %</w:t>
            </w:r>
          </w:p>
        </w:tc>
      </w:tr>
      <w:tr>
        <w:trPr>
          <w:trHeight w:val="229"/>
        </w:trPr>
        <w:tc>
          <w:tcPr>
            <w:tcW w:w="6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Maturity date</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February 2025</w:t>
            </w:r>
          </w:p>
        </w:tc>
        <w:tc>
          <w:tcPr>
            <w:tcW w:w="2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February 2025</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2025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We recorded a debt extinguishment loss of $3 million in the first six months of 2021 due to this amendment.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2022</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January 2021, we redeemed our outstanding 6.50% senior notes due 2022. The redemption price for the notes was 100.0% of the principal amount, plus accrued and unpaid interest. We paid for the redemption with available cash. We recorded a debt extinguishment loss of $5 million in the first six months of 2021 due to this redemption.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2025</w:t>
      </w:r>
    </w:p>
    <w:p>
      <w:pPr>
        <w:spacing w:after="0" w:line="11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second quarter of 2020, we completed private placements of $1.15 billion aggregate principal amount of senior notes due 2025. Net proceeds from the notes were initially invested in cash and cash equivalents and were subsequently used to redeem our outstanding senior notes due 2022 in January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GXO Revolving Credit Facility</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June 2021, in preparation for the spin-off, GXO, which was our wholly-owned subsidiary at the time, entered into a five-year, unsecured, multi-currency revolving credit facility (the “GXO Facility”). Initially, the GXO Facility provides commitments up to $800 million, of which $60 million will be available for the issuance of letters of credit. Loans under the GXO Facility will bear interest at a fluctuating rate equal to: (i) with respect to borrowings in dollars, at GXO’s option, the alternate base rate or the reserve-adjusted LIBOR, (ii) with respect to borrowings in Canadian dollars, the reserve-adjusted Canadian Dollar Offered Rate and (iii) with respect to borrowings in Euros, the reserve-adjusted Euro Interbank Offered Rate, in each case, plus an applicable margin calculated based on GXO’s credit ratings. The availability of the GXO Facility was subject to the spin-off occurring.</w:t>
      </w:r>
    </w:p>
    <w:p>
      <w:pPr>
        <w:spacing w:after="0" w:line="5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covenants in the GXO Facility, which are customary for financings of this type, can limit the ability to incur indebtedness and grant liens, among other restrictions. In addition, the GXO Facility requires GXO to maintain a consolidated leverage ratio below a stated maximum consolidated leverage ratio.</w:t>
      </w:r>
    </w:p>
    <w:p>
      <w:pPr>
        <w:spacing w:after="0" w:line="16" w:lineRule="exact"/>
        <w:rPr>
          <w:sz w:val="20"/>
          <w:szCs w:val="20"/>
          <w:color w:val="auto"/>
        </w:rPr>
      </w:pPr>
    </w:p>
    <w:p>
      <w:pPr>
        <w:ind w:right="1200"/>
        <w:spacing w:after="0" w:line="375" w:lineRule="auto"/>
        <w:rPr>
          <w:sz w:val="20"/>
          <w:szCs w:val="20"/>
          <w:color w:val="auto"/>
        </w:rPr>
      </w:pPr>
      <w:r>
        <w:rPr>
          <w:rFonts w:ascii="Arial" w:cs="Arial" w:eastAsia="Arial" w:hAnsi="Arial"/>
          <w:sz w:val="18"/>
          <w:szCs w:val="18"/>
          <w:color w:val="auto"/>
        </w:rPr>
        <w:t xml:space="preserve">There was no amount outstanding under the GXO Facility at June 30, 2021. Following the spin-off, the GXO Facility is not available to us. </w:t>
      </w:r>
      <w:r>
        <w:rPr>
          <w:rFonts w:ascii="Arial" w:cs="Arial" w:eastAsia="Arial" w:hAnsi="Arial"/>
          <w:sz w:val="18"/>
          <w:szCs w:val="18"/>
          <w:b w:val="1"/>
          <w:bCs w:val="1"/>
          <w:i w:val="1"/>
          <w:iCs w:val="1"/>
          <w:color w:val="auto"/>
        </w:rPr>
        <w:t>GXO Notes</w:t>
      </w:r>
    </w:p>
    <w:p>
      <w:pPr>
        <w:spacing w:after="0" w:line="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preparation for the spin-off, in July 2021, GXO completed an offering of $800 million aggregate principal amount of notes, consisting of $400 million of notes due 2026 (the “GXO 2026 Notes”) and $400 million of notes due 2031 (the “GXO 2031 Notes”, and together with the GXO 2026 Notes, the “GXO Notes”).</w:t>
      </w:r>
    </w:p>
    <w:p>
      <w:pPr>
        <w:spacing w:after="0" w:line="76"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The GXO 2026 Notes will bear interest at a rate of 1.65% per annum payable semiannually in cash in arrears on January 15 and July 15 of each year, beginning January 15, 2022, and will mature on July 15, 2026. The GXO 2031 Notes will bear interest at a rate of 2.65% per annum payable semiannually in cash in arrears on January 15 and July 15 of each year, beginning January 15, 2022, and will mature on July 15,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net proceeds from the sale of the GXO Notes were used to fund a cash payment from GXO to XPO of $794 million, which we intend to use to repay a portion of our outstanding borrowings as noted below. Following the completion of the spin-off, the GXO Notes are no longer an obligation of XPO.</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Offering</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July 2021, we completed a registered underwritten offering of 5.0 million shares of our common stock at a public offering price of $138.00 per share, plus an additional 750,000 shares of our common stock through an option granted to underwriters. Of the 5.0 million shares, we offered 2.5 million shares directly and 2.5 million shares were offered by Jacobs Private Equity, LLC (“JPE”), an entity controlled by the Company’s chairman and Chief Executive Officer. The additional 750,000 purchased shares were also split equally between us and JPE. We received approximately $385 million of proceeds, net of fees and expenses, from the sale of the shares and intend to use them to repay a portion of our outstanding borrowings as noted below and for general corporate purposes. XPO did not receive any proceeds from the sale of shares by JPE.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Redemption</w:t>
      </w:r>
    </w:p>
    <w:p>
      <w:pPr>
        <w:spacing w:after="0" w:line="1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In July 2021, we issued notice to redeem our outstanding 6.75% senior notes due 2024 that had a principal balance of $1.0 billion as of June 30, 2021. Also, in August 2021, we issued notice to redeem our outstanding 6.125% senior notes due 2023 that had a principal balance of $535 million as of June 30, 2021. The redemption price for our senior notes due 2024 was 103.375%, plus accrued and unpaid interest. The redemption price for our senior notes due 2023 was 100.0% of the principal amount, plus accrued and unpaid interest. We expect to pay for these redemptions using the cash payment of $794 million received from GXO, the proceeds from the July 2021 equity offering and available cash.</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 and Warrant Exchanges</w:t>
      </w:r>
    </w:p>
    <w:p>
      <w:pPr>
        <w:spacing w:after="0" w:line="11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In December 2020, some holders of our convertible preferred stock exchanged their holdings for a combination of our common stock, based on the stated conversion price, and a lump-sum payment that represents an approximation of the net present value of the future dividends payable on the preferred stock. Additionally, some holders of our warrants exchanged (or committed to exchange subject to the satisfaction of certain customary closing conditions) their holdings, including JPE, for a number of shares of our common stock equal to the number of shares of common stock that such holder would be entitled to receive upon an exercise of the warrants less the number of shares of common stock that have an approximate value equal to the exercise price of the warrants. With respect to the preferred stock, through December 31, 2020, 69,445 shares were exchanged, and we issued 9.9 million shares of common stock and paid $22 million of cash. With respect to the warrants, through December 31, 2020, 0.3 million warrants were exchanged, and we issued</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0.3 million shares of common stock. In the first quarter of 2021, 975 preferred shares were exchanged, and we issued 0.1 million shares of common stock. In the second quarter of 2021, the remaining 40 preferred shares were exchanged, and we issued 5,714 shares of common stock. With respect to the warrants, in the first quarter of 2021, 9.8 million warrants were exchanged, and we issued 9.2 million shares of common stock. These exchanges were intended to simplify our equity capital structure, including in contemplation of the spin-off of our Logistics segment. As of June 30, 2021, there were no shares of preferred stock or warrants outstanding.</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February 2019, our Board of Directors authorized repurchases of up to $1.5 billion of our common stock. Our share repurchase authorization permits us to purchase shares in both the open market and in private transactions, with the timing and number of shares dependent on a variety of factors, including price, general business conditions, market conditions, alternative investment opportunities and funding considerations. We are not obligated to repurchase any specific number of shares and may suspend or discontinue the program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22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 the first quarter of 2020, we purchased and retired 2 million shares at an aggregate value of $114 million. The share purchases were funded by our available cash and proceeds from our 2019 debt offerings. There were no share purchases in the first six months of 2021 or in the second quarter of 2020. Our remaining share repurchase authorization was $503 million as of June 30, 2021.</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 Covenants and Compliance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As of June 30, 2021, we were in compliance with the covenants and other provisions of our debt agreements. Any failure to comply with any material provision or covenant of these agreements could have a material adverse effect on our liquidity and operations.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Cash</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Six Months Ended June 30,</w:t>
            </w:r>
          </w:p>
        </w:tc>
      </w:tr>
      <w:tr>
        <w:trPr>
          <w:trHeight w:val="188"/>
        </w:trPr>
        <w:tc>
          <w:tcPr>
            <w:tcW w:w="80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6"/>
                <w:szCs w:val="16"/>
                <w:color w:val="auto"/>
              </w:rPr>
            </w:pPr>
          </w:p>
        </w:tc>
        <w:tc>
          <w:tcPr>
            <w:tcW w:w="1160" w:type="dxa"/>
            <w:vAlign w:val="bottom"/>
          </w:tcPr>
          <w:p>
            <w:pPr>
              <w:jc w:val="right"/>
              <w:ind w:right="53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53"/>
              <w:spacing w:after="0"/>
              <w:rPr>
                <w:sz w:val="20"/>
                <w:szCs w:val="20"/>
                <w:color w:val="auto"/>
              </w:rPr>
            </w:pPr>
            <w:r>
              <w:rPr>
                <w:rFonts w:ascii="Arial" w:cs="Arial" w:eastAsia="Arial" w:hAnsi="Arial"/>
                <w:sz w:val="14"/>
                <w:szCs w:val="14"/>
                <w:b w:val="1"/>
                <w:bCs w:val="1"/>
                <w:color w:val="auto"/>
              </w:rPr>
              <w:t>2020</w:t>
            </w:r>
          </w:p>
        </w:tc>
      </w:tr>
      <w:tr>
        <w:trPr>
          <w:trHeight w:val="224"/>
        </w:trPr>
        <w:tc>
          <w:tcPr>
            <w:tcW w:w="79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r>
      <w:tr>
        <w:trPr>
          <w:trHeight w:val="230"/>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1,701</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Effect of exchange rates on cash, cash equivalents and restricted cash</w:t>
            </w: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1,908</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six months ended June 30, 2021, we: (i) generated cash from operating activities of $539 million and (ii) generated proceeds from sales of property and equipment of $62 million. We used cash during this period primarily to: (i) purchase property and equipment of $250 million; (ii) redeem our senior notes due 2022 for $1.2 billion; (iii) repay our ABL Facility borrowings of $200 million; (iv) purchase noncontrolling interests of $128 million; and (v) repay borrowings related to our securitization program of $49 million.</w:t>
      </w:r>
    </w:p>
    <w:p>
      <w:pPr>
        <w:spacing w:after="0" w:line="79"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During the six months ended June 30, 2020, we: (i) generated cash from operating activities of $394 million; (ii) received net proceeds of $1.8 billion from our issuances of debt and short-term borrowings and (iii) generated proceeds from sales of property and equipment (primarily real estate) of $77 million. We used cash during this period primarily to: (i) purchase property and equipment of $255 million and (ii) repurchase common stock of $114 million.</w:t>
      </w:r>
    </w:p>
    <w:p>
      <w:pPr>
        <w:spacing w:after="0" w:line="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Cash flows from operating activities for the six months ended June 30, 2021 increased by $145 million, compared with the same period in 2020. The increase reflects higher net income of $385 million for the six months ended June 30, 2021, compared with the same period in 2020 partially offset by a greater use of cash for working capital in the first half of 2021 than in the prior-year period. Additionally, the first six months of 2021 included payments of approximately $10 million related to the spin-off, as compared to payments of approximately $75 million related to the exploration of strategic alternatives in the first six months of 2020. Additionally, cash paid for taxes was $55 million higher in the six months ended June 30, 2021, compared with the same period in 2020.</w:t>
      </w:r>
    </w:p>
    <w:p>
      <w:pPr>
        <w:spacing w:after="0" w:line="8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Investing activities used $154 million and $172 million of cash in the six months ended June 30, 2021 and 2020, respectively. During the six months ended June 30, 2021, we used $250 million of cash to purchase property and equipment and received $62 million from sales of property and equipment. During the six months ended June 30, 2020, we used $255 million of cash to purchase property and equipment and received $77 million from sales of property and equipment.</w:t>
      </w:r>
    </w:p>
    <w:p>
      <w:pPr>
        <w:spacing w:after="0" w:line="7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Financing activities used $1.6 billion of cash in the six months ended June 30, 2021 and provided $1.7 billion of cash in the six months ended June 30, 2020. The primary uses of cash from financing activities during the first six months of 2021 were $1.2 billion used to redeem the senior notes due 2022, $200 million used to repay borrowings under our ABL Facility, and $49 million used to repay our borrowings related to our securitization program. Additionally, we used $128 million to purchase the remaining non-controlling interest in XPO Logistics Europe SA that we did not own. The primary sources and uses of cash from financing activities during the six months ended June 30, 2020 were $1.1 billion of net proceeds from the issuance of senior notes due 2025; $600 million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proceeds from borrowings on our ABL Facility, net of payments, and $109 million of net proceeds from borrowings related to our securitization program, partially offset by $114 million used to purchase XPO common stock.</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During the six months ended June 30, 2021, there were no material changes to our December 31, 2020 contractual obligations. GXO’s debt and operating lease obligations of approximately $181 million and $1.8 billion as of June 30, 2021, respectively, will not be part of our contractual obligations following the spin-off. We anticipate full year net capital expenditures to be between $250 million and $275 million in 2021 (excluding any net capital expenditures associated with our spun-off Logistics segment).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117"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Information related to new accounting standards is included in Note 1—Organization, Description of Business and Basis of Presentation to our Condensed Consolidated Financial Statements in this Quarterly Report on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are exposed to market risk related to changes in interest rates, foreign currency exchange rates and commodity risk. There have been no material changes to our quantitative and qualitative disclosures about market risk during the six months ended June 30, 2021, as compared with the quantitative and qualitative disclosures about market risk described in our Annual Report on Form 10-K for the year ended December 31, 2020.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(“CEO”) and Chief Financial Officer (“CFO”), we conducted an evaluation of the effectiveness of the design and operation of our disclosure controls and procedures, as such term is defined in Rule 13a-15(e) and Rule 15d-15(e) under the Securities Exchange Act of 1934, as amended as of June 30, 2021. Based on that evaluation, our CEO and CFO concluded that our disclosure controls and procedures as of June 30, 2021 were effective as of such time such that the information required to be included in our Securities and Exchange Commission (“SEC”) reports is: (i) recorded, processed, summarized and reported within the time periods specified in SEC rules and forms relating to the Company, including our consolidated subsidiaries; and (ii) accumulated and communicated to our management, including our CEO and CFO, as appropriate to allow timely decisions regarding required disclosure.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during the quarter ended June 30, 2021 that have materially affected, or are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Intermodal Drayage Classification Claims</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Certain of our intermodal drayage subsidiaries are defendants in class action litigations brought by independent contract carriers in California who contracted with these subsidiaries. In these cases, the contract carriers assert that they should be classified as employees, rather than independent contractors. In two related cases pending in Federal District Court in Los Angeles, </w:t>
      </w:r>
      <w:r>
        <w:rPr>
          <w:rFonts w:ascii="Arial" w:cs="Arial" w:eastAsia="Arial" w:hAnsi="Arial"/>
          <w:sz w:val="17"/>
          <w:szCs w:val="17"/>
          <w:i w:val="1"/>
          <w:iCs w:val="1"/>
          <w:color w:val="auto"/>
        </w:rPr>
        <w:t>Alvarez v. XPO Logistics Cartage, LLC</w:t>
      </w:r>
      <w:r>
        <w:rPr>
          <w:rFonts w:ascii="Arial" w:cs="Arial" w:eastAsia="Arial" w:hAnsi="Arial"/>
          <w:sz w:val="17"/>
          <w:szCs w:val="17"/>
          <w:color w:val="auto"/>
        </w:rPr>
        <w:t xml:space="preserve"> and </w:t>
      </w:r>
      <w:r>
        <w:rPr>
          <w:rFonts w:ascii="Arial" w:cs="Arial" w:eastAsia="Arial" w:hAnsi="Arial"/>
          <w:sz w:val="17"/>
          <w:szCs w:val="17"/>
          <w:i w:val="1"/>
          <w:iCs w:val="1"/>
          <w:color w:val="auto"/>
        </w:rPr>
        <w:t>Arrellano v. XPO Port</w:t>
      </w:r>
      <w:r>
        <w:rPr>
          <w:rFonts w:ascii="Arial" w:cs="Arial" w:eastAsia="Arial" w:hAnsi="Arial"/>
          <w:sz w:val="17"/>
          <w:szCs w:val="17"/>
          <w:color w:val="auto"/>
        </w:rPr>
        <w:t xml:space="preserve"> </w:t>
      </w:r>
      <w:r>
        <w:rPr>
          <w:rFonts w:ascii="Arial" w:cs="Arial" w:eastAsia="Arial" w:hAnsi="Arial"/>
          <w:sz w:val="17"/>
          <w:szCs w:val="17"/>
          <w:i w:val="1"/>
          <w:iCs w:val="1"/>
          <w:color w:val="auto"/>
        </w:rPr>
        <w:t>Services, Inc.</w:t>
      </w:r>
      <w:r>
        <w:rPr>
          <w:rFonts w:ascii="Arial" w:cs="Arial" w:eastAsia="Arial" w:hAnsi="Arial"/>
          <w:sz w:val="17"/>
          <w:szCs w:val="17"/>
          <w:color w:val="auto"/>
        </w:rPr>
        <w:t>, the Court has certified classes beginning in April 2016 and March 2013, respectively. Plaintiffs allege that defendants exercised an</w:t>
      </w:r>
      <w:r>
        <w:rPr>
          <w:rFonts w:ascii="Arial" w:cs="Arial" w:eastAsia="Arial" w:hAnsi="Arial"/>
          <w:sz w:val="17"/>
          <w:szCs w:val="17"/>
          <w:i w:val="1"/>
          <w:iCs w:val="1"/>
          <w:color w:val="auto"/>
        </w:rPr>
        <w:t xml:space="preserve"> </w:t>
      </w:r>
      <w:r>
        <w:rPr>
          <w:rFonts w:ascii="Arial" w:cs="Arial" w:eastAsia="Arial" w:hAnsi="Arial"/>
          <w:sz w:val="17"/>
          <w:szCs w:val="17"/>
          <w:color w:val="auto"/>
        </w:rPr>
        <w:t>impermissible degree of control over plaintiffs’ operations through the terms of the parties’ contracts and defendants’ policies, including enforcement of requirements imposed on motor carriers by state and federal law. The particular claims asserted vary from case to case but generally include claims that, should the contract carriers be determined to be employees, they would be entitled to reimbursement for unpaid wages, unpaid overtime, unpaid wages for missed meal and rest periods, reimbursement of certain of the contract carriers’ business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(including fuel and insurance related costs), Labor Code penalties under California’s Private Attorneys General Act, and attorneys’ fees and costs associated with bringing the action. Defendants continue to mount a vigorous defense on the merits of plaintiffs’ claims, including as to the threshold issue of employment classification. Both cases are scheduled for trial in September 2021; however, this date may be impacted or significantly delayed by the effect of the COVID-19 pandemic on Court operations, including the scheduling of jury trials. We anticipate further legal rulings from the Court at or before trial that may substantially affect the scope of the claims asserted. As a result, we are unable at this time to estimate the amount of the possible loss or range of loss, if any, that we may incur as a result of these claims.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Litigation</w:t>
      </w:r>
    </w:p>
    <w:p>
      <w:pPr>
        <w:spacing w:after="0" w:line="11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 xml:space="preserve">On December 14, 2018, a putative class action captioned </w:t>
      </w:r>
      <w:r>
        <w:rPr>
          <w:rFonts w:ascii="Arial" w:cs="Arial" w:eastAsia="Arial" w:hAnsi="Arial"/>
          <w:sz w:val="17"/>
          <w:szCs w:val="17"/>
          <w:i w:val="1"/>
          <w:iCs w:val="1"/>
          <w:color w:val="auto"/>
        </w:rPr>
        <w:t>Labul v. XPO Logistics, Inc. et al.</w:t>
      </w:r>
      <w:r>
        <w:rPr>
          <w:rFonts w:ascii="Arial" w:cs="Arial" w:eastAsia="Arial" w:hAnsi="Arial"/>
          <w:sz w:val="17"/>
          <w:szCs w:val="17"/>
          <w:color w:val="auto"/>
        </w:rPr>
        <w:t>, was filed in the U.S. District Court for the District of Connecticut against us and some of our current and former executives, alleging violations of Section 10(b) of the Exchange Act and Rule 10b-5 thereunder, and Section 20(a) of the Exchange Act, based on alleged material misstatements and omissions in our public filings with the U.S. Securities and Exchange Commission. On June 3, 2019, lead plaintiffs Local 817 IBT Pension Fund, Local 272 Labor-Management Pension Fund, and Local 282 Pension Trust Fund and Local 282 Welfare Trust Fund (together, the “Pension Funds”) filed a consolidated class action complaint. Defendants moved to dismiss the consolidated class action complaint on August 2, 2019. On November 4, 2019, the Court dismissed the consolidated class action complaint without prejudice to the filing of an amended complaint. The Pension Funds, on January 3, 2020, filed a first amended consolidated class action complaint against us and a current executive. Defendants moved to dismiss the first amended consolidated class action complaint on March 3, 2020. On March 19, 2021, the Court dismissed the first amended consolidated class action complaint with prejudice and closed the case. On April 29, 2021, the Pension Funds filed a notice of appeal, and the appellate process is ongoing.</w:t>
      </w:r>
    </w:p>
    <w:p>
      <w:pPr>
        <w:spacing w:after="0" w:line="7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Also, on May 13, 2019, Adriana Jez filed a purported shareholder derivative action captioned </w:t>
      </w:r>
      <w:r>
        <w:rPr>
          <w:rFonts w:ascii="Arial" w:cs="Arial" w:eastAsia="Arial" w:hAnsi="Arial"/>
          <w:sz w:val="17"/>
          <w:szCs w:val="17"/>
          <w:i w:val="1"/>
          <w:iCs w:val="1"/>
          <w:color w:val="auto"/>
        </w:rPr>
        <w:t>Jez v. Jacobs, et al.</w:t>
      </w:r>
      <w:r>
        <w:rPr>
          <w:rFonts w:ascii="Arial" w:cs="Arial" w:eastAsia="Arial" w:hAnsi="Arial"/>
          <w:sz w:val="17"/>
          <w:szCs w:val="17"/>
          <w:color w:val="auto"/>
        </w:rPr>
        <w:t xml:space="preserve">, (the “Jez complaint”) in the U.S. District Court for the District of Delaware, alleging breaches of fiduciary duty, unjust enrichment, waste of corporate assets, and violations of the Exchange Act against some of our current and former directors and officers, with the company as a nominal defendant. The Jez complaint was later consolidated with similar derivative complaints filed by purported shareholders Erin Candler and Kevin Rose under the caption </w:t>
      </w:r>
      <w:r>
        <w:rPr>
          <w:rFonts w:ascii="Arial" w:cs="Arial" w:eastAsia="Arial" w:hAnsi="Arial"/>
          <w:sz w:val="17"/>
          <w:szCs w:val="17"/>
          <w:i w:val="1"/>
          <w:iCs w:val="1"/>
          <w:color w:val="auto"/>
        </w:rPr>
        <w:t>In re XPO Logistics, Inc. Derivative</w:t>
      </w:r>
      <w:r>
        <w:rPr>
          <w:rFonts w:ascii="Arial" w:cs="Arial" w:eastAsia="Arial" w:hAnsi="Arial"/>
          <w:sz w:val="17"/>
          <w:szCs w:val="17"/>
          <w:color w:val="auto"/>
        </w:rPr>
        <w:t xml:space="preserve"> </w:t>
      </w:r>
      <w:r>
        <w:rPr>
          <w:rFonts w:ascii="Arial" w:cs="Arial" w:eastAsia="Arial" w:hAnsi="Arial"/>
          <w:sz w:val="17"/>
          <w:szCs w:val="17"/>
          <w:i w:val="1"/>
          <w:iCs w:val="1"/>
          <w:color w:val="auto"/>
        </w:rPr>
        <w:t>Litigation</w:t>
      </w:r>
      <w:r>
        <w:rPr>
          <w:rFonts w:ascii="Arial" w:cs="Arial" w:eastAsia="Arial" w:hAnsi="Arial"/>
          <w:sz w:val="17"/>
          <w:szCs w:val="17"/>
          <w:color w:val="auto"/>
        </w:rPr>
        <w:t>. On December 12, 2019, the Court ordered plaintiffs to designate an operative complaint or file an amended complaint within 45 days. On</w:t>
      </w:r>
      <w:r>
        <w:rPr>
          <w:rFonts w:ascii="Arial" w:cs="Arial" w:eastAsia="Arial" w:hAnsi="Arial"/>
          <w:sz w:val="17"/>
          <w:szCs w:val="17"/>
          <w:i w:val="1"/>
          <w:iCs w:val="1"/>
          <w:color w:val="auto"/>
        </w:rPr>
        <w:t xml:space="preserve"> </w:t>
      </w:r>
      <w:r>
        <w:rPr>
          <w:rFonts w:ascii="Arial" w:cs="Arial" w:eastAsia="Arial" w:hAnsi="Arial"/>
          <w:sz w:val="17"/>
          <w:szCs w:val="17"/>
          <w:color w:val="auto"/>
        </w:rPr>
        <w:t>January 27, 2020, plaintiffs designated the Jez complaint as the operative complaint in the consolidated cases. Defendants moved to dismiss the operative complaint on February 26, 2020. Rather than file a brief in opposition, on March 27, 2020, plaintiffs moved for leave to file a further amended complaint and to stay briefing on defendants’ motions to dismiss. The Court granted plaintiffs’ motion on July 6, 2020. On April 14, 2021, the Court issued an order staying proceedings pending resolution of an appeal in the Labul action. Plaintiffs stipulated that they will dismiss the shareholder derivative action with prejudice if the Labul dismissal is affirmed on appeal.</w:t>
      </w:r>
    </w:p>
    <w:p>
      <w:pPr>
        <w:spacing w:after="0" w:line="7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believe these suits are without merit and we intend to defend the company vigorously. We are unable at this time to determine the amount of the possible loss or range of loss, if any, that we may incur as a result of these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are no material changes to the risk factors previously disclosed in Part I, Item 1A of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quarters ended December 31, 2020, March 31, 2021 and June 30, 2021, following approvals by a disinterested special committee of our Board of Directors and the Audit Committee to the extent required by our policy on related party transactions, we entered into separate exchange agreements with certain holders of our preferred stock and warrants, including some of our directors and officers, pursuant to which (i) holders of our preferred stock exchanged their preferred shares for a combination of (x) our common stock, based on the number of shares of common stock into which our preferred stock was then convertible; and (y) a lump-sum cash payment that represented an approximation of the net present value of the future dividends required by the terms of our preferred stock to be paid by us; and (ii) holders of our warrants exchanged their warrants for the number of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common stock that was equal to the number of shares of common stock that such holder would be entitled to receive upon an exercise of the warrants less the number of shares of our common stock that had an approximate value equal to the exercise price of the warrants, based on the formula set forth in the exchange agreements. With respect to the preferred stock, through December 31, 2020, 69,445 shares were exchanged, and we issued 9,920,709 shares of common stock and paid $22 million of cash. With respect to the warrants, through December 31, 2020, 283,394 warrants were exchanged, and we issued 266,590 shares of common stock. In the first quarter of 2021, 975 preferred shares were exchanged, and we issued 139,284 shares of common stock. In the second quarter of 2021, the remaining 40 preferred shares were exchanged, and we issued 5,714 shares of common stock. With respect to the warrants, in the first quarter of 2021, 9,795,715 warrants were exchanged, and we issued 9,215,094 shares of common stock. The exchange transactions were made to simplify our equity capital structure, including in contemplation of our previously announced plan to pursue a spin-off of our Logistics segment. As of June 30, 2021, there were no shares of preferred stock or warrants outstanding.</w:t>
      </w:r>
    </w:p>
    <w:p>
      <w:pPr>
        <w:spacing w:after="0" w:line="5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issuance of the shares of the Company’s common stock described above was made in reliance on the exemption from registration provided by Section 4(a)(2) of the Securities Act of 1933, as amended, only to holders who are “accredited investors” within the meaning of Rule 501 of Regulation D promulgated under the Securities Act. The Company relied on this exemption from registration based in part on representations made by the holders of preferred stock and warrants that participated in the exchange transactions.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July 30, 2021, the Compensation Committee of the Board of Directors of XPO (the “Board”) approved letter agreements (the “Letter Agreements”) with each of Brad Jacobs, Troy Cooper, and Mario Harik (collectively, the “Executives”).</w:t>
      </w:r>
    </w:p>
    <w:p>
      <w:pPr>
        <w:spacing w:after="0" w:line="184"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Each Letter Agreement sets forth certain adjustments to the performance goals applicable to the XPO performance-based restricted stock unit awards (the “PSU Awards”) and the cash long-term incentive awards (the “Cash LTI Awards”) held by each Executive, in each case, to reflect the impact of the spin-off of our Logistics segment.</w:t>
      </w:r>
    </w:p>
    <w:p>
      <w:pPr>
        <w:spacing w:after="0" w:line="202"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In addition, each Letter Agreement amends the definition of “change in control” for purposes of the PSU Awards to include the disposition of a substantial portion of XPO’s assets, businesses or business lines, which is deemed to occur upon the completion of eligible transfers, as defined in the Letter Agreement, of either (a) assets having a total value of 50% or more of the assets of XPO as of the applicable measurement date or (b) one or more businesses or lines of business representing at least 50% of XPO’s revenue during the applicable measurement period. The applicable measurement date and period is December 31, 2018 and fiscal year 2018, respectively, for PSU Awards granted in 2018 or December 31, 2019 and fiscal year 2019 for PSU Awards granted in 2019. Each Letter Agreement also, as an additional retention mechanism, provides that if the PSU Awards vest upon the occurrence of a change in control under this new clause, the shares of XPO common stock delivered pursuant to the vested PSU Awards (less shares withheld to cover taxes) will be subject to clawback if the Executive voluntarily terminates his employment for any reason or the Executive’s employment is terminated by XPO for cause, in each case, within two years following such change in control. Such shares will also be subject to a lock-up during such two-year period.</w:t>
      </w:r>
    </w:p>
    <w:p>
      <w:pPr>
        <w:spacing w:after="0" w:line="192" w:lineRule="exact"/>
        <w:rPr>
          <w:sz w:val="20"/>
          <w:szCs w:val="20"/>
          <w:color w:val="auto"/>
        </w:rPr>
      </w:pPr>
    </w:p>
    <w:p>
      <w:pPr>
        <w:ind w:right="120"/>
        <w:spacing w:after="0" w:line="242" w:lineRule="auto"/>
        <w:rPr>
          <w:sz w:val="20"/>
          <w:szCs w:val="20"/>
          <w:color w:val="auto"/>
        </w:rPr>
      </w:pPr>
      <w:r>
        <w:rPr>
          <w:rFonts w:ascii="Arial" w:cs="Arial" w:eastAsia="Arial" w:hAnsi="Arial"/>
          <w:sz w:val="17"/>
          <w:szCs w:val="17"/>
          <w:color w:val="auto"/>
        </w:rPr>
        <w:t>The Letter Agreement with Mr. Jacobs also provides that his continued service as a non-employee director of XPO following his termination of employment will be treated as continued employment for purposes of the new clawback provision applicable to the PSU Awards (if such termination of employment occurs during the clawback period) and for purposes of the service-based vesting conditions applicable to his Cash LTI Award. Under certain circumstances described in the Letter Agreement, Mr. Jacobs’s cessation of service as a non-employee director will result in the clawback obligation with respect to his PSU Awards (if otherwise applicable) ceasing to apply and full or partial vesting of his Cash LTI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foregoing summary of certain terms and conditions of the Letter Agreements does not purport to be complete and is qualified in its entirety by reference to the full text of the Letter Agreements, the form of which is filed with this report as Exhibit 10.2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229" w:right="8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Exhibit</w:t>
            </w:r>
          </w:p>
        </w:tc>
        <w:tc>
          <w:tcPr>
            <w:tcW w:w="20" w:type="dxa"/>
            <w:vAlign w:val="bottom"/>
          </w:tcPr>
          <w:p>
            <w:pPr>
              <w:spacing w:after="0"/>
              <w:rPr>
                <w:sz w:val="14"/>
                <w:szCs w:val="14"/>
                <w:color w:val="auto"/>
              </w:rPr>
            </w:pPr>
          </w:p>
        </w:tc>
        <w:tc>
          <w:tcPr>
            <w:tcW w:w="9820" w:type="dxa"/>
            <w:vAlign w:val="bottom"/>
            <w:gridSpan w:val="4"/>
            <w:vMerge w:val="restart"/>
          </w:tcPr>
          <w:p>
            <w:pPr>
              <w:ind w:left="45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86"/>
        </w:trPr>
        <w:tc>
          <w:tcPr>
            <w:tcW w:w="140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Number</w:t>
            </w:r>
          </w:p>
        </w:tc>
        <w:tc>
          <w:tcPr>
            <w:tcW w:w="20" w:type="dxa"/>
            <w:vAlign w:val="bottom"/>
          </w:tcPr>
          <w:p>
            <w:pPr>
              <w:spacing w:after="0"/>
              <w:rPr>
                <w:sz w:val="16"/>
                <w:szCs w:val="16"/>
                <w:color w:val="auto"/>
              </w:rPr>
            </w:pPr>
          </w:p>
        </w:tc>
        <w:tc>
          <w:tcPr>
            <w:tcW w:w="98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7"/>
        </w:trPr>
        <w:tc>
          <w:tcPr>
            <w:tcW w:w="1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9820" w:type="dxa"/>
            <w:vAlign w:val="bottom"/>
            <w:tcBorders>
              <w:top w:val="single" w:sz="8" w:color="auto"/>
            </w:tcBorders>
            <w:gridSpan w:val="4"/>
            <w:vMerge w:val="restart"/>
          </w:tcPr>
          <w:p>
            <w:pPr>
              <w:spacing w:after="0"/>
              <w:rPr>
                <w:rFonts w:ascii="Arial" w:cs="Arial" w:eastAsia="Arial" w:hAnsi="Arial"/>
                <w:sz w:val="18"/>
                <w:szCs w:val="18"/>
                <w:color w:val="0000FF"/>
                <w:w w:val="91"/>
              </w:rPr>
            </w:pPr>
            <w:hyperlink r:id="rId48">
              <w:r>
                <w:rPr>
                  <w:rFonts w:ascii="Arial" w:cs="Arial" w:eastAsia="Arial" w:hAnsi="Arial"/>
                  <w:sz w:val="18"/>
                  <w:szCs w:val="18"/>
                  <w:color w:val="0000FF"/>
                  <w:w w:val="91"/>
                </w:rPr>
                <w:t>Credit Agreement, dated as of June 23, 2021, by and among GXO Logistics, Inc., the lenders and other parties from time to time party</w:t>
              </w:r>
            </w:hyperlink>
          </w:p>
        </w:tc>
        <w:tc>
          <w:tcPr>
            <w:tcW w:w="0" w:type="dxa"/>
            <w:vAlign w:val="bottom"/>
          </w:tcPr>
          <w:p>
            <w:pPr>
              <w:spacing w:after="0"/>
              <w:rPr>
                <w:sz w:val="1"/>
                <w:szCs w:val="1"/>
                <w:color w:val="auto"/>
              </w:rPr>
            </w:pPr>
          </w:p>
        </w:tc>
      </w:tr>
      <w:tr>
        <w:trPr>
          <w:trHeight w:val="81"/>
        </w:trPr>
        <w:tc>
          <w:tcPr>
            <w:tcW w:w="1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9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6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48">
              <w:r>
                <w:rPr>
                  <w:rFonts w:ascii="Arial" w:cs="Arial" w:eastAsia="Arial" w:hAnsi="Arial"/>
                  <w:sz w:val="18"/>
                  <w:szCs w:val="18"/>
                  <w:color w:val="0000FF"/>
                  <w:w w:val="91"/>
                </w:rPr>
                <w:t>thereto, and Citibank, N.A., as Administrative Agent and an Issuing Lender (incorporated herein by reference to Exhibit 10.1 to the</w:t>
              </w:r>
            </w:hyperlink>
          </w:p>
        </w:tc>
        <w:tc>
          <w:tcPr>
            <w:tcW w:w="200" w:type="dxa"/>
            <w:vAlign w:val="bottom"/>
            <w:tcBorders>
              <w:top w:val="single" w:sz="8" w:color="0000FF"/>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20" w:type="dxa"/>
            <w:vAlign w:val="bottom"/>
            <w:gridSpan w:val="4"/>
          </w:tcPr>
          <w:p>
            <w:pPr>
              <w:spacing w:after="0" w:line="196" w:lineRule="exact"/>
              <w:rPr>
                <w:rFonts w:ascii="Arial" w:cs="Arial" w:eastAsia="Arial" w:hAnsi="Arial"/>
                <w:sz w:val="18"/>
                <w:szCs w:val="18"/>
                <w:color w:val="0000FF"/>
              </w:rPr>
            </w:pPr>
            <w:hyperlink r:id="rId48">
              <w:r>
                <w:rPr>
                  <w:rFonts w:ascii="Arial" w:cs="Arial" w:eastAsia="Arial" w:hAnsi="Arial"/>
                  <w:sz w:val="18"/>
                  <w:szCs w:val="18"/>
                  <w:color w:val="0000FF"/>
                </w:rPr>
                <w:t>registrant’s Current Report on Form 8-K filed with the SEC on June 23, 2021).</w:t>
              </w:r>
            </w:hyperlink>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60" w:type="dxa"/>
            <w:vAlign w:val="bottom"/>
            <w:shd w:val="clear" w:color="auto" w:fill="0000FF"/>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29" w:right="339" w:bottom="1440" w:gutter="0" w:footer="0" w:header="0"/>
        </w:sectPr>
      </w:pP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10.2 *</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31.1 *</w:t>
      </w:r>
    </w:p>
    <w:p>
      <w:pPr>
        <w:spacing w:after="0" w:line="200" w:lineRule="exact"/>
        <w:rPr>
          <w:sz w:val="20"/>
          <w:szCs w:val="20"/>
          <w:color w:val="auto"/>
        </w:rPr>
      </w:pPr>
    </w:p>
    <w:p>
      <w:pPr>
        <w:spacing w:after="0" w:line="2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31.2 *</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32.1 **</w:t>
      </w:r>
    </w:p>
    <w:p>
      <w:pPr>
        <w:spacing w:after="0" w:line="200" w:lineRule="exact"/>
        <w:rPr>
          <w:sz w:val="20"/>
          <w:szCs w:val="20"/>
          <w:color w:val="auto"/>
        </w:rPr>
      </w:pPr>
    </w:p>
    <w:p>
      <w:pPr>
        <w:spacing w:after="0" w:line="24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32.2 **</w:t>
      </w:r>
    </w:p>
    <w:p>
      <w:pPr>
        <w:spacing w:after="0" w:line="200" w:lineRule="exact"/>
        <w:rPr>
          <w:sz w:val="20"/>
          <w:szCs w:val="20"/>
          <w:color w:val="auto"/>
        </w:rPr>
      </w:pPr>
    </w:p>
    <w:p>
      <w:pPr>
        <w:spacing w:after="0" w:line="241"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101.INS *</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101.SCH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101.CAL *</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101.DEF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101.LAB *</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101.PRE *</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104 *</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Form of August 2021 Letter Agreement with Certain Executive Officers</w:t>
        </w:r>
      </w:hyperlink>
    </w:p>
    <w:p>
      <w:pPr>
        <w:spacing w:after="0" w:line="225" w:lineRule="exact"/>
        <w:rPr>
          <w:sz w:val="20"/>
          <w:szCs w:val="20"/>
          <w:color w:val="auto"/>
        </w:rPr>
      </w:pPr>
    </w:p>
    <w:p>
      <w:pPr>
        <w:ind w:right="720"/>
        <w:spacing w:after="0" w:line="277" w:lineRule="auto"/>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Certification of the Principal Executive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47">
        <w:r>
          <w:rPr>
            <w:rFonts w:ascii="Arial" w:cs="Arial" w:eastAsia="Arial" w:hAnsi="Arial"/>
            <w:sz w:val="18"/>
            <w:szCs w:val="18"/>
            <w:u w:val="single" w:color="auto"/>
            <w:color w:val="0000FF"/>
          </w:rPr>
          <w:t>registrant’s Quarterly Report on Form 10-Q for the fiscal quarter ended June 30, 2021.</w:t>
        </w:r>
      </w:hyperlink>
    </w:p>
    <w:p>
      <w:pPr>
        <w:spacing w:after="0" w:line="170" w:lineRule="exact"/>
        <w:rPr>
          <w:sz w:val="20"/>
          <w:szCs w:val="20"/>
          <w:color w:val="auto"/>
        </w:rPr>
      </w:pPr>
    </w:p>
    <w:p>
      <w:pPr>
        <w:ind w:right="760"/>
        <w:spacing w:after="0" w:line="277" w:lineRule="auto"/>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Certification of the Principal Financial Officer pursuant to Section 302 of the Sarbanes-Oxley Act of 2002, with respect to the</w:t>
        </w:r>
      </w:hyperlink>
      <w:r>
        <w:rPr>
          <w:rFonts w:ascii="Arial" w:cs="Arial" w:eastAsia="Arial" w:hAnsi="Arial"/>
          <w:sz w:val="18"/>
          <w:szCs w:val="18"/>
          <w:u w:val="single" w:color="auto"/>
          <w:color w:val="0000FF"/>
        </w:rPr>
        <w:t xml:space="preserve"> </w:t>
      </w:r>
      <w:hyperlink w:anchor="page48">
        <w:r>
          <w:rPr>
            <w:rFonts w:ascii="Arial" w:cs="Arial" w:eastAsia="Arial" w:hAnsi="Arial"/>
            <w:sz w:val="18"/>
            <w:szCs w:val="18"/>
            <w:u w:val="single" w:color="auto"/>
            <w:color w:val="0000FF"/>
          </w:rPr>
          <w:t>registrant’s Quarterly Report on Form 10-Q for the fiscal quarter ended June 30, 2021.</w:t>
        </w:r>
      </w:hyperlink>
    </w:p>
    <w:p>
      <w:pPr>
        <w:spacing w:after="0" w:line="170" w:lineRule="exact"/>
        <w:rPr>
          <w:sz w:val="20"/>
          <w:szCs w:val="20"/>
          <w:color w:val="auto"/>
        </w:rPr>
      </w:pPr>
    </w:p>
    <w:p>
      <w:pPr>
        <w:ind w:right="720"/>
        <w:spacing w:after="0" w:line="277" w:lineRule="auto"/>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Certification of the Principal Executive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49">
        <w:r>
          <w:rPr>
            <w:rFonts w:ascii="Arial" w:cs="Arial" w:eastAsia="Arial" w:hAnsi="Arial"/>
            <w:sz w:val="18"/>
            <w:szCs w:val="18"/>
            <w:u w:val="single" w:color="auto"/>
            <w:color w:val="0000FF"/>
          </w:rPr>
          <w:t>registrant’s Quarterly Report on Form 10-Q for the fiscal quarter ended June 30, 2021.</w:t>
        </w:r>
      </w:hyperlink>
    </w:p>
    <w:p>
      <w:pPr>
        <w:spacing w:after="0" w:line="170" w:lineRule="exact"/>
        <w:rPr>
          <w:sz w:val="20"/>
          <w:szCs w:val="20"/>
          <w:color w:val="auto"/>
        </w:rPr>
      </w:pPr>
    </w:p>
    <w:p>
      <w:pPr>
        <w:ind w:right="760"/>
        <w:spacing w:after="0" w:line="277" w:lineRule="auto"/>
        <w:rPr>
          <w:rFonts w:ascii="Arial" w:cs="Arial" w:eastAsia="Arial" w:hAnsi="Arial"/>
          <w:sz w:val="18"/>
          <w:szCs w:val="18"/>
          <w:u w:val="single" w:color="auto"/>
          <w:color w:val="0000FF"/>
        </w:rPr>
      </w:pPr>
      <w:hyperlink w:anchor="page50">
        <w:r>
          <w:rPr>
            <w:rFonts w:ascii="Arial" w:cs="Arial" w:eastAsia="Arial" w:hAnsi="Arial"/>
            <w:sz w:val="18"/>
            <w:szCs w:val="18"/>
            <w:u w:val="single" w:color="auto"/>
            <w:color w:val="0000FF"/>
          </w:rPr>
          <w:t>Certification of the Principal Financial Officer pursuant to Section 906 of the Sarbanes-Oxley Act of 2002, with respect to the</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registrant’s Quarterly Report on Form 10-Q for the fiscal quarter ended June 30, 2021.</w:t>
        </w:r>
      </w:hyperlink>
    </w:p>
    <w:p>
      <w:pPr>
        <w:spacing w:after="0" w:line="6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i w:val="1"/>
          <w:iCs w:val="1"/>
          <w:color w:val="auto"/>
        </w:rPr>
        <w:t>XBRL Instance Document - the instance document does not appear in the Interactive Data File because its XBRL tags are embedded within the Inline XBRL document.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Schema.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Calculation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Definition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Label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XBRL Taxonomy Extension Presentation Linkbase.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Cover Page Interactive Data File (formatted as inline XBRL and contained in Exhibit 101).</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-908685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1260" w:space="160"/>
            <w:col w:w="9820"/>
          </w:cols>
          <w:pgMar w:left="320" w:top="229" w:right="339" w:bottom="1440" w:gutter="0" w:footer="0" w:header="0"/>
          <w:type w:val="continuous"/>
        </w:sectPr>
      </w:pPr>
    </w:p>
    <w:bookmarkStart w:id="39" w:name="page40"/>
    <w:bookmarkEnd w:id="3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3" w:lineRule="exact"/>
        <w:rPr>
          <w:sz w:val="20"/>
          <w:szCs w:val="20"/>
          <w:color w:val="auto"/>
        </w:rPr>
      </w:pPr>
    </w:p>
    <w:tbl>
      <w:tblPr>
        <w:tblLayout w:type="fixed"/>
        <w:tblInd w:w="474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XPO LOGISTICS, INC.</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Brad Jacobs</w:t>
            </w:r>
          </w:p>
        </w:tc>
      </w:tr>
      <w:tr>
        <w:trPr>
          <w:trHeight w:val="222"/>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Brad Jacobs</w:t>
            </w:r>
          </w:p>
        </w:tc>
      </w:tr>
      <w:tr>
        <w:trPr>
          <w:trHeight w:val="230"/>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980" w:type="dxa"/>
            <w:vAlign w:val="bottom"/>
          </w:tcPr>
          <w:p>
            <w:pPr>
              <w:spacing w:after="0"/>
              <w:rPr>
                <w:sz w:val="20"/>
                <w:szCs w:val="20"/>
                <w:color w:val="auto"/>
              </w:rPr>
            </w:pPr>
            <w:r>
              <w:rPr>
                <w:rFonts w:ascii="Arial" w:cs="Arial" w:eastAsia="Arial" w:hAnsi="Arial"/>
                <w:sz w:val="18"/>
                <w:szCs w:val="18"/>
                <w:color w:val="auto"/>
              </w:rPr>
              <w:t>By:</w:t>
            </w:r>
          </w:p>
        </w:tc>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Wyshner</w:t>
            </w:r>
          </w:p>
        </w:tc>
      </w:tr>
      <w:tr>
        <w:trPr>
          <w:trHeight w:val="222"/>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David Wyshner</w:t>
            </w:r>
          </w:p>
        </w:tc>
      </w:tr>
      <w:tr>
        <w:trPr>
          <w:trHeight w:val="230"/>
        </w:trPr>
        <w:tc>
          <w:tcPr>
            <w:tcW w:w="980" w:type="dxa"/>
            <w:vAlign w:val="bottom"/>
          </w:tcPr>
          <w:p>
            <w:pPr>
              <w:spacing w:after="0"/>
              <w:rPr>
                <w:sz w:val="19"/>
                <w:szCs w:val="19"/>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980" w:type="dxa"/>
            <w:vAlign w:val="bottom"/>
          </w:tcPr>
          <w:p>
            <w:pPr>
              <w:spacing w:after="0"/>
              <w:rPr>
                <w:sz w:val="20"/>
                <w:szCs w:val="20"/>
                <w:color w:val="auto"/>
              </w:rPr>
            </w:pPr>
          </w:p>
        </w:tc>
        <w:tc>
          <w:tcPr>
            <w:tcW w:w="55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229" w:right="3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22"/>
          <w:szCs w:val="22"/>
          <w:b w:val="1"/>
          <w:bCs w:val="1"/>
          <w:color w:val="auto"/>
        </w:rPr>
        <w:t>[Form of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147955</wp:posOffset>
            </wp:positionV>
            <wp:extent cx="1388745" cy="2571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38874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22"/>
          <w:szCs w:val="22"/>
          <w:color w:val="auto"/>
        </w:rPr>
        <w:t>August 3, 2021</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color w:val="auto"/>
        </w:rPr>
        <w:t>[Name]</w:t>
      </w:r>
      <w:r>
        <w:rPr>
          <w:rFonts w:ascii="Arial" w:cs="Arial" w:eastAsia="Arial" w:hAnsi="Arial"/>
          <w:sz w:val="28"/>
          <w:szCs w:val="28"/>
          <w:color w:val="auto"/>
          <w:vertAlign w:val="superscript"/>
        </w:rPr>
        <w:t>1</w:t>
      </w:r>
    </w:p>
    <w:p>
      <w:pPr>
        <w:spacing w:after="0"/>
        <w:rPr>
          <w:sz w:val="20"/>
          <w:szCs w:val="20"/>
          <w:color w:val="auto"/>
        </w:rPr>
      </w:pPr>
      <w:r>
        <w:rPr>
          <w:rFonts w:ascii="Arial" w:cs="Arial" w:eastAsia="Arial" w:hAnsi="Arial"/>
          <w:sz w:val="22"/>
          <w:szCs w:val="22"/>
          <w:color w:val="auto"/>
        </w:rPr>
        <w:t>c/o XPO Logistics, Inc.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Five American Lane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Greenwich, Connecticut 06831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Dear [First Name],</w:t>
      </w:r>
    </w:p>
    <w:p>
      <w:pPr>
        <w:spacing w:after="0" w:line="220"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Reference is hereby made to the Performance-Based Restricted Stock Unit Award Agreement under the XPO Logistics, Inc. 2016 Omnibus Incentive Compensation Plan (the “</w:t>
      </w:r>
      <w:r>
        <w:rPr>
          <w:rFonts w:ascii="Arial" w:cs="Arial" w:eastAsia="Arial" w:hAnsi="Arial"/>
          <w:sz w:val="22"/>
          <w:szCs w:val="22"/>
          <w:u w:val="single" w:color="auto"/>
          <w:color w:val="auto"/>
        </w:rPr>
        <w:t>Omnibus Plan</w:t>
      </w:r>
      <w:r>
        <w:rPr>
          <w:rFonts w:ascii="Arial" w:cs="Arial" w:eastAsia="Arial" w:hAnsi="Arial"/>
          <w:sz w:val="22"/>
          <w:szCs w:val="22"/>
          <w:color w:val="auto"/>
        </w:rPr>
        <w:t>”), dated as of August 16, 2018 between you and XPO Logistics, Inc. (the” Company”) (the “</w:t>
      </w:r>
      <w:r>
        <w:rPr>
          <w:rFonts w:ascii="Arial" w:cs="Arial" w:eastAsia="Arial" w:hAnsi="Arial"/>
          <w:sz w:val="22"/>
          <w:szCs w:val="22"/>
          <w:u w:val="single" w:color="auto"/>
          <w:color w:val="auto"/>
        </w:rPr>
        <w:t>2018 PSU Award Agreement</w:t>
      </w:r>
      <w:r>
        <w:rPr>
          <w:rFonts w:ascii="Arial" w:cs="Arial" w:eastAsia="Arial" w:hAnsi="Arial"/>
          <w:sz w:val="22"/>
          <w:szCs w:val="22"/>
          <w:color w:val="auto"/>
        </w:rPr>
        <w:t>”), Performance-Based Restricted Stock Unit Award Agreement under the Omnibus Plan, dated as of June 5, 2019 between you and the Company (the “</w:t>
      </w:r>
      <w:r>
        <w:rPr>
          <w:rFonts w:ascii="Arial" w:cs="Arial" w:eastAsia="Arial" w:hAnsi="Arial"/>
          <w:sz w:val="22"/>
          <w:szCs w:val="22"/>
          <w:u w:val="single" w:color="auto"/>
          <w:color w:val="auto"/>
        </w:rPr>
        <w:t>2019 PSU Award Agreement</w:t>
      </w:r>
      <w:r>
        <w:rPr>
          <w:rFonts w:ascii="Arial" w:cs="Arial" w:eastAsia="Arial" w:hAnsi="Arial"/>
          <w:sz w:val="22"/>
          <w:szCs w:val="22"/>
          <w:color w:val="auto"/>
        </w:rPr>
        <w:t>”), and the XPO Logistics, Inc. Cash Long-Term Incentive Award Agreement, dated as of July 31, 2020, between you and the Company (the “</w:t>
      </w:r>
      <w:r>
        <w:rPr>
          <w:rFonts w:ascii="Arial" w:cs="Arial" w:eastAsia="Arial" w:hAnsi="Arial"/>
          <w:sz w:val="22"/>
          <w:szCs w:val="22"/>
          <w:u w:val="single" w:color="auto"/>
          <w:color w:val="auto"/>
        </w:rPr>
        <w:t>2020 Cash Award Agreement</w:t>
      </w:r>
      <w:r>
        <w:rPr>
          <w:rFonts w:ascii="Arial" w:cs="Arial" w:eastAsia="Arial" w:hAnsi="Arial"/>
          <w:sz w:val="22"/>
          <w:szCs w:val="22"/>
          <w:color w:val="auto"/>
        </w:rPr>
        <w:t>” and together with the 2018 PSU Award Agreement and 2019 Award Agreement, the “</w:t>
      </w:r>
      <w:r>
        <w:rPr>
          <w:rFonts w:ascii="Arial" w:cs="Arial" w:eastAsia="Arial" w:hAnsi="Arial"/>
          <w:sz w:val="22"/>
          <w:szCs w:val="22"/>
          <w:u w:val="single" w:color="auto"/>
          <w:color w:val="auto"/>
        </w:rPr>
        <w:t>Award</w:t>
      </w:r>
      <w:r>
        <w:rPr>
          <w:rFonts w:ascii="Arial" w:cs="Arial" w:eastAsia="Arial" w:hAnsi="Arial"/>
          <w:sz w:val="22"/>
          <w:szCs w:val="22"/>
          <w:color w:val="auto"/>
        </w:rPr>
        <w:t xml:space="preserve"> </w:t>
      </w:r>
      <w:r>
        <w:rPr>
          <w:rFonts w:ascii="Arial" w:cs="Arial" w:eastAsia="Arial" w:hAnsi="Arial"/>
          <w:sz w:val="22"/>
          <w:szCs w:val="22"/>
          <w:u w:val="single" w:color="auto"/>
          <w:color w:val="auto"/>
        </w:rPr>
        <w:t>Agreements</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This letter agreement (this “</w:t>
      </w:r>
      <w:r>
        <w:rPr>
          <w:rFonts w:ascii="Arial" w:cs="Arial" w:eastAsia="Arial" w:hAnsi="Arial"/>
          <w:sz w:val="22"/>
          <w:szCs w:val="22"/>
          <w:u w:val="single" w:color="auto"/>
          <w:color w:val="auto"/>
        </w:rPr>
        <w:t>Letter Agreement</w:t>
      </w:r>
      <w:r>
        <w:rPr>
          <w:rFonts w:ascii="Arial" w:cs="Arial" w:eastAsia="Arial" w:hAnsi="Arial"/>
          <w:sz w:val="22"/>
          <w:szCs w:val="22"/>
          <w:color w:val="auto"/>
        </w:rPr>
        <w:t>”) hereby amends the Award Agreements as set forth below.</w:t>
      </w:r>
    </w:p>
    <w:p>
      <w:pPr>
        <w:spacing w:after="0" w:line="220" w:lineRule="exact"/>
        <w:rPr>
          <w:sz w:val="20"/>
          <w:szCs w:val="20"/>
          <w:color w:val="auto"/>
        </w:rPr>
      </w:pPr>
    </w:p>
    <w:p>
      <w:pPr>
        <w:ind w:left="340" w:right="80" w:hanging="332"/>
        <w:spacing w:after="0" w:line="263"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Exhibit A to the 2018 PSU Award Agreement is hereby amended by replacing clause (a) and clause (b) included therein with the following:</w:t>
      </w:r>
    </w:p>
    <w:p>
      <w:pPr>
        <w:spacing w:after="0" w:line="174" w:lineRule="exact"/>
        <w:rPr>
          <w:rFonts w:ascii="Arial" w:cs="Arial" w:eastAsia="Arial" w:hAnsi="Arial"/>
          <w:sz w:val="22"/>
          <w:szCs w:val="22"/>
          <w:color w:val="auto"/>
        </w:rPr>
      </w:pPr>
    </w:p>
    <w:p>
      <w:pPr>
        <w:jc w:val="both"/>
        <w:ind w:left="340" w:right="600"/>
        <w:spacing w:after="0" w:line="312" w:lineRule="auto"/>
        <w:rPr>
          <w:rFonts w:ascii="Arial" w:cs="Arial" w:eastAsia="Arial" w:hAnsi="Arial"/>
          <w:sz w:val="22"/>
          <w:szCs w:val="22"/>
          <w:color w:val="auto"/>
        </w:rPr>
      </w:pPr>
      <w:r>
        <w:rPr>
          <w:rFonts w:ascii="Arial" w:cs="Arial" w:eastAsia="Arial" w:hAnsi="Arial"/>
          <w:sz w:val="19"/>
          <w:szCs w:val="19"/>
          <w:color w:val="auto"/>
        </w:rPr>
        <w:t>“(a) the achievement of an average closing price per Share, as reported on the New York Stock Exchange or such other exchange upon which the Shares trade, that equals or exceeds $114.08 over any twenty-consecutive-trading-day period ending on or prior to the last day of the Performance Period (the “</w:t>
      </w:r>
      <w:r>
        <w:rPr>
          <w:rFonts w:ascii="Arial" w:cs="Arial" w:eastAsia="Arial" w:hAnsi="Arial"/>
          <w:sz w:val="19"/>
          <w:szCs w:val="19"/>
          <w:u w:val="single" w:color="auto"/>
          <w:color w:val="auto"/>
        </w:rPr>
        <w:t>Stock Price Performance Goal</w:t>
      </w:r>
      <w:r>
        <w:rPr>
          <w:rFonts w:ascii="Arial" w:cs="Arial" w:eastAsia="Arial" w:hAnsi="Arial"/>
          <w:sz w:val="19"/>
          <w:szCs w:val="19"/>
          <w:color w:val="auto"/>
        </w:rPr>
        <w:t>”); and</w:t>
      </w:r>
    </w:p>
    <w:p>
      <w:pPr>
        <w:spacing w:after="0" w:line="160" w:lineRule="exact"/>
        <w:rPr>
          <w:rFonts w:ascii="Arial" w:cs="Arial" w:eastAsia="Arial" w:hAnsi="Arial"/>
          <w:sz w:val="22"/>
          <w:szCs w:val="22"/>
          <w:color w:val="auto"/>
        </w:rPr>
      </w:pPr>
    </w:p>
    <w:p>
      <w:pPr>
        <w:ind w:left="340" w:right="780"/>
        <w:spacing w:after="0" w:line="263" w:lineRule="auto"/>
        <w:rPr>
          <w:rFonts w:ascii="Arial" w:cs="Arial" w:eastAsia="Arial" w:hAnsi="Arial"/>
          <w:sz w:val="22"/>
          <w:szCs w:val="22"/>
          <w:color w:val="auto"/>
        </w:rPr>
      </w:pPr>
      <w:r>
        <w:rPr>
          <w:rFonts w:ascii="Arial" w:cs="Arial" w:eastAsia="Arial" w:hAnsi="Arial"/>
          <w:sz w:val="22"/>
          <w:szCs w:val="22"/>
          <w:color w:val="auto"/>
        </w:rPr>
        <w:t>(b) the achievement by the Company of Adjusted Cash Flow Per Share of $9.25 for any fiscal year ending during the Performance Period (the “</w:t>
      </w:r>
      <w:r>
        <w:rPr>
          <w:rFonts w:ascii="Arial" w:cs="Arial" w:eastAsia="Arial" w:hAnsi="Arial"/>
          <w:sz w:val="22"/>
          <w:szCs w:val="22"/>
          <w:u w:val="single" w:color="auto"/>
          <w:color w:val="auto"/>
        </w:rPr>
        <w:t>Adjusted Cash Flow Performance Goal</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340" w:right="80" w:hanging="332"/>
        <w:spacing w:after="0" w:line="263" w:lineRule="auto"/>
        <w:tabs>
          <w:tab w:leader="none" w:pos="340" w:val="left"/>
        </w:tabs>
        <w:numPr>
          <w:ilvl w:val="0"/>
          <w:numId w:val="8"/>
        </w:numPr>
        <w:rPr>
          <w:rFonts w:ascii="Arial" w:cs="Arial" w:eastAsia="Arial" w:hAnsi="Arial"/>
          <w:sz w:val="22"/>
          <w:szCs w:val="22"/>
          <w:color w:val="auto"/>
        </w:rPr>
      </w:pPr>
      <w:r>
        <w:rPr>
          <w:rFonts w:ascii="Arial" w:cs="Arial" w:eastAsia="Arial" w:hAnsi="Arial"/>
          <w:sz w:val="22"/>
          <w:szCs w:val="22"/>
          <w:color w:val="auto"/>
        </w:rPr>
        <w:t>Exhibit A to the 2019 PSU Award Agreement is hereby amended by replacing clause (a) and clause (b) included therein with the following:</w:t>
      </w:r>
    </w:p>
    <w:p>
      <w:pPr>
        <w:spacing w:after="0" w:line="174" w:lineRule="exact"/>
        <w:rPr>
          <w:rFonts w:ascii="Arial" w:cs="Arial" w:eastAsia="Arial" w:hAnsi="Arial"/>
          <w:sz w:val="22"/>
          <w:szCs w:val="22"/>
          <w:color w:val="auto"/>
        </w:rPr>
      </w:pPr>
    </w:p>
    <w:p>
      <w:pPr>
        <w:ind w:left="340" w:right="480"/>
        <w:spacing w:after="0" w:line="263" w:lineRule="auto"/>
        <w:rPr>
          <w:rFonts w:ascii="Arial" w:cs="Arial" w:eastAsia="Arial" w:hAnsi="Arial"/>
          <w:sz w:val="22"/>
          <w:szCs w:val="22"/>
          <w:color w:val="auto"/>
        </w:rPr>
      </w:pPr>
      <w:r>
        <w:rPr>
          <w:rFonts w:ascii="Arial" w:cs="Arial" w:eastAsia="Arial" w:hAnsi="Arial"/>
          <w:sz w:val="22"/>
          <w:szCs w:val="22"/>
          <w:color w:val="auto"/>
        </w:rPr>
        <w:t>“(a) Company TSR during the Performance Period exceeds Comparator Group TSR during the Performance Period by a minimum of 310 percentage points (the “</w:t>
      </w:r>
      <w:r>
        <w:rPr>
          <w:rFonts w:ascii="Arial" w:cs="Arial" w:eastAsia="Arial" w:hAnsi="Arial"/>
          <w:sz w:val="22"/>
          <w:szCs w:val="22"/>
          <w:u w:val="single" w:color="auto"/>
          <w:color w:val="auto"/>
        </w:rPr>
        <w:t>TSR Performance Goal</w:t>
      </w:r>
      <w:r>
        <w:rPr>
          <w:rFonts w:ascii="Arial" w:cs="Arial" w:eastAsia="Arial" w:hAnsi="Arial"/>
          <w:sz w:val="22"/>
          <w:szCs w:val="22"/>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17145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Brad Jacobs; Troy Cooper; Mario Harik.</w:t>
      </w:r>
    </w:p>
    <w:p>
      <w:pPr>
        <w:sectPr>
          <w:pgSz w:w="11900" w:h="16838" w:orient="portrait"/>
          <w:cols w:equalWidth="0" w:num="1">
            <w:col w:w="11220"/>
          </w:cols>
          <w:pgMar w:left="320" w:top="1422" w:right="359" w:bottom="1440" w:gutter="0" w:footer="0" w:header="0"/>
        </w:sectPr>
      </w:pPr>
    </w:p>
    <w:bookmarkStart w:id="41" w:name="page42"/>
    <w:bookmarkEnd w:id="41"/>
    <w:p>
      <w:pPr>
        <w:ind w:left="332" w:right="40"/>
        <w:spacing w:after="0" w:line="253" w:lineRule="auto"/>
        <w:rPr>
          <w:sz w:val="20"/>
          <w:szCs w:val="20"/>
          <w:color w:val="auto"/>
        </w:rPr>
      </w:pPr>
      <w:r>
        <w:rPr>
          <w:rFonts w:ascii="Arial" w:cs="Arial" w:eastAsia="Arial" w:hAnsi="Arial"/>
          <w:sz w:val="22"/>
          <w:szCs w:val="22"/>
          <w:color w:val="auto"/>
        </w:rPr>
        <w:t>(b) the compound annual growth rate of the Company’s Adjusted EPS during the Performance Period, measured by reference to the Company’s recalibrated full year 2018 Adjusted EPS of $2.54, is at least 19% (the “</w:t>
      </w:r>
      <w:r>
        <w:rPr>
          <w:rFonts w:ascii="Arial" w:cs="Arial" w:eastAsia="Arial" w:hAnsi="Arial"/>
          <w:sz w:val="22"/>
          <w:szCs w:val="22"/>
          <w:u w:val="single" w:color="auto"/>
          <w:color w:val="auto"/>
        </w:rPr>
        <w:t>Adjusted EPS Performance</w:t>
      </w:r>
      <w:r>
        <w:rPr>
          <w:rFonts w:ascii="Arial" w:cs="Arial" w:eastAsia="Arial" w:hAnsi="Arial"/>
          <w:sz w:val="22"/>
          <w:szCs w:val="22"/>
          <w:color w:val="auto"/>
        </w:rPr>
        <w:t xml:space="preserve"> </w:t>
      </w:r>
      <w:r>
        <w:rPr>
          <w:rFonts w:ascii="Arial" w:cs="Arial" w:eastAsia="Arial" w:hAnsi="Arial"/>
          <w:sz w:val="22"/>
          <w:szCs w:val="22"/>
          <w:u w:val="single" w:color="auto"/>
          <w:color w:val="auto"/>
        </w:rPr>
        <w:t>Goal</w:t>
      </w:r>
      <w:r>
        <w:rPr>
          <w:rFonts w:ascii="Arial" w:cs="Arial" w:eastAsia="Arial" w:hAnsi="Arial"/>
          <w:sz w:val="22"/>
          <w:szCs w:val="22"/>
          <w:color w:val="auto"/>
        </w:rPr>
        <w:t>”).”</w:t>
      </w:r>
    </w:p>
    <w:p>
      <w:pPr>
        <w:spacing w:after="0" w:line="185" w:lineRule="exact"/>
        <w:rPr>
          <w:sz w:val="20"/>
          <w:szCs w:val="20"/>
          <w:color w:val="auto"/>
        </w:rPr>
      </w:pPr>
    </w:p>
    <w:p>
      <w:pPr>
        <w:ind w:left="332" w:right="200" w:hanging="332"/>
        <w:spacing w:after="0" w:line="263" w:lineRule="auto"/>
        <w:tabs>
          <w:tab w:leader="none" w:pos="332"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2020 Cash Award Agreement is hereby amended by replacing clauses (ii), (iii) and (iv) of Section 1(a) thereof with the following:</w:t>
      </w:r>
    </w:p>
    <w:p>
      <w:pPr>
        <w:spacing w:after="0" w:line="175" w:lineRule="exact"/>
        <w:rPr>
          <w:sz w:val="20"/>
          <w:szCs w:val="20"/>
          <w:color w:val="auto"/>
        </w:rPr>
      </w:pPr>
    </w:p>
    <w:p>
      <w:pPr>
        <w:ind w:left="1292"/>
        <w:spacing w:after="0"/>
        <w:tabs>
          <w:tab w:leader="none" w:pos="1792" w:val="left"/>
        </w:tabs>
        <w:rPr>
          <w:sz w:val="20"/>
          <w:szCs w:val="20"/>
          <w:color w:val="auto"/>
        </w:rPr>
      </w:pPr>
      <w:r>
        <w:rPr>
          <w:rFonts w:ascii="Arial" w:cs="Arial" w:eastAsia="Arial" w:hAnsi="Arial"/>
          <w:sz w:val="22"/>
          <w:szCs w:val="22"/>
          <w:i w:val="1"/>
          <w:iCs w:val="1"/>
          <w:color w:val="auto"/>
        </w:rPr>
        <w:t>“</w:t>
      </w:r>
      <w:r>
        <w:rPr>
          <w:rFonts w:ascii="Arial" w:cs="Arial" w:eastAsia="Arial" w:hAnsi="Arial"/>
          <w:sz w:val="22"/>
          <w:szCs w:val="22"/>
          <w:color w:val="auto"/>
        </w:rPr>
        <w:t>ii.</w:t>
      </w:r>
      <w:r>
        <w:rPr>
          <w:sz w:val="20"/>
          <w:szCs w:val="20"/>
          <w:color w:val="auto"/>
        </w:rPr>
        <w:tab/>
      </w:r>
      <w:r>
        <w:rPr>
          <w:rFonts w:ascii="Arial" w:cs="Arial" w:eastAsia="Arial" w:hAnsi="Arial"/>
          <w:sz w:val="19"/>
          <w:szCs w:val="19"/>
          <w:i w:val="1"/>
          <w:iCs w:val="1"/>
          <w:color w:val="auto"/>
        </w:rPr>
        <w:t>2021 Tranche</w:t>
      </w:r>
    </w:p>
    <w:p>
      <w:pPr>
        <w:spacing w:after="0" w:line="234" w:lineRule="exact"/>
        <w:rPr>
          <w:sz w:val="20"/>
          <w:szCs w:val="20"/>
          <w:color w:val="auto"/>
        </w:rPr>
      </w:pPr>
    </w:p>
    <w:tbl>
      <w:tblPr>
        <w:tblLayout w:type="fixed"/>
        <w:tblInd w:w="1962" w:type="dxa"/>
        <w:tblCellMar>
          <w:top w:w="0" w:type="dxa"/>
          <w:left w:w="0" w:type="dxa"/>
          <w:bottom w:w="0" w:type="dxa"/>
          <w:right w:w="0" w:type="dxa"/>
        </w:tblCellMar>
      </w:tblPr>
      <w:tr>
        <w:trPr>
          <w:trHeight w:val="297"/>
        </w:trPr>
        <w:tc>
          <w:tcPr>
            <w:tcW w:w="300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Company’s Adjusted Cash</w:t>
            </w:r>
          </w:p>
        </w:tc>
        <w:tc>
          <w:tcPr>
            <w:tcW w:w="32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316"/>
        </w:trPr>
        <w:tc>
          <w:tcPr>
            <w:tcW w:w="3000" w:type="dxa"/>
            <w:vAlign w:val="bottom"/>
            <w:tcBorders>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Flow Per Share</w:t>
            </w:r>
          </w:p>
        </w:tc>
        <w:tc>
          <w:tcPr>
            <w:tcW w:w="32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4"/>
              </w:rPr>
              <w:t>Target*</w:t>
            </w:r>
          </w:p>
        </w:tc>
      </w:tr>
      <w:tr>
        <w:trPr>
          <w:trHeight w:val="338"/>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$5.41 or above</w:t>
            </w:r>
          </w:p>
        </w:tc>
        <w:tc>
          <w:tcPr>
            <w:tcW w:w="32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358"/>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$4.96</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358"/>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$4.51</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358"/>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$4.51</w:t>
            </w:r>
          </w:p>
        </w:tc>
        <w:tc>
          <w:tcPr>
            <w:tcW w:w="32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0%</w:t>
            </w:r>
          </w:p>
        </w:tc>
      </w:tr>
    </w:tbl>
    <w:p>
      <w:pPr>
        <w:spacing w:after="0" w:line="195" w:lineRule="exact"/>
        <w:rPr>
          <w:sz w:val="20"/>
          <w:szCs w:val="20"/>
          <w:color w:val="auto"/>
        </w:rPr>
      </w:pPr>
    </w:p>
    <w:p>
      <w:pPr>
        <w:ind w:left="1952" w:hanging="170"/>
        <w:spacing w:after="0"/>
        <w:tabs>
          <w:tab w:leader="none" w:pos="1952" w:val="left"/>
        </w:tabs>
        <w:numPr>
          <w:ilvl w:val="1"/>
          <w:numId w:val="11"/>
        </w:numPr>
        <w:rPr>
          <w:rFonts w:ascii="Arial" w:cs="Arial" w:eastAsia="Arial" w:hAnsi="Arial"/>
          <w:sz w:val="22"/>
          <w:szCs w:val="22"/>
          <w:color w:val="auto"/>
        </w:rPr>
      </w:pPr>
      <w:r>
        <w:rPr>
          <w:rFonts w:ascii="Arial" w:cs="Arial" w:eastAsia="Arial" w:hAnsi="Arial"/>
          <w:sz w:val="22"/>
          <w:szCs w:val="22"/>
          <w:color w:val="auto"/>
        </w:rPr>
        <w:t>Linear interpolation shall be applied between each threshold.</w:t>
      </w:r>
    </w:p>
    <w:p>
      <w:pPr>
        <w:spacing w:after="0" w:line="246" w:lineRule="exact"/>
        <w:rPr>
          <w:rFonts w:ascii="Arial" w:cs="Arial" w:eastAsia="Arial" w:hAnsi="Arial"/>
          <w:sz w:val="22"/>
          <w:szCs w:val="22"/>
          <w:color w:val="auto"/>
        </w:rPr>
      </w:pPr>
    </w:p>
    <w:p>
      <w:pPr>
        <w:ind w:left="2152" w:hanging="613"/>
        <w:spacing w:after="0"/>
        <w:tabs>
          <w:tab w:leader="none" w:pos="2152"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2022 Tranche</w:t>
      </w:r>
    </w:p>
    <w:p>
      <w:pPr>
        <w:spacing w:after="0" w:line="234" w:lineRule="exact"/>
        <w:rPr>
          <w:sz w:val="20"/>
          <w:szCs w:val="20"/>
          <w:color w:val="auto"/>
        </w:rPr>
      </w:pPr>
    </w:p>
    <w:tbl>
      <w:tblPr>
        <w:tblLayout w:type="fixed"/>
        <w:tblInd w:w="1962" w:type="dxa"/>
        <w:tblCellMar>
          <w:top w:w="0" w:type="dxa"/>
          <w:left w:w="0" w:type="dxa"/>
          <w:bottom w:w="0" w:type="dxa"/>
          <w:right w:w="0" w:type="dxa"/>
        </w:tblCellMar>
      </w:tblPr>
      <w:tr>
        <w:trPr>
          <w:trHeight w:val="297"/>
        </w:trPr>
        <w:tc>
          <w:tcPr>
            <w:tcW w:w="300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Company’s Adjusted Cash</w:t>
            </w:r>
          </w:p>
        </w:tc>
        <w:tc>
          <w:tcPr>
            <w:tcW w:w="30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316"/>
        </w:trPr>
        <w:tc>
          <w:tcPr>
            <w:tcW w:w="3000" w:type="dxa"/>
            <w:vAlign w:val="bottom"/>
            <w:tcBorders>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Flow Per Share</w:t>
            </w:r>
          </w:p>
        </w:tc>
        <w:tc>
          <w:tcPr>
            <w:tcW w:w="30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2"/>
              </w:rPr>
              <w:t>Target*</w:t>
            </w:r>
          </w:p>
        </w:tc>
      </w:tr>
      <w:tr>
        <w:trPr>
          <w:trHeight w:val="338"/>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$6.42 or above</w:t>
            </w:r>
          </w:p>
        </w:tc>
        <w:tc>
          <w:tcPr>
            <w:tcW w:w="3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334"/>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$5.89</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30"/>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328"/>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$5.35</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30"/>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r>
        <w:trPr>
          <w:trHeight w:val="328"/>
        </w:trPr>
        <w:tc>
          <w:tcPr>
            <w:tcW w:w="30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$5.35</w:t>
            </w:r>
          </w:p>
        </w:tc>
        <w:tc>
          <w:tcPr>
            <w:tcW w:w="30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r>
        <w:trPr>
          <w:trHeight w:val="30"/>
        </w:trPr>
        <w:tc>
          <w:tcPr>
            <w:tcW w:w="3000" w:type="dxa"/>
            <w:vAlign w:val="bottom"/>
            <w:tcBorders>
              <w:left w:val="single" w:sz="8" w:color="auto"/>
              <w:bottom w:val="single" w:sz="8" w:color="auto"/>
              <w:right w:val="single" w:sz="8" w:color="auto"/>
            </w:tcBorders>
          </w:tcPr>
          <w:p>
            <w:pPr>
              <w:spacing w:after="0"/>
              <w:rPr>
                <w:sz w:val="2"/>
                <w:szCs w:val="2"/>
                <w:color w:val="auto"/>
              </w:rPr>
            </w:pPr>
          </w:p>
        </w:tc>
        <w:tc>
          <w:tcPr>
            <w:tcW w:w="3000" w:type="dxa"/>
            <w:vAlign w:val="bottom"/>
            <w:tcBorders>
              <w:bottom w:val="single" w:sz="8" w:color="auto"/>
              <w:right w:val="single" w:sz="8" w:color="auto"/>
            </w:tcBorders>
          </w:tcPr>
          <w:p>
            <w:pPr>
              <w:spacing w:after="0"/>
              <w:rPr>
                <w:sz w:val="2"/>
                <w:szCs w:val="2"/>
                <w:color w:val="auto"/>
              </w:rPr>
            </w:pPr>
          </w:p>
        </w:tc>
      </w:tr>
    </w:tbl>
    <w:p>
      <w:pPr>
        <w:spacing w:after="0" w:line="181" w:lineRule="exact"/>
        <w:rPr>
          <w:sz w:val="20"/>
          <w:szCs w:val="20"/>
          <w:color w:val="auto"/>
        </w:rPr>
      </w:pPr>
    </w:p>
    <w:p>
      <w:pPr>
        <w:ind w:left="1952" w:hanging="170"/>
        <w:spacing w:after="0"/>
        <w:tabs>
          <w:tab w:leader="none" w:pos="1952" w:val="left"/>
        </w:tabs>
        <w:numPr>
          <w:ilvl w:val="1"/>
          <w:numId w:val="12"/>
        </w:numPr>
        <w:rPr>
          <w:rFonts w:ascii="Arial" w:cs="Arial" w:eastAsia="Arial" w:hAnsi="Arial"/>
          <w:sz w:val="22"/>
          <w:szCs w:val="22"/>
          <w:color w:val="auto"/>
        </w:rPr>
      </w:pPr>
      <w:r>
        <w:rPr>
          <w:rFonts w:ascii="Arial" w:cs="Arial" w:eastAsia="Arial" w:hAnsi="Arial"/>
          <w:sz w:val="22"/>
          <w:szCs w:val="22"/>
          <w:color w:val="auto"/>
        </w:rPr>
        <w:t>Linear interpolation shall be applied between each threshold.</w:t>
      </w:r>
    </w:p>
    <w:p>
      <w:pPr>
        <w:spacing w:after="0" w:line="246" w:lineRule="exact"/>
        <w:rPr>
          <w:rFonts w:ascii="Arial" w:cs="Arial" w:eastAsia="Arial" w:hAnsi="Arial"/>
          <w:sz w:val="22"/>
          <w:szCs w:val="22"/>
          <w:color w:val="auto"/>
        </w:rPr>
      </w:pPr>
    </w:p>
    <w:p>
      <w:pPr>
        <w:ind w:left="1932" w:hanging="393"/>
        <w:spacing w:after="0"/>
        <w:tabs>
          <w:tab w:leader="none" w:pos="1932" w:val="left"/>
        </w:tabs>
        <w:numPr>
          <w:ilvl w:val="0"/>
          <w:numId w:val="12"/>
        </w:numPr>
        <w:rPr>
          <w:rFonts w:ascii="Arial" w:cs="Arial" w:eastAsia="Arial" w:hAnsi="Arial"/>
          <w:sz w:val="22"/>
          <w:szCs w:val="22"/>
          <w:color w:val="auto"/>
        </w:rPr>
      </w:pPr>
      <w:r>
        <w:rPr>
          <w:rFonts w:ascii="Arial" w:cs="Arial" w:eastAsia="Arial" w:hAnsi="Arial"/>
          <w:sz w:val="22"/>
          <w:szCs w:val="22"/>
          <w:i w:val="1"/>
          <w:iCs w:val="1"/>
          <w:color w:val="auto"/>
        </w:rPr>
        <w:t>2023 Tranche</w:t>
      </w:r>
    </w:p>
    <w:p>
      <w:pPr>
        <w:spacing w:after="0" w:line="234" w:lineRule="exact"/>
        <w:rPr>
          <w:sz w:val="20"/>
          <w:szCs w:val="20"/>
          <w:color w:val="auto"/>
        </w:rPr>
      </w:pPr>
    </w:p>
    <w:tbl>
      <w:tblPr>
        <w:tblLayout w:type="fixed"/>
        <w:tblInd w:w="1962" w:type="dxa"/>
        <w:tblCellMar>
          <w:top w:w="0" w:type="dxa"/>
          <w:left w:w="0" w:type="dxa"/>
          <w:bottom w:w="0" w:type="dxa"/>
          <w:right w:w="0" w:type="dxa"/>
        </w:tblCellMar>
      </w:tblPr>
      <w:tr>
        <w:trPr>
          <w:trHeight w:val="297"/>
        </w:trPr>
        <w:tc>
          <w:tcPr>
            <w:tcW w:w="3000" w:type="dxa"/>
            <w:vAlign w:val="bottom"/>
            <w:tcBorders>
              <w:top w:val="single" w:sz="8" w:color="auto"/>
              <w:left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8"/>
              </w:rPr>
              <w:t>Company’s Adjusted Cash</w:t>
            </w:r>
          </w:p>
        </w:tc>
        <w:tc>
          <w:tcPr>
            <w:tcW w:w="300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7"/>
              </w:rPr>
              <w:t>Value Earned as Percentage of</w:t>
            </w:r>
          </w:p>
        </w:tc>
      </w:tr>
      <w:tr>
        <w:trPr>
          <w:trHeight w:val="316"/>
        </w:trPr>
        <w:tc>
          <w:tcPr>
            <w:tcW w:w="3000" w:type="dxa"/>
            <w:vAlign w:val="bottom"/>
            <w:tcBorders>
              <w:left w:val="single" w:sz="8" w:color="auto"/>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Flow Per Share</w:t>
            </w:r>
          </w:p>
        </w:tc>
        <w:tc>
          <w:tcPr>
            <w:tcW w:w="3000" w:type="dxa"/>
            <w:vAlign w:val="bottom"/>
            <w:tcBorders>
              <w:bottom w:val="single" w:sz="8" w:color="BFBFBF"/>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92"/>
              </w:rPr>
              <w:t>Target*</w:t>
            </w:r>
          </w:p>
        </w:tc>
      </w:tr>
      <w:tr>
        <w:trPr>
          <w:trHeight w:val="343"/>
        </w:trPr>
        <w:tc>
          <w:tcPr>
            <w:tcW w:w="30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$7.14 or above</w:t>
            </w:r>
          </w:p>
        </w:tc>
        <w:tc>
          <w:tcPr>
            <w:tcW w:w="3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r>
        <w:trPr>
          <w:trHeight w:val="353"/>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$6.55</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358"/>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$5.95</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358"/>
        </w:trPr>
        <w:tc>
          <w:tcPr>
            <w:tcW w:w="30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Below $5.95</w:t>
            </w:r>
          </w:p>
        </w:tc>
        <w:tc>
          <w:tcPr>
            <w:tcW w:w="3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bl>
    <w:p>
      <w:pPr>
        <w:spacing w:after="0" w:line="195" w:lineRule="exact"/>
        <w:rPr>
          <w:sz w:val="20"/>
          <w:szCs w:val="20"/>
          <w:color w:val="auto"/>
        </w:rPr>
      </w:pPr>
    </w:p>
    <w:p>
      <w:pPr>
        <w:ind w:left="1952" w:hanging="170"/>
        <w:spacing w:after="0"/>
        <w:tabs>
          <w:tab w:leader="none" w:pos="1952" w:val="left"/>
        </w:tabs>
        <w:numPr>
          <w:ilvl w:val="1"/>
          <w:numId w:val="13"/>
        </w:numPr>
        <w:rPr>
          <w:rFonts w:ascii="Arial" w:cs="Arial" w:eastAsia="Arial" w:hAnsi="Arial"/>
          <w:sz w:val="22"/>
          <w:szCs w:val="22"/>
          <w:color w:val="auto"/>
        </w:rPr>
      </w:pPr>
      <w:r>
        <w:rPr>
          <w:rFonts w:ascii="Arial" w:cs="Arial" w:eastAsia="Arial" w:hAnsi="Arial"/>
          <w:sz w:val="22"/>
          <w:szCs w:val="22"/>
          <w:color w:val="auto"/>
        </w:rPr>
        <w:t>Linear interpolation shall be applied between each threshold.”</w:t>
      </w:r>
    </w:p>
    <w:p>
      <w:pPr>
        <w:spacing w:after="0" w:line="21" w:lineRule="exact"/>
        <w:rPr>
          <w:rFonts w:ascii="Arial" w:cs="Arial" w:eastAsia="Arial" w:hAnsi="Arial"/>
          <w:sz w:val="22"/>
          <w:szCs w:val="22"/>
          <w:color w:val="auto"/>
        </w:rPr>
      </w:pPr>
    </w:p>
    <w:p>
      <w:pPr>
        <w:ind w:left="332" w:hanging="332"/>
        <w:spacing w:after="0"/>
        <w:tabs>
          <w:tab w:leader="none" w:pos="332" w:val="left"/>
        </w:tabs>
        <w:numPr>
          <w:ilvl w:val="0"/>
          <w:numId w:val="13"/>
        </w:numPr>
        <w:rPr>
          <w:rFonts w:ascii="Arial" w:cs="Arial" w:eastAsia="Arial" w:hAnsi="Arial"/>
          <w:sz w:val="21"/>
          <w:szCs w:val="21"/>
          <w:color w:val="auto"/>
        </w:rPr>
      </w:pPr>
      <w:r>
        <w:rPr>
          <w:rFonts w:ascii="Arial" w:cs="Arial" w:eastAsia="Arial" w:hAnsi="Arial"/>
          <w:sz w:val="21"/>
          <w:szCs w:val="21"/>
          <w:color w:val="auto"/>
        </w:rPr>
        <w:t>Exhibit B to the 2020 Cash Award Agreement is hereby amended by replacing section 5(b) thereof with the following:</w:t>
      </w:r>
    </w:p>
    <w:p>
      <w:pPr>
        <w:spacing w:after="0" w:line="213" w:lineRule="exact"/>
        <w:rPr>
          <w:rFonts w:ascii="Arial" w:cs="Arial" w:eastAsia="Arial" w:hAnsi="Arial"/>
          <w:sz w:val="21"/>
          <w:szCs w:val="21"/>
          <w:color w:val="auto"/>
        </w:rPr>
      </w:pPr>
    </w:p>
    <w:p>
      <w:pPr>
        <w:ind w:left="332"/>
        <w:spacing w:after="0" w:line="263" w:lineRule="auto"/>
        <w:rPr>
          <w:rFonts w:ascii="Arial" w:cs="Arial" w:eastAsia="Arial" w:hAnsi="Arial"/>
          <w:sz w:val="21"/>
          <w:szCs w:val="21"/>
          <w:color w:val="auto"/>
        </w:rPr>
      </w:pPr>
      <w:r>
        <w:rPr>
          <w:rFonts w:ascii="Arial" w:cs="Arial" w:eastAsia="Arial" w:hAnsi="Arial"/>
          <w:sz w:val="22"/>
          <w:szCs w:val="22"/>
          <w:color w:val="auto"/>
        </w:rPr>
        <w:t>“b. “</w:t>
      </w:r>
      <w:r>
        <w:rPr>
          <w:rFonts w:ascii="Arial" w:cs="Arial" w:eastAsia="Arial" w:hAnsi="Arial"/>
          <w:sz w:val="22"/>
          <w:szCs w:val="22"/>
          <w:u w:val="single" w:color="auto"/>
          <w:color w:val="auto"/>
        </w:rPr>
        <w:t>ESG Metrics Scorecard</w:t>
      </w:r>
      <w:r>
        <w:rPr>
          <w:rFonts w:ascii="Arial" w:cs="Arial" w:eastAsia="Arial" w:hAnsi="Arial"/>
          <w:sz w:val="22"/>
          <w:szCs w:val="22"/>
          <w:color w:val="auto"/>
        </w:rPr>
        <w:t>” means a scorecard approved by the Committee not later than September 30, 2020 (as adjusted by the Committee in connection with the separation</w:t>
      </w:r>
    </w:p>
    <w:p>
      <w:pPr>
        <w:sectPr>
          <w:pgSz w:w="11900" w:h="16838" w:orient="portrait"/>
          <w:cols w:equalWidth="0" w:num="1">
            <w:col w:w="11192"/>
          </w:cols>
          <w:pgMar w:left="328" w:top="1428" w:right="379" w:bottom="1440" w:gutter="0" w:footer="0" w:header="0"/>
        </w:sectPr>
      </w:pPr>
    </w:p>
    <w:bookmarkStart w:id="42" w:name="page43"/>
    <w:bookmarkEnd w:id="42"/>
    <w:p>
      <w:pPr>
        <w:ind w:left="332" w:right="100"/>
        <w:spacing w:after="0" w:line="248" w:lineRule="auto"/>
        <w:rPr>
          <w:sz w:val="20"/>
          <w:szCs w:val="20"/>
          <w:color w:val="auto"/>
        </w:rPr>
      </w:pPr>
      <w:r>
        <w:rPr>
          <w:rFonts w:ascii="Arial" w:cs="Arial" w:eastAsia="Arial" w:hAnsi="Arial"/>
          <w:sz w:val="22"/>
          <w:szCs w:val="22"/>
          <w:color w:val="auto"/>
        </w:rPr>
        <w:t>and distribution of GXO Logistics, Inc. on August 2, 2021) that sets forth performance initiatives and metrics for each Performance Period in the categories of workforce/talent, employee and community safety, diversity and inclusion, data security, environment and sustainability, and/or governance. Such scorecard shall assign a number of points to each initiative or metric such that the total number of points for the initiatives and metrics relating to each Performance Period is equal to one hundred (100).”</w:t>
      </w:r>
    </w:p>
    <w:p>
      <w:pPr>
        <w:spacing w:after="0" w:line="192" w:lineRule="exact"/>
        <w:rPr>
          <w:sz w:val="20"/>
          <w:szCs w:val="20"/>
          <w:color w:val="auto"/>
        </w:rPr>
      </w:pPr>
    </w:p>
    <w:p>
      <w:pPr>
        <w:ind w:left="332" w:right="740" w:hanging="332"/>
        <w:spacing w:after="0" w:line="263" w:lineRule="auto"/>
        <w:tabs>
          <w:tab w:leader="none" w:pos="332"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definition of Change in Control for purposes of the 2018 PSU Award Agreement shall be modified by adding the following language as clause (v) thereof:</w:t>
      </w:r>
    </w:p>
    <w:p>
      <w:pPr>
        <w:spacing w:after="0" w:line="175" w:lineRule="exact"/>
        <w:rPr>
          <w:sz w:val="20"/>
          <w:szCs w:val="20"/>
          <w:color w:val="auto"/>
        </w:rPr>
      </w:pPr>
    </w:p>
    <w:p>
      <w:pPr>
        <w:jc w:val="both"/>
        <w:ind w:left="332" w:right="20"/>
        <w:spacing w:after="0" w:line="271" w:lineRule="auto"/>
        <w:rPr>
          <w:sz w:val="20"/>
          <w:szCs w:val="20"/>
          <w:color w:val="auto"/>
        </w:rPr>
      </w:pPr>
      <w:r>
        <w:rPr>
          <w:rFonts w:ascii="Arial" w:cs="Arial" w:eastAsia="Arial" w:hAnsi="Arial"/>
          <w:sz w:val="21"/>
          <w:szCs w:val="21"/>
          <w:color w:val="auto"/>
        </w:rPr>
        <w:t>“(v) the disposition of a substantial portion of the Company’s assets, businesses or business lines, which shall be deemed to occur on the first date on which there have occurred, taking into account only transactions occurring subsequent to December 31, 2018 (the “</w:t>
      </w:r>
      <w:r>
        <w:rPr>
          <w:rFonts w:ascii="Arial" w:cs="Arial" w:eastAsia="Arial" w:hAnsi="Arial"/>
          <w:sz w:val="21"/>
          <w:szCs w:val="21"/>
          <w:u w:val="single" w:color="auto"/>
          <w:color w:val="auto"/>
        </w:rPr>
        <w:t>Measurement Date</w:t>
      </w:r>
      <w:r>
        <w:rPr>
          <w:rFonts w:ascii="Arial" w:cs="Arial" w:eastAsia="Arial" w:hAnsi="Arial"/>
          <w:sz w:val="21"/>
          <w:szCs w:val="21"/>
          <w:color w:val="auto"/>
        </w:rPr>
        <w:t>”), Eligible Transfers (as defined below) of:</w:t>
      </w:r>
    </w:p>
    <w:p>
      <w:pPr>
        <w:spacing w:after="0" w:line="194" w:lineRule="exact"/>
        <w:rPr>
          <w:sz w:val="20"/>
          <w:szCs w:val="20"/>
          <w:color w:val="auto"/>
        </w:rPr>
      </w:pPr>
    </w:p>
    <w:p>
      <w:pPr>
        <w:ind w:left="332" w:hanging="8"/>
        <w:spacing w:after="0" w:line="253" w:lineRule="auto"/>
        <w:tabs>
          <w:tab w:leader="none" w:pos="686" w:val="left"/>
        </w:tabs>
        <w:numPr>
          <w:ilvl w:val="0"/>
          <w:numId w:val="15"/>
        </w:numPr>
        <w:rPr>
          <w:rFonts w:ascii="Arial" w:cs="Arial" w:eastAsia="Arial" w:hAnsi="Arial"/>
          <w:sz w:val="22"/>
          <w:szCs w:val="22"/>
          <w:color w:val="auto"/>
        </w:rPr>
      </w:pPr>
      <w:r>
        <w:rPr>
          <w:rFonts w:ascii="Arial" w:cs="Arial" w:eastAsia="Arial" w:hAnsi="Arial"/>
          <w:sz w:val="22"/>
          <w:szCs w:val="22"/>
          <w:color w:val="auto"/>
        </w:rPr>
        <w:t>assets (inclusive only of assets held as of the Measurement Date) having a total value equal to, or in excess of, 50% of the assets of the Company as of the Measurement Date (it being understood that assets shall mean total assets as defined by U.S. GAAP and shall be measured, in all instances, as of the Measurement Date), or</w:t>
      </w:r>
    </w:p>
    <w:p>
      <w:pPr>
        <w:spacing w:after="0" w:line="212" w:lineRule="exact"/>
        <w:rPr>
          <w:rFonts w:ascii="Arial" w:cs="Arial" w:eastAsia="Arial" w:hAnsi="Arial"/>
          <w:sz w:val="22"/>
          <w:szCs w:val="22"/>
          <w:color w:val="auto"/>
        </w:rPr>
      </w:pPr>
    </w:p>
    <w:p>
      <w:pPr>
        <w:ind w:left="332" w:right="500" w:hanging="8"/>
        <w:spacing w:after="0" w:line="247" w:lineRule="auto"/>
        <w:tabs>
          <w:tab w:leader="none" w:pos="674" w:val="left"/>
        </w:tabs>
        <w:numPr>
          <w:ilvl w:val="0"/>
          <w:numId w:val="15"/>
        </w:numPr>
        <w:rPr>
          <w:rFonts w:ascii="Arial" w:cs="Arial" w:eastAsia="Arial" w:hAnsi="Arial"/>
          <w:sz w:val="22"/>
          <w:szCs w:val="22"/>
          <w:color w:val="auto"/>
        </w:rPr>
      </w:pPr>
      <w:r>
        <w:rPr>
          <w:rFonts w:ascii="Arial" w:cs="Arial" w:eastAsia="Arial" w:hAnsi="Arial"/>
          <w:sz w:val="22"/>
          <w:szCs w:val="22"/>
          <w:color w:val="auto"/>
        </w:rPr>
        <w:t>one or more businesses or lines of business (inclusive only of businesses and lines of business conducted as of the Measurement Date) representing at least 50% of the Company’s revenue (as defined for purposes of U.S. GAAP) (with revenue measured, in all instances, as the revenue generated over the Company’s fiscal year ending on the Measurement Date).</w:t>
      </w:r>
    </w:p>
    <w:p>
      <w:pPr>
        <w:spacing w:after="0" w:line="2" w:lineRule="exact"/>
        <w:rPr>
          <w:rFonts w:ascii="Arial" w:cs="Arial" w:eastAsia="Arial" w:hAnsi="Arial"/>
          <w:sz w:val="22"/>
          <w:szCs w:val="22"/>
          <w:color w:val="auto"/>
        </w:rPr>
      </w:pPr>
    </w:p>
    <w:p>
      <w:pPr>
        <w:ind w:left="332" w:right="280"/>
        <w:spacing w:after="0" w:line="244" w:lineRule="auto"/>
        <w:rPr>
          <w:rFonts w:ascii="Arial" w:cs="Arial" w:eastAsia="Arial" w:hAnsi="Arial"/>
          <w:sz w:val="22"/>
          <w:szCs w:val="22"/>
          <w:color w:val="auto"/>
        </w:rPr>
      </w:pPr>
      <w:r>
        <w:rPr>
          <w:rFonts w:ascii="Arial" w:cs="Arial" w:eastAsia="Arial" w:hAnsi="Arial"/>
          <w:sz w:val="22"/>
          <w:szCs w:val="22"/>
          <w:color w:val="auto"/>
        </w:rPr>
        <w:t>For purposes of this clause (v), “</w:t>
      </w:r>
      <w:r>
        <w:rPr>
          <w:rFonts w:ascii="Arial" w:cs="Arial" w:eastAsia="Arial" w:hAnsi="Arial"/>
          <w:sz w:val="22"/>
          <w:szCs w:val="22"/>
          <w:u w:val="single" w:color="auto"/>
          <w:color w:val="auto"/>
        </w:rPr>
        <w:t>Eligible Transfer</w:t>
      </w:r>
      <w:r>
        <w:rPr>
          <w:rFonts w:ascii="Arial" w:cs="Arial" w:eastAsia="Arial" w:hAnsi="Arial"/>
          <w:sz w:val="22"/>
          <w:szCs w:val="22"/>
          <w:color w:val="auto"/>
        </w:rPr>
        <w:t>” means any sale, distribution or other disposition, excluding any (1) sale leaseback transaction, (2) transaction consisting of the factoring or securitization of receivables, (3) transaction where the proceeds to the Company as a result of the transaction are less than $100 million, or (4) foreclosure or other remedy by a secured creditor with respect to the assets of the Company.</w:t>
      </w:r>
    </w:p>
    <w:p>
      <w:pPr>
        <w:spacing w:after="0" w:line="195" w:lineRule="exact"/>
        <w:rPr>
          <w:sz w:val="20"/>
          <w:szCs w:val="20"/>
          <w:color w:val="auto"/>
        </w:rPr>
      </w:pPr>
    </w:p>
    <w:p>
      <w:pPr>
        <w:ind w:left="332"/>
        <w:spacing w:after="0"/>
        <w:rPr>
          <w:sz w:val="20"/>
          <w:szCs w:val="20"/>
          <w:color w:val="auto"/>
        </w:rPr>
      </w:pPr>
      <w:r>
        <w:rPr>
          <w:rFonts w:ascii="Arial" w:cs="Arial" w:eastAsia="Arial" w:hAnsi="Arial"/>
          <w:sz w:val="19"/>
          <w:szCs w:val="19"/>
          <w:color w:val="auto"/>
        </w:rPr>
        <w:t>If the same transaction or event results in a Change in Control under this clause (v) and under one or more of clauses (i), (ii),</w:t>
      </w:r>
    </w:p>
    <w:p>
      <w:pPr>
        <w:spacing w:after="0" w:line="56" w:lineRule="exact"/>
        <w:rPr>
          <w:sz w:val="20"/>
          <w:szCs w:val="20"/>
          <w:color w:val="auto"/>
        </w:rPr>
      </w:pPr>
    </w:p>
    <w:p>
      <w:pPr>
        <w:ind w:left="332" w:right="440"/>
        <w:spacing w:after="0" w:line="246" w:lineRule="auto"/>
        <w:rPr>
          <w:sz w:val="20"/>
          <w:szCs w:val="20"/>
          <w:color w:val="auto"/>
        </w:rPr>
      </w:pPr>
      <w:r>
        <w:rPr>
          <w:rFonts w:ascii="Arial" w:cs="Arial" w:eastAsia="Arial" w:hAnsi="Arial"/>
          <w:sz w:val="22"/>
          <w:szCs w:val="22"/>
          <w:color w:val="auto"/>
        </w:rPr>
        <w:t>(iii) or (iv) of the definition of Change in Control, then such transaction or event shall be considered a Change in Control solely under such other clause or clauses and not under this clause (v).”</w:t>
      </w:r>
    </w:p>
    <w:p>
      <w:pPr>
        <w:spacing w:after="0" w:line="192" w:lineRule="exact"/>
        <w:rPr>
          <w:sz w:val="20"/>
          <w:szCs w:val="20"/>
          <w:color w:val="auto"/>
        </w:rPr>
      </w:pPr>
    </w:p>
    <w:p>
      <w:pPr>
        <w:ind w:left="332" w:right="20" w:hanging="332"/>
        <w:spacing w:after="0" w:line="253" w:lineRule="auto"/>
        <w:tabs>
          <w:tab w:leader="none" w:pos="33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definition of Change in Control for purposes of the 2019 PSU Award Agreement shall be modified by adding the entirety of the language included in Section 5 of this Letter Agreement as clause (v) et seq. thereof, except that the term “Measurement Date” as used in such language shall refer to December 31, 2019.</w:t>
      </w:r>
    </w:p>
    <w:p>
      <w:pPr>
        <w:spacing w:after="0" w:line="185" w:lineRule="exact"/>
        <w:rPr>
          <w:rFonts w:ascii="Arial" w:cs="Arial" w:eastAsia="Arial" w:hAnsi="Arial"/>
          <w:sz w:val="22"/>
          <w:szCs w:val="22"/>
          <w:color w:val="auto"/>
        </w:rPr>
      </w:pPr>
    </w:p>
    <w:p>
      <w:pPr>
        <w:ind w:left="332" w:right="120" w:hanging="332"/>
        <w:spacing w:after="0" w:line="263" w:lineRule="auto"/>
        <w:tabs>
          <w:tab w:leader="none" w:pos="332"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following provision is hereby added to the 2018 PSU Award Agreement and 2019 PSU Award Agreement as Section 19 thereof:</w:t>
      </w:r>
    </w:p>
    <w:p>
      <w:pPr>
        <w:spacing w:after="0" w:line="174" w:lineRule="exact"/>
        <w:rPr>
          <w:rFonts w:ascii="Arial" w:cs="Arial" w:eastAsia="Arial" w:hAnsi="Arial"/>
          <w:sz w:val="22"/>
          <w:szCs w:val="22"/>
          <w:color w:val="auto"/>
        </w:rPr>
      </w:pPr>
    </w:p>
    <w:p>
      <w:pPr>
        <w:ind w:left="332"/>
        <w:spacing w:after="0" w:line="263" w:lineRule="auto"/>
        <w:rPr>
          <w:rFonts w:ascii="Arial" w:cs="Arial" w:eastAsia="Arial" w:hAnsi="Arial"/>
          <w:sz w:val="22"/>
          <w:szCs w:val="22"/>
          <w:color w:val="auto"/>
        </w:rPr>
      </w:pPr>
      <w:r>
        <w:rPr>
          <w:rFonts w:ascii="Arial" w:cs="Arial" w:eastAsia="Arial" w:hAnsi="Arial"/>
          <w:sz w:val="22"/>
          <w:szCs w:val="22"/>
          <w:color w:val="auto"/>
        </w:rPr>
        <w:t xml:space="preserve">“Section 19. </w:t>
      </w:r>
      <w:r>
        <w:rPr>
          <w:rFonts w:ascii="Arial" w:cs="Arial" w:eastAsia="Arial" w:hAnsi="Arial"/>
          <w:sz w:val="22"/>
          <w:szCs w:val="22"/>
          <w:u w:val="single" w:color="auto"/>
          <w:color w:val="auto"/>
        </w:rPr>
        <w:t>Clawback of Specified Shares</w:t>
      </w:r>
      <w:r>
        <w:rPr>
          <w:rFonts w:ascii="Arial" w:cs="Arial" w:eastAsia="Arial" w:hAnsi="Arial"/>
          <w:sz w:val="22"/>
          <w:szCs w:val="22"/>
          <w:color w:val="auto"/>
        </w:rPr>
        <w:t>. Any Shares delivered pursuant to the portion of this Award that becomes vested solely as a result of the occurrence of a Change in Control</w:t>
      </w:r>
    </w:p>
    <w:p>
      <w:pPr>
        <w:sectPr>
          <w:pgSz w:w="11900" w:h="16838" w:orient="portrait"/>
          <w:cols w:equalWidth="0" w:num="1">
            <w:col w:w="11212"/>
          </w:cols>
          <w:pgMar w:left="328" w:top="1428" w:right="359" w:bottom="1440" w:gutter="0" w:footer="0" w:header="0"/>
        </w:sectPr>
      </w:pPr>
    </w:p>
    <w:bookmarkStart w:id="43" w:name="page44"/>
    <w:bookmarkEnd w:id="43"/>
    <w:p>
      <w:pPr>
        <w:ind w:left="340"/>
        <w:spacing w:after="0" w:line="283" w:lineRule="auto"/>
        <w:rPr>
          <w:sz w:val="20"/>
          <w:szCs w:val="20"/>
          <w:color w:val="auto"/>
        </w:rPr>
      </w:pPr>
      <w:r>
        <w:rPr>
          <w:rFonts w:ascii="Arial" w:cs="Arial" w:eastAsia="Arial" w:hAnsi="Arial"/>
          <w:sz w:val="19"/>
          <w:szCs w:val="19"/>
          <w:color w:val="auto"/>
        </w:rPr>
        <w:t>under clause (v) of the definition of Change in Control, net of Shares withheld to satisfy the applicable tax withholding, shall be referred to herein as the “</w:t>
      </w:r>
      <w:r>
        <w:rPr>
          <w:rFonts w:ascii="Arial" w:cs="Arial" w:eastAsia="Arial" w:hAnsi="Arial"/>
          <w:sz w:val="19"/>
          <w:szCs w:val="19"/>
          <w:u w:val="single" w:color="auto"/>
          <w:color w:val="auto"/>
        </w:rPr>
        <w:t>Specified Shares</w:t>
      </w:r>
      <w:r>
        <w:rPr>
          <w:rFonts w:ascii="Arial" w:cs="Arial" w:eastAsia="Arial" w:hAnsi="Arial"/>
          <w:sz w:val="19"/>
          <w:szCs w:val="19"/>
          <w:color w:val="auto"/>
        </w:rPr>
        <w:t>”. If, during the period commencing on and including the date of a Change in Control under clause (v) of the definition of the Change in Control and ending on and excluding the second anniversary of such date (such period, the “</w:t>
      </w:r>
      <w:r>
        <w:rPr>
          <w:rFonts w:ascii="Arial" w:cs="Arial" w:eastAsia="Arial" w:hAnsi="Arial"/>
          <w:sz w:val="19"/>
          <w:szCs w:val="19"/>
          <w:u w:val="single" w:color="auto"/>
          <w:color w:val="auto"/>
        </w:rPr>
        <w:t>Clawback Period</w:t>
      </w:r>
      <w:r>
        <w:rPr>
          <w:rFonts w:ascii="Arial" w:cs="Arial" w:eastAsia="Arial" w:hAnsi="Arial"/>
          <w:sz w:val="19"/>
          <w:szCs w:val="19"/>
          <w:color w:val="auto"/>
        </w:rPr>
        <w:t>”), you voluntarily terminate your employment for any reason or the Company involuntarily terminates your employment for Cause, then you shall remit 100% of the Specified Shares to the Company within seven days following your termination of employment. [For purposes of this Section 19, if at any time during the Clawback Period you cease to be an employee but continue to serve on the Board as a non-employee director, references to “employment” shall include your continued service as a non-employee director provided that (a) if you are removed from the Board without cause (as defined in your Employment Agreement dated July 31, 2020 excluding clauses (i) and (ii) thereof) or</w:t>
      </w:r>
    </w:p>
    <w:p>
      <w:pPr>
        <w:spacing w:after="0" w:line="8" w:lineRule="exact"/>
        <w:rPr>
          <w:sz w:val="20"/>
          <w:szCs w:val="20"/>
          <w:color w:val="auto"/>
        </w:rPr>
      </w:pPr>
    </w:p>
    <w:p>
      <w:pPr>
        <w:ind w:left="340" w:right="20" w:hanging="8"/>
        <w:spacing w:after="0" w:line="250" w:lineRule="auto"/>
        <w:tabs>
          <w:tab w:leader="none" w:pos="646" w:val="left"/>
        </w:tabs>
        <w:numPr>
          <w:ilvl w:val="1"/>
          <w:numId w:val="17"/>
        </w:numPr>
        <w:rPr>
          <w:rFonts w:ascii="Arial" w:cs="Arial" w:eastAsia="Arial" w:hAnsi="Arial"/>
          <w:sz w:val="22"/>
          <w:szCs w:val="22"/>
          <w:color w:val="auto"/>
        </w:rPr>
      </w:pPr>
      <w:r>
        <w:rPr>
          <w:rFonts w:ascii="Arial" w:cs="Arial" w:eastAsia="Arial" w:hAnsi="Arial"/>
          <w:sz w:val="22"/>
          <w:szCs w:val="22"/>
          <w:color w:val="auto"/>
        </w:rPr>
        <w:t>if you are not nominated for election to the Board or you are nominated for election but not re-elected to the Board, then the clawback imposed under this Section 19 and the lock-up imposed under Section 20 shall cease to apply immediately upon your cessation of service on the Board.”]</w:t>
      </w:r>
      <w:r>
        <w:rPr>
          <w:rFonts w:ascii="Arial" w:cs="Arial" w:eastAsia="Arial" w:hAnsi="Arial"/>
          <w:sz w:val="28"/>
          <w:szCs w:val="28"/>
          <w:color w:val="auto"/>
          <w:vertAlign w:val="superscript"/>
        </w:rPr>
        <w:t>2</w:t>
      </w:r>
    </w:p>
    <w:p>
      <w:pPr>
        <w:spacing w:after="0" w:line="105" w:lineRule="exact"/>
        <w:rPr>
          <w:rFonts w:ascii="Arial" w:cs="Arial" w:eastAsia="Arial" w:hAnsi="Arial"/>
          <w:sz w:val="22"/>
          <w:szCs w:val="22"/>
          <w:color w:val="auto"/>
        </w:rPr>
      </w:pPr>
    </w:p>
    <w:p>
      <w:pPr>
        <w:ind w:left="340" w:right="120" w:hanging="332"/>
        <w:spacing w:after="0" w:line="263" w:lineRule="auto"/>
        <w:tabs>
          <w:tab w:leader="none" w:pos="340"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following provision is hereby added to the 2018 PSU Award Agreement and 2019 PSU Award Agreement as Section 20 thereof:</w:t>
      </w:r>
    </w:p>
    <w:p>
      <w:pPr>
        <w:spacing w:after="0" w:line="174" w:lineRule="exact"/>
        <w:rPr>
          <w:rFonts w:ascii="Arial" w:cs="Arial" w:eastAsia="Arial" w:hAnsi="Arial"/>
          <w:sz w:val="22"/>
          <w:szCs w:val="22"/>
          <w:color w:val="auto"/>
        </w:rPr>
      </w:pPr>
    </w:p>
    <w:p>
      <w:pPr>
        <w:ind w:left="340" w:right="160"/>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“Section 20. </w:t>
      </w:r>
      <w:r>
        <w:rPr>
          <w:rFonts w:ascii="Arial" w:cs="Arial" w:eastAsia="Arial" w:hAnsi="Arial"/>
          <w:sz w:val="22"/>
          <w:szCs w:val="22"/>
          <w:u w:val="single" w:color="auto"/>
          <w:color w:val="auto"/>
        </w:rPr>
        <w:t>Lock-Up for Specified Shares</w:t>
      </w:r>
      <w:r>
        <w:rPr>
          <w:rFonts w:ascii="Arial" w:cs="Arial" w:eastAsia="Arial" w:hAnsi="Arial"/>
          <w:sz w:val="22"/>
          <w:szCs w:val="22"/>
          <w:color w:val="auto"/>
        </w:rPr>
        <w:t xml:space="preserve">. All Specified Shares shall be subject to a lock-up on sales, offers, pledges, contracts to sell, grants of any option, right or warrant to purchase, or other transfers or dispositions, whether directly or indirectly, for so long as the clawback provision set forth in Section 19 applies to such Specified Shares;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lock-up may be waived in the sole discretion of the Compensation Committee of the Board of Directors of the Company.</w:t>
      </w:r>
    </w:p>
    <w:p>
      <w:pPr>
        <w:spacing w:after="0" w:line="191" w:lineRule="exact"/>
        <w:rPr>
          <w:rFonts w:ascii="Arial" w:cs="Arial" w:eastAsia="Arial" w:hAnsi="Arial"/>
          <w:sz w:val="22"/>
          <w:szCs w:val="22"/>
          <w:color w:val="auto"/>
        </w:rPr>
      </w:pPr>
    </w:p>
    <w:p>
      <w:pPr>
        <w:ind w:left="340" w:hanging="332"/>
        <w:spacing w:after="0" w:line="261" w:lineRule="auto"/>
        <w:tabs>
          <w:tab w:leader="none" w:pos="3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[After you cease to be an employee of the Company, references to “employment” in the 2020 Cash Award Agreement shall refer to, if applicable, your continued service on the Board of Directors (the “</w:t>
      </w:r>
      <w:r>
        <w:rPr>
          <w:rFonts w:ascii="Arial" w:cs="Arial" w:eastAsia="Arial" w:hAnsi="Arial"/>
          <w:sz w:val="21"/>
          <w:szCs w:val="21"/>
          <w:u w:val="single" w:color="auto"/>
          <w:color w:val="auto"/>
        </w:rPr>
        <w:t>Board</w:t>
      </w:r>
      <w:r>
        <w:rPr>
          <w:rFonts w:ascii="Arial" w:cs="Arial" w:eastAsia="Arial" w:hAnsi="Arial"/>
          <w:sz w:val="21"/>
          <w:szCs w:val="21"/>
          <w:color w:val="auto"/>
        </w:rPr>
        <w:t>”) of the Company as a non-employee director; provided that, after you cease to be an employee of the Company, (i) if you are removed from the Board without cause (as defined in your Employment Agreement dated July 31, 2020 excluding clauses (i) and (ii) thereof) or (ii) if you are not nominated for election to the Board or you are nominated for election but not re-elected to the Board, your cessation of service on the Board shall be treated as a termination of employment without Cause by the Company for purposes of the 2020 Cash Award Agreement.]</w:t>
      </w:r>
      <w:r>
        <w:rPr>
          <w:rFonts w:ascii="Arial" w:cs="Arial" w:eastAsia="Arial" w:hAnsi="Arial"/>
          <w:sz w:val="27"/>
          <w:szCs w:val="27"/>
          <w:color w:val="auto"/>
          <w:vertAlign w:val="superscript"/>
        </w:rPr>
        <w:t>3</w:t>
      </w:r>
    </w:p>
    <w:p>
      <w:pPr>
        <w:spacing w:after="0" w:line="98" w:lineRule="exact"/>
        <w:rPr>
          <w:rFonts w:ascii="Arial" w:cs="Arial" w:eastAsia="Arial" w:hAnsi="Arial"/>
          <w:sz w:val="21"/>
          <w:szCs w:val="21"/>
          <w:color w:val="auto"/>
        </w:rPr>
      </w:pPr>
    </w:p>
    <w:p>
      <w:pPr>
        <w:ind w:left="340" w:right="160" w:hanging="332"/>
        <w:spacing w:after="0" w:line="265" w:lineRule="auto"/>
        <w:tabs>
          <w:tab w:leader="none" w:pos="340" w:val="left"/>
        </w:tabs>
        <w:numPr>
          <w:ilvl w:val="0"/>
          <w:numId w:val="18"/>
        </w:numPr>
        <w:rPr>
          <w:rFonts w:ascii="Arial" w:cs="Arial" w:eastAsia="Arial" w:hAnsi="Arial"/>
          <w:sz w:val="21"/>
          <w:szCs w:val="21"/>
          <w:color w:val="auto"/>
        </w:rPr>
      </w:pPr>
      <w:r>
        <w:rPr>
          <w:rFonts w:ascii="Arial" w:cs="Arial" w:eastAsia="Arial" w:hAnsi="Arial"/>
          <w:sz w:val="21"/>
          <w:szCs w:val="21"/>
          <w:color w:val="auto"/>
        </w:rPr>
        <w:t>Except as expressly modified by this Letter Agreement, the Award Agreements remain in full force and effect in accordance with their terms. This Letter Agreement shall be deemed to be made in the State of Delaware, and the validity, construction and effect of this Letter Agreement in all respects shall be determined in accordance with the laws of the State of Delaware, without giving effect to the conflict of law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1714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23" w:lineRule="exact"/>
        <w:rPr>
          <w:sz w:val="20"/>
          <w:szCs w:val="20"/>
          <w:color w:val="auto"/>
        </w:rPr>
      </w:pPr>
    </w:p>
    <w:p>
      <w:pPr>
        <w:ind w:left="120" w:hanging="112"/>
        <w:spacing w:after="0"/>
        <w:tabs>
          <w:tab w:leader="none" w:pos="120"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Include for Brad Jacobs only.</w:t>
      </w:r>
    </w:p>
    <w:p>
      <w:pPr>
        <w:spacing w:after="0" w:line="1" w:lineRule="exact"/>
        <w:rPr>
          <w:rFonts w:ascii="Arial" w:cs="Arial" w:eastAsia="Arial" w:hAnsi="Arial"/>
          <w:sz w:val="23"/>
          <w:szCs w:val="23"/>
          <w:color w:val="auto"/>
          <w:vertAlign w:val="superscript"/>
        </w:rPr>
      </w:pPr>
    </w:p>
    <w:p>
      <w:pPr>
        <w:spacing w:after="0"/>
        <w:rPr>
          <w:rFonts w:ascii="Arial" w:cs="Arial" w:eastAsia="Arial" w:hAnsi="Arial"/>
          <w:sz w:val="23"/>
          <w:szCs w:val="23"/>
          <w:color w:val="auto"/>
          <w:vertAlign w:val="superscript"/>
        </w:rPr>
      </w:pPr>
      <w:r>
        <w:rPr>
          <w:rFonts w:ascii="Arial" w:cs="Arial" w:eastAsia="Arial" w:hAnsi="Arial"/>
          <w:sz w:val="23"/>
          <w:szCs w:val="23"/>
          <w:color w:val="auto"/>
          <w:vertAlign w:val="superscript"/>
        </w:rPr>
        <w:t>3</w:t>
      </w:r>
      <w:r>
        <w:rPr>
          <w:rFonts w:ascii="Arial" w:cs="Arial" w:eastAsia="Arial" w:hAnsi="Arial"/>
          <w:sz w:val="18"/>
          <w:szCs w:val="18"/>
          <w:color w:val="auto"/>
        </w:rPr>
        <w:t xml:space="preserve"> Include for Brad Jacobs only.</w:t>
      </w:r>
    </w:p>
    <w:p>
      <w:pPr>
        <w:sectPr>
          <w:pgSz w:w="11900" w:h="16838" w:orient="portrait"/>
          <w:cols w:equalWidth="0" w:num="1">
            <w:col w:w="11220"/>
          </w:cols>
          <w:pgMar w:left="320" w:top="1428" w:right="359" w:bottom="1440" w:gutter="0" w:footer="0" w:header="0"/>
        </w:sectPr>
      </w:pPr>
    </w:p>
    <w:bookmarkStart w:id="44" w:name="page45"/>
    <w:bookmarkEnd w:id="44"/>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ectPr>
          <w:pgSz w:w="11900" w:h="16838" w:orient="portrait"/>
          <w:cols w:equalWidth="0" w:num="1">
            <w:col w:w="9019"/>
          </w:cols>
          <w:pgMar w:left="1440" w:top="1440" w:right="1440" w:bottom="1440" w:gutter="0" w:footer="0" w:header="0"/>
        </w:sectPr>
      </w:pPr>
    </w:p>
    <w:bookmarkStart w:id="45" w:name="page46"/>
    <w:bookmarkEnd w:id="45"/>
    <w:p>
      <w:pPr>
        <w:spacing w:after="0"/>
        <w:rPr>
          <w:sz w:val="20"/>
          <w:szCs w:val="20"/>
          <w:color w:val="auto"/>
        </w:rPr>
      </w:pPr>
      <w:r>
        <w:rPr>
          <w:rFonts w:ascii="Arial" w:cs="Arial" w:eastAsia="Arial" w:hAnsi="Arial"/>
          <w:sz w:val="19"/>
          <w:szCs w:val="19"/>
          <w:color w:val="auto"/>
        </w:rPr>
        <w:t>IN WITNESS WHEREOF, the undersigned parties have executed this Letter Agreement as of the date first written above.</w:t>
      </w:r>
    </w:p>
    <w:p>
      <w:pPr>
        <w:spacing w:after="0" w:line="254"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XPO LOGISTICS, INC.</w:t>
      </w:r>
    </w:p>
    <w:p>
      <w:pPr>
        <w:spacing w:after="0" w:line="220" w:lineRule="exact"/>
        <w:rPr>
          <w:sz w:val="20"/>
          <w:szCs w:val="20"/>
          <w:color w:val="auto"/>
        </w:rPr>
      </w:pPr>
    </w:p>
    <w:p>
      <w:pPr>
        <w:ind w:left="1520"/>
        <w:spacing w:after="0"/>
        <w:tabs>
          <w:tab w:leader="none" w:pos="2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___________________________</w:t>
      </w:r>
    </w:p>
    <w:p>
      <w:pPr>
        <w:spacing w:after="0" w:line="220" w:lineRule="exact"/>
        <w:rPr>
          <w:sz w:val="20"/>
          <w:szCs w:val="20"/>
          <w:color w:val="auto"/>
        </w:rPr>
      </w:pPr>
    </w:p>
    <w:p>
      <w:pPr>
        <w:ind w:left="1520"/>
        <w:spacing w:after="0"/>
        <w:tabs>
          <w:tab w:leader="none" w:pos="230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___________________________</w:t>
      </w:r>
    </w:p>
    <w:p>
      <w:pPr>
        <w:spacing w:after="0" w:line="220" w:lineRule="exact"/>
        <w:rPr>
          <w:sz w:val="20"/>
          <w:szCs w:val="20"/>
          <w:color w:val="auto"/>
        </w:rPr>
      </w:pPr>
    </w:p>
    <w:p>
      <w:pPr>
        <w:ind w:left="1520"/>
        <w:spacing w:after="0"/>
        <w:tabs>
          <w:tab w:leader="none" w:pos="218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Agreed to and Accepted: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_________________________</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[Name]</w:t>
      </w:r>
    </w:p>
    <w:p>
      <w:pPr>
        <w:sectPr>
          <w:pgSz w:w="11900" w:h="16838" w:orient="portrait"/>
          <w:cols w:equalWidth="0" w:num="1">
            <w:col w:w="10540"/>
          </w:cols>
          <w:pgMar w:left="320" w:top="1428" w:right="10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Brad Jacobs, certify that:</w:t>
      </w:r>
    </w:p>
    <w:p>
      <w:pPr>
        <w:spacing w:after="0" w:line="117" w:lineRule="exact"/>
        <w:rPr>
          <w:sz w:val="20"/>
          <w:szCs w:val="20"/>
          <w:color w:val="auto"/>
        </w:rPr>
      </w:pPr>
    </w:p>
    <w:p>
      <w:pPr>
        <w:ind w:left="640" w:hanging="187"/>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2021</w:t>
      </w:r>
    </w:p>
    <w:p>
      <w:pPr>
        <w:sectPr>
          <w:pgSz w:w="11900" w:h="16838" w:orient="portrait"/>
          <w:cols w:equalWidth="0" w:num="1">
            <w:col w:w="11240"/>
          </w:cols>
          <w:pgMar w:left="320" w:top="141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David Wyshner, certify that:</w:t>
      </w:r>
    </w:p>
    <w:p>
      <w:pPr>
        <w:spacing w:after="0" w:line="117" w:lineRule="exact"/>
        <w:rPr>
          <w:sz w:val="20"/>
          <w:szCs w:val="20"/>
          <w:color w:val="auto"/>
        </w:rPr>
      </w:pPr>
    </w:p>
    <w:p>
      <w:pPr>
        <w:ind w:left="640" w:hanging="187"/>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2021 of XPO Logistics, Inc.;</w:t>
      </w:r>
    </w:p>
    <w:p>
      <w:pPr>
        <w:spacing w:after="0" w:line="117" w:lineRule="exact"/>
        <w:rPr>
          <w:rFonts w:ascii="Arial" w:cs="Arial" w:eastAsia="Arial" w:hAnsi="Arial"/>
          <w:sz w:val="18"/>
          <w:szCs w:val="18"/>
          <w:color w:val="auto"/>
        </w:rPr>
      </w:pPr>
    </w:p>
    <w:p>
      <w:pPr>
        <w:ind w:right="140" w:firstLine="453"/>
        <w:spacing w:after="0" w:line="342" w:lineRule="auto"/>
        <w:tabs>
          <w:tab w:leader="none" w:pos="625"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100" w:firstLine="453"/>
        <w:spacing w:after="0" w:line="277" w:lineRule="auto"/>
        <w:tabs>
          <w:tab w:leader="none" w:pos="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right="80" w:firstLine="453"/>
        <w:spacing w:after="0" w:line="263" w:lineRule="auto"/>
        <w:tabs>
          <w:tab w:leader="none" w:pos="62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right="80" w:firstLine="899"/>
        <w:spacing w:after="0" w:line="263" w:lineRule="auto"/>
        <w:tabs>
          <w:tab w:leader="none" w:pos="113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right="40" w:firstLine="899"/>
        <w:spacing w:after="0" w:line="263" w:lineRule="auto"/>
        <w:tabs>
          <w:tab w:leader="none" w:pos="11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right="400" w:firstLine="899"/>
        <w:spacing w:after="0" w:line="342" w:lineRule="auto"/>
        <w:tabs>
          <w:tab w:leader="none" w:pos="1136"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right="240" w:firstLine="899"/>
        <w:spacing w:after="0" w:line="263" w:lineRule="auto"/>
        <w:tabs>
          <w:tab w:leader="none" w:pos="11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right="100" w:firstLine="453"/>
        <w:spacing w:after="0" w:line="308" w:lineRule="auto"/>
        <w:tabs>
          <w:tab w:leader="none" w:pos="625"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620" w:firstLine="899"/>
        <w:spacing w:after="0" w:line="308" w:lineRule="auto"/>
        <w:tabs>
          <w:tab w:leader="none" w:pos="1136" w:val="left"/>
        </w:tabs>
        <w:numPr>
          <w:ilvl w:val="1"/>
          <w:numId w:val="2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00" w:firstLine="899"/>
        <w:spacing w:after="0" w:line="277" w:lineRule="auto"/>
        <w:tabs>
          <w:tab w:leader="none" w:pos="1146"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4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Wyshner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2021</w:t>
      </w:r>
    </w:p>
    <w:p>
      <w:pPr>
        <w:sectPr>
          <w:pgSz w:w="11900" w:h="16838" w:orient="portrait"/>
          <w:cols w:equalWidth="0" w:num="1">
            <w:col w:w="11240"/>
          </w:cols>
          <w:pgMar w:left="320" w:top="141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16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Executive Officer of XPO Logistics, Inc. (the “Company”), hereby certify, based on my knowledge, that the Quarterly Report on Form 10-Q of the Company for the quarter ended June 30,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Brad Jacobs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55460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Brad Jacobs</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2021</w:t>
      </w:r>
    </w:p>
    <w:p>
      <w:pPr>
        <w:sectPr>
          <w:pgSz w:w="11900" w:h="16838" w:orient="portrait"/>
          <w:cols w:equalWidth="0" w:num="1">
            <w:col w:w="11240"/>
          </w:cols>
          <w:pgMar w:left="320" w:top="141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right="200" w:firstLine="445"/>
        <w:spacing w:after="0" w:line="257" w:lineRule="auto"/>
        <w:rPr>
          <w:sz w:val="20"/>
          <w:szCs w:val="20"/>
          <w:color w:val="auto"/>
        </w:rPr>
      </w:pPr>
      <w:r>
        <w:rPr>
          <w:rFonts w:ascii="Arial" w:cs="Arial" w:eastAsia="Arial" w:hAnsi="Arial"/>
          <w:sz w:val="18"/>
          <w:szCs w:val="18"/>
          <w:color w:val="auto"/>
        </w:rPr>
        <w:t>Solely for the purposes of complying with 18 U.S.C. Section 1350 as adopted pursuant to Section 906 of the Sarbanes-Oxley Act of 2002, I, the undersigned Chief Financial Officer of XPO Logistics, Inc. (the “Company”), hereby certify, based on my knowledge, that the Quarterly Report on Form 10-Q of the Company for the quarter ended June 30, 2021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71"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David Wyshner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Wyshner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4, 2021</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2"/>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bullet"/>
      <w:start w:val="1"/>
    </w:lvl>
  </w:abstractNum>
  <w:abstractNum w:abstractNumId="9">
    <w:nsid w:val="41A7C4C9"/>
    <w:multiLevelType w:val="hybridMultilevel"/>
    <w:lvl w:ilvl="0">
      <w:lvlJc w:val="left"/>
      <w:lvlText w:val="%1."/>
      <w:numFmt w:val="decimal"/>
      <w:start w:val="3"/>
    </w:lvl>
  </w:abstractNum>
  <w:abstractNum w:abstractNumId="10">
    <w:nsid w:val="6B68079A"/>
    <w:multiLevelType w:val="hybridMultilevel"/>
    <w:lvl w:ilvl="0">
      <w:lvlJc w:val="left"/>
      <w:lvlText w:val="%1."/>
      <w:numFmt w:val="lowerRoman"/>
      <w:start w:val="2"/>
    </w:lvl>
    <w:lvl w:ilvl="1">
      <w:lvlJc w:val="left"/>
      <w:lvlText w:val="*"/>
      <w:numFmt w:val="bullet"/>
      <w:start w:val="1"/>
    </w:lvl>
  </w:abstractNum>
  <w:abstractNum w:abstractNumId="11">
    <w:nsid w:val="4E6AFB66"/>
    <w:multiLevelType w:val="hybridMultilevel"/>
    <w:lvl w:ilvl="0">
      <w:lvlJc w:val="left"/>
      <w:lvlText w:val="%1."/>
      <w:numFmt w:val="lowerRoman"/>
      <w:start w:val="3"/>
    </w:lvl>
    <w:lvl w:ilvl="1">
      <w:lvlJc w:val="left"/>
      <w:lvlText w:val="*"/>
      <w:numFmt w:val="bullet"/>
      <w:start w:val="1"/>
    </w:lvl>
  </w:abstractNum>
  <w:abstractNum w:abstractNumId="12">
    <w:nsid w:val="25E45D32"/>
    <w:multiLevelType w:val="hybridMultilevel"/>
    <w:lvl w:ilvl="0">
      <w:lvlJc w:val="left"/>
      <w:lvlText w:val="%1."/>
      <w:numFmt w:val="decimal"/>
      <w:start w:val="3"/>
    </w:lvl>
    <w:lvl w:ilvl="1">
      <w:lvlJc w:val="left"/>
      <w:lvlText w:val="*"/>
      <w:numFmt w:val="bullet"/>
      <w:start w:val="1"/>
    </w:lvl>
  </w:abstractNum>
  <w:abstractNum w:abstractNumId="13">
    <w:nsid w:val="519B500D"/>
    <w:multiLevelType w:val="hybridMultilevel"/>
    <w:lvl w:ilvl="0">
      <w:lvlJc w:val="left"/>
      <w:lvlText w:val="%1."/>
      <w:numFmt w:val="decimal"/>
      <w:start w:val="5"/>
    </w:lvl>
  </w:abstractNum>
  <w:abstractNum w:abstractNumId="14">
    <w:nsid w:val="431BD7B7"/>
    <w:multiLevelType w:val="hybridMultilevel"/>
    <w:lvl w:ilvl="0">
      <w:lvlJc w:val="left"/>
      <w:lvlText w:val="(%1)"/>
      <w:numFmt w:val="upperLetter"/>
      <w:start w:val="1"/>
    </w:lvl>
  </w:abstractNum>
  <w:abstractNum w:abstractNumId="15">
    <w:nsid w:val="3F2DBA31"/>
    <w:multiLevelType w:val="hybridMultilevel"/>
    <w:lvl w:ilvl="0">
      <w:lvlJc w:val="left"/>
      <w:lvlText w:val="%1."/>
      <w:numFmt w:val="decimal"/>
      <w:start w:val="6"/>
    </w:lvl>
  </w:abstractNum>
  <w:abstractNum w:abstractNumId="16">
    <w:nsid w:val="7C83E458"/>
    <w:multiLevelType w:val="hybridMultilevel"/>
    <w:lvl w:ilvl="0">
      <w:lvlJc w:val="left"/>
      <w:lvlText w:val="%1"/>
      <w:numFmt w:val="decimal"/>
      <w:start w:val="1"/>
    </w:lvl>
    <w:lvl w:ilvl="1">
      <w:lvlJc w:val="left"/>
      <w:lvlText w:val="(%2)"/>
      <w:numFmt w:val="lowerLetter"/>
      <w:start w:val="2"/>
    </w:lvl>
  </w:abstractNum>
  <w:abstractNum w:abstractNumId="17">
    <w:nsid w:val="257130A3"/>
    <w:multiLevelType w:val="hybridMultilevel"/>
    <w:lvl w:ilvl="0">
      <w:lvlJc w:val="left"/>
      <w:lvlText w:val="%1."/>
      <w:numFmt w:val="decimal"/>
      <w:start w:val="8"/>
    </w:lvl>
    <w:lvl w:ilvl="1">
      <w:lvlJc w:val="left"/>
      <w:lvlText w:val="%2"/>
      <w:numFmt w:val="lowerLetter"/>
      <w:start w:val="1"/>
    </w:lvl>
  </w:abstractNum>
  <w:abstractNum w:abstractNumId="18">
    <w:nsid w:val="62BBD95A"/>
    <w:multiLevelType w:val="hybridMultilevel"/>
    <w:lvl w:ilvl="0">
      <w:lvlJc w:val="left"/>
      <w:lvlText w:val="2"/>
      <w:numFmt w:val="bullet"/>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48" Type="http://schemas.openxmlformats.org/officeDocument/2006/relationships/hyperlink" Target="https://www.sec.gov/Archives/edgar/data/1166003/000110465921084705/tm212044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2021-08-04T16:03:15Z</dcterms:created>
  <dcterms:modified xsi:type="dcterms:W3CDTF">2021-08-04T16:03:15Z</dcterms:modified>
</cp:coreProperties>
</file>