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XPO,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754" w:right="49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001-32172</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03-0450326</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40" w:space="720"/>
            <w:col w:w="3440" w:space="720"/>
            <w:col w:w="2360"/>
          </w:cols>
          <w:pgMar w:left="320" w:top="754" w:right="499" w:bottom="1440" w:gutter="0" w:footer="0" w:header="0"/>
          <w:type w:val="continuous"/>
        </w:sectPr>
      </w:pP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Five American Lane, Greenwich, Connecticut 06831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(855) 976-6951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ectPr>
          <w:pgSz w:w="11900" w:h="16838" w:orient="portrait"/>
          <w:cols w:equalWidth="0" w:num="1">
            <w:col w:w="11080"/>
          </w:cols>
          <w:pgMar w:left="320" w:top="754" w:right="499" w:bottom="1440" w:gutter="0" w:footer="0" w:header="0"/>
          <w:type w:val="continuous"/>
        </w:sectPr>
      </w:pPr>
    </w:p>
    <w:p>
      <w:pPr>
        <w:spacing w:after="0" w:line="21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324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12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XPO</w:t>
            </w:r>
          </w:p>
        </w:tc>
        <w:tc>
          <w:tcPr>
            <w:tcW w:w="4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annual meeting of stockholders (the “2026 Annual Meeting”) of XPO, Inc. (the “Company”) was held on May 19, 2026.</w:t>
      </w:r>
    </w:p>
    <w:p>
      <w:pPr>
        <w:spacing w:after="0" w:line="225" w:lineRule="exact"/>
        <w:rPr>
          <w:rFonts w:ascii="Times New Roman" w:cs="Times New Roman" w:eastAsia="Times New Roman" w:hAnsi="Times New Roman"/>
          <w:sz w:val="18"/>
          <w:szCs w:val="18"/>
          <w:color w:val="auto"/>
        </w:rPr>
      </w:pPr>
    </w:p>
    <w:p>
      <w:pPr>
        <w:ind w:right="80" w:firstLine="8"/>
        <w:spacing w:after="0" w:line="261" w:lineRule="auto"/>
        <w:tabs>
          <w:tab w:leader="none" w:pos="5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2026 Annual Meeting, the stockholders considered each of the proposals presented in the Company’s definitive proxy statement on Schedule 14A (the “Proxy Statement”) for the 2026 Annual Meeting and voted to (1) elect each of the Company’s nominees for director; (2) ratify the appointment of KPMG LLP as the Company’s independent registered public accounting firm for fiscal year 2026; and (3) approve the advisory vote on the Company’s executive compensation. The proposals are further described in the Proxy Statement.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5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Election of directors: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09"/>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Mario Harik</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105,394,515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1,268,198</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Bella Allaire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105,579,915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1,093,228</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31,045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4,266,348</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Wes Frye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105,911,942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761,635</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30,611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4,266,348</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 Jesselson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105,326,752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1,335,993</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41,443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4,266,348</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Allison Landry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106,563,698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109,533</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30,957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4,266,348</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Irene Moshouris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106,423,904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232,068</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48,216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4,266,348</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Johnny C. Taylor, Jr.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33333"/>
              </w:rPr>
              <w:t>105,806,915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33333"/>
              </w:rPr>
              <w:t>865,806</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31,467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4,266,348</w:t>
            </w:r>
          </w:p>
        </w:tc>
      </w:tr>
    </w:tbl>
    <w:p>
      <w:pPr>
        <w:spacing w:after="0" w:line="19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KPMG LLP as the Company’s independent registered public accounting firm for fiscal year 2026:</w:t>
      </w:r>
    </w:p>
    <w:p>
      <w:pPr>
        <w:spacing w:after="0" w:line="24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 For</w:t>
            </w:r>
          </w:p>
        </w:tc>
        <w:tc>
          <w:tcPr>
            <w:tcW w:w="4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110,661,351</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Votes Against</w:t>
            </w:r>
          </w:p>
        </w:tc>
        <w:tc>
          <w:tcPr>
            <w:tcW w:w="4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252,095</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Abstentions</w:t>
            </w:r>
          </w:p>
        </w:tc>
        <w:tc>
          <w:tcPr>
            <w:tcW w:w="4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57,090</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4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executive compensation: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 For</w:t>
            </w:r>
          </w:p>
        </w:tc>
        <w:tc>
          <w:tcPr>
            <w:tcW w:w="4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105,514,627</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Votes Against</w:t>
            </w:r>
          </w:p>
        </w:tc>
        <w:tc>
          <w:tcPr>
            <w:tcW w:w="4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1,094,492</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Abstentions</w:t>
            </w:r>
          </w:p>
        </w:tc>
        <w:tc>
          <w:tcPr>
            <w:tcW w:w="4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c>
          <w:tcPr>
            <w:tcW w:w="8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4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4,266,348</w:t>
            </w:r>
          </w:p>
        </w:tc>
        <w:tc>
          <w:tcPr>
            <w:tcW w:w="840" w:type="dxa"/>
            <w:vAlign w:val="bottom"/>
          </w:tcPr>
          <w:p>
            <w:pPr>
              <w:spacing w:after="0"/>
              <w:rPr>
                <w:sz w:val="20"/>
                <w:szCs w:val="20"/>
                <w:color w:val="auto"/>
              </w:rPr>
            </w:pPr>
          </w:p>
        </w:tc>
      </w:tr>
      <w:tr>
        <w:trPr>
          <w:trHeight w:val="657"/>
        </w:trPr>
        <w:tc>
          <w:tcPr>
            <w:tcW w:w="8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7"/>
          <w:szCs w:val="17"/>
          <w:color w:val="auto"/>
        </w:rPr>
        <w:t>XPO,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Wendy Cassity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Wendy Cassity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2026-05-19T15:39:27Z</dcterms:created>
  <dcterms:modified xsi:type="dcterms:W3CDTF">2026-05-19T15:39:27Z</dcterms:modified>
</cp:coreProperties>
</file>