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7.jpeg" ContentType="image/jpeg"/>
  <Override PartName="/word/media/image4.jpeg" ContentType="image/jpeg"/>
  <Override PartName="/word/media/image31.jpeg" ContentType="image/jpeg"/>
  <Override PartName="/word/media/image25.jpeg" ContentType="image/jpeg"/>
  <Override PartName="/word/media/image26.jpeg" ContentType="image/jpeg"/>
  <Override PartName="/word/media/image5.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30.jpeg" ContentType="image/jpeg"/>
  <Override PartName="/word/media/image3.jpeg" ContentType="image/jpeg"/>
  <Override PartName="/word/media/image24.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9.gif" ContentType="image/gif"/>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1.jpeg" ContentType="image/jpeg"/>
  <Override PartName="/word/media/image6.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470-2_def14a.htm"/>
        <w:bookmarkStart w:id="1" w:name="kstm252470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00" w:after="283"/>
        <w:jc w:val="center"/>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 xml:space="preserve">UNITED STATES </w:t>
        <w:br/>
        <w:t xml:space="preserve">SECURITIES AND EXCHANGE COMMISSION </w:t>
        <w:br/>
        <w:t>Washington, D.C. 20549</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320" w:before="160" w:after="283"/>
        <w:jc w:val="center"/>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3"/>
          <w:sz w:val="28"/>
        </w:rPr>
        <w:t>SCHEDULE 14A</w:t>
      </w:r>
      <w:r>
        <w:rPr>
          <w:rFonts w:ascii="Helvetica;Arial Narrow;sans-serif" w:hAnsi="Helvetica;Arial Narrow;sans-serif"/>
          <w:b/>
          <w:i w:val="false"/>
          <w:caps w:val="false"/>
          <w:smallCaps w:val="false"/>
          <w:color w:val="000000"/>
          <w:spacing w:val="6"/>
          <w:sz w:val="28"/>
        </w:rPr>
        <w:t xml:space="preserve"> </w:t>
      </w:r>
    </w:p>
    <w:p>
      <w:pPr>
        <w:pStyle w:val="TextBody"/>
        <w:bidi w:val="0"/>
        <w:spacing w:lineRule="atLeast" w:line="240" w:before="120" w:after="283"/>
        <w:jc w:val="center"/>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 xml:space="preserve">Proxy Statement Pursuant to Section 14(a) </w:t>
        <w:br/>
        <w:t>of the Securities Exchange Act of 1934</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Filed by the Registrant ☒</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Filed by a Party other than the Registrant ☐</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Check the appropriate box:</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Preliminary Proxy Statement</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Confidential, for Use of the Commission Only (as permitted by Rule 14a-6(e)(2))</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Definitive Proxy Statement</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Definitive Additional Materials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Soliciting Material under §240.14a-12 </w:t>
      </w:r>
      <w:r>
        <mc:AlternateContent>
          <mc:Choice Requires="wps">
            <w:drawing>
              <wp:anchor behindDoc="0" distT="10160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400" w:before="160" w:after="283"/>
        <w:jc w:val="center"/>
        <w:rPr>
          <w:rFonts w:ascii="Helvetica;Arial Narrow;sans-serif" w:hAnsi="Helvetica;Arial Narrow;sans-serif"/>
          <w:b/>
          <w:i w:val="false"/>
          <w:caps w:val="false"/>
          <w:smallCaps w:val="false"/>
          <w:color w:val="000000"/>
          <w:spacing w:val="-4"/>
          <w:sz w:val="36"/>
        </w:rPr>
      </w:pPr>
      <w:r>
        <w:rPr>
          <w:rFonts w:ascii="Helvetica;Arial Narrow;sans-serif" w:hAnsi="Helvetica;Arial Narrow;sans-serif"/>
          <w:b/>
          <w:i w:val="false"/>
          <w:caps w:val="false"/>
          <w:smallCaps w:val="false"/>
          <w:color w:val="000000"/>
          <w:spacing w:val="-4"/>
          <w:sz w:val="36"/>
        </w:rPr>
        <w:t xml:space="preserve">XPO, INC. </w:t>
      </w:r>
    </w:p>
    <w:p>
      <w:pPr>
        <w:pStyle w:val="TextBody"/>
        <w:bidi w:val="0"/>
        <w:spacing w:lineRule="atLeast" w:line="200" w:before="0" w:after="283"/>
        <w:jc w:val="center"/>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(Name of Registrant as Specified In Its Charter) </w:t>
      </w:r>
    </w:p>
    <w:p>
      <w:pPr>
        <w:pStyle w:val="TextBody"/>
        <w:bidi w:val="0"/>
        <w:spacing w:lineRule="atLeast" w:line="240" w:before="160" w:after="283"/>
        <w:jc w:val="center"/>
        <w:rPr>
          <w:caps w:val="false"/>
          <w:smallCaps w:val="false"/>
          <w:color w:val="000000"/>
        </w:rPr>
      </w:pPr>
      <w:r>
        <w:rPr>
          <w:caps w:val="false"/>
          <w:smallCaps w:val="false"/>
          <w:color w:val="000000"/>
          <w:spacing w:val="-2"/>
        </w:rPr>
        <w:t xml:space="preserve">    </w:t>
      </w:r>
      <w:r>
        <w:rPr>
          <w:rFonts w:ascii="Helvetica;Arial Narrow;sans-serif" w:hAnsi="Helvetica;Arial Narrow;sans-serif"/>
          <w:b w:val="false"/>
          <w:i w:val="false"/>
          <w:caps w:val="false"/>
          <w:smallCaps w:val="false"/>
          <w:color w:val="000000"/>
          <w:spacing w:val="-2"/>
          <w:sz w:val="20"/>
        </w:rPr>
        <w:br/>
        <w:t xml:space="preserve">N/A </w:t>
        <w:br/>
        <w:t>(Name of Person(s) Filing Proxy Statement, if other than the Registrant)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Payment of Filing Fee (Check the appropriate box):</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No fee required.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Fee paid previously with preliminary materials.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Fee computed on table in exhibit required by Item 25(b) per Exchange Act Rules 14a6(i)(1) and 0-11</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2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before="140" w:after="283"/>
        <w:ind w:left="920" w:right="0" w:hanging="0"/>
        <w:jc w:val="left"/>
        <w:rPr>
          <w:caps w:val="false"/>
          <w:smallCaps w:val="false"/>
          <w:color w:val="000000"/>
        </w:rPr>
      </w:pPr>
      <w:r>
        <w:rPr>
          <w:caps w:val="false"/>
          <w:smallCaps w:val="false"/>
          <w:color w:val="000000"/>
        </w:rPr>
        <w:drawing>
          <wp:inline distT="0" distB="0" distL="0" distR="0">
            <wp:extent cx="914400" cy="3238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914400" cy="323850"/>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250" w:after="283"/>
        <w:jc w:val="left"/>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 xml:space="preserve">XPO, INC. </w:t>
        <w:br/>
        <w:t xml:space="preserve">Five American Lane </w:t>
        <w:br/>
        <w:t>Greenwich, Connecticut 06831</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NOTICE OF ANNUAL MEETING OF STOCKHOLDERS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To Be Held on May 15, 2025</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10" w:before="240" w:after="283"/>
        <w:jc w:val="both"/>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To the Stockholders of XPO:</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Notice is hereby given that the 2025 Annual Meeting of Stockholders (the “Annual Meeting”) of XPO, Inc. (“XPO” or the “company”) will be held on Thursday, May 15, 2025, at 10:00 a.m. Eastern Time. The Annual Meeting will be conducted exclusively as a live webcast. You can access the Annual Meeting at </w:t>
      </w:r>
      <w:r>
        <w:rPr>
          <w:rFonts w:ascii="Helvetica;Arial Narrow;sans-serif" w:hAnsi="Helvetica;Arial Narrow;sans-serif"/>
          <w:b w:val="false"/>
          <w:i w:val="false"/>
          <w:caps w:val="false"/>
          <w:smallCaps w:val="false"/>
          <w:color w:val="000000"/>
          <w:spacing w:val="-2"/>
          <w:sz w:val="18"/>
          <w:u w:val="single"/>
        </w:rPr>
        <w:t>meetnow.global/M6DAT65</w:t>
      </w:r>
      <w:r>
        <w:rPr>
          <w:rFonts w:ascii="Helvetica;Arial Narrow;sans-serif" w:hAnsi="Helvetica;Arial Narrow;sans-serif"/>
          <w:b w:val="false"/>
          <w:i w:val="false"/>
          <w:caps w:val="false"/>
          <w:smallCaps w:val="false"/>
          <w:color w:val="000000"/>
          <w:spacing w:val="-2"/>
          <w:sz w:val="18"/>
        </w:rPr>
        <w:t xml:space="preserve"> with the unique control number that will be sent to you.</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Annual Meeting shall be held for the following purposes summarized below and more fully described in the Proxy Statement accompanying this notice: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1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To elect eight members of our Board of Directors for a term to expire at the 2026 Annual Meeting of Stockholders or until their successors are duly qualified and elected;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9850" distB="0" distL="0" distR="0" simplePos="0" locked="0" layoutInCell="1" allowOverlap="1" relativeHeight="138">
                <wp:simplePos x="0" y="0"/>
                <wp:positionH relativeFrom="column">
                  <wp:align>left</wp:align>
                </wp:positionH>
                <wp:positionV relativeFrom="line">
                  <wp:align>top</wp:align>
                </wp:positionV>
                <wp:extent cx="127000" cy="52578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To ratify the appointment of KPMG LLP as our independent registered public accounting firm for fiscal year 2025;</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139">
                <wp:simplePos x="0" y="0"/>
                <wp:positionH relativeFrom="column">
                  <wp:align>left</wp:align>
                </wp:positionH>
                <wp:positionV relativeFrom="line">
                  <wp:align>top</wp:align>
                </wp:positionV>
                <wp:extent cx="127000" cy="52578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To conduct an advisory vote to approve the executive compensation of our named executive officers, as disclosed in the Proxy Statement;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140">
                <wp:simplePos x="0" y="0"/>
                <wp:positionH relativeFrom="column">
                  <wp:align>left</wp:align>
                </wp:positionH>
                <wp:positionV relativeFrom="line">
                  <wp:align>top</wp:align>
                </wp:positionV>
                <wp:extent cx="127000" cy="52578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To consider and transact other business as may properly come before the Annual Meeting or any adjournment or postponement thereof.</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141">
                <wp:simplePos x="0" y="0"/>
                <wp:positionH relativeFrom="column">
                  <wp:align>left</wp:align>
                </wp:positionH>
                <wp:positionV relativeFrom="line">
                  <wp:align>top</wp:align>
                </wp:positionV>
                <wp:extent cx="127000" cy="52578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Please note that we are furnishing proxy materials and access to our Proxy Statement to our stockholders electronically, and only mailing printed copies upon request. Beginning on or about April 2, 2025, we will distribute to our stockholders a Notice of Internet Availability of Proxy Materials (the “Notice”), which contains instructions on how to access our proxy materials and vote online, as well as instructions on how to request a printed copy of our Proxy Statement and Annual Report on Form 10-K for the year ended December 31, 2024 (the “2024 Form 10-K”). Stockholders who have communicated a preference for printed documents prior to the distribution of the Notice will not receive the Notice, and instead will receive printed documents by mail.</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Only stockholders of record of XPO common stock as of the close of business on March 25, 2025, are entitled to receive notice of, and to vote at, the Annual Meeting or any adjournment or postponement of the Annual Meeting. A complete list of registered stockholders will be available under the “Documents” tab on your screen during the Annual Meeting.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Your vote is important. Whether or not you plan to attend the Annual Meeting, it is important that your shares be represented. We ask that you vote your shares as soon as possible.</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10" w:before="24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By order of the Board of Directors,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before="150" w:after="283"/>
        <w:jc w:val="left"/>
        <w:rPr>
          <w:caps w:val="false"/>
          <w:smallCaps w:val="false"/>
          <w:color w:val="000000"/>
        </w:rPr>
      </w:pPr>
      <w:r>
        <w:rPr>
          <w:caps w:val="false"/>
          <w:smallCaps w:val="false"/>
          <w:color w:val="000000"/>
        </w:rPr>
        <w:drawing>
          <wp:inline distT="0" distB="0" distL="0" distR="0">
            <wp:extent cx="1285875" cy="49530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1285875" cy="495300"/>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210" w:after="283"/>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Brad Jacobs</w:t>
      </w:r>
      <w:r>
        <w:rPr>
          <w:rFonts w:ascii="Helvetica;Arial Narrow;sans-serif" w:hAnsi="Helvetica;Arial Narrow;sans-serif"/>
          <w:b w:val="false"/>
          <w:i w:val="false"/>
          <w:caps w:val="false"/>
          <w:smallCaps w:val="false"/>
          <w:color w:val="000000"/>
          <w:sz w:val="18"/>
        </w:rPr>
        <w:t xml:space="preserve"> </w:t>
        <w:br/>
      </w:r>
      <w:r>
        <w:rPr>
          <w:rFonts w:ascii="Helvetica;Arial Narrow;sans-serif" w:hAnsi="Helvetica;Arial Narrow;sans-serif"/>
          <w:b w:val="false"/>
          <w:i/>
          <w:caps w:val="false"/>
          <w:smallCaps w:val="false"/>
          <w:color w:val="000000"/>
          <w:sz w:val="18"/>
        </w:rPr>
        <w:t>Executive Chairman</w:t>
      </w:r>
      <w:r>
        <w:rPr>
          <w:rFonts w:ascii="Helvetica;Arial Narrow;sans-serif" w:hAnsi="Helvetica;Arial Narrow;sans-serif"/>
          <w:b w:val="false"/>
          <w:i w:val="false"/>
          <w:caps w:val="false"/>
          <w:smallCaps w:val="false"/>
          <w:color w:val="000000"/>
          <w:spacing w:val="-2"/>
          <w:sz w:val="18"/>
        </w:rPr>
        <w:t xml:space="preserve"> </w:t>
      </w:r>
    </w:p>
    <w:p>
      <w:pPr>
        <w:pStyle w:val="TextBody"/>
        <w:bidi w:val="0"/>
        <w:spacing w:lineRule="atLeast" w:line="210" w:before="240" w:after="283"/>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Greenwich, Connecticut </w:t>
        <w:br/>
        <w:t>April 2, 2025</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 xml:space="preserve">Important Notice Regarding the Availability of Proxy Materials for the </w:t>
        <w:br/>
        <w:t>Annual Meeting of Stockholders to Be Held on May 15, 2025:</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The Proxy Statement and our 2024 Form 10-K are available at </w:t>
      </w:r>
      <w:r>
        <w:rPr>
          <w:rFonts w:ascii="Helvetica;Arial Narrow;sans-serif" w:hAnsi="Helvetica;Arial Narrow;sans-serif"/>
          <w:b w:val="false"/>
          <w:i w:val="false"/>
          <w:caps w:val="false"/>
          <w:smallCaps w:val="false"/>
          <w:color w:val="000000"/>
          <w:spacing w:val="-2"/>
          <w:sz w:val="18"/>
          <w:u w:val="single"/>
        </w:rPr>
        <w:t>investors.xpo.com</w:t>
      </w:r>
      <w:r>
        <w:rPr>
          <w:rFonts w:ascii="Helvetica;Arial Narrow;sans-serif" w:hAnsi="Helvetica;Arial Narrow;sans-serif"/>
          <w:b w:val="false"/>
          <w:i w:val="false"/>
          <w:caps w:val="false"/>
          <w:smallCaps w:val="false"/>
          <w:color w:val="000000"/>
          <w:spacing w:val="-2"/>
          <w:sz w:val="18"/>
        </w:rPr>
        <w:t>.</w:t>
      </w:r>
      <w:r>
        <w:rPr>
          <w:rFonts w:ascii="Helvetica;Arial Narrow;sans-serif" w:hAnsi="Helvetica;Arial Narrow;sans-serif"/>
          <w:b w:val="false"/>
          <w:i w:val="false"/>
          <w:caps w:val="false"/>
          <w:smallCaps w:val="false"/>
          <w:color w:val="000000"/>
          <w:sz w:val="18"/>
        </w:rPr>
        <w:t xml:space="preserve"> </w:t>
      </w:r>
    </w:p>
    <w:tbl>
      <w:tblPr>
        <w:tblW w:w="2491" w:type="dxa"/>
        <w:jc w:val="left"/>
        <w:tblInd w:w="920" w:type="dxa"/>
        <w:tblLayout w:type="fixed"/>
        <w:tblCellMar>
          <w:top w:w="0" w:type="dxa"/>
          <w:left w:w="0" w:type="dxa"/>
          <w:bottom w:w="28" w:type="dxa"/>
          <w:right w:w="0" w:type="dxa"/>
        </w:tblCellMar>
      </w:tblPr>
      <w:tblGrid>
        <w:gridCol w:w="124"/>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righ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2735" w:type="dxa"/>
        <w:jc w:val="left"/>
        <w:tblInd w:w="920" w:type="dxa"/>
        <w:tblLayout w:type="fixed"/>
        <w:tblCellMar>
          <w:top w:w="28" w:type="dxa"/>
          <w:left w:w="28" w:type="dxa"/>
          <w:bottom w:w="28" w:type="dxa"/>
          <w:right w:w="28" w:type="dxa"/>
        </w:tblCellMar>
      </w:tblPr>
      <w:tblGrid>
        <w:gridCol w:w="2581"/>
        <w:gridCol w:w="154"/>
      </w:tblGrid>
      <w:tr>
        <w:trPr/>
        <w:tc>
          <w:tcPr>
            <w:tcW w:w="2581" w:type="dxa"/>
            <w:tcBorders/>
            <w:vAlign w:val="center"/>
          </w:tcPr>
          <w:p>
            <w:pPr>
              <w:pStyle w:val="TableContents"/>
              <w:bidi w:val="0"/>
              <w:spacing w:before="0" w:after="283"/>
              <w:jc w:val="left"/>
              <w:rPr/>
            </w:pPr>
            <w:r>
              <w:rPr>
                <w:spacing w:val="-10"/>
              </w:rPr>
              <w:t>TABLE OF CONTENTS</w:t>
            </w:r>
            <w:r>
              <w:rPr/>
              <w:t xml:space="preserve"> </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tbl>
      <w:tblPr>
        <w:tblW w:w="9285" w:type="dxa"/>
        <w:jc w:val="left"/>
        <w:tblInd w:w="920" w:type="dxa"/>
        <w:tblLayout w:type="fixed"/>
        <w:tblCellMar>
          <w:top w:w="0" w:type="dxa"/>
          <w:left w:w="0" w:type="dxa"/>
          <w:bottom w:w="0" w:type="dxa"/>
          <w:right w:w="0" w:type="dxa"/>
        </w:tblCellMar>
      </w:tblPr>
      <w:tblGrid>
        <w:gridCol w:w="124"/>
        <w:gridCol w:w="8409"/>
        <w:gridCol w:w="109"/>
        <w:gridCol w:w="109"/>
        <w:gridCol w:w="379"/>
        <w:gridCol w:w="155"/>
      </w:tblGrid>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jc w:val="left"/>
              <w:rPr/>
            </w:pPr>
            <w:hyperlink w:anchor="tPSS">
              <w:r>
                <w:rPr>
                  <w:rStyle w:val="InternetLink"/>
                  <w:color w:val="000080"/>
                </w:rPr>
                <w:t>PROXY STATEMENT SUMMARY</w:t>
              </w:r>
            </w:hyperlink>
            <w:r>
              <w:rPr>
                <w:color w:val="E2231A"/>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PSS">
              <w:r>
                <w:rPr>
                  <w:rStyle w:val="InternetLink"/>
                </w:rPr>
                <w:t>1</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jc w:val="left"/>
              <w:rPr/>
            </w:pPr>
            <w:hyperlink w:anchor="tBODA">
              <w:r>
                <w:rPr>
                  <w:rStyle w:val="InternetLink"/>
                  <w:color w:val="000080"/>
                </w:rPr>
                <w:t>BOARD OF DIRECTORS AND CORPORATE GOVERNANCE</w:t>
              </w:r>
            </w:hyperlink>
            <w:r>
              <w:rPr>
                <w:color w:val="E2231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BODA">
              <w:r>
                <w:rPr>
                  <w:rStyle w:val="InternetLink"/>
                </w:rPr>
                <w:t>8</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ABXB">
              <w:r>
                <w:rPr>
                  <w:rStyle w:val="InternetLink"/>
                </w:rPr>
                <w:t xml:space="preserve">Alignment between XPO’s Board Composition, Mission and Business Strategy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ABXB">
              <w:r>
                <w:rPr>
                  <w:rStyle w:val="InternetLink"/>
                </w:rPr>
                <w:t>8</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DIR">
              <w:r>
                <w:rPr>
                  <w:rStyle w:val="InternetLink"/>
                </w:rPr>
                <w:t xml:space="preserve">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DIR">
              <w:r>
                <w:rPr>
                  <w:rStyle w:val="InternetLink"/>
                </w:rPr>
                <w:t>8</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ROTB">
              <w:r>
                <w:rPr>
                  <w:rStyle w:val="InternetLink"/>
                </w:rPr>
                <w:t xml:space="preserve">Role of the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ROTB">
              <w:r>
                <w:rPr>
                  <w:rStyle w:val="InternetLink"/>
                </w:rPr>
                <w:t>13</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BLS">
              <w:r>
                <w:rPr>
                  <w:rStyle w:val="InternetLink"/>
                </w:rPr>
                <w:t xml:space="preserve">Board Leadership Structure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BLS">
              <w:r>
                <w:rPr>
                  <w:rStyle w:val="InternetLink"/>
                </w:rPr>
                <w:t>13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BEP">
              <w:r>
                <w:rPr>
                  <w:rStyle w:val="InternetLink"/>
                </w:rPr>
                <w:t xml:space="preserve">Board Evaluation Process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BEP">
              <w:r>
                <w:rPr>
                  <w:rStyle w:val="InternetLink"/>
                </w:rPr>
                <w:t>14</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BRAD">
              <w:r>
                <w:rPr>
                  <w:rStyle w:val="InternetLink"/>
                </w:rPr>
                <w:t xml:space="preserve">Board Refreshment and Director Succession Planning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BRAD">
              <w:r>
                <w:rPr>
                  <w:rStyle w:val="InternetLink"/>
                </w:rPr>
                <w:t>14</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OUDI">
              <w:r>
                <w:rPr>
                  <w:rStyle w:val="InternetLink"/>
                </w:rPr>
                <w:t xml:space="preserve">Outside Directorships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OUDI">
              <w:r>
                <w:rPr>
                  <w:rStyle w:val="InternetLink"/>
                </w:rPr>
                <w:t>14</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SPAM">
              <w:r>
                <w:rPr>
                  <w:rStyle w:val="InternetLink"/>
                </w:rPr>
                <w:t xml:space="preserve">Succession Planning and Management Development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SPAM">
              <w:r>
                <w:rPr>
                  <w:rStyle w:val="InternetLink"/>
                </w:rPr>
                <w:t>15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COTB">
              <w:r>
                <w:rPr>
                  <w:rStyle w:val="InternetLink"/>
                </w:rPr>
                <w:t xml:space="preserve">Committees of the Board and Committee Membership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COTB">
              <w:r>
                <w:rPr>
                  <w:rStyle w:val="InternetLink"/>
                </w:rPr>
                <w:t>15</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BRO">
              <w:r>
                <w:rPr>
                  <w:rStyle w:val="InternetLink"/>
                </w:rPr>
                <w:t xml:space="preserve">Board Risk Oversight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BRO">
              <w:r>
                <w:rPr>
                  <w:rStyle w:val="InternetLink"/>
                </w:rPr>
                <w:t>17</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BOOH">
              <w:r>
                <w:rPr>
                  <w:rStyle w:val="InternetLink"/>
                </w:rPr>
                <w:t xml:space="preserve">Board Oversight of Human Resources 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BOOH">
              <w:r>
                <w:rPr>
                  <w:rStyle w:val="InternetLink"/>
                </w:rPr>
                <w:t>17</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BOOS">
              <w:r>
                <w:rPr>
                  <w:rStyle w:val="InternetLink"/>
                </w:rPr>
                <w:t xml:space="preserve">Board Oversight of Sustainability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BOOS">
              <w:r>
                <w:rPr>
                  <w:rStyle w:val="InternetLink"/>
                </w:rPr>
                <w:t>18</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BOOI">
              <w:r>
                <w:rPr>
                  <w:rStyle w:val="InternetLink"/>
                </w:rPr>
                <w:t xml:space="preserve">Board Oversight of Information Technology and Cybersecurity Risk 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BOOI">
              <w:r>
                <w:rPr>
                  <w:rStyle w:val="InternetLink"/>
                </w:rPr>
                <w:t>18</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DSP">
              <w:r>
                <w:rPr>
                  <w:rStyle w:val="InternetLink"/>
                </w:rPr>
                <w:t xml:space="preserve">Director Selection 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DSP">
              <w:r>
                <w:rPr>
                  <w:rStyle w:val="InternetLink"/>
                </w:rPr>
                <w:t>18</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DOAC">
              <w:r>
                <w:rPr>
                  <w:rStyle w:val="InternetLink"/>
                </w:rPr>
                <w:t xml:space="preserve">Director Orientation and Continuing Education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DOAC">
              <w:r>
                <w:rPr>
                  <w:rStyle w:val="InternetLink"/>
                </w:rPr>
                <w:t>19</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DICO">
              <w:r>
                <w:rPr>
                  <w:rStyle w:val="InternetLink"/>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DICO">
              <w:r>
                <w:rPr>
                  <w:rStyle w:val="InternetLink"/>
                </w:rPr>
                <w:t>20</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ITPP1">
              <w:r>
                <w:rPr>
                  <w:rStyle w:val="InternetLink"/>
                </w:rPr>
                <w:t xml:space="preserve">Insider Trading Policies and Procedures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ITPP1">
              <w:r>
                <w:rPr>
                  <w:rStyle w:val="InternetLink"/>
                </w:rPr>
                <w:t>21</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NHP2">
              <w:r>
                <w:rPr>
                  <w:rStyle w:val="InternetLink"/>
                </w:rPr>
                <w:t xml:space="preserve">No Hedging or Pledging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NHP2">
              <w:r>
                <w:rPr>
                  <w:rStyle w:val="InternetLink"/>
                </w:rPr>
                <w:t>21</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CAHC1">
              <w:r>
                <w:rPr>
                  <w:rStyle w:val="InternetLink"/>
                </w:rPr>
                <w:t xml:space="preserve">Compensation and Human Capital Committee Interlocks and Insider Participation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CAHC1">
              <w:r>
                <w:rPr>
                  <w:rStyle w:val="InternetLink"/>
                </w:rPr>
                <w:t>21</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CGGA">
              <w:r>
                <w:rPr>
                  <w:rStyle w:val="InternetLink"/>
                </w:rPr>
                <w:t xml:space="preserve">Corporate Governance Guidelines and Code of Business Ethics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CGGA">
              <w:r>
                <w:rPr>
                  <w:rStyle w:val="InternetLink"/>
                </w:rPr>
                <w:t>21</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DIIN">
              <w:r>
                <w:rPr>
                  <w:rStyle w:val="InternetLink"/>
                </w:rPr>
                <w:t xml:space="preserve">Director Independence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DIIN">
              <w:r>
                <w:rPr>
                  <w:rStyle w:val="InternetLink"/>
                </w:rPr>
                <w:t>21</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SCWT">
              <w:r>
                <w:rPr>
                  <w:rStyle w:val="InternetLink"/>
                </w:rPr>
                <w:t xml:space="preserve">Stockholder Communication with the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SCWT">
              <w:r>
                <w:rPr>
                  <w:rStyle w:val="InternetLink"/>
                </w:rPr>
                <w:t>22</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SPFN">
              <w:r>
                <w:rPr>
                  <w:rStyle w:val="InternetLink"/>
                </w:rPr>
                <w:t xml:space="preserve">Stockholder Proposals for Next Year’s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SPFN">
              <w:r>
                <w:rPr>
                  <w:rStyle w:val="InternetLink"/>
                </w:rPr>
                <w:t>22</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jc w:val="left"/>
              <w:rPr/>
            </w:pPr>
            <w:hyperlink w:anchor="tCRAR">
              <w:r>
                <w:rPr>
                  <w:rStyle w:val="InternetLink"/>
                  <w:color w:val="E2231A"/>
                </w:rPr>
                <w:t xml:space="preserve">CERTAIN RELATIONSHIPS AND RELATED-PARTY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CRAR">
              <w:r>
                <w:rPr>
                  <w:rStyle w:val="InternetLink"/>
                </w:rPr>
                <w:t>23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jc w:val="left"/>
              <w:rPr/>
            </w:pPr>
            <w:hyperlink w:anchor="tSOOC">
              <w:r>
                <w:rPr>
                  <w:rStyle w:val="InternetLink"/>
                  <w:color w:val="E2231A"/>
                </w:rPr>
                <w:t xml:space="preserve">SECURITY OWNERSHIP OF CERTAIN BENEFICIAL OWNERS AND 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SOOC">
              <w:r>
                <w:rPr>
                  <w:rStyle w:val="InternetLink"/>
                </w:rPr>
                <w:t>24</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jc w:val="left"/>
              <w:rPr/>
            </w:pPr>
            <w:hyperlink w:anchor="tEXCO">
              <w:r>
                <w:rPr>
                  <w:rStyle w:val="InternetLink"/>
                  <w:color w:val="E2231A"/>
                </w:rPr>
                <w:t xml:space="preserve">EXECUTIVE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EXCO">
              <w:r>
                <w:rPr>
                  <w:rStyle w:val="InternetLink"/>
                </w:rPr>
                <w:t>26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CDAA">
              <w:r>
                <w:rPr>
                  <w:rStyle w:val="InternetLink"/>
                </w:rPr>
                <w:t xml:space="preserve">Compensation Discussion and Analysis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CDAA">
              <w:r>
                <w:rPr>
                  <w:rStyle w:val="InternetLink"/>
                </w:rPr>
                <w:t>26</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CAHC">
              <w:r>
                <w:rPr>
                  <w:rStyle w:val="InternetLink"/>
                </w:rPr>
                <w:t xml:space="preserve">Compensation and Human Capital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CAHC">
              <w:r>
                <w:rPr>
                  <w:rStyle w:val="InternetLink"/>
                </w:rPr>
                <w:t>40</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COTA">
              <w:r>
                <w:rPr>
                  <w:rStyle w:val="InternetLink"/>
                </w:rPr>
                <w:t xml:space="preserve">Compensation Tables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COTA">
              <w:r>
                <w:rPr>
                  <w:rStyle w:val="InternetLink"/>
                </w:rPr>
                <w:t>41</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EAWN">
              <w:r>
                <w:rPr>
                  <w:rStyle w:val="InternetLink"/>
                </w:rPr>
                <w:t xml:space="preserve">Employment Agreements with NEOs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EAWN">
              <w:r>
                <w:rPr>
                  <w:rStyle w:val="InternetLink"/>
                </w:rPr>
                <w:t>50</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ECPI">
              <w:r>
                <w:rPr>
                  <w:rStyle w:val="InternetLink"/>
                </w:rPr>
                <w:t xml:space="preserve">Equity Compensation Plan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ECPI">
              <w:r>
                <w:rPr>
                  <w:rStyle w:val="InternetLink"/>
                </w:rPr>
                <w:t>54</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jc w:val="left"/>
              <w:rPr/>
            </w:pPr>
            <w:hyperlink w:anchor="tAUMA">
              <w:r>
                <w:rPr>
                  <w:rStyle w:val="InternetLink"/>
                  <w:color w:val="E2231A"/>
                </w:rPr>
                <w:t xml:space="preserve">AUDIT-RELATED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AUMA">
              <w:r>
                <w:rPr>
                  <w:rStyle w:val="InternetLink"/>
                </w:rPr>
                <w:t>55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ACR">
              <w:r>
                <w:rPr>
                  <w:rStyle w:val="InternetLink"/>
                </w:rPr>
                <w:t xml:space="preserve">Audit Committee Report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ACR">
              <w:r>
                <w:rPr>
                  <w:rStyle w:val="InternetLink"/>
                </w:rPr>
                <w:t>55</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PRPO">
              <w:r>
                <w:rPr>
                  <w:rStyle w:val="InternetLink"/>
                </w:rPr>
                <w:t xml:space="preserve">Policy Regarding Pre-Approval of Services Provided by Outside Auditor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PRPO">
              <w:r>
                <w:rPr>
                  <w:rStyle w:val="InternetLink"/>
                </w:rPr>
                <w:t>56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SPBT">
              <w:r>
                <w:rPr>
                  <w:rStyle w:val="InternetLink"/>
                </w:rPr>
                <w:t xml:space="preserve">Services Provided by Outside Auditor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SPBT">
              <w:r>
                <w:rPr>
                  <w:rStyle w:val="InternetLink"/>
                </w:rPr>
                <w:t>56</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jc w:val="left"/>
              <w:rPr/>
            </w:pPr>
            <w:hyperlink w:anchor="tQAAO">
              <w:r>
                <w:rPr>
                  <w:rStyle w:val="InternetLink"/>
                  <w:color w:val="E2231A"/>
                </w:rPr>
                <w:t xml:space="preserve">QUESTIONS AND ANSWERS ABOUT OUR ANNUAL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QAAO">
              <w:r>
                <w:rPr>
                  <w:rStyle w:val="InternetLink"/>
                </w:rPr>
                <w:t>57</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jc w:val="left"/>
              <w:rPr/>
            </w:pPr>
            <w:hyperlink w:anchor="tPTBP">
              <w:r>
                <w:rPr>
                  <w:rStyle w:val="InternetLink"/>
                  <w:color w:val="E2231A"/>
                </w:rPr>
                <w:t xml:space="preserve">PROPOSALS TO BE PRESENTED AT THE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PTBP">
              <w:r>
                <w:rPr>
                  <w:rStyle w:val="InternetLink"/>
                </w:rPr>
                <w:t>61</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P1EO">
              <w:r>
                <w:rPr>
                  <w:rStyle w:val="InternetLink"/>
                </w:rPr>
                <w:t xml:space="preserve">Proposal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P1EO">
              <w:r>
                <w:rPr>
                  <w:rStyle w:val="InternetLink"/>
                </w:rPr>
                <w:t>61</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P2RO">
              <w:r>
                <w:rPr>
                  <w:rStyle w:val="InternetLink"/>
                </w:rPr>
                <w:t xml:space="preserve">Proposal 2: Ratification of the Appointment of KPMG LLP as our Independent Registered Public Accounting Firm for Fiscal Year 2025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P2RO">
              <w:r>
                <w:rPr>
                  <w:rStyle w:val="InternetLink"/>
                </w:rPr>
                <w:t>62</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ind w:left="180" w:right="0" w:hanging="0"/>
              <w:jc w:val="left"/>
              <w:rPr/>
            </w:pPr>
            <w:hyperlink w:anchor="tP3AV">
              <w:r>
                <w:rPr>
                  <w:rStyle w:val="InternetLink"/>
                </w:rPr>
                <w:t xml:space="preserve">Proposal 3: Advisory Vote to Approve Executive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P3AV">
              <w:r>
                <w:rPr>
                  <w:rStyle w:val="InternetLink"/>
                </w:rPr>
                <w:t>63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ind w:left="180" w:right="0" w:hanging="0"/>
              <w:jc w:val="left"/>
              <w:rPr/>
            </w:pPr>
            <w:hyperlink w:anchor="tOTMA">
              <w:r>
                <w:rPr>
                  <w:rStyle w:val="InternetLink"/>
                </w:rPr>
                <w:t xml:space="preserve">Other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OTMA">
              <w:r>
                <w:rPr>
                  <w:rStyle w:val="InternetLink"/>
                </w:rPr>
                <w:t>63</w:t>
              </w:r>
            </w:hyperlink>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09" w:type="dxa"/>
            <w:tcBorders/>
            <w:vAlign w:val="center"/>
          </w:tcPr>
          <w:p>
            <w:pPr>
              <w:pStyle w:val="TableContents"/>
              <w:bidi w:val="0"/>
              <w:spacing w:before="0" w:after="0"/>
              <w:jc w:val="left"/>
              <w:rPr/>
            </w:pPr>
            <w:hyperlink w:anchor="tADIN">
              <w:r>
                <w:rPr>
                  <w:rStyle w:val="InternetLink"/>
                  <w:color w:val="E2231A"/>
                </w:rPr>
                <w:t xml:space="preserve">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 w:type="dxa"/>
            <w:tcBorders/>
            <w:vAlign w:val="center"/>
          </w:tcPr>
          <w:p>
            <w:pPr>
              <w:pStyle w:val="TableContents"/>
              <w:bidi w:val="0"/>
              <w:spacing w:before="0" w:after="0"/>
              <w:jc w:val="right"/>
              <w:rPr/>
            </w:pPr>
            <w:hyperlink w:anchor="tADIN">
              <w:r>
                <w:rPr>
                  <w:rStyle w:val="InternetLink"/>
                </w:rPr>
                <w:t>64</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409" w:type="dxa"/>
            <w:tcBorders/>
            <w:shd w:fill="CCEEFF" w:val="clear"/>
            <w:vAlign w:val="center"/>
          </w:tcPr>
          <w:p>
            <w:pPr>
              <w:pStyle w:val="TableContents"/>
              <w:bidi w:val="0"/>
              <w:spacing w:before="0" w:after="0"/>
              <w:jc w:val="left"/>
              <w:rPr/>
            </w:pPr>
            <w:hyperlink w:anchor="tAARO">
              <w:r>
                <w:rPr>
                  <w:rStyle w:val="InternetLink"/>
                  <w:color w:val="E2231A"/>
                </w:rPr>
                <w:t xml:space="preserve">ANNEX A  —  RECONCILIATION OF NON-GAAP MEASURES, AND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0"/>
              <w:jc w:val="right"/>
              <w:rPr/>
            </w:pPr>
            <w:hyperlink w:anchor="tAARO">
              <w:r>
                <w:rPr>
                  <w:rStyle w:val="InternetLink"/>
                </w:rPr>
                <w:t>65</w:t>
              </w:r>
            </w:hyperlink>
            <w:r>
              <w:rPr/>
              <w:t xml:space="preserve"> </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20" w:before="320" w:after="283"/>
        <w:ind w:left="920" w:right="0" w:hanging="0"/>
        <w:jc w:val="both"/>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Important Notice Regarding the Availability of Proxy Materials for the Annual Meeting of Stockholders to Be Held on May 15, 2025:</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This Proxy Statement and our 2024 Form 10-K are available at </w:t>
      </w:r>
      <w:r>
        <w:rPr>
          <w:rFonts w:ascii="Helvetica;Arial Narrow;sans-serif" w:hAnsi="Helvetica;Arial Narrow;sans-serif"/>
          <w:b w:val="false"/>
          <w:i w:val="false"/>
          <w:caps w:val="false"/>
          <w:smallCaps w:val="false"/>
          <w:color w:val="000000"/>
          <w:spacing w:val="-2"/>
          <w:sz w:val="18"/>
          <w:u w:val="single"/>
        </w:rPr>
        <w:t>investors.xpo.com.</w:t>
      </w:r>
      <w:r>
        <w:rPr>
          <w:rFonts w:ascii="Helvetica;Arial Narrow;sans-serif" w:hAnsi="Helvetica;Arial Narrow;sans-serif"/>
          <w:b w:val="false"/>
          <w:i w:val="false"/>
          <w:caps w:val="false"/>
          <w:smallCaps w:val="false"/>
          <w:color w:val="000000"/>
          <w:sz w:val="18"/>
        </w:rPr>
        <w:t xml:space="preserve"> </w:t>
      </w:r>
    </w:p>
    <w:tbl>
      <w:tblPr>
        <w:tblW w:w="2491" w:type="dxa"/>
        <w:jc w:val="left"/>
        <w:tblInd w:w="920" w:type="dxa"/>
        <w:tblLayout w:type="fixed"/>
        <w:tblCellMar>
          <w:top w:w="0" w:type="dxa"/>
          <w:left w:w="0" w:type="dxa"/>
          <w:bottom w:w="28" w:type="dxa"/>
          <w:right w:w="0" w:type="dxa"/>
        </w:tblCellMar>
      </w:tblPr>
      <w:tblGrid>
        <w:gridCol w:w="124"/>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righ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SS"/>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3830" w:type="dxa"/>
        <w:jc w:val="left"/>
        <w:tblInd w:w="920" w:type="dxa"/>
        <w:tblLayout w:type="fixed"/>
        <w:tblCellMar>
          <w:top w:w="28" w:type="dxa"/>
          <w:left w:w="28" w:type="dxa"/>
          <w:bottom w:w="28" w:type="dxa"/>
          <w:right w:w="28" w:type="dxa"/>
        </w:tblCellMar>
      </w:tblPr>
      <w:tblGrid>
        <w:gridCol w:w="3676"/>
        <w:gridCol w:w="154"/>
      </w:tblGrid>
      <w:tr>
        <w:trPr/>
        <w:tc>
          <w:tcPr>
            <w:tcW w:w="3676" w:type="dxa"/>
            <w:tcBorders/>
            <w:vAlign w:val="center"/>
          </w:tcPr>
          <w:p>
            <w:pPr>
              <w:pStyle w:val="TableContents"/>
              <w:bidi w:val="0"/>
              <w:spacing w:before="0" w:after="283"/>
              <w:jc w:val="left"/>
              <w:rPr/>
            </w:pPr>
            <w:r>
              <w:rPr>
                <w:spacing w:val="-10"/>
              </w:rPr>
              <w:t>PROXY STATEMENT SUMMARY</w:t>
            </w:r>
            <w:r>
              <w:rPr/>
              <w:t xml:space="preserve"> </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p>
      <w:pPr>
        <w:pStyle w:val="TextBody"/>
        <w:bidi w:val="0"/>
        <w:spacing w:lineRule="atLeast" w:line="220" w:before="160" w:after="283"/>
        <w:ind w:left="920" w:right="0" w:hanging="0"/>
        <w:jc w:val="both"/>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This Proxy Statement Summary highlights information contained in our Proxy Statement, which sets forth information relating to the solicitation of proxies by the Board of Directors of XPO, Inc. (the “Board of Directors” or the “Board”) in connection with our 2025 Annual Meeting of Stockholders. The summary does not reflect all of the information you should consider, and you are urged to read the proxy materials carefully before voting.</w:t>
      </w:r>
      <w:r>
        <w:rPr>
          <w:rFonts w:ascii="Helvetica;Arial Narrow;sans-serif" w:hAnsi="Helvetica;Arial Narrow;sans-serif"/>
          <w:b w:val="false"/>
          <w:i/>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2025 ANNUAL MEETING OF STOCKHOLDERS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Notice of Internet Availability of Proxy Materials (the “Notice”) is first being distributed on or about April 2, 2025 to stockholders of record of our common stock as of the close of business on March 25, 2025 (the “Record Date”). The Notice provides instructions on how to access our proxy materials and vote online.</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120" w:type="dxa"/>
          <w:right w:w="0" w:type="dxa"/>
        </w:tblCellMar>
      </w:tblPr>
      <w:tblGrid>
        <w:gridCol w:w="582"/>
        <w:gridCol w:w="109"/>
        <w:gridCol w:w="109"/>
        <w:gridCol w:w="1952"/>
        <w:gridCol w:w="109"/>
        <w:gridCol w:w="109"/>
        <w:gridCol w:w="357"/>
        <w:gridCol w:w="109"/>
        <w:gridCol w:w="109"/>
        <w:gridCol w:w="2278"/>
        <w:gridCol w:w="109"/>
        <w:gridCol w:w="109"/>
        <w:gridCol w:w="417"/>
        <w:gridCol w:w="109"/>
        <w:gridCol w:w="109"/>
        <w:gridCol w:w="2451"/>
        <w:gridCol w:w="158"/>
      </w:tblGrid>
      <w:tr>
        <w:trPr/>
        <w:tc>
          <w:tcPr>
            <w:tcW w:w="2752" w:type="dxa"/>
            <w:gridSpan w:val="4"/>
            <w:tcBorders>
              <w:bottom w:val="single" w:sz="12" w:space="0" w:color="E2231A"/>
            </w:tcBorders>
            <w:vAlign w:val="center"/>
          </w:tcPr>
          <w:p>
            <w:pPr>
              <w:pStyle w:val="TableContents"/>
              <w:bidi w:val="0"/>
              <w:spacing w:before="0" w:after="0"/>
              <w:jc w:val="left"/>
              <w:rPr>
                <w:spacing w:val="-2"/>
              </w:rPr>
            </w:pPr>
            <w:r>
              <w:rPr>
                <w:spacing w:val="-2"/>
              </w:rPr>
              <w:t xml:space="preserve">Date and Time </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2853" w:type="dxa"/>
            <w:gridSpan w:val="4"/>
            <w:tcBorders>
              <w:bottom w:val="single" w:sz="12" w:space="0" w:color="E2231A"/>
            </w:tcBorders>
            <w:vAlign w:val="center"/>
          </w:tcPr>
          <w:p>
            <w:pPr>
              <w:pStyle w:val="TableContents"/>
              <w:bidi w:val="0"/>
              <w:spacing w:before="0" w:after="0"/>
              <w:jc w:val="left"/>
              <w:rPr>
                <w:spacing w:val="-2"/>
              </w:rPr>
            </w:pPr>
            <w:r>
              <w:rPr>
                <w:spacing w:val="-2"/>
              </w:rPr>
              <w:t xml:space="preserve">Place </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3086" w:type="dxa"/>
            <w:gridSpan w:val="4"/>
            <w:tcBorders>
              <w:bottom w:val="single" w:sz="12" w:space="0" w:color="E2231A"/>
            </w:tcBorders>
            <w:vAlign w:val="center"/>
          </w:tcPr>
          <w:p>
            <w:pPr>
              <w:pStyle w:val="TableContents"/>
              <w:bidi w:val="0"/>
              <w:spacing w:before="0" w:after="0"/>
              <w:jc w:val="left"/>
              <w:rPr>
                <w:spacing w:val="-2"/>
              </w:rPr>
            </w:pPr>
            <w:r>
              <w:rPr>
                <w:spacing w:val="-2"/>
              </w:rPr>
              <w:t xml:space="preserve">Record Date </w:t>
            </w:r>
          </w:p>
        </w:tc>
        <w:tc>
          <w:tcPr>
            <w:tcW w:w="158" w:type="dxa"/>
            <w:tcBorders>
              <w:bottom w:val="single" w:sz="12" w:space="0" w:color="E2231A"/>
            </w:tcBorders>
            <w:tcMar>
              <w:bottom w:w="28" w:type="dxa"/>
            </w:tcMar>
            <w:vAlign w:val="center"/>
          </w:tcPr>
          <w:p>
            <w:pPr>
              <w:pStyle w:val="TableContents"/>
              <w:bidi w:val="0"/>
              <w:spacing w:before="0" w:after="283"/>
              <w:jc w:val="left"/>
              <w:rPr/>
            </w:pPr>
            <w:r>
              <w:rPr/>
              <w:t>​</w:t>
            </w:r>
          </w:p>
        </w:tc>
      </w:tr>
      <w:tr>
        <w:trPr/>
        <w:tc>
          <w:tcPr>
            <w:tcW w:w="582" w:type="dxa"/>
            <w:tcBorders>
              <w:bottom w:val="single" w:sz="12" w:space="0" w:color="E2231A"/>
            </w:tcBorders>
            <w:tcMar>
              <w:bottom w:w="28" w:type="dxa"/>
            </w:tcMar>
            <w:vAlign w:val="center"/>
          </w:tcPr>
          <w:p>
            <w:pPr>
              <w:pStyle w:val="TableContents"/>
              <w:bidi w:val="0"/>
              <w:spacing w:before="0" w:after="0"/>
              <w:jc w:val="center"/>
              <w:rPr/>
            </w:pPr>
            <w:r>
              <w:rPr/>
              <w:drawing>
                <wp:inline distT="0" distB="0" distL="0" distR="0">
                  <wp:extent cx="285750" cy="24765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285750" cy="247650"/>
                          </a:xfrm>
                          <a:prstGeom prst="rect">
                            <a:avLst/>
                          </a:prstGeom>
                        </pic:spPr>
                      </pic:pic>
                    </a:graphicData>
                  </a:graphic>
                </wp:inline>
              </w:drawing>
            </w:r>
            <w:r>
              <w:rPr/>
              <w:t xml:space="preserve"> </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1952" w:type="dxa"/>
            <w:tcBorders>
              <w:bottom w:val="single" w:sz="12" w:space="0" w:color="E2231A"/>
            </w:tcBorders>
            <w:tcMar>
              <w:bottom w:w="28" w:type="dxa"/>
            </w:tcMar>
            <w:vAlign w:val="center"/>
          </w:tcPr>
          <w:p>
            <w:pPr>
              <w:pStyle w:val="TableContents"/>
              <w:bidi w:val="0"/>
              <w:spacing w:lineRule="atLeast" w:line="204" w:before="0" w:after="0"/>
              <w:jc w:val="left"/>
              <w:rPr/>
            </w:pPr>
            <w:r>
              <w:rPr/>
              <w:t>Thursday, May 15, 2025</w:t>
              <w:br/>
              <w:t xml:space="preserve">at 10:00 a.m. Eastern Time </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357" w:type="dxa"/>
            <w:tcBorders>
              <w:bottom w:val="single" w:sz="12" w:space="0" w:color="E2231A"/>
            </w:tcBorders>
            <w:tcMar>
              <w:bottom w:w="28" w:type="dxa"/>
            </w:tcMar>
            <w:vAlign w:val="center"/>
          </w:tcPr>
          <w:p>
            <w:pPr>
              <w:pStyle w:val="TableContents"/>
              <w:bidi w:val="0"/>
              <w:spacing w:before="0" w:after="0"/>
              <w:jc w:val="center"/>
              <w:rPr/>
            </w:pPr>
            <w:r>
              <w:rPr/>
              <w:drawing>
                <wp:inline distT="0" distB="0" distL="0" distR="0">
                  <wp:extent cx="152400" cy="2667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52400" cy="266700"/>
                          </a:xfrm>
                          <a:prstGeom prst="rect">
                            <a:avLst/>
                          </a:prstGeom>
                        </pic:spPr>
                      </pic:pic>
                    </a:graphicData>
                  </a:graphic>
                </wp:inline>
              </w:drawing>
            </w:r>
            <w:r>
              <w:rPr/>
              <w:t xml:space="preserve"> </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2278" w:type="dxa"/>
            <w:tcBorders>
              <w:bottom w:val="single" w:sz="12" w:space="0" w:color="E2231A"/>
            </w:tcBorders>
            <w:tcMar>
              <w:bottom w:w="28" w:type="dxa"/>
            </w:tcMar>
            <w:vAlign w:val="center"/>
          </w:tcPr>
          <w:p>
            <w:pPr>
              <w:pStyle w:val="TableContents"/>
              <w:bidi w:val="0"/>
              <w:spacing w:lineRule="atLeast" w:line="204" w:before="0" w:after="0"/>
              <w:jc w:val="left"/>
              <w:rPr/>
            </w:pPr>
            <w:r>
              <w:rPr/>
              <w:t>Virtual Meeting Site:</w:t>
              <w:br/>
            </w:r>
            <w:r>
              <w:rPr>
                <w:u w:val="single"/>
              </w:rPr>
              <w:t>meetnow.global/M6DAT65</w:t>
            </w:r>
            <w:r>
              <w:rPr/>
              <w:t xml:space="preserve"> </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417" w:type="dxa"/>
            <w:tcBorders>
              <w:bottom w:val="single" w:sz="12" w:space="0" w:color="E2231A"/>
            </w:tcBorders>
            <w:tcMar>
              <w:bottom w:w="28" w:type="dxa"/>
            </w:tcMar>
            <w:vAlign w:val="center"/>
          </w:tcPr>
          <w:p>
            <w:pPr>
              <w:pStyle w:val="TableContents"/>
              <w:bidi w:val="0"/>
              <w:spacing w:before="0" w:after="0"/>
              <w:jc w:val="center"/>
              <w:rPr/>
            </w:pPr>
            <w:r>
              <w:rPr/>
              <w:drawing>
                <wp:inline distT="0" distB="0" distL="0" distR="0">
                  <wp:extent cx="190500" cy="276225"/>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190500" cy="276225"/>
                          </a:xfrm>
                          <a:prstGeom prst="rect">
                            <a:avLst/>
                          </a:prstGeom>
                        </pic:spPr>
                      </pic:pic>
                    </a:graphicData>
                  </a:graphic>
                </wp:inline>
              </w:drawing>
            </w:r>
            <w:r>
              <w:rPr/>
              <w:t xml:space="preserve"> </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109" w:type="dxa"/>
            <w:tcBorders>
              <w:bottom w:val="single" w:sz="12" w:space="0" w:color="E2231A"/>
            </w:tcBorders>
            <w:tcMar>
              <w:bottom w:w="28" w:type="dxa"/>
            </w:tcMar>
            <w:vAlign w:val="center"/>
          </w:tcPr>
          <w:p>
            <w:pPr>
              <w:pStyle w:val="TableContents"/>
              <w:bidi w:val="0"/>
              <w:spacing w:before="0" w:after="283"/>
              <w:jc w:val="left"/>
              <w:rPr/>
            </w:pPr>
            <w:r>
              <w:rPr/>
              <w:t>​</w:t>
            </w:r>
          </w:p>
        </w:tc>
        <w:tc>
          <w:tcPr>
            <w:tcW w:w="2451" w:type="dxa"/>
            <w:tcBorders>
              <w:bottom w:val="single" w:sz="12" w:space="0" w:color="E2231A"/>
            </w:tcBorders>
            <w:tcMar>
              <w:bottom w:w="28" w:type="dxa"/>
            </w:tcMar>
            <w:vAlign w:val="center"/>
          </w:tcPr>
          <w:p>
            <w:pPr>
              <w:pStyle w:val="TableContents"/>
              <w:bidi w:val="0"/>
              <w:spacing w:lineRule="atLeast" w:line="204" w:before="0" w:after="0"/>
              <w:jc w:val="left"/>
              <w:rPr/>
            </w:pPr>
            <w:r>
              <w:rPr/>
              <w:t xml:space="preserve">You can vote if you were an </w:t>
              <w:br/>
              <w:t xml:space="preserve">XPO stockholder of record as of the </w:t>
              <w:br/>
              <w:t>close of business on March 25, 2025</w:t>
            </w:r>
          </w:p>
        </w:tc>
        <w:tc>
          <w:tcPr>
            <w:tcW w:w="158" w:type="dxa"/>
            <w:tcBorders>
              <w:bottom w:val="single" w:sz="12" w:space="0" w:color="E2231A"/>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13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Admission Using Your Control Number:</w:t>
      </w:r>
      <w:r>
        <w:rPr>
          <w:rFonts w:ascii="Helvetica;Arial Narrow;sans-serif" w:hAnsi="Helvetica;Arial Narrow;sans-serif"/>
          <w:b w:val="false"/>
          <w:i w:val="false"/>
          <w:caps w:val="false"/>
          <w:smallCaps w:val="false"/>
          <w:color w:val="000000"/>
          <w:spacing w:val="-2"/>
          <w:sz w:val="18"/>
        </w:rPr>
        <w:t xml:space="preserve"> The Annual Meeting will be conducted exclusively as a live webcast that you can access with the control number you receive on your proxy card. At the time of the Annual Meeting, go to </w:t>
      </w:r>
      <w:r>
        <w:rPr>
          <w:rFonts w:ascii="Helvetica;Arial Narrow;sans-serif" w:hAnsi="Helvetica;Arial Narrow;sans-serif"/>
          <w:b w:val="false"/>
          <w:i w:val="false"/>
          <w:caps w:val="false"/>
          <w:smallCaps w:val="false"/>
          <w:color w:val="000000"/>
          <w:spacing w:val="-2"/>
          <w:sz w:val="18"/>
          <w:u w:val="single"/>
        </w:rPr>
        <w:t>meetnow.global/M6DAT65</w:t>
      </w:r>
      <w:r>
        <w:rPr>
          <w:rFonts w:ascii="Helvetica;Arial Narrow;sans-serif" w:hAnsi="Helvetica;Arial Narrow;sans-serif"/>
          <w:b w:val="false"/>
          <w:i w:val="false"/>
          <w:caps w:val="false"/>
          <w:smallCaps w:val="false"/>
          <w:color w:val="000000"/>
          <w:spacing w:val="-2"/>
          <w:sz w:val="18"/>
        </w:rPr>
        <w:t xml:space="preserve"> and enter your control number. If the shares of common stock you hold are in an account at a broker, dealer, commercial bank, trust company or other nominee (i.e., in “street name”), you will have to register in advance in order to participate and vote at the Annual Meeting and submit questions during the live webcast. To register in advance, you must obtain a legal proxy from the bank, broker or other nominee that holds your shares, giving you the right to vote the shares. Requests for registration should be directed to our transfer agent, Computershare Trust Company, N.A. (“Computershare”), by email at </w:t>
      </w:r>
      <w:r>
        <w:rPr>
          <w:rFonts w:ascii="Helvetica;Arial Narrow;sans-serif" w:hAnsi="Helvetica;Arial Narrow;sans-serif"/>
          <w:b w:val="false"/>
          <w:i w:val="false"/>
          <w:caps w:val="false"/>
          <w:smallCaps w:val="false"/>
          <w:color w:val="000000"/>
          <w:spacing w:val="-2"/>
          <w:sz w:val="18"/>
          <w:u w:val="single"/>
        </w:rPr>
        <w:t>legalproxy@computershare.com</w:t>
      </w:r>
      <w:r>
        <w:rPr>
          <w:rFonts w:ascii="Helvetica;Arial Narrow;sans-serif" w:hAnsi="Helvetica;Arial Narrow;sans-serif"/>
          <w:b w:val="false"/>
          <w:i w:val="false"/>
          <w:caps w:val="false"/>
          <w:smallCaps w:val="false"/>
          <w:color w:val="000000"/>
          <w:spacing w:val="-2"/>
          <w:sz w:val="18"/>
        </w:rPr>
        <w:t xml:space="preserve"> no later than 5:00 p.m. Eastern Time on Monday, May 5, 2025. You will receive confirmation of your registration and your control number in an email from Computershare. Enter your control number at </w:t>
      </w:r>
      <w:r>
        <w:rPr>
          <w:rFonts w:ascii="Helvetica;Arial Narrow;sans-serif" w:hAnsi="Helvetica;Arial Narrow;sans-serif"/>
          <w:b w:val="false"/>
          <w:i w:val="false"/>
          <w:caps w:val="false"/>
          <w:smallCaps w:val="false"/>
          <w:color w:val="000000"/>
          <w:spacing w:val="-2"/>
          <w:sz w:val="18"/>
          <w:u w:val="single"/>
        </w:rPr>
        <w:t>meetnow.global/M6DAT65</w:t>
      </w:r>
      <w:r>
        <w:rPr>
          <w:rFonts w:ascii="Helvetica;Arial Narrow;sans-serif" w:hAnsi="Helvetica;Arial Narrow;sans-serif"/>
          <w:b w:val="false"/>
          <w:i w:val="false"/>
          <w:caps w:val="false"/>
          <w:smallCaps w:val="false"/>
          <w:color w:val="000000"/>
          <w:spacing w:val="-2"/>
          <w:sz w:val="18"/>
        </w:rPr>
        <w:t xml:space="preserve"> to access the Annual Meeting.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VOTING MATTERS AND BOARD RECOMMENDATIONS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Board is not aware of any matter that will be presented for a vote at the Annual Meeting other than those shown below.</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43" w:type="dxa"/>
          <w:right w:w="0" w:type="dxa"/>
        </w:tblCellMar>
      </w:tblPr>
      <w:tblGrid>
        <w:gridCol w:w="5453"/>
        <w:gridCol w:w="109"/>
        <w:gridCol w:w="109"/>
        <w:gridCol w:w="109"/>
        <w:gridCol w:w="1787"/>
        <w:gridCol w:w="109"/>
        <w:gridCol w:w="109"/>
        <w:gridCol w:w="109"/>
        <w:gridCol w:w="1236"/>
        <w:gridCol w:w="155"/>
      </w:tblGrid>
      <w:tr>
        <w:trPr/>
        <w:tc>
          <w:tcPr>
            <w:tcW w:w="545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87" w:type="dxa"/>
            <w:tcBorders>
              <w:bottom w:val="single" w:sz="2" w:space="0" w:color="000000"/>
            </w:tcBorders>
            <w:vAlign w:val="center"/>
          </w:tcPr>
          <w:p>
            <w:pPr>
              <w:pStyle w:val="TableContents"/>
              <w:bidi w:val="0"/>
              <w:spacing w:before="0" w:after="0"/>
              <w:jc w:val="center"/>
              <w:rPr/>
            </w:pPr>
            <w:r>
              <w:rPr/>
              <w:t>Board Vote</w:t>
              <w:br/>
              <w:t xml:space="preserve">Recommendation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36" w:type="dxa"/>
            <w:tcBorders>
              <w:bottom w:val="single" w:sz="2" w:space="0" w:color="000000"/>
            </w:tcBorders>
            <w:vAlign w:val="center"/>
          </w:tcPr>
          <w:p>
            <w:pPr>
              <w:pStyle w:val="TableContents"/>
              <w:bidi w:val="0"/>
              <w:spacing w:before="0" w:after="0"/>
              <w:jc w:val="center"/>
              <w:rPr/>
            </w:pPr>
            <w:r>
              <w:rPr/>
              <w:t>Page Reference</w:t>
              <w:br/>
              <w:t xml:space="preserve">(for more detail)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5453" w:type="dxa"/>
            <w:tcBorders>
              <w:bottom w:val="single" w:sz="2" w:space="0" w:color="000000"/>
            </w:tcBorders>
            <w:shd w:fill="D8D8D8" w:val="clear"/>
            <w:tcMar>
              <w:bottom w:w="46" w:type="dxa"/>
            </w:tcMar>
            <w:vAlign w:val="center"/>
          </w:tcPr>
          <w:p>
            <w:pPr>
              <w:pStyle w:val="TableContents"/>
              <w:bidi w:val="0"/>
              <w:spacing w:lineRule="atLeast" w:line="192" w:before="0" w:after="0"/>
              <w:jc w:val="left"/>
              <w:rPr/>
            </w:pPr>
            <w:r>
              <w:rPr>
                <w:b/>
                <w:spacing w:val="-2"/>
              </w:rPr>
              <w:t>PROPOSAL 1: Election of Directors</w:t>
            </w:r>
            <w:r>
              <w:rPr>
                <w:spacing w:val="-2"/>
              </w:rPr>
              <w:t xml:space="preserve"> </w:t>
              <w:br/>
              <w:t xml:space="preserve">To elect eight members of our Board of Directors for a term to expire at the 2026 Annual Meeting of Stockholders or until their successors are duly qualified and elected.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787" w:type="dxa"/>
            <w:tcBorders>
              <w:bottom w:val="single" w:sz="2" w:space="0" w:color="000000"/>
            </w:tcBorders>
            <w:shd w:fill="D8D8D8" w:val="clear"/>
            <w:tcMar>
              <w:bottom w:w="28" w:type="dxa"/>
            </w:tcMar>
            <w:vAlign w:val="center"/>
          </w:tcPr>
          <w:p>
            <w:pPr>
              <w:pStyle w:val="TableContents"/>
              <w:bidi w:val="0"/>
              <w:spacing w:lineRule="atLeast" w:line="192" w:before="0" w:after="0"/>
              <w:jc w:val="center"/>
              <w:rPr/>
            </w:pPr>
            <w:r>
              <w:rPr/>
              <w:drawing>
                <wp:inline distT="0" distB="0" distL="0" distR="0">
                  <wp:extent cx="142875" cy="1397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142875" cy="139700"/>
                          </a:xfrm>
                          <a:prstGeom prst="rect">
                            <a:avLst/>
                          </a:prstGeom>
                        </pic:spPr>
                      </pic:pic>
                    </a:graphicData>
                  </a:graphic>
                </wp:inline>
              </w:drawing>
            </w:r>
            <w:r>
              <w:rPr>
                <w:spacing w:val="-2"/>
              </w:rPr>
              <w:t> </w:t>
            </w:r>
            <w:r>
              <w:rPr>
                <w:b/>
                <w:color w:val="E2231A"/>
                <w:spacing w:val="-2"/>
              </w:rPr>
              <w:t>FOR</w:t>
            </w:r>
            <w:r>
              <w:rPr/>
              <w:t xml:space="preserve"> </w:t>
              <w:br/>
            </w:r>
            <w:r>
              <w:rPr>
                <w:spacing w:val="-2"/>
              </w:rPr>
              <w:t xml:space="preserve">each Director </w:t>
              <w:br/>
              <w:t xml:space="preserve">Nominee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236" w:type="dxa"/>
            <w:tcBorders>
              <w:bottom w:val="single" w:sz="2" w:space="0" w:color="000000"/>
            </w:tcBorders>
            <w:shd w:fill="D8D8D8" w:val="clear"/>
            <w:tcMar>
              <w:bottom w:w="28" w:type="dxa"/>
            </w:tcMar>
            <w:vAlign w:val="center"/>
          </w:tcPr>
          <w:p>
            <w:pPr>
              <w:pStyle w:val="TableContents"/>
              <w:bidi w:val="0"/>
              <w:spacing w:lineRule="atLeast" w:line="192" w:before="0" w:after="0"/>
              <w:jc w:val="center"/>
              <w:rPr/>
            </w:pPr>
            <w:r>
              <w:rPr>
                <w:spacing w:val="-2"/>
              </w:rPr>
              <w:t>8-22, 61</w:t>
            </w:r>
            <w:r>
              <w:rPr/>
              <w:t xml:space="preserve"> </w:t>
            </w:r>
          </w:p>
        </w:tc>
        <w:tc>
          <w:tcPr>
            <w:tcW w:w="155"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r>
      <w:tr>
        <w:trPr/>
        <w:tc>
          <w:tcPr>
            <w:tcW w:w="5453" w:type="dxa"/>
            <w:tcBorders>
              <w:bottom w:val="single" w:sz="2" w:space="0" w:color="000000"/>
            </w:tcBorders>
            <w:tcMar>
              <w:bottom w:w="46" w:type="dxa"/>
            </w:tcMar>
            <w:vAlign w:val="center"/>
          </w:tcPr>
          <w:p>
            <w:pPr>
              <w:pStyle w:val="TableContents"/>
              <w:bidi w:val="0"/>
              <w:spacing w:lineRule="atLeast" w:line="192" w:before="0" w:after="0"/>
              <w:jc w:val="left"/>
              <w:rPr>
                <w:b/>
              </w:rPr>
            </w:pPr>
            <w:r>
              <w:rPr>
                <w:b/>
                <w:spacing w:val="-2"/>
              </w:rPr>
              <w:t xml:space="preserve">PROPOSAL 2: Ratification of the Appointment of KPMG LLP as our Registered Independent Public Accounting Firm for Fiscal Year 2025 </w:t>
            </w:r>
            <w:r>
              <w:rPr>
                <w:b w:val="false"/>
                <w:spacing w:val="-2"/>
              </w:rPr>
              <w:br/>
              <w:t xml:space="preserve">To ratify the appointment of KPMG LLP as the company’s independent registered public accounting firm for fiscal year 2025.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87" w:type="dxa"/>
            <w:tcBorders>
              <w:bottom w:val="single" w:sz="2" w:space="0" w:color="000000"/>
            </w:tcBorders>
            <w:tcMar>
              <w:bottom w:w="28" w:type="dxa"/>
            </w:tcMar>
            <w:vAlign w:val="center"/>
          </w:tcPr>
          <w:p>
            <w:pPr>
              <w:pStyle w:val="TableContents"/>
              <w:bidi w:val="0"/>
              <w:spacing w:lineRule="atLeast" w:line="192" w:before="0" w:after="0"/>
              <w:jc w:val="center"/>
              <w:rPr/>
            </w:pPr>
            <w:r>
              <w:rPr/>
              <w:drawing>
                <wp:inline distT="0" distB="0" distL="0" distR="0">
                  <wp:extent cx="142875" cy="139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142875" cy="139700"/>
                          </a:xfrm>
                          <a:prstGeom prst="rect">
                            <a:avLst/>
                          </a:prstGeom>
                        </pic:spPr>
                      </pic:pic>
                    </a:graphicData>
                  </a:graphic>
                </wp:inline>
              </w:drawing>
            </w:r>
            <w:r>
              <w:rPr>
                <w:spacing w:val="-2"/>
              </w:rPr>
              <w:t> </w:t>
            </w:r>
            <w:r>
              <w:rPr>
                <w:b/>
                <w:color w:val="E2231A"/>
                <w:spacing w:val="-2"/>
              </w:rPr>
              <w:t>FOR</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36"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2"/>
              </w:rPr>
              <w:t>55-56, 62</w:t>
            </w: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5453" w:type="dxa"/>
            <w:tcBorders>
              <w:bottom w:val="single" w:sz="2" w:space="0" w:color="000000"/>
            </w:tcBorders>
            <w:shd w:fill="D8D8D8" w:val="clear"/>
            <w:tcMar>
              <w:bottom w:w="46" w:type="dxa"/>
            </w:tcMar>
            <w:vAlign w:val="center"/>
          </w:tcPr>
          <w:p>
            <w:pPr>
              <w:pStyle w:val="TableContents"/>
              <w:bidi w:val="0"/>
              <w:spacing w:lineRule="atLeast" w:line="192" w:before="0" w:after="0"/>
              <w:jc w:val="left"/>
              <w:rPr/>
            </w:pPr>
            <w:r>
              <w:rPr>
                <w:b/>
                <w:spacing w:val="-2"/>
              </w:rPr>
              <w:t>PROPOSAL 3: Advisory Vote to Approve Executive Compensation</w:t>
            </w:r>
            <w:r>
              <w:rPr>
                <w:spacing w:val="-2"/>
              </w:rPr>
              <w:t xml:space="preserve"> </w:t>
              <w:br/>
              <w:t xml:space="preserve">To conduct an advisory vote to approve the executive compensation of the company’s named executive officers.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787" w:type="dxa"/>
            <w:tcBorders>
              <w:bottom w:val="single" w:sz="2" w:space="0" w:color="000000"/>
            </w:tcBorders>
            <w:shd w:fill="D8D8D8" w:val="clear"/>
            <w:tcMar>
              <w:bottom w:w="28" w:type="dxa"/>
            </w:tcMar>
            <w:vAlign w:val="center"/>
          </w:tcPr>
          <w:p>
            <w:pPr>
              <w:pStyle w:val="TableContents"/>
              <w:bidi w:val="0"/>
              <w:spacing w:lineRule="atLeast" w:line="192" w:before="0" w:after="0"/>
              <w:jc w:val="center"/>
              <w:rPr/>
            </w:pPr>
            <w:r>
              <w:rPr/>
              <w:drawing>
                <wp:inline distT="0" distB="0" distL="0" distR="0">
                  <wp:extent cx="142875" cy="1397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142875" cy="139700"/>
                          </a:xfrm>
                          <a:prstGeom prst="rect">
                            <a:avLst/>
                          </a:prstGeom>
                        </pic:spPr>
                      </pic:pic>
                    </a:graphicData>
                  </a:graphic>
                </wp:inline>
              </w:drawing>
            </w:r>
            <w:r>
              <w:rPr>
                <w:spacing w:val="-2"/>
              </w:rPr>
              <w:t> </w:t>
            </w:r>
            <w:r>
              <w:rPr>
                <w:b/>
                <w:color w:val="E2231A"/>
                <w:spacing w:val="-2"/>
              </w:rPr>
              <w:t>FOR</w:t>
            </w:r>
            <w:r>
              <w:rPr/>
              <w:t xml:space="preserve">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236" w:type="dxa"/>
            <w:tcBorders>
              <w:bottom w:val="single" w:sz="2" w:space="0" w:color="000000"/>
            </w:tcBorders>
            <w:shd w:fill="D8D8D8" w:val="clear"/>
            <w:tcMar>
              <w:bottom w:w="28" w:type="dxa"/>
            </w:tcMar>
            <w:vAlign w:val="center"/>
          </w:tcPr>
          <w:p>
            <w:pPr>
              <w:pStyle w:val="TableContents"/>
              <w:bidi w:val="0"/>
              <w:spacing w:lineRule="atLeast" w:line="192" w:before="0" w:after="0"/>
              <w:jc w:val="center"/>
              <w:rPr/>
            </w:pPr>
            <w:r>
              <w:rPr>
                <w:spacing w:val="-2"/>
              </w:rPr>
              <w:t>63</w:t>
            </w:r>
            <w:r>
              <w:rPr/>
              <w:t xml:space="preserve"> </w:t>
            </w:r>
          </w:p>
        </w:tc>
        <w:tc>
          <w:tcPr>
            <w:tcW w:w="155"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3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ABOUT XPO</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XPO is a leading provider of freight transportation services, with company-specific avenues for value creation. We use our proprietary technology to move goods efficiently through our customers’ supply chains in North America and Europe. As of December 31, 2024, we had approximately 38,000 employees serving approximately 55,000 customers through 614 locations in 17 countries.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North American Less-Than-Truckload (“LTL”) segment is the largest component of our business, with an expansive network of professional drivers and owned trucks and service centers. Shippers value our premium service and network coverage, which extends to 99% of all U.S. postal codes and all 50 states, as well as Canada, Mexico and the Caribbean.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Our culture ensures a superior customer service experience by prioritizing the attributes that LTL customers value most, such as on-time performance and damage-free shipping. In addition, we are committed to continuously improving our network efficiency and labor productivity, while optimizing freight flows at all levels of demand. For the full year 2024, our customer-focused organization of truck drivers, service center teams and sales professionals worked together to move approximately 18 billion pounds of freight through our LTL network. </w:t>
      </w:r>
    </w:p>
    <w:tbl>
      <w:tblPr>
        <w:tblW w:w="3379" w:type="dxa"/>
        <w:jc w:val="left"/>
        <w:tblInd w:w="920" w:type="dxa"/>
        <w:tblLayout w:type="fixed"/>
        <w:tblCellMar>
          <w:top w:w="0" w:type="dxa"/>
          <w:left w:w="0" w:type="dxa"/>
          <w:bottom w:w="28" w:type="dxa"/>
          <w:right w:w="0" w:type="dxa"/>
        </w:tblCellMar>
      </w:tblPr>
      <w:tblGrid>
        <w:gridCol w:w="124"/>
        <w:gridCol w:w="226"/>
        <w:gridCol w:w="109"/>
        <w:gridCol w:w="109"/>
        <w:gridCol w:w="22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22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22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2024 COMPANY PERFORMANCE HIGHLIGHTS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In 2024, our named executive officers (“NEOs”) were instrumental in driving XPO’s achievement of numerous strategic, financial and operational goals through the execution of our strategy and LTL growth plan. Despite a soft industry freight environment, the strong leadership of our NEOs delivered financial results that outpaced expectations, enhanced service quality, realized record levels of customer satisfaction and employee engagement, and positioned the business to generate sustainable long-term stockholder value: </w:t>
      </w:r>
    </w:p>
    <w:tbl>
      <w:tblPr>
        <w:tblW w:w="9186" w:type="dxa"/>
        <w:jc w:val="left"/>
        <w:tblInd w:w="920" w:type="dxa"/>
        <w:tblLayout w:type="fixed"/>
        <w:tblCellMar>
          <w:top w:w="0" w:type="dxa"/>
          <w:left w:w="0" w:type="dxa"/>
          <w:bottom w:w="0" w:type="dxa"/>
          <w:right w:w="0" w:type="dxa"/>
        </w:tblCellMar>
      </w:tblPr>
      <w:tblGrid>
        <w:gridCol w:w="124"/>
        <w:gridCol w:w="109"/>
        <w:gridCol w:w="1852"/>
        <w:gridCol w:w="109"/>
        <w:gridCol w:w="109"/>
        <w:gridCol w:w="109"/>
        <w:gridCol w:w="1852"/>
        <w:gridCol w:w="109"/>
        <w:gridCol w:w="109"/>
        <w:gridCol w:w="109"/>
        <w:gridCol w:w="2260"/>
        <w:gridCol w:w="109"/>
        <w:gridCol w:w="109"/>
        <w:gridCol w:w="109"/>
        <w:gridCol w:w="1745"/>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28" w:type="dxa"/>
            </w:tcMar>
            <w:vAlign w:val="center"/>
          </w:tcPr>
          <w:p>
            <w:pPr>
              <w:pStyle w:val="TableContents"/>
              <w:bidi w:val="0"/>
              <w:spacing w:before="0" w:after="283"/>
              <w:jc w:val="left"/>
              <w:rPr/>
            </w:pPr>
            <w:r>
              <w:rPr/>
              <w:t>​</w:t>
            </w:r>
          </w:p>
        </w:tc>
        <w:tc>
          <w:tcPr>
            <w:tcW w:w="8690" w:type="dxa"/>
            <w:gridSpan w:val="13"/>
            <w:tcBorders>
              <w:bottom w:val="single" w:sz="2" w:space="0" w:color="7F7F7F"/>
            </w:tcBorders>
            <w:shd w:fill="D8D8D8" w:val="clear"/>
            <w:tcMar>
              <w:bottom w:w="28" w:type="dxa"/>
            </w:tcMar>
            <w:vAlign w:val="center"/>
          </w:tcPr>
          <w:p>
            <w:pPr>
              <w:pStyle w:val="TableContents"/>
              <w:bidi w:val="0"/>
              <w:spacing w:lineRule="atLeast" w:line="216" w:before="0" w:after="0"/>
              <w:jc w:val="left"/>
              <w:rPr/>
            </w:pPr>
            <w:r>
              <w:rPr>
                <w:spacing w:val="-2"/>
              </w:rPr>
              <w:t>Generated robust, year-over-year growth in 2024 financial results company-wide:</w:t>
            </w:r>
            <w:r>
              <w:rPr/>
              <w:t xml:space="preserve"> </w:t>
            </w:r>
          </w:p>
        </w:tc>
        <w:tc>
          <w:tcPr>
            <w:tcW w:w="109" w:type="dxa"/>
            <w:tcBorders>
              <w:bottom w:val="single" w:sz="2" w:space="0" w:color="7F7F7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852" w:type="dxa"/>
            <w:tcBorders>
              <w:bottom w:val="single" w:sz="6" w:space="0" w:color="7F7F7F"/>
            </w:tcBorders>
            <w:tcMar>
              <w:bottom w:w="28" w:type="dxa"/>
            </w:tcMar>
            <w:vAlign w:val="center"/>
          </w:tcPr>
          <w:p>
            <w:pPr>
              <w:pStyle w:val="TableContents"/>
              <w:bidi w:val="0"/>
              <w:spacing w:lineRule="atLeast" w:line="216" w:before="0" w:after="0"/>
              <w:jc w:val="center"/>
              <w:rPr/>
            </w:pPr>
            <w:r>
              <w:rPr>
                <w:spacing w:val="-2"/>
              </w:rPr>
              <w:t xml:space="preserve">Operating </w:t>
              <w:br/>
              <w:t>Income</w:t>
            </w:r>
            <w:r>
              <w:rPr/>
              <w:t xml:space="preserve"> </w:t>
            </w:r>
          </w:p>
          <w:p>
            <w:pPr>
              <w:pStyle w:val="TableContents"/>
              <w:bidi w:val="0"/>
              <w:spacing w:before="120" w:after="283"/>
              <w:jc w:val="center"/>
              <w:rPr>
                <w:color w:val="000000"/>
                <w:sz w:val="56"/>
              </w:rPr>
            </w:pPr>
            <w:r>
              <w:rPr>
                <w:color w:val="000000"/>
                <w:spacing w:val="-6"/>
                <w:sz w:val="56"/>
              </w:rPr>
              <w:t>$660M</w:t>
            </w:r>
            <w:r>
              <w:rPr>
                <w:color w:val="000000"/>
                <w:sz w:val="56"/>
              </w:rPr>
              <w:t xml:space="preserve"> </w:t>
            </w:r>
          </w:p>
          <w:p>
            <w:pPr>
              <w:pStyle w:val="TableContents"/>
              <w:bidi w:val="0"/>
              <w:spacing w:lineRule="atLeast" w:line="216" w:before="36" w:after="283"/>
              <w:jc w:val="center"/>
              <w:rPr/>
            </w:pPr>
            <w:r>
              <w:rPr>
                <w:spacing w:val="-2"/>
              </w:rPr>
              <w:t>up 51%</w:t>
            </w:r>
            <w:r>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852" w:type="dxa"/>
            <w:tcBorders>
              <w:bottom w:val="single" w:sz="6" w:space="0" w:color="7F7F7F"/>
            </w:tcBorders>
            <w:tcMar>
              <w:bottom w:w="70" w:type="dxa"/>
            </w:tcMar>
            <w:vAlign w:val="center"/>
          </w:tcPr>
          <w:p>
            <w:pPr>
              <w:pStyle w:val="TableContents"/>
              <w:bidi w:val="0"/>
              <w:spacing w:lineRule="atLeast" w:line="216" w:before="0" w:after="0"/>
              <w:jc w:val="center"/>
              <w:rPr/>
            </w:pPr>
            <w:r>
              <w:rPr>
                <w:spacing w:val="-2"/>
              </w:rPr>
              <w:t xml:space="preserve">Net </w:t>
              <w:br/>
              <w:t>Income</w:t>
            </w:r>
            <w:r>
              <w:rPr/>
              <w:t xml:space="preserve"> </w:t>
            </w:r>
          </w:p>
          <w:p>
            <w:pPr>
              <w:pStyle w:val="TableContents"/>
              <w:bidi w:val="0"/>
              <w:spacing w:before="120" w:after="283"/>
              <w:jc w:val="center"/>
              <w:rPr>
                <w:color w:val="000000"/>
                <w:sz w:val="56"/>
              </w:rPr>
            </w:pPr>
            <w:r>
              <w:rPr>
                <w:color w:val="000000"/>
                <w:spacing w:val="-6"/>
                <w:sz w:val="56"/>
              </w:rPr>
              <w:t>$387M</w:t>
            </w:r>
            <w:r>
              <w:rPr>
                <w:color w:val="000000"/>
                <w:sz w:val="56"/>
              </w:rPr>
              <w:t xml:space="preserve"> </w:t>
            </w:r>
          </w:p>
          <w:p>
            <w:pPr>
              <w:pStyle w:val="TableContents"/>
              <w:bidi w:val="0"/>
              <w:spacing w:lineRule="atLeast" w:line="216" w:before="36" w:after="283"/>
              <w:jc w:val="center"/>
              <w:rPr/>
            </w:pPr>
            <w:r>
              <w:rPr>
                <w:spacing w:val="-2"/>
              </w:rPr>
              <w:t>up 105%</w:t>
            </w:r>
            <w:r>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2260" w:type="dxa"/>
            <w:tcBorders>
              <w:bottom w:val="single" w:sz="6" w:space="0" w:color="7F7F7F"/>
            </w:tcBorders>
            <w:tcMar>
              <w:bottom w:w="70" w:type="dxa"/>
            </w:tcMar>
            <w:vAlign w:val="center"/>
          </w:tcPr>
          <w:p>
            <w:pPr>
              <w:pStyle w:val="TableContents"/>
              <w:bidi w:val="0"/>
              <w:spacing w:lineRule="atLeast" w:line="216" w:before="0" w:after="0"/>
              <w:jc w:val="center"/>
              <w:rPr/>
            </w:pPr>
            <w:r>
              <w:rPr>
                <w:spacing w:val="-2"/>
              </w:rPr>
              <w:t xml:space="preserve">Adjusted </w:t>
              <w:br/>
              <w:t>EBITDA</w:t>
            </w:r>
            <w:r>
              <w:rPr>
                <w:spacing w:val="-1"/>
                <w:sz w:val="11"/>
              </w:rPr>
              <w:t>(1)</w:t>
            </w:r>
            <w:r>
              <w:rPr/>
              <w:t xml:space="preserve"> </w:t>
            </w:r>
          </w:p>
          <w:p>
            <w:pPr>
              <w:pStyle w:val="TableContents"/>
              <w:bidi w:val="0"/>
              <w:spacing w:before="120" w:after="283"/>
              <w:jc w:val="center"/>
              <w:rPr>
                <w:color w:val="000000"/>
                <w:sz w:val="56"/>
              </w:rPr>
            </w:pPr>
            <w:r>
              <w:rPr>
                <w:color w:val="000000"/>
                <w:spacing w:val="-6"/>
                <w:sz w:val="56"/>
              </w:rPr>
              <w:t>$1,266M</w:t>
            </w:r>
            <w:r>
              <w:rPr>
                <w:color w:val="000000"/>
                <w:sz w:val="56"/>
              </w:rPr>
              <w:t xml:space="preserve"> </w:t>
            </w:r>
          </w:p>
          <w:p>
            <w:pPr>
              <w:pStyle w:val="TableContents"/>
              <w:bidi w:val="0"/>
              <w:spacing w:lineRule="atLeast" w:line="216" w:before="36" w:after="283"/>
              <w:jc w:val="center"/>
              <w:rPr/>
            </w:pPr>
            <w:r>
              <w:rPr>
                <w:spacing w:val="-2"/>
              </w:rPr>
              <w:t>up 27%</w:t>
            </w:r>
            <w:r>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745" w:type="dxa"/>
            <w:tcBorders>
              <w:bottom w:val="single" w:sz="6" w:space="0" w:color="7F7F7F"/>
            </w:tcBorders>
            <w:tcMar>
              <w:bottom w:w="70" w:type="dxa"/>
            </w:tcMar>
            <w:vAlign w:val="center"/>
          </w:tcPr>
          <w:p>
            <w:pPr>
              <w:pStyle w:val="TableContents"/>
              <w:bidi w:val="0"/>
              <w:spacing w:lineRule="atLeast" w:line="216" w:before="0" w:after="0"/>
              <w:jc w:val="center"/>
              <w:rPr/>
            </w:pPr>
            <w:r>
              <w:rPr>
                <w:spacing w:val="-2"/>
              </w:rPr>
              <w:t xml:space="preserve">Diluted Earnings </w:t>
              <w:br/>
              <w:t>Per Share</w:t>
            </w:r>
            <w:r>
              <w:rPr/>
              <w:t xml:space="preserve"> </w:t>
            </w:r>
          </w:p>
          <w:p>
            <w:pPr>
              <w:pStyle w:val="TableContents"/>
              <w:bidi w:val="0"/>
              <w:spacing w:before="120" w:after="283"/>
              <w:jc w:val="center"/>
              <w:rPr>
                <w:color w:val="000000"/>
                <w:sz w:val="56"/>
              </w:rPr>
            </w:pPr>
            <w:r>
              <w:rPr>
                <w:color w:val="000000"/>
                <w:spacing w:val="-6"/>
                <w:sz w:val="56"/>
              </w:rPr>
              <w:t>$3.23</w:t>
            </w:r>
            <w:r>
              <w:rPr>
                <w:color w:val="000000"/>
                <w:sz w:val="56"/>
              </w:rPr>
              <w:t xml:space="preserve"> </w:t>
            </w:r>
          </w:p>
          <w:p>
            <w:pPr>
              <w:pStyle w:val="TableContents"/>
              <w:bidi w:val="0"/>
              <w:spacing w:lineRule="atLeast" w:line="216" w:before="36" w:after="283"/>
              <w:jc w:val="center"/>
              <w:rPr/>
            </w:pPr>
            <w:r>
              <w:rPr>
                <w:spacing w:val="-2"/>
              </w:rPr>
              <w:t>up 102%</w:t>
            </w:r>
            <w:r>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09"/>
        <w:gridCol w:w="2071"/>
        <w:gridCol w:w="109"/>
        <w:gridCol w:w="109"/>
        <w:gridCol w:w="109"/>
        <w:gridCol w:w="1684"/>
        <w:gridCol w:w="109"/>
        <w:gridCol w:w="109"/>
        <w:gridCol w:w="109"/>
        <w:gridCol w:w="2049"/>
        <w:gridCol w:w="109"/>
        <w:gridCol w:w="109"/>
        <w:gridCol w:w="109"/>
        <w:gridCol w:w="2002"/>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28" w:type="dxa"/>
            </w:tcMar>
            <w:vAlign w:val="center"/>
          </w:tcPr>
          <w:p>
            <w:pPr>
              <w:pStyle w:val="TableContents"/>
              <w:bidi w:val="0"/>
              <w:spacing w:before="0" w:after="283"/>
              <w:jc w:val="left"/>
              <w:rPr/>
            </w:pPr>
            <w:r>
              <w:rPr/>
              <w:t>​</w:t>
            </w:r>
          </w:p>
        </w:tc>
        <w:tc>
          <w:tcPr>
            <w:tcW w:w="8787" w:type="dxa"/>
            <w:gridSpan w:val="13"/>
            <w:tcBorders>
              <w:bottom w:val="single" w:sz="2" w:space="0" w:color="7F7F7F"/>
            </w:tcBorders>
            <w:shd w:fill="D8D8D8" w:val="clear"/>
            <w:tcMar>
              <w:bottom w:w="28" w:type="dxa"/>
            </w:tcMar>
            <w:vAlign w:val="center"/>
          </w:tcPr>
          <w:p>
            <w:pPr>
              <w:pStyle w:val="TableContents"/>
              <w:bidi w:val="0"/>
              <w:spacing w:lineRule="atLeast" w:line="216" w:before="0" w:after="0"/>
              <w:jc w:val="left"/>
              <w:rPr/>
            </w:pPr>
            <w:r>
              <w:rPr>
                <w:spacing w:val="-2"/>
              </w:rPr>
              <w:t>Achieved major progress on all four levers of our LTL growth plan in 2024:</w:t>
            </w:r>
            <w:r>
              <w:rPr/>
              <w:t xml:space="preserve"> </w:t>
            </w:r>
          </w:p>
        </w:tc>
        <w:tc>
          <w:tcPr>
            <w:tcW w:w="109" w:type="dxa"/>
            <w:tcBorders>
              <w:bottom w:val="single" w:sz="2" w:space="0" w:color="7F7F7F"/>
            </w:tcBorders>
            <w:shd w:fill="D8D8D8" w:val="clear"/>
            <w:tcMar>
              <w:bottom w:w="28" w:type="dxa"/>
            </w:tcMar>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lineRule="atLeast" w:line="216" w:before="0" w:after="0"/>
              <w:jc w:val="center"/>
              <w:rPr/>
            </w:pPr>
            <w:r>
              <w:rPr>
                <w:spacing w:val="-2"/>
              </w:rPr>
              <w:t xml:space="preserve">PROVIDE BEST-IN-CLASS </w:t>
              <w:br/>
              <w:t>SERVICE</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lineRule="atLeast" w:line="216" w:before="0" w:after="0"/>
              <w:jc w:val="center"/>
              <w:rPr/>
            </w:pPr>
            <w:r>
              <w:rPr>
                <w:spacing w:val="-2"/>
              </w:rPr>
              <w:t xml:space="preserve">INVEST IN NETWORK </w:t>
              <w:br/>
              <w:t xml:space="preserve">GROWTH FOR </w:t>
              <w:br/>
              <w:t>THE LONG TERM</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9" w:type="dxa"/>
            <w:tcBorders/>
            <w:vAlign w:val="center"/>
          </w:tcPr>
          <w:p>
            <w:pPr>
              <w:pStyle w:val="TableContents"/>
              <w:bidi w:val="0"/>
              <w:spacing w:lineRule="atLeast" w:line="216" w:before="0" w:after="0"/>
              <w:jc w:val="center"/>
              <w:rPr>
                <w:spacing w:val="-2"/>
              </w:rPr>
            </w:pPr>
            <w:r>
              <w:rPr>
                <w:spacing w:val="-2"/>
              </w:rPr>
              <w:t xml:space="preserve">ACCELERATE YIELD </w:t>
              <w:br/>
              <w:t xml:space="preserve">GROWTH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2" w:type="dxa"/>
            <w:tcBorders/>
            <w:vAlign w:val="center"/>
          </w:tcPr>
          <w:p>
            <w:pPr>
              <w:pStyle w:val="TableContents"/>
              <w:bidi w:val="0"/>
              <w:spacing w:lineRule="atLeast" w:line="216" w:before="0" w:after="0"/>
              <w:jc w:val="center"/>
              <w:rPr/>
            </w:pPr>
            <w:r>
              <w:rPr>
                <w:spacing w:val="-2"/>
              </w:rPr>
              <w:t xml:space="preserve">DRIVE COST </w:t>
              <w:br/>
              <w:t>EFFICIENCIES</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2071" w:type="dxa"/>
            <w:tcBorders>
              <w:bottom w:val="single" w:sz="2" w:space="0" w:color="7F7F7F"/>
            </w:tcBorders>
            <w:tcMar>
              <w:bottom w:w="55" w:type="dxa"/>
            </w:tcMar>
            <w:vAlign w:val="center"/>
          </w:tcPr>
          <w:p>
            <w:pPr>
              <w:pStyle w:val="TableContents"/>
              <w:bidi w:val="0"/>
              <w:spacing w:lineRule="atLeast" w:line="216" w:before="0" w:after="0"/>
              <w:ind w:left="180" w:right="0" w:hanging="0"/>
              <w:jc w:val="left"/>
              <w:rPr/>
            </w:pPr>
            <w:r>
              <w:rPr>
                <w:spacing w:val="-2"/>
              </w:rPr>
              <w:t>Damage claims ratio of 0.2% in Q4, compared with 1.2% at year-end 2021</w:t>
            </w:r>
            <w:r>
              <w:rPr/>
              <w:t xml:space="preserve">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114300" cy="525780"/>
                      <wp:effectExtent l="0" t="0" r="0" b="0"/>
                      <wp:wrapSquare wrapText="right"/>
                      <wp:docPr id="21" name="Frame1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Improved on-time performance from 2023</w:t>
            </w:r>
            <w:r>
              <w:rPr/>
              <w:t xml:space="preserve"> </w:t>
            </w:r>
            <w:r>
              <mc:AlternateContent>
                <mc:Choice Requires="wps">
                  <w:drawing>
                    <wp:anchor behindDoc="0" distT="99060" distB="0" distL="0" distR="0" simplePos="0" locked="0" layoutInCell="1" allowOverlap="1" relativeHeight="143">
                      <wp:simplePos x="0" y="0"/>
                      <wp:positionH relativeFrom="column">
                        <wp:align>left</wp:align>
                      </wp:positionH>
                      <wp:positionV relativeFrom="line">
                        <wp:align>top</wp:align>
                      </wp:positionV>
                      <wp:extent cx="114300" cy="525780"/>
                      <wp:effectExtent l="0" t="0" r="0" b="0"/>
                      <wp:wrapSquare wrapText="right"/>
                      <wp:docPr id="22" name="Frame1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360" w:right="0" w:hanging="0"/>
              <w:jc w:val="left"/>
              <w:rPr>
                <w:spacing w:val="-2"/>
              </w:rPr>
            </w:pPr>
            <w:r>
              <w:rPr>
                <w:spacing w:val="-2"/>
              </w:rPr>
              <w:t xml:space="preserve">Q4 was the eleventh consecutive quarter of year-over-year improvement </w:t>
            </w:r>
            <w:r>
              <mc:AlternateContent>
                <mc:Choice Requires="wps">
                  <w:drawing>
                    <wp:anchor behindDoc="0" distT="99060" distB="0" distL="114300" distR="0" simplePos="0" locked="0" layoutInCell="1" allowOverlap="1" relativeHeight="144">
                      <wp:simplePos x="0" y="0"/>
                      <wp:positionH relativeFrom="column">
                        <wp:align>left</wp:align>
                      </wp:positionH>
                      <wp:positionV relativeFrom="line">
                        <wp:align>top</wp:align>
                      </wp:positionV>
                      <wp:extent cx="114300" cy="350520"/>
                      <wp:effectExtent l="0" t="0" r="0" b="0"/>
                      <wp:wrapSquare wrapText="right"/>
                      <wp:docPr id="23" name="Frame1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6"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216"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684" w:type="dxa"/>
            <w:tcBorders>
              <w:bottom w:val="single" w:sz="2" w:space="0" w:color="7F7F7F"/>
            </w:tcBorders>
            <w:tcMar>
              <w:bottom w:w="55" w:type="dxa"/>
            </w:tcMar>
            <w:vAlign w:val="center"/>
          </w:tcPr>
          <w:p>
            <w:pPr>
              <w:pStyle w:val="TableContents"/>
              <w:bidi w:val="0"/>
              <w:spacing w:lineRule="atLeast" w:line="216" w:before="0" w:after="0"/>
              <w:ind w:left="180" w:right="0" w:hanging="0"/>
              <w:jc w:val="left"/>
              <w:rPr/>
            </w:pPr>
            <w:r>
              <w:rPr>
                <w:spacing w:val="-2"/>
              </w:rPr>
              <w:t>Added 2,300+ tractors and 4,400+ trailers</w:t>
            </w:r>
            <w:r>
              <w:rPr/>
              <w:t xml:space="preserve">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114300" cy="525780"/>
                      <wp:effectExtent l="0" t="0" r="0" b="0"/>
                      <wp:wrapSquare wrapText="right"/>
                      <wp:docPr id="24" name="Frame1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360" w:right="0" w:hanging="0"/>
              <w:jc w:val="left"/>
              <w:rPr/>
            </w:pPr>
            <w:r>
              <w:rPr>
                <w:spacing w:val="-2"/>
              </w:rPr>
              <w:t>Reduced tractor age to 4.1 years at year-end 2024, compared with 5.9 years at year-end 2022</w:t>
            </w:r>
            <w:r>
              <w:rPr/>
              <w:t xml:space="preserve"> </w:t>
            </w:r>
            <w:r>
              <mc:AlternateContent>
                <mc:Choice Requires="wps">
                  <w:drawing>
                    <wp:anchor behindDoc="0" distT="99060" distB="0" distL="114300" distR="0" simplePos="0" locked="0" layoutInCell="1" allowOverlap="1" relativeHeight="146">
                      <wp:simplePos x="0" y="0"/>
                      <wp:positionH relativeFrom="column">
                        <wp:align>left</wp:align>
                      </wp:positionH>
                      <wp:positionV relativeFrom="line">
                        <wp:align>top</wp:align>
                      </wp:positionV>
                      <wp:extent cx="114300" cy="350520"/>
                      <wp:effectExtent l="0" t="0" r="0" b="0"/>
                      <wp:wrapSquare wrapText="right"/>
                      <wp:docPr id="25" name="Frame1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6"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216"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spacing w:val="-2"/>
              </w:rPr>
            </w:pPr>
            <w:r>
              <w:rPr>
                <w:spacing w:val="-2"/>
              </w:rPr>
              <w:t xml:space="preserve">Seamlessly integrated 25 new service centers into our network, bringing our footprint to 303 service centers </w:t>
            </w:r>
            <w:r>
              <mc:AlternateContent>
                <mc:Choice Requires="wps">
                  <w:drawing>
                    <wp:anchor behindDoc="0" distT="99060" distB="0" distL="0" distR="0" simplePos="0" locked="0" layoutInCell="1" allowOverlap="1" relativeHeight="147">
                      <wp:simplePos x="0" y="0"/>
                      <wp:positionH relativeFrom="column">
                        <wp:align>left</wp:align>
                      </wp:positionH>
                      <wp:positionV relativeFrom="line">
                        <wp:align>top</wp:align>
                      </wp:positionV>
                      <wp:extent cx="114300" cy="525780"/>
                      <wp:effectExtent l="0" t="0" r="0" b="0"/>
                      <wp:wrapSquare wrapText="right"/>
                      <wp:docPr id="26" name="Frame1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2049" w:type="dxa"/>
            <w:tcBorders>
              <w:bottom w:val="single" w:sz="2" w:space="0" w:color="7F7F7F"/>
            </w:tcBorders>
            <w:tcMar>
              <w:bottom w:w="55" w:type="dxa"/>
            </w:tcMar>
            <w:vAlign w:val="center"/>
          </w:tcPr>
          <w:p>
            <w:pPr>
              <w:pStyle w:val="TableContents"/>
              <w:bidi w:val="0"/>
              <w:spacing w:lineRule="atLeast" w:line="216" w:before="0" w:after="0"/>
              <w:ind w:left="180" w:right="0" w:hanging="0"/>
              <w:jc w:val="left"/>
              <w:rPr/>
            </w:pPr>
            <w:r>
              <w:rPr>
                <w:spacing w:val="-2"/>
              </w:rPr>
              <w:t>Grew yield ex-fuel by 7.8% from 2023</w:t>
            </w:r>
            <w:r>
              <w:rPr/>
              <w:t xml:space="preserve">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114300" cy="525780"/>
                      <wp:effectExtent l="0" t="0" r="0" b="0"/>
                      <wp:wrapSquare wrapText="right"/>
                      <wp:docPr id="27" name="Frame1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360" w:right="0" w:hanging="0"/>
              <w:jc w:val="left"/>
              <w:rPr>
                <w:spacing w:val="-2"/>
              </w:rPr>
            </w:pPr>
            <w:r>
              <w:rPr>
                <w:spacing w:val="-2"/>
              </w:rPr>
              <w:t xml:space="preserve">Driven by enhanced service quality, expansion of accessorial services and sales growth with local customers </w:t>
            </w:r>
            <w:r>
              <mc:AlternateContent>
                <mc:Choice Requires="wps">
                  <w:drawing>
                    <wp:anchor behindDoc="0" distT="99060" distB="0" distL="114300" distR="0" simplePos="0" locked="0" layoutInCell="1" allowOverlap="1" relativeHeight="149">
                      <wp:simplePos x="0" y="0"/>
                      <wp:positionH relativeFrom="column">
                        <wp:align>left</wp:align>
                      </wp:positionH>
                      <wp:positionV relativeFrom="line">
                        <wp:align>top</wp:align>
                      </wp:positionV>
                      <wp:extent cx="114300" cy="350520"/>
                      <wp:effectExtent l="0" t="0" r="0" b="0"/>
                      <wp:wrapSquare wrapText="right"/>
                      <wp:docPr id="28" name="Frame2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6"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216"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2002" w:type="dxa"/>
            <w:tcBorders>
              <w:bottom w:val="single" w:sz="2" w:space="0" w:color="7F7F7F"/>
            </w:tcBorders>
            <w:tcMar>
              <w:bottom w:w="55" w:type="dxa"/>
            </w:tcMar>
            <w:vAlign w:val="center"/>
          </w:tcPr>
          <w:p>
            <w:pPr>
              <w:pStyle w:val="TableContents"/>
              <w:bidi w:val="0"/>
              <w:spacing w:lineRule="atLeast" w:line="216" w:before="0" w:after="0"/>
              <w:ind w:left="180" w:right="0" w:hanging="0"/>
              <w:jc w:val="left"/>
              <w:rPr/>
            </w:pPr>
            <w:r>
              <w:rPr>
                <w:spacing w:val="-2"/>
              </w:rPr>
              <w:t>Reduced purchased transportation expense by 32% from 2023</w:t>
            </w:r>
            <w:r>
              <w:rPr/>
              <w:t xml:space="preserve">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114300" cy="525780"/>
                      <wp:effectExtent l="0" t="0" r="0" b="0"/>
                      <wp:wrapSquare wrapText="right"/>
                      <wp:docPr id="29" name="Frame2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Reduced linehaul miles outsourced to third parties by 890 basis points to 14.7% of total miles</w:t>
            </w:r>
            <w:r>
              <w:rPr/>
              <w:t xml:space="preserve"> </w:t>
            </w:r>
            <w:r>
              <mc:AlternateContent>
                <mc:Choice Requires="wps">
                  <w:drawing>
                    <wp:anchor behindDoc="0" distT="99060" distB="0" distL="0" distR="0" simplePos="0" locked="0" layoutInCell="1" allowOverlap="1" relativeHeight="151">
                      <wp:simplePos x="0" y="0"/>
                      <wp:positionH relativeFrom="column">
                        <wp:align>left</wp:align>
                      </wp:positionH>
                      <wp:positionV relativeFrom="line">
                        <wp:align>top</wp:align>
                      </wp:positionV>
                      <wp:extent cx="114300" cy="525780"/>
                      <wp:effectExtent l="0" t="0" r="0" b="0"/>
                      <wp:wrapSquare wrapText="right"/>
                      <wp:docPr id="30" name="Frame2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Exited the year at 10.7% linehaul miles outsourced to third parties in Q4, best level in company history</w:t>
            </w:r>
            <w:r>
              <w:rPr/>
              <w:t xml:space="preserve"> </w:t>
            </w:r>
            <w:r>
              <mc:AlternateContent>
                <mc:Choice Requires="wps">
                  <w:drawing>
                    <wp:anchor behindDoc="0" distT="99060" distB="0" distL="0" distR="0" simplePos="0" locked="0" layoutInCell="1" allowOverlap="1" relativeHeight="152">
                      <wp:simplePos x="0" y="0"/>
                      <wp:positionH relativeFrom="column">
                        <wp:align>left</wp:align>
                      </wp:positionH>
                      <wp:positionV relativeFrom="line">
                        <wp:align>top</wp:align>
                      </wp:positionV>
                      <wp:extent cx="114300" cy="525780"/>
                      <wp:effectExtent l="0" t="0" r="0" b="0"/>
                      <wp:wrapSquare wrapText="right"/>
                      <wp:docPr id="31" name="Frame2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Leveraged proprietary technology to drive productivity gains</w:t>
            </w:r>
            <w:r>
              <w:rPr/>
              <w:t xml:space="preserve"> </w:t>
            </w:r>
            <w:r>
              <mc:AlternateContent>
                <mc:Choice Requires="wps">
                  <w:drawing>
                    <wp:anchor behindDoc="0" distT="99060" distB="0" distL="0" distR="0" simplePos="0" locked="0" layoutInCell="1" allowOverlap="1" relativeHeight="153">
                      <wp:simplePos x="0" y="0"/>
                      <wp:positionH relativeFrom="column">
                        <wp:align>left</wp:align>
                      </wp:positionH>
                      <wp:positionV relativeFrom="line">
                        <wp:align>top</wp:align>
                      </wp:positionV>
                      <wp:extent cx="114300" cy="525780"/>
                      <wp:effectExtent l="0" t="0" r="0" b="0"/>
                      <wp:wrapSquare wrapText="right"/>
                      <wp:docPr id="32" name="Frame2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8787" w:type="dxa"/>
            <w:gridSpan w:val="13"/>
            <w:tcBorders>
              <w:bottom w:val="single" w:sz="2" w:space="0" w:color="7F7F7F"/>
            </w:tcBorders>
            <w:shd w:fill="CCCCCC" w:val="clear"/>
            <w:tcMar>
              <w:bottom w:w="28" w:type="dxa"/>
            </w:tcMar>
            <w:vAlign w:val="center"/>
          </w:tcPr>
          <w:p>
            <w:pPr>
              <w:pStyle w:val="TableContents"/>
              <w:bidi w:val="0"/>
              <w:spacing w:lineRule="atLeast" w:line="216" w:before="0" w:after="0"/>
              <w:jc w:val="left"/>
              <w:rPr/>
            </w:pPr>
            <w:r>
              <w:rPr>
                <w:spacing w:val="-2"/>
              </w:rPr>
              <w:t>Delivered above-market LTL growth and profitability:</w:t>
            </w:r>
            <w:r>
              <w:rPr/>
              <w:t xml:space="preserve">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56"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8787" w:type="dxa"/>
            <w:gridSpan w:val="13"/>
            <w:tcBorders>
              <w:bottom w:val="single" w:sz="2" w:space="0" w:color="7F7F7F"/>
            </w:tcBorders>
            <w:tcMar>
              <w:bottom w:w="28" w:type="dxa"/>
            </w:tcMar>
            <w:vAlign w:val="center"/>
          </w:tcPr>
          <w:p>
            <w:pPr>
              <w:pStyle w:val="TableContents"/>
              <w:bidi w:val="0"/>
              <w:spacing w:lineRule="atLeast" w:line="180" w:before="0" w:after="0"/>
              <w:ind w:left="180" w:right="0" w:hanging="0"/>
              <w:jc w:val="left"/>
              <w:rPr>
                <w:spacing w:val="-2"/>
                <w:sz w:val="18"/>
              </w:rPr>
            </w:pPr>
            <w:r>
              <w:rPr>
                <w:spacing w:val="-2"/>
                <w:sz w:val="18"/>
              </w:rPr>
              <w:t xml:space="preserve">Generated 2024 segment revenue (excluding fuel surcharge revenue) of $4.1 billion, up 7.9% year-over-year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114300" cy="464820"/>
                      <wp:effectExtent l="0" t="0" r="0" b="0"/>
                      <wp:wrapSquare wrapText="right"/>
                      <wp:docPr id="33" name="Frame25"/>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Grew operating income to $735 million, up 36% year-over-year </w:t>
            </w:r>
            <w:r>
              <mc:AlternateContent>
                <mc:Choice Requires="wps">
                  <w:drawing>
                    <wp:anchor behindDoc="0" distT="99060" distB="0" distL="0" distR="0" simplePos="0" locked="0" layoutInCell="1" allowOverlap="1" relativeHeight="155">
                      <wp:simplePos x="0" y="0"/>
                      <wp:positionH relativeFrom="column">
                        <wp:align>left</wp:align>
                      </wp:positionH>
                      <wp:positionV relativeFrom="line">
                        <wp:align>top</wp:align>
                      </wp:positionV>
                      <wp:extent cx="114300" cy="464820"/>
                      <wp:effectExtent l="0" t="0" r="0" b="0"/>
                      <wp:wrapSquare wrapText="right"/>
                      <wp:docPr id="34" name="Frame26"/>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pPr>
            <w:r>
              <w:rPr>
                <w:spacing w:val="-2"/>
              </w:rPr>
              <w:t>Improved adjusted operating ratio</w:t>
            </w:r>
            <w:r>
              <w:rPr>
                <w:color w:val="404040"/>
                <w:spacing w:val="-1"/>
                <w:sz w:val="11"/>
              </w:rPr>
              <w:t>(1)</w:t>
            </w:r>
            <w:r>
              <w:rPr>
                <w:spacing w:val="-2"/>
              </w:rPr>
              <w:t xml:space="preserve"> by 260 basis points year-over-year to 84.8%, ahead of our target range </w:t>
            </w:r>
            <w:r>
              <mc:AlternateContent>
                <mc:Choice Requires="wps">
                  <w:drawing>
                    <wp:anchor behindDoc="0" distT="99060" distB="0" distL="0" distR="0" simplePos="0" locked="0" layoutInCell="1" allowOverlap="1" relativeHeight="156">
                      <wp:simplePos x="0" y="0"/>
                      <wp:positionH relativeFrom="column">
                        <wp:align>left</wp:align>
                      </wp:positionH>
                      <wp:positionV relativeFrom="line">
                        <wp:align>top</wp:align>
                      </wp:positionV>
                      <wp:extent cx="114300" cy="525780"/>
                      <wp:effectExtent l="0" t="0" r="0" b="0"/>
                      <wp:wrapSquare wrapText="right"/>
                      <wp:docPr id="35" name="Frame2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Grew adjusted EBITDA to $1.1 billion, up 29% year-over-year </w:t>
            </w:r>
            <w:r>
              <mc:AlternateContent>
                <mc:Choice Requires="wps">
                  <w:drawing>
                    <wp:anchor behindDoc="0" distT="99060" distB="0" distL="0" distR="0" simplePos="0" locked="0" layoutInCell="1" allowOverlap="1" relativeHeight="157">
                      <wp:simplePos x="0" y="0"/>
                      <wp:positionH relativeFrom="column">
                        <wp:align>left</wp:align>
                      </wp:positionH>
                      <wp:positionV relativeFrom="line">
                        <wp:align>top</wp:align>
                      </wp:positionV>
                      <wp:extent cx="114300" cy="464820"/>
                      <wp:effectExtent l="0" t="0" r="0" b="0"/>
                      <wp:wrapSquare wrapText="right"/>
                      <wp:docPr id="36" name="Frame28"/>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Improved adjusted EBITDA margin by 430 basis points year-over-year to 22.8% </w:t>
            </w:r>
            <w:r>
              <mc:AlternateContent>
                <mc:Choice Requires="wps">
                  <w:drawing>
                    <wp:anchor behindDoc="0" distT="99060" distB="0" distL="0" distR="0" simplePos="0" locked="0" layoutInCell="1" allowOverlap="1" relativeHeight="158">
                      <wp:simplePos x="0" y="0"/>
                      <wp:positionH relativeFrom="column">
                        <wp:align>left</wp:align>
                      </wp:positionH>
                      <wp:positionV relativeFrom="line">
                        <wp:align>top</wp:align>
                      </wp:positionV>
                      <wp:extent cx="114300" cy="464820"/>
                      <wp:effectExtent l="0" t="0" r="0" b="0"/>
                      <wp:wrapSquare wrapText="right"/>
                      <wp:docPr id="37" name="Frame29"/>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8787" w:type="dxa"/>
            <w:gridSpan w:val="13"/>
            <w:tcBorders>
              <w:bottom w:val="single" w:sz="6" w:space="0" w:color="7F7F7F"/>
            </w:tcBorders>
            <w:tcMar>
              <w:bottom w:w="28" w:type="dxa"/>
            </w:tcMar>
            <w:vAlign w:val="center"/>
          </w:tcPr>
          <w:p>
            <w:pPr>
              <w:pStyle w:val="TableContents"/>
              <w:bidi w:val="0"/>
              <w:spacing w:before="0" w:after="0"/>
              <w:jc w:val="left"/>
              <w:rPr>
                <w:color w:val="404040"/>
              </w:rPr>
            </w:pPr>
            <w:r>
              <w:rPr>
                <w:color w:val="404040"/>
                <w:spacing w:val="-1"/>
                <w:sz w:val="11"/>
              </w:rPr>
              <w:t>(1)</w:t>
            </w:r>
            <w:r>
              <w:rPr>
                <w:color w:val="404040"/>
                <w:spacing w:val="-2"/>
              </w:rPr>
              <w:t xml:space="preserve"> </w:t>
            </w:r>
            <w:r>
              <w:rPr>
                <w:color w:val="404040"/>
                <w:spacing w:val="-2"/>
                <w:sz w:val="18"/>
              </w:rPr>
              <w:t>See Annex A for reconciliations of non-GAAP measures.</w:t>
            </w:r>
            <w:r>
              <w:rPr>
                <w:color w:val="404040"/>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09"/>
        <w:gridCol w:w="878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28" w:type="dxa"/>
            </w:tcMar>
            <w:vAlign w:val="center"/>
          </w:tcPr>
          <w:p>
            <w:pPr>
              <w:pStyle w:val="TableContents"/>
              <w:bidi w:val="0"/>
              <w:spacing w:before="0" w:after="283"/>
              <w:jc w:val="left"/>
              <w:rPr/>
            </w:pPr>
            <w:r>
              <w:rPr/>
              <w:t>​</w:t>
            </w:r>
          </w:p>
        </w:tc>
        <w:tc>
          <w:tcPr>
            <w:tcW w:w="8789" w:type="dxa"/>
            <w:tcBorders>
              <w:bottom w:val="single" w:sz="2" w:space="0" w:color="7F7F7F"/>
            </w:tcBorders>
            <w:shd w:fill="D8D8D8" w:val="clear"/>
            <w:tcMar>
              <w:bottom w:w="40" w:type="dxa"/>
            </w:tcMar>
            <w:vAlign w:val="center"/>
          </w:tcPr>
          <w:p>
            <w:pPr>
              <w:pStyle w:val="TableContents"/>
              <w:bidi w:val="0"/>
              <w:spacing w:lineRule="atLeast" w:line="216" w:before="0" w:after="0"/>
              <w:jc w:val="left"/>
              <w:rPr/>
            </w:pPr>
            <w:r>
              <w:rPr>
                <w:spacing w:val="-2"/>
              </w:rPr>
              <w:t>Attained all-time-high employee engagement:</w:t>
            </w:r>
            <w:r>
              <w:rPr/>
              <w:t xml:space="preserve"> </w:t>
            </w:r>
          </w:p>
        </w:tc>
        <w:tc>
          <w:tcPr>
            <w:tcW w:w="109" w:type="dxa"/>
            <w:tcBorders>
              <w:bottom w:val="single" w:sz="2" w:space="0" w:color="7F7F7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8789" w:type="dxa"/>
            <w:tcBorders>
              <w:bottom w:val="single" w:sz="6" w:space="0" w:color="7F7F7F"/>
            </w:tcBorders>
            <w:tcMar>
              <w:bottom w:w="80" w:type="dxa"/>
            </w:tcMar>
            <w:vAlign w:val="center"/>
          </w:tcPr>
          <w:p>
            <w:pPr>
              <w:pStyle w:val="TableContents"/>
              <w:bidi w:val="0"/>
              <w:spacing w:lineRule="atLeast" w:line="216" w:before="0" w:after="0"/>
              <w:ind w:left="180" w:right="0" w:hanging="0"/>
              <w:jc w:val="left"/>
              <w:rPr>
                <w:spacing w:val="-2"/>
              </w:rPr>
            </w:pPr>
            <w:r>
              <w:rPr>
                <w:spacing w:val="-2"/>
              </w:rPr>
              <w:t xml:space="preserve">Globally, overall satisfaction rose for another year, showing sequential year-over-year improvement among the company’s total wired employee population; Q1 2024 was a new company record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114300" cy="525780"/>
                      <wp:effectExtent l="0" t="0" r="0" b="0"/>
                      <wp:wrapSquare wrapText="right"/>
                      <wp:docPr id="38" name="Frame3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 xml:space="preserve">Most recent </w:t>
            </w:r>
            <w:r>
              <w:rPr>
                <w:i/>
              </w:rPr>
              <w:t>North American Dockworker, Driver and Manufacturing Survey</w:t>
            </w:r>
            <w:r>
              <w:rPr>
                <w:spacing w:val="-2"/>
              </w:rPr>
              <w:t xml:space="preserve"> response rate was 86.7%, with over 13,000 LTL employees participating </w:t>
            </w:r>
            <w:r>
              <mc:AlternateContent>
                <mc:Choice Requires="wps">
                  <w:drawing>
                    <wp:anchor behindDoc="0" distT="99060" distB="0" distL="0" distR="0" simplePos="0" locked="0" layoutInCell="1" allowOverlap="1" relativeHeight="160">
                      <wp:simplePos x="0" y="0"/>
                      <wp:positionH relativeFrom="column">
                        <wp:align>left</wp:align>
                      </wp:positionH>
                      <wp:positionV relativeFrom="line">
                        <wp:align>top</wp:align>
                      </wp:positionV>
                      <wp:extent cx="114300" cy="525780"/>
                      <wp:effectExtent l="0" t="0" r="0" b="0"/>
                      <wp:wrapSquare wrapText="right"/>
                      <wp:docPr id="39" name="Frame3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Increased 2024 job satisfaction to the highest score in the company’s recorded history for LTL </w:t>
            </w:r>
            <w:r>
              <mc:AlternateContent>
                <mc:Choice Requires="wps">
                  <w:drawing>
                    <wp:anchor behindDoc="0" distT="99060" distB="0" distL="0" distR="0" simplePos="0" locked="0" layoutInCell="1" allowOverlap="1" relativeHeight="161">
                      <wp:simplePos x="0" y="0"/>
                      <wp:positionH relativeFrom="column">
                        <wp:align>left</wp:align>
                      </wp:positionH>
                      <wp:positionV relativeFrom="line">
                        <wp:align>top</wp:align>
                      </wp:positionV>
                      <wp:extent cx="114300" cy="464820"/>
                      <wp:effectExtent l="0" t="0" r="0" b="0"/>
                      <wp:wrapSquare wrapText="right"/>
                      <wp:docPr id="40" name="Frame32"/>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Reduced voluntary turnover in three key LTL employee groups by year-end 2024: a 7% decrease in dockworker turnover, and a 3% decrease in turnover for both driver sales representatives and freight operations supervisors</w:t>
            </w:r>
            <w:r>
              <w:rPr/>
              <w:t xml:space="preserve"> </w:t>
            </w:r>
            <w:r>
              <mc:AlternateContent>
                <mc:Choice Requires="wps">
                  <w:drawing>
                    <wp:anchor behindDoc="0" distT="99060" distB="0" distL="0" distR="0" simplePos="0" locked="0" layoutInCell="1" allowOverlap="1" relativeHeight="162">
                      <wp:simplePos x="0" y="0"/>
                      <wp:positionH relativeFrom="column">
                        <wp:align>left</wp:align>
                      </wp:positionH>
                      <wp:positionV relativeFrom="line">
                        <wp:align>top</wp:align>
                      </wp:positionV>
                      <wp:extent cx="114300" cy="525780"/>
                      <wp:effectExtent l="0" t="0" r="0" b="0"/>
                      <wp:wrapSquare wrapText="right"/>
                      <wp:docPr id="41" name="Frame3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379" w:type="dxa"/>
        <w:jc w:val="left"/>
        <w:tblInd w:w="920" w:type="dxa"/>
        <w:tblLayout w:type="fixed"/>
        <w:tblCellMar>
          <w:top w:w="0" w:type="dxa"/>
          <w:left w:w="0" w:type="dxa"/>
          <w:bottom w:w="28" w:type="dxa"/>
          <w:right w:w="0" w:type="dxa"/>
        </w:tblCellMar>
      </w:tblPr>
      <w:tblGrid>
        <w:gridCol w:w="124"/>
        <w:gridCol w:w="226"/>
        <w:gridCol w:w="109"/>
        <w:gridCol w:w="109"/>
        <w:gridCol w:w="22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22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22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0" w:type="dxa"/>
          <w:right w:w="0" w:type="dxa"/>
        </w:tblCellMar>
      </w:tblPr>
      <w:tblGrid>
        <w:gridCol w:w="124"/>
        <w:gridCol w:w="109"/>
        <w:gridCol w:w="878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8789" w:type="dxa"/>
            <w:tcBorders>
              <w:bottom w:val="single" w:sz="2" w:space="0" w:color="7F7F7F"/>
            </w:tcBorders>
            <w:shd w:fill="CCCCCC" w:val="clear"/>
            <w:tcMar>
              <w:bottom w:w="40" w:type="dxa"/>
            </w:tcMar>
            <w:vAlign w:val="center"/>
          </w:tcPr>
          <w:p>
            <w:pPr>
              <w:pStyle w:val="TableContents"/>
              <w:bidi w:val="0"/>
              <w:spacing w:lineRule="atLeast" w:line="216" w:before="0" w:after="0"/>
              <w:jc w:val="left"/>
              <w:rPr/>
            </w:pPr>
            <w:r>
              <w:rPr>
                <w:spacing w:val="-2"/>
              </w:rPr>
              <w:t>Enhanced brand reputation with external recognitions</w:t>
            </w:r>
            <w:r>
              <w:rPr/>
              <w:t xml:space="preserve">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8789" w:type="dxa"/>
            <w:tcBorders>
              <w:bottom w:val="single" w:sz="6" w:space="0" w:color="7F7F7F"/>
            </w:tcBorders>
            <w:tcMar>
              <w:bottom w:w="80" w:type="dxa"/>
            </w:tcMar>
            <w:vAlign w:val="center"/>
          </w:tcPr>
          <w:p>
            <w:pPr>
              <w:pStyle w:val="TableContents"/>
              <w:bidi w:val="0"/>
              <w:spacing w:lineRule="atLeast" w:line="180" w:before="0" w:after="0"/>
              <w:ind w:left="180" w:right="0" w:hanging="0"/>
              <w:jc w:val="left"/>
              <w:rPr>
                <w:spacing w:val="-2"/>
                <w:sz w:val="18"/>
              </w:rPr>
            </w:pPr>
            <w:r>
              <w:rPr>
                <w:spacing w:val="-2"/>
                <w:sz w:val="18"/>
              </w:rPr>
              <w:t xml:space="preserve">Newsweek named XPO one of America’s Most Reliable Companies for 2025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114300" cy="464820"/>
                      <wp:effectExtent l="0" t="0" r="0" b="0"/>
                      <wp:wrapSquare wrapText="right"/>
                      <wp:docPr id="42" name="Frame34"/>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pPr>
            <w:r>
              <w:rPr>
                <w:spacing w:val="-2"/>
              </w:rPr>
              <w:t>Viqtory designated XPO as a Military Friendly</w:t>
            </w:r>
            <w:r>
              <w:rPr>
                <w:color w:val="404040"/>
                <w:spacing w:val="-1"/>
                <w:sz w:val="11"/>
              </w:rPr>
              <w:t>®</w:t>
            </w:r>
            <w:r>
              <w:rPr>
                <w:spacing w:val="-2"/>
              </w:rPr>
              <w:t xml:space="preserve"> Gold Employer for 2025 </w:t>
            </w:r>
            <w:r>
              <mc:AlternateContent>
                <mc:Choice Requires="wps">
                  <w:drawing>
                    <wp:anchor behindDoc="0" distT="99060" distB="0" distL="0" distR="0" simplePos="0" locked="0" layoutInCell="1" allowOverlap="1" relativeHeight="164">
                      <wp:simplePos x="0" y="0"/>
                      <wp:positionH relativeFrom="column">
                        <wp:align>left</wp:align>
                      </wp:positionH>
                      <wp:positionV relativeFrom="line">
                        <wp:align>top</wp:align>
                      </wp:positionV>
                      <wp:extent cx="114300" cy="525780"/>
                      <wp:effectExtent l="0" t="0" r="0" b="0"/>
                      <wp:wrapSquare wrapText="right"/>
                      <wp:docPr id="43" name="Frame3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VETS Indexes recognized XPO as a 2024 4-Star Employer for hiring and supporting veterans </w:t>
            </w:r>
            <w:r>
              <mc:AlternateContent>
                <mc:Choice Requires="wps">
                  <w:drawing>
                    <wp:anchor behindDoc="0" distT="99060" distB="0" distL="0" distR="0" simplePos="0" locked="0" layoutInCell="1" allowOverlap="1" relativeHeight="165">
                      <wp:simplePos x="0" y="0"/>
                      <wp:positionH relativeFrom="column">
                        <wp:align>left</wp:align>
                      </wp:positionH>
                      <wp:positionV relativeFrom="line">
                        <wp:align>top</wp:align>
                      </wp:positionV>
                      <wp:extent cx="114300" cy="464820"/>
                      <wp:effectExtent l="0" t="0" r="0" b="0"/>
                      <wp:wrapSquare wrapText="right"/>
                      <wp:docPr id="44" name="Frame36"/>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both"/>
              <w:rPr>
                <w:spacing w:val="-2"/>
              </w:rPr>
            </w:pPr>
            <w:r>
              <w:rPr>
                <w:spacing w:val="-2"/>
              </w:rPr>
              <w:t xml:space="preserve">The Women in Trucking Association named XPO one of the Top Companies For Women to Work For in Transportation for the fourth year in a row </w:t>
            </w:r>
            <w:r>
              <mc:AlternateContent>
                <mc:Choice Requires="wps">
                  <w:drawing>
                    <wp:anchor behindDoc="0" distT="99060" distB="0" distL="0" distR="0" simplePos="0" locked="0" layoutInCell="1" allowOverlap="1" relativeHeight="166">
                      <wp:simplePos x="0" y="0"/>
                      <wp:positionH relativeFrom="column">
                        <wp:align>left</wp:align>
                      </wp:positionH>
                      <wp:positionV relativeFrom="line">
                        <wp:align>top</wp:align>
                      </wp:positionV>
                      <wp:extent cx="114300" cy="525780"/>
                      <wp:effectExtent l="0" t="0" r="0" b="0"/>
                      <wp:wrapSquare wrapText="right"/>
                      <wp:docPr id="45" name="Frame3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FreightWaves named XPO a 2025 FreightTech 25 Company for innovation in freight technology </w:t>
            </w:r>
            <w:r>
              <mc:AlternateContent>
                <mc:Choice Requires="wps">
                  <w:drawing>
                    <wp:anchor behindDoc="0" distT="99060" distB="0" distL="0" distR="0" simplePos="0" locked="0" layoutInCell="1" allowOverlap="1" relativeHeight="167">
                      <wp:simplePos x="0" y="0"/>
                      <wp:positionH relativeFrom="column">
                        <wp:align>left</wp:align>
                      </wp:positionH>
                      <wp:positionV relativeFrom="line">
                        <wp:align>top</wp:align>
                      </wp:positionV>
                      <wp:extent cx="114300" cy="464820"/>
                      <wp:effectExtent l="0" t="0" r="0" b="0"/>
                      <wp:wrapSquare wrapText="right"/>
                      <wp:docPr id="46" name="Frame38"/>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z w:val="14"/>
              </w:rPr>
            </w:pPr>
            <w:r>
              <w:rPr>
                <w:spacing w:val="-2"/>
                <w:sz w:val="18"/>
              </w:rPr>
              <w:t>The American Opportunity Index named XPO a 2024 Employer of Choice</w:t>
            </w:r>
            <w:r>
              <w:rPr>
                <w:sz w:val="14"/>
              </w:rPr>
              <w:t xml:space="preserve"> </w:t>
            </w:r>
            <w:r>
              <mc:AlternateContent>
                <mc:Choice Requires="wps">
                  <w:drawing>
                    <wp:anchor behindDoc="0" distT="99060" distB="0" distL="0" distR="0" simplePos="0" locked="0" layoutInCell="1" allowOverlap="1" relativeHeight="168">
                      <wp:simplePos x="0" y="0"/>
                      <wp:positionH relativeFrom="column">
                        <wp:align>left</wp:align>
                      </wp:positionH>
                      <wp:positionV relativeFrom="line">
                        <wp:align>top</wp:align>
                      </wp:positionV>
                      <wp:extent cx="114300" cy="464820"/>
                      <wp:effectExtent l="0" t="0" r="0" b="0"/>
                      <wp:wrapSquare wrapText="right"/>
                      <wp:docPr id="47" name="Frame39"/>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09"/>
        <w:gridCol w:w="878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8789" w:type="dxa"/>
            <w:tcBorders>
              <w:bottom w:val="single" w:sz="2" w:space="0" w:color="7F7F7F"/>
            </w:tcBorders>
            <w:shd w:fill="CCCCCC" w:val="clear"/>
            <w:tcMar>
              <w:bottom w:w="40" w:type="dxa"/>
            </w:tcMar>
            <w:vAlign w:val="center"/>
          </w:tcPr>
          <w:p>
            <w:pPr>
              <w:pStyle w:val="TableContents"/>
              <w:bidi w:val="0"/>
              <w:spacing w:lineRule="atLeast" w:line="216" w:before="0" w:after="0"/>
              <w:jc w:val="left"/>
              <w:rPr>
                <w:spacing w:val="-2"/>
              </w:rPr>
            </w:pPr>
            <w:r>
              <w:rPr>
                <w:spacing w:val="-2"/>
              </w:rPr>
              <w:t xml:space="preserve">Delivered a 50% increase in total shareholder return (TSR) for 2024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8789" w:type="dxa"/>
            <w:tcBorders>
              <w:bottom w:val="single" w:sz="6" w:space="0" w:color="7F7F7F"/>
            </w:tcBorders>
            <w:tcMar>
              <w:bottom w:w="80" w:type="dxa"/>
            </w:tcMar>
            <w:vAlign w:val="center"/>
          </w:tcPr>
          <w:p>
            <w:pPr>
              <w:pStyle w:val="TableContents"/>
              <w:bidi w:val="0"/>
              <w:spacing w:lineRule="atLeast" w:line="216" w:before="0" w:after="0"/>
              <w:ind w:left="180" w:right="0" w:hanging="0"/>
              <w:jc w:val="both"/>
              <w:rPr>
                <w:spacing w:val="-2"/>
              </w:rPr>
            </w:pPr>
            <w:r>
              <w:rPr>
                <w:spacing w:val="-2"/>
              </w:rPr>
              <w:t xml:space="preserve">XPO’s stock price significantly outperformed the transportation sector and the broader market, generating more than $5.2 billion in stockholder value creation during the year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114300" cy="525780"/>
                      <wp:effectExtent l="0" t="0" r="0" b="0"/>
                      <wp:wrapSquare wrapText="right"/>
                      <wp:docPr id="48" name="Frame4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XPO was the top-performing surface transportation stock in the S&amp;P Transportation Select Index in both 2023 and 2024 </w:t>
            </w:r>
            <w:r>
              <mc:AlternateContent>
                <mc:Choice Requires="wps">
                  <w:drawing>
                    <wp:anchor behindDoc="0" distT="99060" distB="0" distL="0" distR="0" simplePos="0" locked="0" layoutInCell="1" allowOverlap="1" relativeHeight="170">
                      <wp:simplePos x="0" y="0"/>
                      <wp:positionH relativeFrom="column">
                        <wp:align>left</wp:align>
                      </wp:positionH>
                      <wp:positionV relativeFrom="line">
                        <wp:align>top</wp:align>
                      </wp:positionV>
                      <wp:extent cx="114300" cy="464820"/>
                      <wp:effectExtent l="0" t="0" r="0" b="0"/>
                      <wp:wrapSquare wrapText="right"/>
                      <wp:docPr id="49" name="Frame41"/>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z w:val="14"/>
              </w:rPr>
            </w:pPr>
            <w:r>
              <w:rPr>
                <w:spacing w:val="-2"/>
                <w:sz w:val="18"/>
              </w:rPr>
              <w:t>TSR was driven by a robust combination of financial results and operational improvements</w:t>
            </w:r>
            <w:r>
              <w:rPr>
                <w:sz w:val="14"/>
              </w:rPr>
              <w:t xml:space="preserve"> </w:t>
            </w:r>
            <w:r>
              <mc:AlternateContent>
                <mc:Choice Requires="wps">
                  <w:drawing>
                    <wp:anchor behindDoc="0" distT="99060" distB="0" distL="0" distR="0" simplePos="0" locked="0" layoutInCell="1" allowOverlap="1" relativeHeight="171">
                      <wp:simplePos x="0" y="0"/>
                      <wp:positionH relativeFrom="column">
                        <wp:align>left</wp:align>
                      </wp:positionH>
                      <wp:positionV relativeFrom="line">
                        <wp:align>top</wp:align>
                      </wp:positionV>
                      <wp:extent cx="114300" cy="464820"/>
                      <wp:effectExtent l="0" t="0" r="0" b="0"/>
                      <wp:wrapSquare wrapText="right"/>
                      <wp:docPr id="50" name="Frame42"/>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50" w:after="283"/>
        <w:ind w:left="920" w:right="0" w:hanging="0"/>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The chart below illustrates XPO’s Total Shareholder Return (TSR), as compared to the S&amp;P 500 and S&amp;P Transportation Select Index: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105525" cy="2362200"/>
            <wp:effectExtent l="0" t="0" r="0" b="0"/>
            <wp:docPr id="5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9" descr=""/>
                    <pic:cNvPicPr>
                      <a:picLocks noChangeAspect="1" noChangeArrowheads="1"/>
                    </pic:cNvPicPr>
                  </pic:nvPicPr>
                  <pic:blipFill>
                    <a:blip r:embed="rId10"/>
                    <a:stretch>
                      <a:fillRect/>
                    </a:stretch>
                  </pic:blipFill>
                  <pic:spPr bwMode="auto">
                    <a:xfrm>
                      <a:off x="0" y="0"/>
                      <a:ext cx="6105525" cy="23622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Our NEOs are moving XPO forward from a position of strength as one of the largest LTL networks in North America, with approximately 9% share of the $52 billion LTL market, based on 2023 industry revenue. We are making significant progress in executing our plan for profitable growth and margin expansion, and we see a long runway ahead to continue to deliver outsized stockholder value. </w:t>
      </w:r>
    </w:p>
    <w:tbl>
      <w:tblPr>
        <w:tblW w:w="3379" w:type="dxa"/>
        <w:jc w:val="left"/>
        <w:tblInd w:w="920" w:type="dxa"/>
        <w:tblLayout w:type="fixed"/>
        <w:tblCellMar>
          <w:top w:w="0" w:type="dxa"/>
          <w:left w:w="0" w:type="dxa"/>
          <w:bottom w:w="28" w:type="dxa"/>
          <w:right w:w="0" w:type="dxa"/>
        </w:tblCellMar>
      </w:tblPr>
      <w:tblGrid>
        <w:gridCol w:w="124"/>
        <w:gridCol w:w="226"/>
        <w:gridCol w:w="109"/>
        <w:gridCol w:w="109"/>
        <w:gridCol w:w="22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22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22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2025 BOARD OF DIRECTORS NOMINEES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aims to create a diverse and highly skilled team of directors who provide our company with valuable oversight. When selecting new directors, our Board considers, among other things, the nominee’s breadth of experience, financial expertise, integrity, ability to make independent analytical inquiries, understanding of our business environment, skills in areas relevant to our growth drivers, and willingness to devote adequate time to Board duties — all in the context of the needs of the Board at that point in time, and with the objective of ensuring a diversity of backgrounds, expertise and viewpoints. Our Board endeavors to include highly qualified women and individuals from historically underrepresented groups in the candidate pool and has engaged in a purposeful process of regular refreshment. The composition of our Board as of the Record Date was: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838825" cy="1495425"/>
            <wp:effectExtent l="0" t="0" r="0" b="0"/>
            <wp:docPr id="5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0" descr=""/>
                    <pic:cNvPicPr>
                      <a:picLocks noChangeAspect="1" noChangeArrowheads="1"/>
                    </pic:cNvPicPr>
                  </pic:nvPicPr>
                  <pic:blipFill>
                    <a:blip r:embed="rId11"/>
                    <a:stretch>
                      <a:fillRect/>
                    </a:stretch>
                  </pic:blipFill>
                  <pic:spPr bwMode="auto">
                    <a:xfrm>
                      <a:off x="0" y="0"/>
                      <a:ext cx="5838825" cy="14954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provides summary information about each director nominee and their committee memberships as of the date of this Proxy Statement. Each director is elected annually by a majority of the votes cast.</w:t>
      </w:r>
      <w:r>
        <w:rPr>
          <w:rFonts w:ascii="Helvetica;Arial Narrow;sans-serif" w:hAnsi="Helvetica;Arial Narrow;sans-serif"/>
          <w:b w:val="false"/>
          <w:i w:val="false"/>
          <w:caps w:val="false"/>
          <w:smallCaps w:val="false"/>
          <w:color w:val="000000"/>
          <w:spacing w:val="4"/>
          <w:sz w:val="18"/>
        </w:rPr>
        <w:t xml:space="preserve"> </w:t>
      </w:r>
    </w:p>
    <w:tbl>
      <w:tblPr>
        <w:tblW w:w="10581" w:type="dxa"/>
        <w:jc w:val="left"/>
        <w:tblInd w:w="920" w:type="dxa"/>
        <w:tblLayout w:type="fixed"/>
        <w:tblCellMar>
          <w:top w:w="0" w:type="dxa"/>
          <w:left w:w="0" w:type="dxa"/>
          <w:bottom w:w="28" w:type="dxa"/>
          <w:right w:w="0" w:type="dxa"/>
        </w:tblCellMar>
      </w:tblPr>
      <w:tblGrid>
        <w:gridCol w:w="124"/>
        <w:gridCol w:w="1111"/>
        <w:gridCol w:w="109"/>
        <w:gridCol w:w="109"/>
        <w:gridCol w:w="886"/>
        <w:gridCol w:w="109"/>
        <w:gridCol w:w="109"/>
        <w:gridCol w:w="511"/>
        <w:gridCol w:w="109"/>
        <w:gridCol w:w="109"/>
        <w:gridCol w:w="2011"/>
        <w:gridCol w:w="109"/>
        <w:gridCol w:w="109"/>
        <w:gridCol w:w="1276"/>
        <w:gridCol w:w="109"/>
        <w:gridCol w:w="109"/>
        <w:gridCol w:w="451"/>
        <w:gridCol w:w="109"/>
        <w:gridCol w:w="109"/>
        <w:gridCol w:w="781"/>
        <w:gridCol w:w="109"/>
        <w:gridCol w:w="109"/>
        <w:gridCol w:w="931"/>
        <w:gridCol w:w="109"/>
        <w:gridCol w:w="109"/>
        <w:gridCol w:w="601"/>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11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88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51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201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27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4" w:space="0" w:color="E2231A"/>
            </w:tcBorders>
            <w:vAlign w:val="center"/>
          </w:tcPr>
          <w:p>
            <w:pPr>
              <w:pStyle w:val="TableContents"/>
              <w:bidi w:val="0"/>
              <w:spacing w:before="0" w:after="283"/>
              <w:jc w:val="left"/>
              <w:rPr/>
            </w:pPr>
            <w:r>
              <w:rPr/>
              <w:t>​</w:t>
            </w:r>
          </w:p>
        </w:tc>
        <w:tc>
          <w:tcPr>
            <w:tcW w:w="3418" w:type="dxa"/>
            <w:gridSpan w:val="10"/>
            <w:tcBorders>
              <w:bottom w:val="single" w:sz="4" w:space="0" w:color="E2231A"/>
            </w:tcBorders>
            <w:tcMar>
              <w:bottom w:w="58" w:type="dxa"/>
            </w:tcMar>
            <w:vAlign w:val="center"/>
          </w:tcPr>
          <w:p>
            <w:pPr>
              <w:pStyle w:val="TableContents"/>
              <w:bidi w:val="0"/>
              <w:spacing w:before="0" w:after="0"/>
              <w:jc w:val="center"/>
              <w:rPr/>
            </w:pPr>
            <w:r>
              <w:rPr/>
              <w:t>Committee</w:t>
              <w:br/>
              <w:t xml:space="preserve">Memberships </w:t>
            </w:r>
          </w:p>
        </w:tc>
        <w:tc>
          <w:tcPr>
            <w:tcW w:w="154" w:type="dxa"/>
            <w:tcBorders>
              <w:bottom w:val="single" w:sz="4" w:space="0" w:color="E2231A"/>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111" w:type="dxa"/>
            <w:tcBorders>
              <w:bottom w:val="single" w:sz="2" w:space="0" w:color="7F7F7F"/>
            </w:tcBorders>
            <w:tcMar>
              <w:bottom w:w="53" w:type="dxa"/>
            </w:tcMar>
            <w:vAlign w:val="center"/>
          </w:tcPr>
          <w:p>
            <w:pPr>
              <w:pStyle w:val="TableContents"/>
              <w:bidi w:val="0"/>
              <w:spacing w:before="0" w:after="0"/>
              <w:jc w:val="left"/>
              <w:rPr/>
            </w:pPr>
            <w:r>
              <w:rPr/>
              <w:t xml:space="preserve">Name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tcMar>
              <w:bottom w:w="53" w:type="dxa"/>
            </w:tcMar>
            <w:vAlign w:val="center"/>
          </w:tcPr>
          <w:p>
            <w:pPr>
              <w:pStyle w:val="TableContents"/>
              <w:bidi w:val="0"/>
              <w:spacing w:lineRule="atLeast" w:line="157" w:before="0" w:after="0"/>
              <w:jc w:val="center"/>
              <w:rPr/>
            </w:pPr>
            <w:r>
              <w:rPr/>
              <w:t>Director</w:t>
              <w:br/>
              <w:t xml:space="preserve">Since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11" w:type="dxa"/>
            <w:tcBorders>
              <w:bottom w:val="single" w:sz="2" w:space="0" w:color="7F7F7F"/>
            </w:tcBorders>
            <w:tcMar>
              <w:bottom w:w="53" w:type="dxa"/>
            </w:tcMar>
            <w:vAlign w:val="center"/>
          </w:tcPr>
          <w:p>
            <w:pPr>
              <w:pStyle w:val="TableContents"/>
              <w:bidi w:val="0"/>
              <w:spacing w:before="0" w:after="0"/>
              <w:jc w:val="center"/>
              <w:rPr/>
            </w:pPr>
            <w:r>
              <w:rPr/>
              <w:t xml:space="preserve">Age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2011" w:type="dxa"/>
            <w:tcBorders>
              <w:bottom w:val="single" w:sz="2" w:space="0" w:color="7F7F7F"/>
            </w:tcBorders>
            <w:tcMar>
              <w:bottom w:w="53" w:type="dxa"/>
            </w:tcMar>
            <w:vAlign w:val="center"/>
          </w:tcPr>
          <w:p>
            <w:pPr>
              <w:pStyle w:val="TableContents"/>
              <w:bidi w:val="0"/>
              <w:spacing w:before="0" w:after="0"/>
              <w:jc w:val="center"/>
              <w:rPr/>
            </w:pPr>
            <w:r>
              <w:rPr/>
              <w:t xml:space="preserve">Occupation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276" w:type="dxa"/>
            <w:tcBorders>
              <w:bottom w:val="single" w:sz="2" w:space="0" w:color="7F7F7F"/>
            </w:tcBorders>
            <w:tcMar>
              <w:bottom w:w="53" w:type="dxa"/>
            </w:tcMar>
            <w:vAlign w:val="center"/>
          </w:tcPr>
          <w:p>
            <w:pPr>
              <w:pStyle w:val="TableContents"/>
              <w:bidi w:val="0"/>
              <w:spacing w:before="0" w:after="0"/>
              <w:jc w:val="center"/>
              <w:rPr/>
            </w:pPr>
            <w:r>
              <w:rPr/>
              <w:t xml:space="preserve">Independent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451" w:type="dxa"/>
            <w:tcBorders>
              <w:bottom w:val="single" w:sz="2" w:space="0" w:color="7F7F7F"/>
            </w:tcBorders>
            <w:tcMar>
              <w:bottom w:w="53" w:type="dxa"/>
            </w:tcMar>
            <w:vAlign w:val="center"/>
          </w:tcPr>
          <w:p>
            <w:pPr>
              <w:pStyle w:val="TableContents"/>
              <w:bidi w:val="0"/>
              <w:spacing w:before="0" w:after="0"/>
              <w:jc w:val="center"/>
              <w:rPr/>
            </w:pPr>
            <w:r>
              <w:rPr/>
              <w:t xml:space="preserve">AC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81" w:type="dxa"/>
            <w:tcBorders>
              <w:bottom w:val="single" w:sz="2" w:space="0" w:color="7F7F7F"/>
            </w:tcBorders>
            <w:tcMar>
              <w:bottom w:w="53" w:type="dxa"/>
            </w:tcMar>
            <w:vAlign w:val="center"/>
          </w:tcPr>
          <w:p>
            <w:pPr>
              <w:pStyle w:val="TableContents"/>
              <w:bidi w:val="0"/>
              <w:spacing w:before="0" w:after="0"/>
              <w:jc w:val="center"/>
              <w:rPr/>
            </w:pPr>
            <w:r>
              <w:rPr/>
              <w:t xml:space="preserve">CHCC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931" w:type="dxa"/>
            <w:tcBorders>
              <w:bottom w:val="single" w:sz="2" w:space="0" w:color="7F7F7F"/>
            </w:tcBorders>
            <w:tcMar>
              <w:bottom w:w="53" w:type="dxa"/>
            </w:tcMar>
            <w:vAlign w:val="center"/>
          </w:tcPr>
          <w:p>
            <w:pPr>
              <w:pStyle w:val="TableContents"/>
              <w:bidi w:val="0"/>
              <w:spacing w:before="0" w:after="0"/>
              <w:jc w:val="center"/>
              <w:rPr/>
            </w:pPr>
            <w:r>
              <w:rPr/>
              <w:t xml:space="preserve">NCGSC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01" w:type="dxa"/>
            <w:tcBorders>
              <w:bottom w:val="single" w:sz="2" w:space="0" w:color="7F7F7F"/>
            </w:tcBorders>
            <w:tcMar>
              <w:bottom w:w="53" w:type="dxa"/>
            </w:tcMar>
            <w:vAlign w:val="center"/>
          </w:tcPr>
          <w:p>
            <w:pPr>
              <w:pStyle w:val="TableContents"/>
              <w:bidi w:val="0"/>
              <w:spacing w:before="0" w:after="0"/>
              <w:jc w:val="center"/>
              <w:rPr/>
            </w:pPr>
            <w:r>
              <w:rPr/>
              <w:t xml:space="preserve">OEC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111" w:type="dxa"/>
            <w:tcBorders/>
            <w:shd w:fill="D8D8D8" w:val="clear"/>
            <w:tcMar>
              <w:bottom w:w="0" w:type="dxa"/>
            </w:tcMar>
            <w:vAlign w:val="center"/>
          </w:tcPr>
          <w:p>
            <w:pPr>
              <w:pStyle w:val="TableContents"/>
              <w:bidi w:val="0"/>
              <w:spacing w:before="0" w:after="283"/>
              <w:jc w:val="left"/>
              <w:rPr/>
            </w:pPr>
            <w:r>
              <w:rPr/>
              <w:t xml:space="preserve">Brad Jacobs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886" w:type="dxa"/>
            <w:tcBorders/>
            <w:shd w:fill="D8D8D8" w:val="clear"/>
            <w:tcMar>
              <w:bottom w:w="0" w:type="dxa"/>
            </w:tcMar>
            <w:vAlign w:val="center"/>
          </w:tcPr>
          <w:p>
            <w:pPr>
              <w:pStyle w:val="TableContents"/>
              <w:bidi w:val="0"/>
              <w:spacing w:before="0" w:after="0"/>
              <w:jc w:val="center"/>
              <w:rPr/>
            </w:pPr>
            <w:r>
              <w:rPr/>
              <w:t xml:space="preserve">2011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511" w:type="dxa"/>
            <w:tcBorders/>
            <w:shd w:fill="D8D8D8" w:val="clear"/>
            <w:tcMar>
              <w:bottom w:w="0" w:type="dxa"/>
            </w:tcMar>
            <w:vAlign w:val="center"/>
          </w:tcPr>
          <w:p>
            <w:pPr>
              <w:pStyle w:val="TableContents"/>
              <w:bidi w:val="0"/>
              <w:spacing w:before="0" w:after="0"/>
              <w:jc w:val="center"/>
              <w:rPr/>
            </w:pPr>
            <w:r>
              <w:rPr/>
              <w:t xml:space="preserve">68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011" w:type="dxa"/>
            <w:tcBorders/>
            <w:shd w:fill="D8D8D8" w:val="clear"/>
            <w:tcMar>
              <w:bottom w:w="0" w:type="dxa"/>
            </w:tcMar>
            <w:vAlign w:val="center"/>
          </w:tcPr>
          <w:p>
            <w:pPr>
              <w:pStyle w:val="TableContents"/>
              <w:bidi w:val="0"/>
              <w:spacing w:before="0" w:after="283"/>
              <w:jc w:val="left"/>
              <w:rPr/>
            </w:pPr>
            <w:r>
              <w:rPr/>
              <w:t>Executive Chairman of the Board, XPO</w:t>
              <w:br/>
              <w:t xml:space="preserve">Chairman and Chief Executive Officer, QXO, Inc.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76"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45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78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93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01"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283"/>
              <w:jc w:val="left"/>
              <w:rPr/>
            </w:pPr>
            <w:r>
              <w:rPr/>
              <w:t xml:space="preserve">Bella Allaire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pPr>
            <w:r>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 w:type="dxa"/>
            <w:tcBorders/>
            <w:tcMar>
              <w:bottom w:w="0" w:type="dxa"/>
            </w:tcMar>
            <w:vAlign w:val="center"/>
          </w:tcPr>
          <w:p>
            <w:pPr>
              <w:pStyle w:val="TableContents"/>
              <w:bidi w:val="0"/>
              <w:spacing w:before="0" w:after="0"/>
              <w:jc w:val="center"/>
              <w:rPr/>
            </w:pPr>
            <w:r>
              <w:rPr/>
              <w:t xml:space="preserve">71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1" w:type="dxa"/>
            <w:tcBorders/>
            <w:tcMar>
              <w:bottom w:w="0" w:type="dxa"/>
            </w:tcMar>
            <w:vAlign w:val="center"/>
          </w:tcPr>
          <w:p>
            <w:pPr>
              <w:pStyle w:val="TableContents"/>
              <w:bidi w:val="0"/>
              <w:spacing w:before="0" w:after="283"/>
              <w:jc w:val="left"/>
              <w:rPr/>
            </w:pPr>
            <w:r>
              <w:rPr/>
              <w:t xml:space="preserve">Chief Administrative Officer, Raymond James Financial,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center"/>
              <w:rPr/>
            </w:pPr>
            <w:r>
              <w:rPr/>
              <w:t xml:space="preserv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1" w:type="dxa"/>
            <w:tcBorders/>
            <w:tcMar>
              <w:bottom w:w="0" w:type="dxa"/>
            </w:tcMar>
            <w:vAlign w:val="center"/>
          </w:tcPr>
          <w:p>
            <w:pPr>
              <w:pStyle w:val="TableContents"/>
              <w:bidi w:val="0"/>
              <w:spacing w:before="0" w:after="0"/>
              <w:jc w:val="center"/>
              <w:rPr/>
            </w:pPr>
            <w:r>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111" w:type="dxa"/>
            <w:tcBorders/>
            <w:shd w:fill="D8D8D8" w:val="clear"/>
            <w:tcMar>
              <w:bottom w:w="0" w:type="dxa"/>
            </w:tcMar>
            <w:vAlign w:val="center"/>
          </w:tcPr>
          <w:p>
            <w:pPr>
              <w:pStyle w:val="TableContents"/>
              <w:bidi w:val="0"/>
              <w:spacing w:before="0" w:after="283"/>
              <w:jc w:val="left"/>
              <w:rPr/>
            </w:pPr>
            <w:r>
              <w:rPr/>
              <w:t xml:space="preserve">J. Wes Frye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886" w:type="dxa"/>
            <w:tcBorders/>
            <w:shd w:fill="D8D8D8" w:val="clear"/>
            <w:tcMar>
              <w:bottom w:w="0" w:type="dxa"/>
            </w:tcMar>
            <w:vAlign w:val="center"/>
          </w:tcPr>
          <w:p>
            <w:pPr>
              <w:pStyle w:val="TableContents"/>
              <w:bidi w:val="0"/>
              <w:spacing w:before="0" w:after="0"/>
              <w:jc w:val="center"/>
              <w:rPr/>
            </w:pPr>
            <w:r>
              <w:rPr/>
              <w:t xml:space="preserve">2023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511" w:type="dxa"/>
            <w:tcBorders/>
            <w:shd w:fill="D8D8D8" w:val="clear"/>
            <w:tcMar>
              <w:bottom w:w="0" w:type="dxa"/>
            </w:tcMar>
            <w:vAlign w:val="center"/>
          </w:tcPr>
          <w:p>
            <w:pPr>
              <w:pStyle w:val="TableContents"/>
              <w:bidi w:val="0"/>
              <w:spacing w:before="0" w:after="0"/>
              <w:jc w:val="center"/>
              <w:rPr/>
            </w:pPr>
            <w:r>
              <w:rPr/>
              <w:t xml:space="preserve">77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011" w:type="dxa"/>
            <w:tcBorders/>
            <w:shd w:fill="D8D8D8" w:val="clear"/>
            <w:tcMar>
              <w:bottom w:w="0" w:type="dxa"/>
            </w:tcMar>
            <w:vAlign w:val="center"/>
          </w:tcPr>
          <w:p>
            <w:pPr>
              <w:pStyle w:val="TableContents"/>
              <w:bidi w:val="0"/>
              <w:spacing w:before="0" w:after="0"/>
              <w:jc w:val="both"/>
              <w:rPr/>
            </w:pPr>
            <w:r>
              <w:rPr/>
              <w:t xml:space="preserve">Former Senior Vice President and Chief Financial Officer, Old Dominion Freight Line, Inc.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76" w:type="dxa"/>
            <w:tcBorders/>
            <w:shd w:fill="D8D8D8" w:val="clear"/>
            <w:tcMar>
              <w:bottom w:w="0" w:type="dxa"/>
            </w:tcMar>
            <w:vAlign w:val="center"/>
          </w:tcPr>
          <w:p>
            <w:pPr>
              <w:pStyle w:val="TableContents"/>
              <w:bidi w:val="0"/>
              <w:spacing w:before="0" w:after="0"/>
              <w:jc w:val="center"/>
              <w:rPr/>
            </w:pPr>
            <w:r>
              <w:rPr/>
              <w:t xml:space="preserve">Y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45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78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931" w:type="dxa"/>
            <w:tcBorders/>
            <w:shd w:fill="D8D8D8" w:val="clear"/>
            <w:tcMar>
              <w:bottom w:w="0" w:type="dxa"/>
            </w:tcMar>
            <w:vAlign w:val="center"/>
          </w:tcPr>
          <w:p>
            <w:pPr>
              <w:pStyle w:val="TableContents"/>
              <w:bidi w:val="0"/>
              <w:spacing w:before="0" w:after="0"/>
              <w:jc w:val="center"/>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01" w:type="dxa"/>
            <w:tcBorders/>
            <w:shd w:fill="D8D8D8" w:val="clear"/>
            <w:tcMar>
              <w:bottom w:w="0" w:type="dxa"/>
            </w:tcMar>
            <w:vAlign w:val="center"/>
          </w:tcPr>
          <w:p>
            <w:pPr>
              <w:pStyle w:val="TableContents"/>
              <w:bidi w:val="0"/>
              <w:spacing w:before="0" w:after="0"/>
              <w:jc w:val="center"/>
              <w:rPr/>
            </w:pPr>
            <w:r>
              <w:rPr/>
              <w:t xml:space="preserve">✓ </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283"/>
              <w:jc w:val="left"/>
              <w:rPr/>
            </w:pPr>
            <w:r>
              <w:rPr/>
              <w:t xml:space="preserve">Mario Harik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pPr>
            <w:r>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 w:type="dxa"/>
            <w:tcBorders/>
            <w:tcMar>
              <w:bottom w:w="0" w:type="dxa"/>
            </w:tcMar>
            <w:vAlign w:val="center"/>
          </w:tcPr>
          <w:p>
            <w:pPr>
              <w:pStyle w:val="TableContents"/>
              <w:bidi w:val="0"/>
              <w:spacing w:before="0" w:after="0"/>
              <w:jc w:val="center"/>
              <w:rPr/>
            </w:pPr>
            <w:r>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1" w:type="dxa"/>
            <w:tcBorders/>
            <w:tcMar>
              <w:bottom w:w="0" w:type="dxa"/>
            </w:tcMar>
            <w:vAlign w:val="center"/>
          </w:tcPr>
          <w:p>
            <w:pPr>
              <w:pStyle w:val="TableContents"/>
              <w:bidi w:val="0"/>
              <w:spacing w:before="0" w:after="283"/>
              <w:jc w:val="left"/>
              <w:rPr/>
            </w:pPr>
            <w:r>
              <w:rPr/>
              <w:t xml:space="preserve">Chief Executive Officer, XPO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1" w:type="dxa"/>
            <w:tcBorders/>
            <w:tcMar>
              <w:bottom w:w="0" w:type="dxa"/>
            </w:tcMar>
            <w:vAlign w:val="center"/>
          </w:tcPr>
          <w:p>
            <w:pPr>
              <w:pStyle w:val="TableContents"/>
              <w:bidi w:val="0"/>
              <w:spacing w:before="0" w:after="0"/>
              <w:jc w:val="center"/>
              <w:rPr/>
            </w:pPr>
            <w:r>
              <w:rPr/>
              <w:t xml:space="preserve">C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111" w:type="dxa"/>
            <w:tcBorders/>
            <w:shd w:fill="D8D8D8" w:val="clear"/>
            <w:tcMar>
              <w:bottom w:w="0" w:type="dxa"/>
            </w:tcMar>
            <w:vAlign w:val="center"/>
          </w:tcPr>
          <w:p>
            <w:pPr>
              <w:pStyle w:val="TableContents"/>
              <w:bidi w:val="0"/>
              <w:spacing w:before="0" w:after="283"/>
              <w:jc w:val="left"/>
              <w:rPr/>
            </w:pPr>
            <w:r>
              <w:rPr/>
              <w:t xml:space="preserve">Michael G. Jesselson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886" w:type="dxa"/>
            <w:tcBorders/>
            <w:shd w:fill="D8D8D8" w:val="clear"/>
            <w:tcMar>
              <w:bottom w:w="0" w:type="dxa"/>
            </w:tcMar>
            <w:vAlign w:val="center"/>
          </w:tcPr>
          <w:p>
            <w:pPr>
              <w:pStyle w:val="TableContents"/>
              <w:bidi w:val="0"/>
              <w:spacing w:before="0" w:after="0"/>
              <w:jc w:val="center"/>
              <w:rPr/>
            </w:pPr>
            <w:r>
              <w:rPr/>
              <w:t xml:space="preserve">2011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511" w:type="dxa"/>
            <w:tcBorders/>
            <w:shd w:fill="D8D8D8" w:val="clear"/>
            <w:tcMar>
              <w:bottom w:w="0" w:type="dxa"/>
            </w:tcMar>
            <w:vAlign w:val="center"/>
          </w:tcPr>
          <w:p>
            <w:pPr>
              <w:pStyle w:val="TableContents"/>
              <w:bidi w:val="0"/>
              <w:spacing w:before="0" w:after="0"/>
              <w:jc w:val="center"/>
              <w:rPr/>
            </w:pPr>
            <w:r>
              <w:rPr/>
              <w:t xml:space="preserve">73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011" w:type="dxa"/>
            <w:tcBorders/>
            <w:shd w:fill="D8D8D8" w:val="clear"/>
            <w:tcMar>
              <w:bottom w:w="0" w:type="dxa"/>
            </w:tcMar>
            <w:vAlign w:val="center"/>
          </w:tcPr>
          <w:p>
            <w:pPr>
              <w:pStyle w:val="TableContents"/>
              <w:bidi w:val="0"/>
              <w:spacing w:before="0" w:after="0"/>
              <w:jc w:val="left"/>
              <w:rPr/>
            </w:pPr>
            <w:r>
              <w:rPr/>
              <w:t xml:space="preserve">President and Chief Executive Officer, Jesselson Capital Corporation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76" w:type="dxa"/>
            <w:tcBorders/>
            <w:shd w:fill="D8D8D8" w:val="clear"/>
            <w:tcMar>
              <w:bottom w:w="0" w:type="dxa"/>
            </w:tcMar>
            <w:vAlign w:val="center"/>
          </w:tcPr>
          <w:p>
            <w:pPr>
              <w:pStyle w:val="TableContents"/>
              <w:bidi w:val="0"/>
              <w:spacing w:before="0" w:after="0"/>
              <w:jc w:val="center"/>
              <w:rPr/>
            </w:pPr>
            <w:r>
              <w:rPr/>
              <w:t xml:space="preserve">Y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451" w:type="dxa"/>
            <w:tcBorders/>
            <w:shd w:fill="D8D8D8" w:val="clear"/>
            <w:tcMar>
              <w:bottom w:w="0" w:type="dxa"/>
            </w:tcMar>
            <w:vAlign w:val="center"/>
          </w:tcPr>
          <w:p>
            <w:pPr>
              <w:pStyle w:val="TableContents"/>
              <w:bidi w:val="0"/>
              <w:spacing w:before="0" w:after="0"/>
              <w:jc w:val="center"/>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78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93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01"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283"/>
              <w:jc w:val="left"/>
              <w:rPr/>
            </w:pPr>
            <w:r>
              <w:rPr/>
              <w:t xml:space="preserve">Allison Landry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pPr>
            <w:r>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 w:type="dxa"/>
            <w:tcBorders/>
            <w:tcMar>
              <w:bottom w:w="0" w:type="dxa"/>
            </w:tcMar>
            <w:vAlign w:val="center"/>
          </w:tcPr>
          <w:p>
            <w:pPr>
              <w:pStyle w:val="TableContents"/>
              <w:bidi w:val="0"/>
              <w:spacing w:before="0" w:after="0"/>
              <w:jc w:val="center"/>
              <w:rPr/>
            </w:pPr>
            <w:r>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1" w:type="dxa"/>
            <w:tcBorders/>
            <w:tcMar>
              <w:bottom w:w="0" w:type="dxa"/>
            </w:tcMar>
            <w:vAlign w:val="center"/>
          </w:tcPr>
          <w:p>
            <w:pPr>
              <w:pStyle w:val="TableContents"/>
              <w:bidi w:val="0"/>
              <w:spacing w:before="0" w:after="283"/>
              <w:jc w:val="left"/>
              <w:rPr/>
            </w:pPr>
            <w:r>
              <w:rPr/>
              <w:t xml:space="preserve">Former Senior Transportation Research Analyst, Credit Suisse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center"/>
              <w:rPr/>
            </w:pPr>
            <w:r>
              <w:rPr/>
              <w:t xml:space="preserv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 w:type="dxa"/>
            <w:tcBorders/>
            <w:tcMar>
              <w:bottom w:w="0" w:type="dxa"/>
            </w:tcMar>
            <w:vAlign w:val="center"/>
          </w:tcPr>
          <w:p>
            <w:pPr>
              <w:pStyle w:val="TableContents"/>
              <w:bidi w:val="0"/>
              <w:spacing w:before="0" w:after="0"/>
              <w:jc w:val="center"/>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0"/>
              <w:jc w:val="center"/>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1" w:type="dxa"/>
            <w:tcBorders/>
            <w:tcMar>
              <w:bottom w:w="0" w:type="dxa"/>
            </w:tcMar>
            <w:vAlign w:val="center"/>
          </w:tcPr>
          <w:p>
            <w:pPr>
              <w:pStyle w:val="TableContents"/>
              <w:bidi w:val="0"/>
              <w:spacing w:before="0" w:after="0"/>
              <w:jc w:val="center"/>
              <w:rPr/>
            </w:pP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111" w:type="dxa"/>
            <w:tcBorders/>
            <w:shd w:fill="D8D8D8" w:val="clear"/>
            <w:tcMar>
              <w:bottom w:w="0" w:type="dxa"/>
            </w:tcMar>
            <w:vAlign w:val="center"/>
          </w:tcPr>
          <w:p>
            <w:pPr>
              <w:pStyle w:val="TableContents"/>
              <w:bidi w:val="0"/>
              <w:spacing w:before="0" w:after="283"/>
              <w:jc w:val="left"/>
              <w:rPr/>
            </w:pPr>
            <w:r>
              <w:rPr/>
              <w:t xml:space="preserve">Irene Moshouris*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886" w:type="dxa"/>
            <w:tcBorders/>
            <w:shd w:fill="D8D8D8" w:val="clear"/>
            <w:tcMar>
              <w:bottom w:w="0" w:type="dxa"/>
            </w:tcMar>
            <w:vAlign w:val="center"/>
          </w:tcPr>
          <w:p>
            <w:pPr>
              <w:pStyle w:val="TableContents"/>
              <w:bidi w:val="0"/>
              <w:spacing w:before="0" w:after="0"/>
              <w:jc w:val="center"/>
              <w:rPr/>
            </w:pPr>
            <w:r>
              <w:rPr/>
              <w:t xml:space="preserve">2022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511" w:type="dxa"/>
            <w:tcBorders/>
            <w:shd w:fill="D8D8D8" w:val="clear"/>
            <w:tcMar>
              <w:bottom w:w="0" w:type="dxa"/>
            </w:tcMar>
            <w:vAlign w:val="center"/>
          </w:tcPr>
          <w:p>
            <w:pPr>
              <w:pStyle w:val="TableContents"/>
              <w:bidi w:val="0"/>
              <w:spacing w:before="0" w:after="0"/>
              <w:jc w:val="center"/>
              <w:rPr/>
            </w:pPr>
            <w:r>
              <w:rPr/>
              <w:t xml:space="preserve">64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011" w:type="dxa"/>
            <w:tcBorders/>
            <w:shd w:fill="D8D8D8" w:val="clear"/>
            <w:tcMar>
              <w:bottom w:w="0" w:type="dxa"/>
            </w:tcMar>
            <w:vAlign w:val="center"/>
          </w:tcPr>
          <w:p>
            <w:pPr>
              <w:pStyle w:val="TableContents"/>
              <w:bidi w:val="0"/>
              <w:spacing w:before="0" w:after="283"/>
              <w:jc w:val="left"/>
              <w:rPr/>
            </w:pPr>
            <w:r>
              <w:rPr/>
              <w:t xml:space="preserve">Former Senior Vice President-Treasurer, United Rentals, Inc.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76" w:type="dxa"/>
            <w:tcBorders/>
            <w:shd w:fill="D8D8D8" w:val="clear"/>
            <w:tcMar>
              <w:bottom w:w="0" w:type="dxa"/>
            </w:tcMar>
            <w:vAlign w:val="center"/>
          </w:tcPr>
          <w:p>
            <w:pPr>
              <w:pStyle w:val="TableContents"/>
              <w:bidi w:val="0"/>
              <w:spacing w:before="0" w:after="0"/>
              <w:jc w:val="center"/>
              <w:rPr/>
            </w:pPr>
            <w:r>
              <w:rPr/>
              <w:t xml:space="preserve">Y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451" w:type="dxa"/>
            <w:tcBorders/>
            <w:shd w:fill="D8D8D8" w:val="clear"/>
            <w:tcMar>
              <w:bottom w:w="0" w:type="dxa"/>
            </w:tcMar>
            <w:vAlign w:val="center"/>
          </w:tcPr>
          <w:p>
            <w:pPr>
              <w:pStyle w:val="TableContents"/>
              <w:bidi w:val="0"/>
              <w:spacing w:before="0" w:after="0"/>
              <w:jc w:val="center"/>
              <w:rPr/>
            </w:pPr>
            <w:r>
              <w:rPr/>
              <w:t xml:space="preserve">C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781" w:type="dxa"/>
            <w:tcBorders/>
            <w:shd w:fill="D8D8D8" w:val="clear"/>
            <w:tcMar>
              <w:bottom w:w="0" w:type="dxa"/>
            </w:tcMar>
            <w:vAlign w:val="center"/>
          </w:tcPr>
          <w:p>
            <w:pPr>
              <w:pStyle w:val="TableContents"/>
              <w:bidi w:val="0"/>
              <w:spacing w:before="0" w:after="0"/>
              <w:jc w:val="center"/>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931" w:type="dxa"/>
            <w:tcBorders/>
            <w:shd w:fill="D8D8D8" w:val="clear"/>
            <w:tcMar>
              <w:bottom w:w="0" w:type="dxa"/>
            </w:tcMar>
            <w:vAlign w:val="center"/>
          </w:tcPr>
          <w:p>
            <w:pPr>
              <w:pStyle w:val="TableContents"/>
              <w:bidi w:val="0"/>
              <w:spacing w:before="0" w:after="0"/>
              <w:jc w:val="center"/>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01"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7F7F7F"/>
            </w:tcBorders>
            <w:vAlign w:val="center"/>
          </w:tcPr>
          <w:p>
            <w:pPr>
              <w:pStyle w:val="TableContents"/>
              <w:bidi w:val="0"/>
              <w:spacing w:before="0" w:after="283"/>
              <w:jc w:val="left"/>
              <w:rPr/>
            </w:pPr>
            <w:r>
              <w:rPr/>
              <w:t>​</w:t>
            </w:r>
          </w:p>
        </w:tc>
        <w:tc>
          <w:tcPr>
            <w:tcW w:w="1111" w:type="dxa"/>
            <w:tcBorders>
              <w:bottom w:val="single" w:sz="6" w:space="0" w:color="7F7F7F"/>
            </w:tcBorders>
            <w:tcMar>
              <w:bottom w:w="45" w:type="dxa"/>
            </w:tcMar>
            <w:vAlign w:val="center"/>
          </w:tcPr>
          <w:p>
            <w:pPr>
              <w:pStyle w:val="TableContents"/>
              <w:bidi w:val="0"/>
              <w:spacing w:before="0" w:after="0"/>
              <w:jc w:val="left"/>
              <w:rPr/>
            </w:pPr>
            <w:r>
              <w:rPr/>
              <w:t xml:space="preserve">Johnny C. Taylor, Jr. </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886" w:type="dxa"/>
            <w:tcBorders>
              <w:bottom w:val="single" w:sz="6" w:space="0" w:color="7F7F7F"/>
            </w:tcBorders>
            <w:tcMar>
              <w:bottom w:w="45" w:type="dxa"/>
            </w:tcMar>
            <w:vAlign w:val="center"/>
          </w:tcPr>
          <w:p>
            <w:pPr>
              <w:pStyle w:val="TableContents"/>
              <w:bidi w:val="0"/>
              <w:spacing w:before="0" w:after="0"/>
              <w:jc w:val="center"/>
              <w:rPr/>
            </w:pPr>
            <w:r>
              <w:rPr/>
              <w:t xml:space="preserve">2021 </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511" w:type="dxa"/>
            <w:tcBorders>
              <w:bottom w:val="single" w:sz="6" w:space="0" w:color="7F7F7F"/>
            </w:tcBorders>
            <w:tcMar>
              <w:bottom w:w="45" w:type="dxa"/>
            </w:tcMar>
            <w:vAlign w:val="center"/>
          </w:tcPr>
          <w:p>
            <w:pPr>
              <w:pStyle w:val="TableContents"/>
              <w:bidi w:val="0"/>
              <w:spacing w:before="0" w:after="0"/>
              <w:jc w:val="center"/>
              <w:rPr/>
            </w:pPr>
            <w:r>
              <w:rPr/>
              <w:t xml:space="preserve">56 </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2011" w:type="dxa"/>
            <w:tcBorders>
              <w:bottom w:val="single" w:sz="6" w:space="0" w:color="7F7F7F"/>
            </w:tcBorders>
            <w:tcMar>
              <w:bottom w:w="45" w:type="dxa"/>
            </w:tcMar>
            <w:vAlign w:val="center"/>
          </w:tcPr>
          <w:p>
            <w:pPr>
              <w:pStyle w:val="TableContents"/>
              <w:bidi w:val="0"/>
              <w:spacing w:before="0" w:after="0"/>
              <w:jc w:val="both"/>
              <w:rPr/>
            </w:pPr>
            <w:r>
              <w:rPr/>
              <w:t xml:space="preserve">President and Chief Executive Officer, Society of Human Resources Management </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276" w:type="dxa"/>
            <w:tcBorders>
              <w:bottom w:val="single" w:sz="6" w:space="0" w:color="7F7F7F"/>
            </w:tcBorders>
            <w:tcMar>
              <w:bottom w:w="45" w:type="dxa"/>
            </w:tcMar>
            <w:vAlign w:val="center"/>
          </w:tcPr>
          <w:p>
            <w:pPr>
              <w:pStyle w:val="TableContents"/>
              <w:bidi w:val="0"/>
              <w:spacing w:before="0" w:after="0"/>
              <w:jc w:val="center"/>
              <w:rPr/>
            </w:pPr>
            <w:r>
              <w:rPr/>
              <w:t xml:space="preserve">Y </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451" w:type="dxa"/>
            <w:tcBorders>
              <w:bottom w:val="single" w:sz="6" w:space="0" w:color="7F7F7F"/>
            </w:tcBorders>
            <w:tcMar>
              <w:bottom w:w="80" w:type="dxa"/>
            </w:tcM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781" w:type="dxa"/>
            <w:tcBorders>
              <w:bottom w:val="single" w:sz="6" w:space="0" w:color="7F7F7F"/>
            </w:tcBorders>
            <w:tcMar>
              <w:bottom w:w="45" w:type="dxa"/>
            </w:tcMar>
            <w:vAlign w:val="center"/>
          </w:tcPr>
          <w:p>
            <w:pPr>
              <w:pStyle w:val="TableContents"/>
              <w:bidi w:val="0"/>
              <w:spacing w:before="0" w:after="0"/>
              <w:jc w:val="center"/>
              <w:rPr/>
            </w:pPr>
            <w:r>
              <w:rPr/>
              <w:t xml:space="preserve">C </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931" w:type="dxa"/>
            <w:tcBorders>
              <w:bottom w:val="single" w:sz="6" w:space="0" w:color="7F7F7F"/>
            </w:tcBorders>
            <w:tcMar>
              <w:bottom w:w="80" w:type="dxa"/>
            </w:tcM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601" w:type="dxa"/>
            <w:tcBorders>
              <w:bottom w:val="single" w:sz="6" w:space="0" w:color="7F7F7F"/>
            </w:tcBorders>
            <w:tcMar>
              <w:bottom w:w="80" w:type="dxa"/>
            </w:tcMar>
            <w:vAlign w:val="center"/>
          </w:tcPr>
          <w:p>
            <w:pPr>
              <w:pStyle w:val="TableContents"/>
              <w:bidi w:val="0"/>
              <w:spacing w:before="0" w:after="283"/>
              <w:jc w:val="left"/>
              <w:rPr/>
            </w:pPr>
            <w:r>
              <w:rPr/>
              <w:t>​</w:t>
            </w:r>
          </w:p>
        </w:tc>
        <w:tc>
          <w:tcPr>
            <w:tcW w:w="154" w:type="dxa"/>
            <w:tcBorders>
              <w:bottom w:val="single" w:sz="6" w:space="0" w:color="7F7F7F"/>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3257"/>
        <w:gridCol w:w="109"/>
        <w:gridCol w:w="109"/>
        <w:gridCol w:w="3019"/>
        <w:gridCol w:w="109"/>
        <w:gridCol w:w="109"/>
        <w:gridCol w:w="2293"/>
        <w:gridCol w:w="156"/>
      </w:tblGrid>
      <w:tr>
        <w:trPr/>
        <w:tc>
          <w:tcPr>
            <w:tcW w:w="124" w:type="dxa"/>
            <w:tcBorders/>
            <w:vAlign w:val="center"/>
          </w:tcPr>
          <w:p>
            <w:pPr>
              <w:pStyle w:val="TableContents"/>
              <w:bidi w:val="0"/>
              <w:spacing w:before="0" w:after="283"/>
              <w:jc w:val="left"/>
              <w:rPr/>
            </w:pPr>
            <w:r>
              <w:rPr/>
              <w:t>​</w:t>
            </w:r>
          </w:p>
        </w:tc>
        <w:tc>
          <w:tcPr>
            <w:tcW w:w="3257" w:type="dxa"/>
            <w:tcBorders/>
            <w:vAlign w:val="center"/>
          </w:tcPr>
          <w:p>
            <w:pPr>
              <w:pStyle w:val="TableContents"/>
              <w:bidi w:val="0"/>
              <w:spacing w:before="0" w:after="0"/>
              <w:jc w:val="left"/>
              <w:rPr/>
            </w:pPr>
            <w:r>
              <w:rPr>
                <w:spacing w:val="-2"/>
              </w:rPr>
              <w:t>AC =</w:t>
            </w:r>
            <w:r>
              <w:rPr/>
              <w:t xml:space="preserve"> </w:t>
            </w:r>
            <w:r>
              <w:rPr>
                <w:rFonts w:ascii="Arial Narrow;Helvetica;sans-serif" w:hAnsi="Arial Narrow;Helvetica;sans-serif"/>
                <w:b w:val="false"/>
              </w:rPr>
              <w:t xml:space="preserve">Audit Committee </w:t>
            </w:r>
          </w:p>
          <w:p>
            <w:pPr>
              <w:pStyle w:val="TableContents"/>
              <w:bidi w:val="0"/>
              <w:spacing w:before="40" w:after="283"/>
              <w:jc w:val="left"/>
              <w:rPr/>
            </w:pPr>
            <w:r>
              <w:rPr>
                <w:spacing w:val="-2"/>
              </w:rPr>
              <w:t>CHCC =</w:t>
            </w:r>
            <w:r>
              <w:rPr/>
              <w:t xml:space="preserve"> </w:t>
            </w:r>
            <w:r>
              <w:rPr>
                <w:rFonts w:ascii="Arial Narrow;Helvetica;sans-serif" w:hAnsi="Arial Narrow;Helvetica;sans-serif"/>
                <w:b w:val="false"/>
              </w:rPr>
              <w:t xml:space="preserve">Compensation and Human Capital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9" w:type="dxa"/>
            <w:tcBorders/>
            <w:vAlign w:val="center"/>
          </w:tcPr>
          <w:p>
            <w:pPr>
              <w:pStyle w:val="TableContents"/>
              <w:bidi w:val="0"/>
              <w:spacing w:before="0" w:after="0"/>
              <w:jc w:val="left"/>
              <w:rPr/>
            </w:pPr>
            <w:r>
              <w:rPr>
                <w:spacing w:val="-2"/>
              </w:rPr>
              <w:t>NCGSC =</w:t>
            </w:r>
            <w:r>
              <w:rPr/>
              <w:t xml:space="preserve"> </w:t>
            </w:r>
            <w:r>
              <w:rPr>
                <w:rFonts w:ascii="Arial Narrow;Helvetica;sans-serif" w:hAnsi="Arial Narrow;Helvetica;sans-serif"/>
                <w:b w:val="false"/>
              </w:rPr>
              <w:t xml:space="preserve">Nominating, Corporate Governance and </w:t>
            </w:r>
          </w:p>
          <w:p>
            <w:pPr>
              <w:pStyle w:val="TableContents"/>
              <w:bidi w:val="0"/>
              <w:spacing w:before="30" w:after="283"/>
              <w:ind w:left="712" w:right="0" w:hanging="0"/>
              <w:jc w:val="left"/>
              <w:rPr>
                <w:rFonts w:ascii="Arial Narrow;Helvetica;sans-serif" w:hAnsi="Arial Narrow;Helvetica;sans-serif"/>
                <w:b w:val="false"/>
              </w:rPr>
            </w:pPr>
            <w:r>
              <w:rPr>
                <w:rFonts w:ascii="Arial Narrow;Helvetica;sans-serif" w:hAnsi="Arial Narrow;Helvetica;sans-serif"/>
                <w:b w:val="false"/>
              </w:rPr>
              <w:t xml:space="preserve">Sustainability Committee </w:t>
            </w:r>
          </w:p>
          <w:p>
            <w:pPr>
              <w:pStyle w:val="TableContents"/>
              <w:bidi w:val="0"/>
              <w:spacing w:before="70" w:after="283"/>
              <w:jc w:val="left"/>
              <w:rPr/>
            </w:pPr>
            <w:r>
              <w:rPr>
                <w:spacing w:val="-2"/>
              </w:rPr>
              <w:t>OEC</w:t>
            </w:r>
            <w:r>
              <w:rPr/>
              <w:t xml:space="preserve"> </w:t>
            </w:r>
            <w:r>
              <w:rPr>
                <w:rFonts w:ascii="Arial Narrow;Helvetica;sans-serif" w:hAnsi="Arial Narrow;Helvetica;sans-serif"/>
                <w:b w:val="false"/>
              </w:rPr>
              <w:t xml:space="preserve">= Operational Excellence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3" w:type="dxa"/>
            <w:tcBorders/>
            <w:vAlign w:val="center"/>
          </w:tcPr>
          <w:p>
            <w:pPr>
              <w:pStyle w:val="TableContents"/>
              <w:bidi w:val="0"/>
              <w:spacing w:before="0" w:after="0"/>
              <w:jc w:val="left"/>
              <w:rPr/>
            </w:pPr>
            <w:r>
              <w:rPr>
                <w:spacing w:val="-2"/>
              </w:rPr>
              <w:t>C =</w:t>
            </w:r>
            <w:r>
              <w:rPr/>
              <w:t xml:space="preserve"> </w:t>
            </w:r>
            <w:r>
              <w:rPr>
                <w:rFonts w:ascii="Arial Narrow;Helvetica;sans-serif" w:hAnsi="Arial Narrow;Helvetica;sans-serif"/>
                <w:b w:val="false"/>
              </w:rPr>
              <w:t xml:space="preserve">Committee Chair </w:t>
            </w:r>
          </w:p>
          <w:p>
            <w:pPr>
              <w:pStyle w:val="TableContents"/>
              <w:bidi w:val="0"/>
              <w:spacing w:before="40" w:after="283"/>
              <w:jc w:val="left"/>
              <w:rPr/>
            </w:pPr>
            <w:r>
              <w:rPr>
                <w:spacing w:val="-2"/>
              </w:rPr>
              <w:t xml:space="preserve">✓ </w:t>
            </w:r>
            <w:r>
              <w:rPr>
                <w:spacing w:val="-2"/>
              </w:rPr>
              <w:t>=</w:t>
            </w:r>
            <w:r>
              <w:rPr/>
              <w:t xml:space="preserve"> </w:t>
            </w:r>
            <w:r>
              <w:rPr>
                <w:rFonts w:ascii="Arial Narrow;Helvetica;sans-serif" w:hAnsi="Arial Narrow;Helvetica;sans-serif"/>
                <w:b w:val="false"/>
              </w:rPr>
              <w:t xml:space="preserve">Committee Member </w:t>
            </w:r>
          </w:p>
          <w:p>
            <w:pPr>
              <w:pStyle w:val="TableContents"/>
              <w:bidi w:val="0"/>
              <w:spacing w:before="40" w:after="283"/>
              <w:jc w:val="left"/>
              <w:rPr/>
            </w:pPr>
            <w:r>
              <w:rPr>
                <w:spacing w:val="-2"/>
              </w:rPr>
              <w:t>* =</w:t>
            </w:r>
            <w:r>
              <w:rPr/>
              <w:t xml:space="preserve"> </w:t>
            </w:r>
            <w:r>
              <w:rPr>
                <w:rFonts w:ascii="Arial Narrow;Helvetica;sans-serif" w:hAnsi="Arial Narrow;Helvetica;sans-serif"/>
                <w:b w:val="false"/>
              </w:rPr>
              <w:t>Audit Committee Financial Expert</w:t>
            </w:r>
            <w:r>
              <w:rPr/>
              <w:t xml:space="preserve"> </w:t>
            </w:r>
          </w:p>
        </w:tc>
        <w:tc>
          <w:tcPr>
            <w:tcW w:w="156" w:type="dxa"/>
            <w:tcBorders/>
            <w:vAlign w:val="center"/>
          </w:tcPr>
          <w:p>
            <w:pPr>
              <w:pStyle w:val="TableContents"/>
              <w:bidi w:val="0"/>
              <w:spacing w:before="0" w:after="283"/>
              <w:jc w:val="left"/>
              <w:rPr/>
            </w:pPr>
            <w:r>
              <w:rPr/>
              <w:t>​</w:t>
            </w:r>
          </w:p>
        </w:tc>
      </w:tr>
    </w:tbl>
    <w:tbl>
      <w:tblPr>
        <w:tblW w:w="3379" w:type="dxa"/>
        <w:jc w:val="left"/>
        <w:tblInd w:w="920" w:type="dxa"/>
        <w:tblLayout w:type="fixed"/>
        <w:tblCellMar>
          <w:top w:w="0" w:type="dxa"/>
          <w:left w:w="0" w:type="dxa"/>
          <w:bottom w:w="28" w:type="dxa"/>
          <w:right w:w="0" w:type="dxa"/>
        </w:tblCellMar>
      </w:tblPr>
      <w:tblGrid>
        <w:gridCol w:w="124"/>
        <w:gridCol w:w="226"/>
        <w:gridCol w:w="109"/>
        <w:gridCol w:w="109"/>
        <w:gridCol w:w="22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22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22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SUMMARY OF QUALIFICATIONS AND EXPERIENCE OF DIRECTOR NOMINEES</w:t>
      </w:r>
      <w:r>
        <w:rPr>
          <w:rFonts w:ascii="Helvetica;Arial Narrow;sans-serif" w:hAnsi="Helvetica;Arial Narrow;sans-serif"/>
          <w:b/>
          <w:i w:val="false"/>
          <w:caps w:val="false"/>
          <w:smallCaps w:val="false"/>
          <w:color w:val="000000"/>
          <w:spacing w:val="4"/>
          <w:sz w:val="20"/>
        </w:rPr>
        <w:t xml:space="preserve"> </w:t>
      </w:r>
    </w:p>
    <w:tbl>
      <w:tblPr>
        <w:tblW w:w="11636" w:type="dxa"/>
        <w:jc w:val="left"/>
        <w:tblInd w:w="920" w:type="dxa"/>
        <w:tblLayout w:type="fixed"/>
        <w:tblCellMar>
          <w:top w:w="0" w:type="dxa"/>
          <w:left w:w="0" w:type="dxa"/>
          <w:bottom w:w="28" w:type="dxa"/>
          <w:right w:w="0" w:type="dxa"/>
        </w:tblCellMar>
      </w:tblPr>
      <w:tblGrid>
        <w:gridCol w:w="124"/>
        <w:gridCol w:w="2403"/>
        <w:gridCol w:w="109"/>
        <w:gridCol w:w="109"/>
        <w:gridCol w:w="109"/>
        <w:gridCol w:w="731"/>
        <w:gridCol w:w="109"/>
        <w:gridCol w:w="109"/>
        <w:gridCol w:w="109"/>
        <w:gridCol w:w="745"/>
        <w:gridCol w:w="109"/>
        <w:gridCol w:w="109"/>
        <w:gridCol w:w="109"/>
        <w:gridCol w:w="538"/>
        <w:gridCol w:w="109"/>
        <w:gridCol w:w="109"/>
        <w:gridCol w:w="109"/>
        <w:gridCol w:w="672"/>
        <w:gridCol w:w="109"/>
        <w:gridCol w:w="109"/>
        <w:gridCol w:w="109"/>
        <w:gridCol w:w="968"/>
        <w:gridCol w:w="109"/>
        <w:gridCol w:w="109"/>
        <w:gridCol w:w="109"/>
        <w:gridCol w:w="791"/>
        <w:gridCol w:w="109"/>
        <w:gridCol w:w="109"/>
        <w:gridCol w:w="109"/>
        <w:gridCol w:w="1103"/>
        <w:gridCol w:w="109"/>
        <w:gridCol w:w="109"/>
        <w:gridCol w:w="109"/>
        <w:gridCol w:w="791"/>
        <w:gridCol w:w="154"/>
      </w:tblGrid>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52" w:type="dxa"/>
            </w:tcM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31" w:type="dxa"/>
            <w:tcBorders>
              <w:bottom w:val="single" w:sz="2" w:space="0" w:color="7F7F7F"/>
            </w:tcBorders>
            <w:tcMar>
              <w:bottom w:w="52" w:type="dxa"/>
            </w:tcMar>
            <w:vAlign w:val="center"/>
          </w:tcPr>
          <w:p>
            <w:pPr>
              <w:pStyle w:val="TableContents"/>
              <w:bidi w:val="0"/>
              <w:spacing w:before="0" w:after="0"/>
              <w:jc w:val="center"/>
              <w:rPr>
                <w:spacing w:val="-1"/>
              </w:rPr>
            </w:pPr>
            <w:r>
              <w:rPr>
                <w:spacing w:val="-1"/>
              </w:rPr>
              <w:t xml:space="preserve">Brad </w:t>
              <w:br/>
              <w:t xml:space="preserve">Jacobs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tcMar>
              <w:bottom w:w="52" w:type="dxa"/>
            </w:tcMar>
            <w:vAlign w:val="center"/>
          </w:tcPr>
          <w:p>
            <w:pPr>
              <w:pStyle w:val="TableContents"/>
              <w:bidi w:val="0"/>
              <w:spacing w:before="0" w:after="0"/>
              <w:jc w:val="center"/>
              <w:rPr>
                <w:spacing w:val="-1"/>
              </w:rPr>
            </w:pPr>
            <w:r>
              <w:rPr>
                <w:spacing w:val="-1"/>
              </w:rPr>
              <w:t xml:space="preserve">Bella </w:t>
              <w:br/>
              <w:t xml:space="preserve">Allaire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538" w:type="dxa"/>
            <w:tcBorders>
              <w:bottom w:val="single" w:sz="2" w:space="0" w:color="7F7F7F"/>
            </w:tcBorders>
            <w:tcMar>
              <w:bottom w:w="52" w:type="dxa"/>
            </w:tcMar>
            <w:vAlign w:val="center"/>
          </w:tcPr>
          <w:p>
            <w:pPr>
              <w:pStyle w:val="TableContents"/>
              <w:bidi w:val="0"/>
              <w:spacing w:before="0" w:after="0"/>
              <w:jc w:val="center"/>
              <w:rPr>
                <w:spacing w:val="-1"/>
              </w:rPr>
            </w:pPr>
            <w:r>
              <w:rPr>
                <w:spacing w:val="-1"/>
              </w:rPr>
              <w:t xml:space="preserve">J. Wes </w:t>
              <w:br/>
              <w:t xml:space="preserve">Frye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tcMar>
              <w:bottom w:w="52" w:type="dxa"/>
            </w:tcMar>
            <w:vAlign w:val="center"/>
          </w:tcPr>
          <w:p>
            <w:pPr>
              <w:pStyle w:val="TableContents"/>
              <w:bidi w:val="0"/>
              <w:spacing w:before="0" w:after="0"/>
              <w:jc w:val="center"/>
              <w:rPr>
                <w:spacing w:val="-1"/>
              </w:rPr>
            </w:pPr>
            <w:r>
              <w:rPr>
                <w:spacing w:val="-1"/>
              </w:rPr>
              <w:t xml:space="preserve">Mario </w:t>
              <w:br/>
              <w:t xml:space="preserve">Harik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968" w:type="dxa"/>
            <w:tcBorders>
              <w:bottom w:val="single" w:sz="2" w:space="0" w:color="7F7F7F"/>
            </w:tcBorders>
            <w:tcMar>
              <w:bottom w:w="52" w:type="dxa"/>
            </w:tcMar>
            <w:vAlign w:val="center"/>
          </w:tcPr>
          <w:p>
            <w:pPr>
              <w:pStyle w:val="TableContents"/>
              <w:bidi w:val="0"/>
              <w:spacing w:before="0" w:after="0"/>
              <w:jc w:val="center"/>
              <w:rPr>
                <w:spacing w:val="-1"/>
              </w:rPr>
            </w:pPr>
            <w:r>
              <w:rPr>
                <w:spacing w:val="-1"/>
              </w:rPr>
              <w:t xml:space="preserve">Michael G. </w:t>
              <w:br/>
              <w:t xml:space="preserve">Jesselson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tcMar>
              <w:bottom w:w="52" w:type="dxa"/>
            </w:tcMar>
            <w:vAlign w:val="center"/>
          </w:tcPr>
          <w:p>
            <w:pPr>
              <w:pStyle w:val="TableContents"/>
              <w:bidi w:val="0"/>
              <w:spacing w:before="0" w:after="0"/>
              <w:jc w:val="center"/>
              <w:rPr>
                <w:spacing w:val="-1"/>
              </w:rPr>
            </w:pPr>
            <w:r>
              <w:rPr>
                <w:spacing w:val="-1"/>
              </w:rPr>
              <w:t xml:space="preserve">Allison </w:t>
              <w:br/>
              <w:t xml:space="preserve">Landry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103" w:type="dxa"/>
            <w:tcBorders>
              <w:bottom w:val="single" w:sz="2" w:space="0" w:color="7F7F7F"/>
            </w:tcBorders>
            <w:tcMar>
              <w:bottom w:w="52" w:type="dxa"/>
            </w:tcMar>
            <w:vAlign w:val="center"/>
          </w:tcPr>
          <w:p>
            <w:pPr>
              <w:pStyle w:val="TableContents"/>
              <w:bidi w:val="0"/>
              <w:spacing w:before="0" w:after="0"/>
              <w:jc w:val="center"/>
              <w:rPr>
                <w:spacing w:val="-1"/>
              </w:rPr>
            </w:pPr>
            <w:r>
              <w:rPr>
                <w:spacing w:val="-1"/>
              </w:rPr>
              <w:t xml:space="preserve">Irene </w:t>
              <w:br/>
              <w:t xml:space="preserve">Moshouris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tcMar>
              <w:bottom w:w="52" w:type="dxa"/>
            </w:tcMar>
            <w:vAlign w:val="center"/>
          </w:tcPr>
          <w:p>
            <w:pPr>
              <w:pStyle w:val="TableContents"/>
              <w:bidi w:val="0"/>
              <w:spacing w:before="0" w:after="0"/>
              <w:jc w:val="center"/>
              <w:rPr>
                <w:spacing w:val="-1"/>
              </w:rPr>
            </w:pPr>
            <w:r>
              <w:rPr>
                <w:spacing w:val="-1"/>
              </w:rPr>
              <w:t xml:space="preserve">Johnny C. </w:t>
              <w:br/>
              <w:t xml:space="preserve">Taylor, Jr.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BUSINESS OPERATIONS</w:t>
            </w:r>
            <w:r>
              <w:rPr/>
              <w:t xml:space="preserve"> experience provides a practical understanding of developing, implementing and assessing our operating plan and business strategy.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5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1" descr=""/>
                          <pic:cNvPicPr>
                            <a:picLocks noChangeAspect="1" noChangeArrowheads="1"/>
                          </pic:cNvPicPr>
                        </pic:nvPicPr>
                        <pic:blipFill>
                          <a:blip r:embed="rId12"/>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5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2" descr=""/>
                          <pic:cNvPicPr>
                            <a:picLocks noChangeAspect="1" noChangeArrowheads="1"/>
                          </pic:cNvPicPr>
                        </pic:nvPicPr>
                        <pic:blipFill>
                          <a:blip r:embed="rId13"/>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5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3" descr=""/>
                          <pic:cNvPicPr>
                            <a:picLocks noChangeAspect="1" noChangeArrowheads="1"/>
                          </pic:cNvPicPr>
                        </pic:nvPicPr>
                        <pic:blipFill>
                          <a:blip r:embed="rId14"/>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5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4" descr=""/>
                          <pic:cNvPicPr>
                            <a:picLocks noChangeAspect="1" noChangeArrowheads="1"/>
                          </pic:cNvPicPr>
                        </pic:nvPicPr>
                        <pic:blipFill>
                          <a:blip r:embed="rId15"/>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5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5" descr=""/>
                          <pic:cNvPicPr>
                            <a:picLocks noChangeAspect="1" noChangeArrowheads="1"/>
                          </pic:cNvPicPr>
                        </pic:nvPicPr>
                        <pic:blipFill>
                          <a:blip r:embed="rId16"/>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5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6" descr=""/>
                          <pic:cNvPicPr>
                            <a:picLocks noChangeAspect="1" noChangeArrowheads="1"/>
                          </pic:cNvPicPr>
                        </pic:nvPicPr>
                        <pic:blipFill>
                          <a:blip r:embed="rId17"/>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5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7" descr=""/>
                          <pic:cNvPicPr>
                            <a:picLocks noChangeAspect="1" noChangeArrowheads="1"/>
                          </pic:cNvPicPr>
                        </pic:nvPicPr>
                        <pic:blipFill>
                          <a:blip r:embed="rId18"/>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6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8" descr=""/>
                          <pic:cNvPicPr>
                            <a:picLocks noChangeAspect="1" noChangeArrowheads="1"/>
                          </pic:cNvPicPr>
                        </pic:nvPicPr>
                        <pic:blipFill>
                          <a:blip r:embed="rId19"/>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CORPORATE GOVERNANCE</w:t>
            </w:r>
            <w:r>
              <w:rPr/>
              <w:t xml:space="preserve"> experience bolsters Board and management accountability, transparency and a focus on stockholder interests.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6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9" descr=""/>
                          <pic:cNvPicPr>
                            <a:picLocks noChangeAspect="1" noChangeArrowheads="1"/>
                          </pic:cNvPicPr>
                        </pic:nvPicPr>
                        <pic:blipFill>
                          <a:blip r:embed="rId20"/>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6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0" descr=""/>
                          <pic:cNvPicPr>
                            <a:picLocks noChangeAspect="1" noChangeArrowheads="1"/>
                          </pic:cNvPicPr>
                        </pic:nvPicPr>
                        <pic:blipFill>
                          <a:blip r:embed="rId21"/>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1" descr=""/>
                          <pic:cNvPicPr>
                            <a:picLocks noChangeAspect="1" noChangeArrowheads="1"/>
                          </pic:cNvPicPr>
                        </pic:nvPicPr>
                        <pic:blipFill>
                          <a:blip r:embed="rId22"/>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23"/>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6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3" descr=""/>
                          <pic:cNvPicPr>
                            <a:picLocks noChangeAspect="1" noChangeArrowheads="1"/>
                          </pic:cNvPicPr>
                        </pic:nvPicPr>
                        <pic:blipFill>
                          <a:blip r:embed="rId24"/>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25"/>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6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5" descr=""/>
                          <pic:cNvPicPr>
                            <a:picLocks noChangeAspect="1" noChangeArrowheads="1"/>
                          </pic:cNvPicPr>
                        </pic:nvPicPr>
                        <pic:blipFill>
                          <a:blip r:embed="rId26"/>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6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6" descr=""/>
                          <pic:cNvPicPr>
                            <a:picLocks noChangeAspect="1" noChangeArrowheads="1"/>
                          </pic:cNvPicPr>
                        </pic:nvPicPr>
                        <pic:blipFill>
                          <a:blip r:embed="rId27"/>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color w:val="404040"/>
              </w:rPr>
            </w:pPr>
            <w:r>
              <w:rPr>
                <w:b/>
                <w:color w:val="404040"/>
                <w:spacing w:val="-1"/>
              </w:rPr>
              <w:t>ENVIRONMENTAL SUSTAINABILITY AND CORPORATE RESPONSIBILITY</w:t>
            </w:r>
            <w:r>
              <w:rPr>
                <w:color w:val="404040"/>
                <w:spacing w:val="-1"/>
              </w:rPr>
              <w:t xml:space="preserve"> experience enables our Board’s oversight to guide long-term value creation for our stockholders in sustainable ways.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6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7" descr=""/>
                          <pic:cNvPicPr>
                            <a:picLocks noChangeAspect="1" noChangeArrowheads="1"/>
                          </pic:cNvPicPr>
                        </pic:nvPicPr>
                        <pic:blipFill>
                          <a:blip r:embed="rId28"/>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7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8" descr=""/>
                          <pic:cNvPicPr>
                            <a:picLocks noChangeAspect="1" noChangeArrowheads="1"/>
                          </pic:cNvPicPr>
                        </pic:nvPicPr>
                        <pic:blipFill>
                          <a:blip r:embed="rId29"/>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7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9" descr=""/>
                          <pic:cNvPicPr>
                            <a:picLocks noChangeAspect="1" noChangeArrowheads="1"/>
                          </pic:cNvPicPr>
                        </pic:nvPicPr>
                        <pic:blipFill>
                          <a:blip r:embed="rId30"/>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7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0" descr=""/>
                          <pic:cNvPicPr>
                            <a:picLocks noChangeAspect="1" noChangeArrowheads="1"/>
                          </pic:cNvPicPr>
                        </pic:nvPicPr>
                        <pic:blipFill>
                          <a:blip r:embed="rId31"/>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7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1" descr=""/>
                          <pic:cNvPicPr>
                            <a:picLocks noChangeAspect="1" noChangeArrowheads="1"/>
                          </pic:cNvPicPr>
                        </pic:nvPicPr>
                        <pic:blipFill>
                          <a:blip r:embed="rId32"/>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EFFECTIVE CAPITAL ALLOCATION</w:t>
            </w:r>
            <w:r>
              <w:rPr/>
              <w:t xml:space="preserve"> experience is crucial to our Board’s evaluation of our financial statements and capital structure.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7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2" descr=""/>
                          <pic:cNvPicPr>
                            <a:picLocks noChangeAspect="1" noChangeArrowheads="1"/>
                          </pic:cNvPicPr>
                        </pic:nvPicPr>
                        <pic:blipFill>
                          <a:blip r:embed="rId33"/>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7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3" descr=""/>
                          <pic:cNvPicPr>
                            <a:picLocks noChangeAspect="1" noChangeArrowheads="1"/>
                          </pic:cNvPicPr>
                        </pic:nvPicPr>
                        <pic:blipFill>
                          <a:blip r:embed="rId34"/>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7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4" descr=""/>
                          <pic:cNvPicPr>
                            <a:picLocks noChangeAspect="1" noChangeArrowheads="1"/>
                          </pic:cNvPicPr>
                        </pic:nvPicPr>
                        <pic:blipFill>
                          <a:blip r:embed="rId35"/>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7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5" descr=""/>
                          <pic:cNvPicPr>
                            <a:picLocks noChangeAspect="1" noChangeArrowheads="1"/>
                          </pic:cNvPicPr>
                        </pic:nvPicPr>
                        <pic:blipFill>
                          <a:blip r:embed="rId36"/>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7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6" descr=""/>
                          <pic:cNvPicPr>
                            <a:picLocks noChangeAspect="1" noChangeArrowheads="1"/>
                          </pic:cNvPicPr>
                        </pic:nvPicPr>
                        <pic:blipFill>
                          <a:blip r:embed="rId37"/>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CRITICAL ANALYSIS OF CORPORATE FINANCIAL STATEMENTS AND CAPITAL STRUCTURES</w:t>
            </w:r>
            <w:r>
              <w:rPr/>
              <w:t xml:space="preserve"> experience assists our Board in overseeing our financial reporting and internal controls.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7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7" descr=""/>
                          <pic:cNvPicPr>
                            <a:picLocks noChangeAspect="1" noChangeArrowheads="1"/>
                          </pic:cNvPicPr>
                        </pic:nvPicPr>
                        <pic:blipFill>
                          <a:blip r:embed="rId38"/>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8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8" descr=""/>
                          <pic:cNvPicPr>
                            <a:picLocks noChangeAspect="1" noChangeArrowheads="1"/>
                          </pic:cNvPicPr>
                        </pic:nvPicPr>
                        <pic:blipFill>
                          <a:blip r:embed="rId39"/>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8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9" descr=""/>
                          <pic:cNvPicPr>
                            <a:picLocks noChangeAspect="1" noChangeArrowheads="1"/>
                          </pic:cNvPicPr>
                        </pic:nvPicPr>
                        <pic:blipFill>
                          <a:blip r:embed="rId40"/>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8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0" descr=""/>
                          <pic:cNvPicPr>
                            <a:picLocks noChangeAspect="1" noChangeArrowheads="1"/>
                          </pic:cNvPicPr>
                        </pic:nvPicPr>
                        <pic:blipFill>
                          <a:blip r:embed="rId41"/>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8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1" descr=""/>
                          <pic:cNvPicPr>
                            <a:picLocks noChangeAspect="1" noChangeArrowheads="1"/>
                          </pic:cNvPicPr>
                        </pic:nvPicPr>
                        <pic:blipFill>
                          <a:blip r:embed="rId42"/>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HUMAN RESOURCES MANAGEMENT</w:t>
            </w:r>
            <w:r>
              <w:rPr/>
              <w:t xml:space="preserve"> experience enables our Board to further our goals of making XPO an inclusive workplace and aligning human resources objectives with our strategic and operational priorities.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8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 descr=""/>
                          <pic:cNvPicPr>
                            <a:picLocks noChangeAspect="1" noChangeArrowheads="1"/>
                          </pic:cNvPicPr>
                        </pic:nvPicPr>
                        <pic:blipFill>
                          <a:blip r:embed="rId43"/>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8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3" descr=""/>
                          <pic:cNvPicPr>
                            <a:picLocks noChangeAspect="1" noChangeArrowheads="1"/>
                          </pic:cNvPicPr>
                        </pic:nvPicPr>
                        <pic:blipFill>
                          <a:blip r:embed="rId44"/>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8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4" descr=""/>
                          <pic:cNvPicPr>
                            <a:picLocks noChangeAspect="1" noChangeArrowheads="1"/>
                          </pic:cNvPicPr>
                        </pic:nvPicPr>
                        <pic:blipFill>
                          <a:blip r:embed="rId45"/>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8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5" descr=""/>
                          <pic:cNvPicPr>
                            <a:picLocks noChangeAspect="1" noChangeArrowheads="1"/>
                          </pic:cNvPicPr>
                        </pic:nvPicPr>
                        <pic:blipFill>
                          <a:blip r:embed="rId46"/>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MULTINATIONAL CORPORATE MANAGEMENT</w:t>
            </w:r>
            <w:r>
              <w:rPr/>
              <w:t xml:space="preserve"> experience informs the Board’s strategic thinking, given the global nature of our business.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8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6" descr=""/>
                          <pic:cNvPicPr>
                            <a:picLocks noChangeAspect="1" noChangeArrowheads="1"/>
                          </pic:cNvPicPr>
                        </pic:nvPicPr>
                        <pic:blipFill>
                          <a:blip r:embed="rId47"/>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8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7" descr=""/>
                          <pic:cNvPicPr>
                            <a:picLocks noChangeAspect="1" noChangeArrowheads="1"/>
                          </pic:cNvPicPr>
                        </pic:nvPicPr>
                        <pic:blipFill>
                          <a:blip r:embed="rId48"/>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9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8" descr=""/>
                          <pic:cNvPicPr>
                            <a:picLocks noChangeAspect="1" noChangeArrowheads="1"/>
                          </pic:cNvPicPr>
                        </pic:nvPicPr>
                        <pic:blipFill>
                          <a:blip r:embed="rId49"/>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9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9" descr=""/>
                          <pic:cNvPicPr>
                            <a:picLocks noChangeAspect="1" noChangeArrowheads="1"/>
                          </pic:cNvPicPr>
                        </pic:nvPicPr>
                        <pic:blipFill>
                          <a:blip r:embed="rId50"/>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RISK MANAGEMENT</w:t>
            </w:r>
            <w:r>
              <w:rPr/>
              <w:t xml:space="preserve"> experience is critical to our Board’s role in overseeing the risks facing our company, including mitigation measures.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9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0" descr=""/>
                          <pic:cNvPicPr>
                            <a:picLocks noChangeAspect="1" noChangeArrowheads="1"/>
                          </pic:cNvPicPr>
                        </pic:nvPicPr>
                        <pic:blipFill>
                          <a:blip r:embed="rId51"/>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9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1" descr=""/>
                          <pic:cNvPicPr>
                            <a:picLocks noChangeAspect="1" noChangeArrowheads="1"/>
                          </pic:cNvPicPr>
                        </pic:nvPicPr>
                        <pic:blipFill>
                          <a:blip r:embed="rId52"/>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9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2" descr=""/>
                          <pic:cNvPicPr>
                            <a:picLocks noChangeAspect="1" noChangeArrowheads="1"/>
                          </pic:cNvPicPr>
                        </pic:nvPicPr>
                        <pic:blipFill>
                          <a:blip r:embed="rId53"/>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9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3" descr=""/>
                          <pic:cNvPicPr>
                            <a:picLocks noChangeAspect="1" noChangeArrowheads="1"/>
                          </pic:cNvPicPr>
                        </pic:nvPicPr>
                        <pic:blipFill>
                          <a:blip r:embed="rId54"/>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9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4" descr=""/>
                          <pic:cNvPicPr>
                            <a:picLocks noChangeAspect="1" noChangeArrowheads="1"/>
                          </pic:cNvPicPr>
                        </pic:nvPicPr>
                        <pic:blipFill>
                          <a:blip r:embed="rId55"/>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9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5" descr=""/>
                          <pic:cNvPicPr>
                            <a:picLocks noChangeAspect="1" noChangeArrowheads="1"/>
                          </pic:cNvPicPr>
                        </pic:nvPicPr>
                        <pic:blipFill>
                          <a:blip r:embed="rId56"/>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9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6" descr=""/>
                          <pic:cNvPicPr>
                            <a:picLocks noChangeAspect="1" noChangeArrowheads="1"/>
                          </pic:cNvPicPr>
                        </pic:nvPicPr>
                        <pic:blipFill>
                          <a:blip r:embed="rId57"/>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TALENT MANAGEMENT AND ENGAGEMENT</w:t>
            </w:r>
            <w:r>
              <w:rPr/>
              <w:t xml:space="preserve"> experience helps our company attract, motivate and retain top candidates for leadership roles and innovation teams.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9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7" descr=""/>
                          <pic:cNvPicPr>
                            <a:picLocks noChangeAspect="1" noChangeArrowheads="1"/>
                          </pic:cNvPicPr>
                        </pic:nvPicPr>
                        <pic:blipFill>
                          <a:blip r:embed="rId58"/>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0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8" descr=""/>
                          <pic:cNvPicPr>
                            <a:picLocks noChangeAspect="1" noChangeArrowheads="1"/>
                          </pic:cNvPicPr>
                        </pic:nvPicPr>
                        <pic:blipFill>
                          <a:blip r:embed="rId59"/>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0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9" descr=""/>
                          <pic:cNvPicPr>
                            <a:picLocks noChangeAspect="1" noChangeArrowheads="1"/>
                          </pic:cNvPicPr>
                        </pic:nvPicPr>
                        <pic:blipFill>
                          <a:blip r:embed="rId60"/>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0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0" descr=""/>
                          <pic:cNvPicPr>
                            <a:picLocks noChangeAspect="1" noChangeArrowheads="1"/>
                          </pic:cNvPicPr>
                        </pic:nvPicPr>
                        <pic:blipFill>
                          <a:blip r:embed="rId61"/>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0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1" descr=""/>
                          <pic:cNvPicPr>
                            <a:picLocks noChangeAspect="1" noChangeArrowheads="1"/>
                          </pic:cNvPicPr>
                        </pic:nvPicPr>
                        <pic:blipFill>
                          <a:blip r:embed="rId62"/>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0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2" descr=""/>
                          <pic:cNvPicPr>
                            <a:picLocks noChangeAspect="1" noChangeArrowheads="1"/>
                          </pic:cNvPicPr>
                        </pic:nvPicPr>
                        <pic:blipFill>
                          <a:blip r:embed="rId63"/>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0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3" descr=""/>
                          <pic:cNvPicPr>
                            <a:picLocks noChangeAspect="1" noChangeArrowheads="1"/>
                          </pic:cNvPicPr>
                        </pic:nvPicPr>
                        <pic:blipFill>
                          <a:blip r:embed="rId64"/>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CUSTOMER SERVICE</w:t>
            </w:r>
            <w:r>
              <w:rPr/>
              <w:t xml:space="preserve"> experience brings important perspectives to our Board, given the essential role of customer retention in our business model.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0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4" descr=""/>
                          <pic:cNvPicPr>
                            <a:picLocks noChangeAspect="1" noChangeArrowheads="1"/>
                          </pic:cNvPicPr>
                        </pic:nvPicPr>
                        <pic:blipFill>
                          <a:blip r:embed="rId65"/>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0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5" descr=""/>
                          <pic:cNvPicPr>
                            <a:picLocks noChangeAspect="1" noChangeArrowheads="1"/>
                          </pic:cNvPicPr>
                        </pic:nvPicPr>
                        <pic:blipFill>
                          <a:blip r:embed="rId66"/>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0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6" descr=""/>
                          <pic:cNvPicPr>
                            <a:picLocks noChangeAspect="1" noChangeArrowheads="1"/>
                          </pic:cNvPicPr>
                        </pic:nvPicPr>
                        <pic:blipFill>
                          <a:blip r:embed="rId67"/>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0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7" descr=""/>
                          <pic:cNvPicPr>
                            <a:picLocks noChangeAspect="1" noChangeArrowheads="1"/>
                          </pic:cNvPicPr>
                        </pic:nvPicPr>
                        <pic:blipFill>
                          <a:blip r:embed="rId68"/>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SALES AND MARKETING</w:t>
            </w:r>
            <w:r>
              <w:rPr/>
              <w:t xml:space="preserve"> experience enables our Board to assist with our growth strategy, including the development of new services and customer sectors.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1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8" descr=""/>
                          <pic:cNvPicPr>
                            <a:picLocks noChangeAspect="1" noChangeArrowheads="1"/>
                          </pic:cNvPicPr>
                        </pic:nvPicPr>
                        <pic:blipFill>
                          <a:blip r:embed="rId69"/>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1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9" descr=""/>
                          <pic:cNvPicPr>
                            <a:picLocks noChangeAspect="1" noChangeArrowheads="1"/>
                          </pic:cNvPicPr>
                        </pic:nvPicPr>
                        <pic:blipFill>
                          <a:blip r:embed="rId70"/>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1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0" descr=""/>
                          <pic:cNvPicPr>
                            <a:picLocks noChangeAspect="1" noChangeArrowheads="1"/>
                          </pic:cNvPicPr>
                        </pic:nvPicPr>
                        <pic:blipFill>
                          <a:blip r:embed="rId71"/>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1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1" descr=""/>
                          <pic:cNvPicPr>
                            <a:picLocks noChangeAspect="1" noChangeArrowheads="1"/>
                          </pic:cNvPicPr>
                        </pic:nvPicPr>
                        <pic:blipFill>
                          <a:blip r:embed="rId72"/>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M&amp;A, INTEGRATION AND OPTIMIZATION</w:t>
            </w:r>
            <w:r>
              <w:rPr/>
              <w:t xml:space="preserve"> experience helps our company identify the optimal strategic opportunities for profitable growth and meaningful synergies.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1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2" descr=""/>
                          <pic:cNvPicPr>
                            <a:picLocks noChangeAspect="1" noChangeArrowheads="1"/>
                          </pic:cNvPicPr>
                        </pic:nvPicPr>
                        <pic:blipFill>
                          <a:blip r:embed="rId73"/>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1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3" descr=""/>
                          <pic:cNvPicPr>
                            <a:picLocks noChangeAspect="1" noChangeArrowheads="1"/>
                          </pic:cNvPicPr>
                        </pic:nvPicPr>
                        <pic:blipFill>
                          <a:blip r:embed="rId74"/>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1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4" descr=""/>
                          <pic:cNvPicPr>
                            <a:picLocks noChangeAspect="1" noChangeArrowheads="1"/>
                          </pic:cNvPicPr>
                        </pic:nvPicPr>
                        <pic:blipFill>
                          <a:blip r:embed="rId75"/>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1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5" descr=""/>
                          <pic:cNvPicPr>
                            <a:picLocks noChangeAspect="1" noChangeArrowheads="1"/>
                          </pic:cNvPicPr>
                        </pic:nvPicPr>
                        <pic:blipFill>
                          <a:blip r:embed="rId76"/>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1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6" descr=""/>
                          <pic:cNvPicPr>
                            <a:picLocks noChangeAspect="1" noChangeArrowheads="1"/>
                          </pic:cNvPicPr>
                        </pic:nvPicPr>
                        <pic:blipFill>
                          <a:blip r:embed="rId77"/>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TRANSPORTATION AND LOGISTICS INDUSTRY</w:t>
            </w:r>
            <w:r>
              <w:rPr/>
              <w:t xml:space="preserve"> experience is important in understanding our competitive environment and market positioning.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1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7" descr=""/>
                          <pic:cNvPicPr>
                            <a:picLocks noChangeAspect="1" noChangeArrowheads="1"/>
                          </pic:cNvPicPr>
                        </pic:nvPicPr>
                        <pic:blipFill>
                          <a:blip r:embed="rId78"/>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2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8" descr=""/>
                          <pic:cNvPicPr>
                            <a:picLocks noChangeAspect="1" noChangeArrowheads="1"/>
                          </pic:cNvPicPr>
                        </pic:nvPicPr>
                        <pic:blipFill>
                          <a:blip r:embed="rId79"/>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2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9" descr=""/>
                          <pic:cNvPicPr>
                            <a:picLocks noChangeAspect="1" noChangeArrowheads="1"/>
                          </pic:cNvPicPr>
                        </pic:nvPicPr>
                        <pic:blipFill>
                          <a:blip r:embed="rId80"/>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2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0" descr=""/>
                          <pic:cNvPicPr>
                            <a:picLocks noChangeAspect="1" noChangeArrowheads="1"/>
                          </pic:cNvPicPr>
                        </pic:nvPicPr>
                        <pic:blipFill>
                          <a:blip r:embed="rId81"/>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2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1" descr=""/>
                          <pic:cNvPicPr>
                            <a:picLocks noChangeAspect="1" noChangeArrowheads="1"/>
                          </pic:cNvPicPr>
                        </pic:nvPicPr>
                        <pic:blipFill>
                          <a:blip r:embed="rId82"/>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403" w:type="dxa"/>
            <w:tcBorders>
              <w:bottom w:val="single" w:sz="2" w:space="0" w:color="7F7F7F"/>
            </w:tcBorders>
            <w:tcMar>
              <w:bottom w:w="49" w:type="dxa"/>
            </w:tcMar>
            <w:vAlign w:val="center"/>
          </w:tcPr>
          <w:p>
            <w:pPr>
              <w:pStyle w:val="TableContents"/>
              <w:bidi w:val="0"/>
              <w:spacing w:lineRule="atLeast" w:line="173" w:before="0" w:after="0"/>
              <w:jc w:val="left"/>
              <w:rPr/>
            </w:pPr>
            <w:r>
              <w:rPr>
                <w:b/>
                <w:spacing w:val="-1"/>
              </w:rPr>
              <w:t>TECHNOLOGY AND INFORMATION SYSTEMS</w:t>
            </w:r>
            <w:r>
              <w:rPr/>
              <w:t xml:space="preserve"> experience provides our Board with valuable insights and best practices relevant to enhancing customer outcomes, internal efficiencies and cybersecurity.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31" w:type="dxa"/>
            <w:tcBorders>
              <w:bottom w:val="single" w:sz="2" w:space="0" w:color="7F7F7F"/>
            </w:tcBorders>
            <w:shd w:fill="D8D8D8" w:val="clear"/>
            <w:vAlign w:val="center"/>
          </w:tcPr>
          <w:p>
            <w:pPr>
              <w:pStyle w:val="TableContents"/>
              <w:bidi w:val="0"/>
              <w:spacing w:before="0" w:after="0"/>
              <w:jc w:val="center"/>
              <w:rPr/>
            </w:pPr>
            <w:r>
              <w:rPr/>
              <w:drawing>
                <wp:inline distT="0" distB="0" distL="0" distR="0">
                  <wp:extent cx="219075" cy="200025"/>
                  <wp:effectExtent l="0" t="0" r="0" b="0"/>
                  <wp:docPr id="12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2" descr=""/>
                          <pic:cNvPicPr>
                            <a:picLocks noChangeAspect="1" noChangeArrowheads="1"/>
                          </pic:cNvPicPr>
                        </pic:nvPicPr>
                        <pic:blipFill>
                          <a:blip r:embed="rId83"/>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45"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2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3" descr=""/>
                          <pic:cNvPicPr>
                            <a:picLocks noChangeAspect="1" noChangeArrowheads="1"/>
                          </pic:cNvPicPr>
                        </pic:nvPicPr>
                        <pic:blipFill>
                          <a:blip r:embed="rId84"/>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538"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72"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2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4" descr=""/>
                          <pic:cNvPicPr>
                            <a:picLocks noChangeAspect="1" noChangeArrowheads="1"/>
                          </pic:cNvPicPr>
                        </pic:nvPicPr>
                        <pic:blipFill>
                          <a:blip r:embed="rId85"/>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968"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3"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91" w:type="dxa"/>
            <w:tcBorders>
              <w:bottom w:val="single" w:sz="2" w:space="0" w:color="7F7F7F"/>
            </w:tcBorders>
            <w:vAlign w:val="center"/>
          </w:tcPr>
          <w:p>
            <w:pPr>
              <w:pStyle w:val="TableContents"/>
              <w:bidi w:val="0"/>
              <w:spacing w:before="0" w:after="0"/>
              <w:jc w:val="center"/>
              <w:rPr/>
            </w:pPr>
            <w:r>
              <w:rPr/>
              <w:drawing>
                <wp:inline distT="0" distB="0" distL="0" distR="0">
                  <wp:extent cx="219075" cy="200025"/>
                  <wp:effectExtent l="0" t="0" r="0" b="0"/>
                  <wp:docPr id="12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5" descr=""/>
                          <pic:cNvPicPr>
                            <a:picLocks noChangeAspect="1" noChangeArrowheads="1"/>
                          </pic:cNvPicPr>
                        </pic:nvPicPr>
                        <pic:blipFill>
                          <a:blip r:embed="rId86"/>
                          <a:stretch>
                            <a:fillRect/>
                          </a:stretch>
                        </pic:blipFill>
                        <pic:spPr bwMode="auto">
                          <a:xfrm>
                            <a:off x="0" y="0"/>
                            <a:ext cx="219075" cy="200025"/>
                          </a:xfrm>
                          <a:prstGeom prst="rect">
                            <a:avLst/>
                          </a:prstGeom>
                        </pic:spPr>
                      </pic:pic>
                    </a:graphicData>
                  </a:graphic>
                </wp:inline>
              </w:drawing>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bl>
    <w:tbl>
      <w:tblPr>
        <w:tblW w:w="3379" w:type="dxa"/>
        <w:jc w:val="left"/>
        <w:tblInd w:w="920" w:type="dxa"/>
        <w:tblLayout w:type="fixed"/>
        <w:tblCellMar>
          <w:top w:w="0" w:type="dxa"/>
          <w:left w:w="0" w:type="dxa"/>
          <w:bottom w:w="28" w:type="dxa"/>
          <w:right w:w="0" w:type="dxa"/>
        </w:tblCellMar>
      </w:tblPr>
      <w:tblGrid>
        <w:gridCol w:w="124"/>
        <w:gridCol w:w="226"/>
        <w:gridCol w:w="109"/>
        <w:gridCol w:w="109"/>
        <w:gridCol w:w="22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22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22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GOVERNANCE HIGHLIGHTS</w:t>
      </w:r>
      <w:r>
        <w:rPr>
          <w:rFonts w:ascii="Helvetica;Arial Narrow;sans-serif" w:hAnsi="Helvetica;Arial Narrow;sans-serif"/>
          <w:b/>
          <w:i w:val="false"/>
          <w:caps w:val="false"/>
          <w:smallCaps w:val="false"/>
          <w:color w:val="000000"/>
          <w:spacing w:val="4"/>
          <w:sz w:val="20"/>
        </w:rPr>
        <w:t xml:space="preserve"> </w:t>
      </w:r>
    </w:p>
    <w:tbl>
      <w:tblPr>
        <w:tblW w:w="9285" w:type="dxa"/>
        <w:jc w:val="left"/>
        <w:tblInd w:w="920" w:type="dxa"/>
        <w:tblLayout w:type="fixed"/>
        <w:tblCellMar>
          <w:top w:w="0" w:type="dxa"/>
          <w:left w:w="0" w:type="dxa"/>
          <w:bottom w:w="28" w:type="dxa"/>
          <w:right w:w="0" w:type="dxa"/>
        </w:tblCellMar>
      </w:tblPr>
      <w:tblGrid>
        <w:gridCol w:w="124"/>
        <w:gridCol w:w="1693"/>
        <w:gridCol w:w="109"/>
        <w:gridCol w:w="109"/>
        <w:gridCol w:w="7095"/>
        <w:gridCol w:w="155"/>
      </w:tblGrid>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693" w:type="dxa"/>
            <w:tcBorders>
              <w:bottom w:val="single" w:sz="2" w:space="0" w:color="7F7F7F"/>
            </w:tcBorders>
            <w:shd w:fill="D8D8D8" w:val="clear"/>
            <w:tcMar>
              <w:bottom w:w="43" w:type="dxa"/>
            </w:tcMar>
            <w:vAlign w:val="center"/>
          </w:tcPr>
          <w:p>
            <w:pPr>
              <w:pStyle w:val="TableContents"/>
              <w:bidi w:val="0"/>
              <w:spacing w:lineRule="atLeast" w:line="204" w:before="0" w:after="0"/>
              <w:jc w:val="left"/>
              <w:rPr>
                <w:rFonts w:ascii="Arial Narrow;Helvetica;sans-serif" w:hAnsi="Arial Narrow;Helvetica;sans-serif"/>
                <w:b/>
              </w:rPr>
            </w:pPr>
            <w:r>
              <w:rPr>
                <w:rFonts w:ascii="Arial Narrow;Helvetica;sans-serif" w:hAnsi="Arial Narrow;Helvetica;sans-serif"/>
                <w:b/>
              </w:rPr>
              <w:t xml:space="preserve">Board and Committee </w:t>
              <w:br/>
              <w:t>Independence</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095" w:type="dxa"/>
            <w:tcBorders>
              <w:bottom w:val="single" w:sz="2" w:space="0" w:color="7F7F7F"/>
            </w:tcBorders>
            <w:shd w:fill="D8D8D8" w:val="clear"/>
            <w:tcMar>
              <w:bottom w:w="43" w:type="dxa"/>
            </w:tcMar>
            <w:vAlign w:val="center"/>
          </w:tcPr>
          <w:p>
            <w:pPr>
              <w:pStyle w:val="TableContents"/>
              <w:bidi w:val="0"/>
              <w:spacing w:lineRule="atLeast" w:line="204" w:before="0" w:after="0"/>
              <w:jc w:val="both"/>
              <w:rPr>
                <w:spacing w:val="-2"/>
              </w:rPr>
            </w:pPr>
            <w:r>
              <w:rPr>
                <w:spacing w:val="-2"/>
              </w:rPr>
              <w:t xml:space="preserve">Six of our eight directors are independent. The Audit Committee, the Compensation and Human Capital Committee, and the Nominating, Corporate Governance and Sustainability Committee each consist entirely of independent directors.  </w:t>
            </w:r>
          </w:p>
        </w:tc>
        <w:tc>
          <w:tcPr>
            <w:tcW w:w="155"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693" w:type="dxa"/>
            <w:tcBorders>
              <w:bottom w:val="single" w:sz="2" w:space="0" w:color="7F7F7F"/>
            </w:tcBorders>
            <w:tcMar>
              <w:bottom w:w="43" w:type="dxa"/>
            </w:tcMar>
            <w:vAlign w:val="center"/>
          </w:tcPr>
          <w:p>
            <w:pPr>
              <w:pStyle w:val="TableContents"/>
              <w:bidi w:val="0"/>
              <w:spacing w:before="0" w:after="0"/>
              <w:jc w:val="left"/>
              <w:rPr>
                <w:rFonts w:ascii="Arial Narrow;Helvetica;sans-serif" w:hAnsi="Arial Narrow;Helvetica;sans-serif"/>
                <w:b/>
              </w:rPr>
            </w:pPr>
            <w:r>
              <w:rPr>
                <w:rFonts w:ascii="Arial Narrow;Helvetica;sans-serif" w:hAnsi="Arial Narrow;Helvetica;sans-serif"/>
                <w:b/>
              </w:rPr>
              <w:t>Separation of Chairman and CEO Roles</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095" w:type="dxa"/>
            <w:tcBorders>
              <w:bottom w:val="single" w:sz="2" w:space="0" w:color="7F7F7F"/>
            </w:tcBorders>
            <w:tcMar>
              <w:bottom w:w="43" w:type="dxa"/>
            </w:tcMar>
            <w:vAlign w:val="center"/>
          </w:tcPr>
          <w:p>
            <w:pPr>
              <w:pStyle w:val="TableContents"/>
              <w:bidi w:val="0"/>
              <w:spacing w:before="0" w:after="0"/>
              <w:jc w:val="both"/>
              <w:rPr>
                <w:spacing w:val="-2"/>
              </w:rPr>
            </w:pPr>
            <w:r>
              <w:rPr>
                <w:spacing w:val="-2"/>
              </w:rPr>
              <w:t xml:space="preserve">Effective November 1, 2022, upon the completion of the RXO, Inc. (“RXO”) spin-off, Mr. Jacobs, our founder who had been our chairman and chief executive officer (“CEO”) since 2011, became our executive chairman, and Mr. Harik became our CEO. To facilitate a smooth CEO transition, our Board determined that splitting the chairman and CEO roles would be in the best interests of the company and our stockholders. The Board believes that the executive chairman Board leadership structure ensures stability for the company after years of transformation and provides strong strategic leadership and key support for management, particularly in the initial years of Mr. Harik’s tenure as CEO. </w:t>
            </w:r>
          </w:p>
        </w:tc>
        <w:tc>
          <w:tcPr>
            <w:tcW w:w="155"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693" w:type="dxa"/>
            <w:tcBorders>
              <w:bottom w:val="single" w:sz="2" w:space="0" w:color="7F7F7F"/>
            </w:tcBorders>
            <w:shd w:fill="D8D8D8" w:val="clear"/>
            <w:tcMar>
              <w:bottom w:w="43" w:type="dxa"/>
            </w:tcMar>
            <w:vAlign w:val="center"/>
          </w:tcPr>
          <w:p>
            <w:pPr>
              <w:pStyle w:val="TableContents"/>
              <w:bidi w:val="0"/>
              <w:spacing w:lineRule="atLeast" w:line="204" w:before="0" w:after="0"/>
              <w:jc w:val="left"/>
              <w:rPr>
                <w:rFonts w:ascii="Arial Narrow;Helvetica;sans-serif" w:hAnsi="Arial Narrow;Helvetica;sans-serif"/>
                <w:b/>
              </w:rPr>
            </w:pPr>
            <w:r>
              <w:rPr>
                <w:rFonts w:ascii="Arial Narrow;Helvetica;sans-serif" w:hAnsi="Arial Narrow;Helvetica;sans-serif"/>
                <w:b/>
              </w:rPr>
              <w:t>Independent Board Oversight and Leadership Roles</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095" w:type="dxa"/>
            <w:tcBorders>
              <w:bottom w:val="single" w:sz="2" w:space="0" w:color="7F7F7F"/>
            </w:tcBorders>
            <w:shd w:fill="D8D8D8" w:val="clear"/>
            <w:tcMar>
              <w:bottom w:w="43" w:type="dxa"/>
            </w:tcMar>
            <w:vAlign w:val="center"/>
          </w:tcPr>
          <w:p>
            <w:pPr>
              <w:pStyle w:val="TableContents"/>
              <w:bidi w:val="0"/>
              <w:spacing w:before="0" w:after="0"/>
              <w:jc w:val="both"/>
              <w:rPr>
                <w:spacing w:val="-2"/>
              </w:rPr>
            </w:pPr>
            <w:r>
              <w:rPr>
                <w:spacing w:val="-2"/>
              </w:rPr>
              <w:t xml:space="preserve">We are committed to independent Board oversight. Alongside our executive chairman, our Board leadership structure includes a lead independent director and an independent vice chair. Our lead independent director is responsible for, among other duties, coordinating with the chairman with respect to meeting agendas, and calling and chairing sessions of the independent directors. Our vice chair is responsible for assisting the lead independent director in carrying out his duties and acting on his behalf when he is not present. The Board believes its leadership structure, as well as the leadership structure of the company, function cohesively and serve the best interests of our stockholders. </w:t>
            </w:r>
          </w:p>
        </w:tc>
        <w:tc>
          <w:tcPr>
            <w:tcW w:w="155"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693" w:type="dxa"/>
            <w:tcBorders>
              <w:bottom w:val="single" w:sz="2" w:space="0" w:color="7F7F7F"/>
            </w:tcBorders>
            <w:tcMar>
              <w:bottom w:w="43" w:type="dxa"/>
            </w:tcMar>
            <w:vAlign w:val="center"/>
          </w:tcPr>
          <w:p>
            <w:pPr>
              <w:pStyle w:val="TableContents"/>
              <w:bidi w:val="0"/>
              <w:spacing w:before="0" w:after="0"/>
              <w:jc w:val="left"/>
              <w:rPr>
                <w:rFonts w:ascii="Arial Narrow;Helvetica;sans-serif" w:hAnsi="Arial Narrow;Helvetica;sans-serif"/>
                <w:b/>
              </w:rPr>
            </w:pPr>
            <w:r>
              <w:rPr>
                <w:rFonts w:ascii="Arial Narrow;Helvetica;sans-serif" w:hAnsi="Arial Narrow;Helvetica;sans-serif"/>
                <w:b/>
              </w:rPr>
              <w:t>Board Refreshment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095" w:type="dxa"/>
            <w:tcBorders>
              <w:bottom w:val="single" w:sz="2" w:space="0" w:color="7F7F7F"/>
            </w:tcBorders>
            <w:tcMar>
              <w:bottom w:w="43" w:type="dxa"/>
            </w:tcMar>
            <w:vAlign w:val="center"/>
          </w:tcPr>
          <w:p>
            <w:pPr>
              <w:pStyle w:val="TableContents"/>
              <w:bidi w:val="0"/>
              <w:spacing w:before="0" w:after="0"/>
              <w:jc w:val="both"/>
              <w:rPr>
                <w:spacing w:val="-2"/>
              </w:rPr>
            </w:pPr>
            <w:r>
              <w:rPr>
                <w:spacing w:val="-2"/>
              </w:rPr>
              <w:t xml:space="preserve">Our Board is committed to ensuring that its composition includes a range of expertise aligned with the company’s business, as well as fresh perspectives on strategy. One of the ways the Board acts on this commitment is through the thoughtful refreshment of directors when appropriate. Upon the RXO spin-off, the composition of the Board changed to align more closely with XPO’s remaining business operations and strategy. Three directors stepped down from the Board, five directors, including Mr. Jacobs, remained on the Board, and three new directors, including Mr. Harik, our CEO, joined the Board. In March 2023, the Board appointed an additional new independent director with an operations background directly relevant to LTL. </w:t>
            </w:r>
          </w:p>
        </w:tc>
        <w:tc>
          <w:tcPr>
            <w:tcW w:w="155"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693" w:type="dxa"/>
            <w:tcBorders>
              <w:bottom w:val="single" w:sz="2" w:space="0" w:color="7F7F7F"/>
            </w:tcBorders>
            <w:shd w:fill="D8D8D8" w:val="clear"/>
            <w:tcMar>
              <w:bottom w:w="43" w:type="dxa"/>
            </w:tcMar>
            <w:vAlign w:val="center"/>
          </w:tcPr>
          <w:p>
            <w:pPr>
              <w:pStyle w:val="TableContents"/>
              <w:bidi w:val="0"/>
              <w:spacing w:before="0" w:after="0"/>
              <w:jc w:val="left"/>
              <w:rPr>
                <w:rFonts w:ascii="Arial Narrow;Helvetica;sans-serif" w:hAnsi="Arial Narrow;Helvetica;sans-serif"/>
                <w:b/>
              </w:rPr>
            </w:pPr>
            <w:r>
              <w:rPr>
                <w:rFonts w:ascii="Arial Narrow;Helvetica;sans-serif" w:hAnsi="Arial Narrow;Helvetica;sans-serif"/>
                <w:b/>
              </w:rPr>
              <w:t>Committee Rotations</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095" w:type="dxa"/>
            <w:tcBorders>
              <w:bottom w:val="single" w:sz="2" w:space="0" w:color="7F7F7F"/>
            </w:tcBorders>
            <w:shd w:fill="D8D8D8" w:val="clear"/>
            <w:tcMar>
              <w:bottom w:w="43" w:type="dxa"/>
            </w:tcMar>
            <w:vAlign w:val="center"/>
          </w:tcPr>
          <w:p>
            <w:pPr>
              <w:pStyle w:val="TableContents"/>
              <w:bidi w:val="0"/>
              <w:spacing w:before="0" w:after="0"/>
              <w:jc w:val="both"/>
              <w:rPr>
                <w:spacing w:val="-2"/>
              </w:rPr>
            </w:pPr>
            <w:r>
              <w:rPr>
                <w:spacing w:val="-2"/>
              </w:rPr>
              <w:t xml:space="preserve">As part of its annual review of committee assignments, the Board reconstitutes its committees and committee chairs as needed to support the evolving needs of the company. The committees were most recently reconstituted in June 2024. </w:t>
            </w:r>
          </w:p>
        </w:tc>
        <w:tc>
          <w:tcPr>
            <w:tcW w:w="155"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693" w:type="dxa"/>
            <w:tcBorders>
              <w:bottom w:val="single" w:sz="2" w:space="0" w:color="7F7F7F"/>
            </w:tcBorders>
            <w:tcMar>
              <w:bottom w:w="43" w:type="dxa"/>
            </w:tcMar>
            <w:vAlign w:val="center"/>
          </w:tcPr>
          <w:p>
            <w:pPr>
              <w:pStyle w:val="TableContents"/>
              <w:bidi w:val="0"/>
              <w:spacing w:before="0" w:after="0"/>
              <w:jc w:val="left"/>
              <w:rPr>
                <w:rFonts w:ascii="Arial Narrow;Helvetica;sans-serif" w:hAnsi="Arial Narrow;Helvetica;sans-serif"/>
                <w:b/>
              </w:rPr>
            </w:pPr>
            <w:r>
              <w:rPr>
                <w:rFonts w:ascii="Arial Narrow;Helvetica;sans-serif" w:hAnsi="Arial Narrow;Helvetica;sans-serif"/>
                <w:b/>
              </w:rPr>
              <w:t>Director Elections</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095" w:type="dxa"/>
            <w:tcBorders>
              <w:bottom w:val="single" w:sz="2" w:space="0" w:color="7F7F7F"/>
            </w:tcBorders>
            <w:tcMar>
              <w:bottom w:w="43" w:type="dxa"/>
            </w:tcMar>
            <w:vAlign w:val="center"/>
          </w:tcPr>
          <w:p>
            <w:pPr>
              <w:pStyle w:val="TableContents"/>
              <w:bidi w:val="0"/>
              <w:spacing w:lineRule="atLeast" w:line="204" w:before="0" w:after="0"/>
              <w:jc w:val="both"/>
              <w:rPr>
                <w:spacing w:val="-2"/>
              </w:rPr>
            </w:pPr>
            <w:r>
              <w:rPr>
                <w:spacing w:val="-2"/>
              </w:rPr>
              <w:t xml:space="preserve">All directors of the Board are elected annually for one-year terms or until their successors are qualified and elected. </w:t>
            </w:r>
          </w:p>
        </w:tc>
        <w:tc>
          <w:tcPr>
            <w:tcW w:w="155"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693" w:type="dxa"/>
            <w:tcBorders>
              <w:bottom w:val="single" w:sz="2" w:space="0" w:color="7F7F7F"/>
            </w:tcBorders>
            <w:shd w:fill="D8D8D8" w:val="clear"/>
            <w:tcMar>
              <w:bottom w:w="43" w:type="dxa"/>
            </w:tcMar>
            <w:vAlign w:val="center"/>
          </w:tcPr>
          <w:p>
            <w:pPr>
              <w:pStyle w:val="TableContents"/>
              <w:bidi w:val="0"/>
              <w:spacing w:before="0" w:after="0"/>
              <w:jc w:val="left"/>
              <w:rPr>
                <w:rFonts w:ascii="Arial Narrow;Helvetica;sans-serif" w:hAnsi="Arial Narrow;Helvetica;sans-serif"/>
                <w:b/>
              </w:rPr>
            </w:pPr>
            <w:r>
              <w:rPr>
                <w:rFonts w:ascii="Arial Narrow;Helvetica;sans-serif" w:hAnsi="Arial Narrow;Helvetica;sans-serif"/>
                <w:b/>
              </w:rPr>
              <w:t>Majority Voting for Director Elections</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095" w:type="dxa"/>
            <w:tcBorders>
              <w:bottom w:val="single" w:sz="2" w:space="0" w:color="7F7F7F"/>
            </w:tcBorders>
            <w:shd w:fill="D8D8D8" w:val="clear"/>
            <w:tcMar>
              <w:bottom w:w="43" w:type="dxa"/>
            </w:tcMar>
            <w:vAlign w:val="center"/>
          </w:tcPr>
          <w:p>
            <w:pPr>
              <w:pStyle w:val="TableContents"/>
              <w:bidi w:val="0"/>
              <w:spacing w:before="0" w:after="0"/>
              <w:jc w:val="both"/>
              <w:rPr>
                <w:spacing w:val="-2"/>
              </w:rPr>
            </w:pPr>
            <w:r>
              <w:rPr>
                <w:spacing w:val="-2"/>
              </w:rPr>
              <w:t xml:space="preserve">Our bylaws provide for a majority voting standard in uncontested elections, and further require that a director who fails to receive a majority vote must tender his or her resignation to the Board. </w:t>
            </w:r>
          </w:p>
        </w:tc>
        <w:tc>
          <w:tcPr>
            <w:tcW w:w="155"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693" w:type="dxa"/>
            <w:tcBorders>
              <w:bottom w:val="single" w:sz="2" w:space="0" w:color="7F7F7F"/>
            </w:tcBorders>
            <w:tcMar>
              <w:bottom w:w="43" w:type="dxa"/>
            </w:tcMar>
            <w:vAlign w:val="center"/>
          </w:tcPr>
          <w:p>
            <w:pPr>
              <w:pStyle w:val="TableContents"/>
              <w:bidi w:val="0"/>
              <w:spacing w:before="0" w:after="0"/>
              <w:jc w:val="left"/>
              <w:rPr>
                <w:rFonts w:ascii="Arial Narrow;Helvetica;sans-serif" w:hAnsi="Arial Narrow;Helvetica;sans-serif"/>
                <w:b/>
              </w:rPr>
            </w:pPr>
            <w:r>
              <w:rPr>
                <w:rFonts w:ascii="Arial Narrow;Helvetica;sans-serif" w:hAnsi="Arial Narrow;Helvetica;sans-serif"/>
                <w:b/>
              </w:rPr>
              <w:t>Board Evaluations</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095" w:type="dxa"/>
            <w:tcBorders>
              <w:bottom w:val="single" w:sz="2" w:space="0" w:color="7F7F7F"/>
            </w:tcBorders>
            <w:tcMar>
              <w:bottom w:w="43" w:type="dxa"/>
            </w:tcMar>
            <w:vAlign w:val="center"/>
          </w:tcPr>
          <w:p>
            <w:pPr>
              <w:pStyle w:val="TableContents"/>
              <w:bidi w:val="0"/>
              <w:spacing w:before="0" w:after="0"/>
              <w:jc w:val="both"/>
              <w:rPr>
                <w:spacing w:val="-2"/>
              </w:rPr>
            </w:pPr>
            <w:r>
              <w:rPr>
                <w:spacing w:val="-2"/>
              </w:rPr>
              <w:t xml:space="preserve">Our Board reviews committee and director performance through an annual process of self-evaluation. </w:t>
            </w:r>
          </w:p>
        </w:tc>
        <w:tc>
          <w:tcPr>
            <w:tcW w:w="155"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693" w:type="dxa"/>
            <w:tcBorders>
              <w:bottom w:val="single" w:sz="2" w:space="0" w:color="7F7F7F"/>
            </w:tcBorders>
            <w:shd w:fill="D8D8D8" w:val="clear"/>
            <w:tcMar>
              <w:bottom w:w="43" w:type="dxa"/>
            </w:tcMar>
            <w:vAlign w:val="center"/>
          </w:tcPr>
          <w:p>
            <w:pPr>
              <w:pStyle w:val="TableContents"/>
              <w:bidi w:val="0"/>
              <w:spacing w:before="0" w:after="0"/>
              <w:jc w:val="left"/>
              <w:rPr>
                <w:rFonts w:ascii="Arial Narrow;Helvetica;sans-serif" w:hAnsi="Arial Narrow;Helvetica;sans-serif"/>
                <w:b/>
              </w:rPr>
            </w:pPr>
            <w:r>
              <w:rPr>
                <w:rFonts w:ascii="Arial Narrow;Helvetica;sans-serif" w:hAnsi="Arial Narrow;Helvetica;sans-serif"/>
                <w:b/>
              </w:rPr>
              <w:t>Risk Oversight and Financial Reporting</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095" w:type="dxa"/>
            <w:tcBorders>
              <w:bottom w:val="single" w:sz="2" w:space="0" w:color="7F7F7F"/>
            </w:tcBorders>
            <w:shd w:fill="D8D8D8" w:val="clear"/>
            <w:tcMar>
              <w:bottom w:w="43" w:type="dxa"/>
            </w:tcMar>
            <w:vAlign w:val="center"/>
          </w:tcPr>
          <w:p>
            <w:pPr>
              <w:pStyle w:val="TableContents"/>
              <w:bidi w:val="0"/>
              <w:spacing w:before="0" w:after="0"/>
              <w:jc w:val="both"/>
              <w:rPr>
                <w:spacing w:val="-2"/>
              </w:rPr>
            </w:pPr>
            <w:r>
              <w:rPr>
                <w:spacing w:val="-2"/>
              </w:rPr>
              <w:t xml:space="preserve">Our Board aims to provide robust oversight of current and potential risks facing our company by engaging in regular deliberations and participating in management meetings. Our Audit Committee contributes to strong financial reporting oversight through regular meetings with management and dialogue with our auditors. </w:t>
            </w:r>
          </w:p>
        </w:tc>
        <w:tc>
          <w:tcPr>
            <w:tcW w:w="155"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693" w:type="dxa"/>
            <w:tcBorders>
              <w:bottom w:val="single" w:sz="2" w:space="0" w:color="7F7F7F"/>
            </w:tcBorders>
            <w:tcMar>
              <w:bottom w:w="43" w:type="dxa"/>
            </w:tcMar>
            <w:vAlign w:val="center"/>
          </w:tcPr>
          <w:p>
            <w:pPr>
              <w:pStyle w:val="TableContents"/>
              <w:bidi w:val="0"/>
              <w:spacing w:before="0" w:after="0"/>
              <w:jc w:val="left"/>
              <w:rPr>
                <w:rFonts w:ascii="Arial Narrow;Helvetica;sans-serif" w:hAnsi="Arial Narrow;Helvetica;sans-serif"/>
                <w:b/>
              </w:rPr>
            </w:pPr>
            <w:r>
              <w:rPr>
                <w:rFonts w:ascii="Arial Narrow;Helvetica;sans-serif" w:hAnsi="Arial Narrow;Helvetica;sans-serif"/>
                <w:b/>
              </w:rPr>
              <w:t>Active Board Participation</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095" w:type="dxa"/>
            <w:tcBorders>
              <w:bottom w:val="single" w:sz="2" w:space="0" w:color="7F7F7F"/>
            </w:tcBorders>
            <w:tcMar>
              <w:bottom w:w="43" w:type="dxa"/>
            </w:tcMar>
            <w:vAlign w:val="center"/>
          </w:tcPr>
          <w:p>
            <w:pPr>
              <w:pStyle w:val="TableContents"/>
              <w:bidi w:val="0"/>
              <w:spacing w:before="0" w:after="0"/>
              <w:jc w:val="both"/>
              <w:rPr>
                <w:spacing w:val="-2"/>
              </w:rPr>
            </w:pPr>
            <w:r>
              <w:rPr>
                <w:spacing w:val="-2"/>
              </w:rPr>
              <w:t xml:space="preserve">Our Board held four meetings during 2024. Each person currently serving as a director attended at least 75% of the aggregate meetings of the Board and any committee(s) on which he or she served while providing Board service. </w:t>
            </w:r>
          </w:p>
        </w:tc>
        <w:tc>
          <w:tcPr>
            <w:tcW w:w="155"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693" w:type="dxa"/>
            <w:tcBorders>
              <w:bottom w:val="single" w:sz="2" w:space="0" w:color="7F7F7F"/>
            </w:tcBorders>
            <w:shd w:fill="D8D8D8" w:val="clear"/>
            <w:tcMar>
              <w:bottom w:w="43" w:type="dxa"/>
            </w:tcMar>
            <w:vAlign w:val="center"/>
          </w:tcPr>
          <w:p>
            <w:pPr>
              <w:pStyle w:val="TableContents"/>
              <w:bidi w:val="0"/>
              <w:spacing w:before="0" w:after="0"/>
              <w:jc w:val="left"/>
              <w:rPr>
                <w:rFonts w:ascii="Arial Narrow;Helvetica;sans-serif" w:hAnsi="Arial Narrow;Helvetica;sans-serif"/>
                <w:b/>
              </w:rPr>
            </w:pPr>
            <w:r>
              <w:rPr>
                <w:rFonts w:ascii="Arial Narrow;Helvetica;sans-serif" w:hAnsi="Arial Narrow;Helvetica;sans-serif"/>
                <w:b/>
              </w:rPr>
              <w:t>Direct Oversight of Sustainability</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095" w:type="dxa"/>
            <w:tcBorders>
              <w:bottom w:val="single" w:sz="2" w:space="0" w:color="7F7F7F"/>
            </w:tcBorders>
            <w:shd w:fill="D8D8D8" w:val="clear"/>
            <w:tcMar>
              <w:bottom w:w="43" w:type="dxa"/>
            </w:tcMar>
            <w:vAlign w:val="center"/>
          </w:tcPr>
          <w:p>
            <w:pPr>
              <w:pStyle w:val="TableContents"/>
              <w:bidi w:val="0"/>
              <w:spacing w:before="0" w:after="0"/>
              <w:jc w:val="both"/>
              <w:rPr>
                <w:spacing w:val="-2"/>
              </w:rPr>
            </w:pPr>
            <w:r>
              <w:rPr>
                <w:spacing w:val="-2"/>
              </w:rPr>
              <w:t xml:space="preserve">The Nominating, Corporate Governance and Sustainability Committee is tasked in its charter with supporting the Board in its oversight of the company’s sustainability strategies and external disclosures; this includes engaging with management on material sustainability matters and stakeholder perspectives. </w:t>
            </w:r>
          </w:p>
        </w:tc>
        <w:tc>
          <w:tcPr>
            <w:tcW w:w="155"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693" w:type="dxa"/>
            <w:tcBorders>
              <w:bottom w:val="single" w:sz="2" w:space="0" w:color="7F7F7F"/>
            </w:tcBorders>
            <w:tcMar>
              <w:bottom w:w="43" w:type="dxa"/>
            </w:tcMar>
            <w:vAlign w:val="center"/>
          </w:tcPr>
          <w:p>
            <w:pPr>
              <w:pStyle w:val="TableContents"/>
              <w:bidi w:val="0"/>
              <w:spacing w:lineRule="atLeast" w:line="204" w:before="0" w:after="0"/>
              <w:jc w:val="left"/>
              <w:rPr>
                <w:rFonts w:ascii="Arial Narrow;Helvetica;sans-serif" w:hAnsi="Arial Narrow;Helvetica;sans-serif"/>
                <w:b/>
              </w:rPr>
            </w:pPr>
            <w:r>
              <w:rPr>
                <w:rFonts w:ascii="Arial Narrow;Helvetica;sans-serif" w:hAnsi="Arial Narrow;Helvetica;sans-serif"/>
                <w:b/>
              </w:rPr>
              <w:t>Political Activity Disclosure and Oversight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7095" w:type="dxa"/>
            <w:tcBorders>
              <w:bottom w:val="single" w:sz="2" w:space="0" w:color="7F7F7F"/>
            </w:tcBorders>
            <w:tcMar>
              <w:bottom w:w="43" w:type="dxa"/>
            </w:tcMar>
            <w:vAlign w:val="center"/>
          </w:tcPr>
          <w:p>
            <w:pPr>
              <w:pStyle w:val="TableContents"/>
              <w:bidi w:val="0"/>
              <w:spacing w:before="0" w:after="0"/>
              <w:jc w:val="both"/>
              <w:rPr>
                <w:spacing w:val="-2"/>
              </w:rPr>
            </w:pPr>
            <w:r>
              <w:rPr>
                <w:spacing w:val="-2"/>
              </w:rPr>
              <w:t xml:space="preserve">In December 2022, the company adopted a Political Activity Policy that gives the Nominating, Corporate Governance and Sustainability Committee final approval over all political contributions by the company. The Policy also includes a commitment to publicly disclose any political contributions by the company via a dedicated webpage that is easily accessible on the company’s website. </w:t>
            </w:r>
          </w:p>
        </w:tc>
        <w:tc>
          <w:tcPr>
            <w:tcW w:w="155"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693" w:type="dxa"/>
            <w:tcBorders>
              <w:bottom w:val="single" w:sz="2" w:space="0" w:color="7F7F7F"/>
            </w:tcBorders>
            <w:shd w:fill="D8D8D8" w:val="clear"/>
            <w:tcMar>
              <w:bottom w:w="43" w:type="dxa"/>
            </w:tcMar>
            <w:vAlign w:val="center"/>
          </w:tcPr>
          <w:p>
            <w:pPr>
              <w:pStyle w:val="TableContents"/>
              <w:bidi w:val="0"/>
              <w:spacing w:lineRule="atLeast" w:line="204" w:before="0" w:after="0"/>
              <w:jc w:val="left"/>
              <w:rPr>
                <w:rFonts w:ascii="Arial Narrow;Helvetica;sans-serif" w:hAnsi="Arial Narrow;Helvetica;sans-serif"/>
                <w:b/>
              </w:rPr>
            </w:pPr>
            <w:r>
              <w:rPr>
                <w:rFonts w:ascii="Arial Narrow;Helvetica;sans-serif" w:hAnsi="Arial Narrow;Helvetica;sans-serif"/>
                <w:b/>
              </w:rPr>
              <w:t>Established Operational Excellence Committee</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7095" w:type="dxa"/>
            <w:tcBorders>
              <w:bottom w:val="single" w:sz="2" w:space="0" w:color="7F7F7F"/>
            </w:tcBorders>
            <w:shd w:fill="D8D8D8" w:val="clear"/>
            <w:tcMar>
              <w:bottom w:w="43" w:type="dxa"/>
            </w:tcMar>
            <w:vAlign w:val="center"/>
          </w:tcPr>
          <w:p>
            <w:pPr>
              <w:pStyle w:val="TableContents"/>
              <w:bidi w:val="0"/>
              <w:spacing w:before="0" w:after="0"/>
              <w:jc w:val="both"/>
              <w:rPr/>
            </w:pPr>
            <w:r>
              <w:rPr>
                <w:spacing w:val="-2"/>
              </w:rPr>
              <w:t>In April 2023, the Board established the Operational Excellence Committee to review the company’s strategies and objectives with respect to continuous improvement of quality and service, operational efficiency, cost control, occupational safety, environmental compliance and technological innovation. Alongside management, the Committee also reviews reports and key performance indicators relating to the company’s trends in operational excellence and its achievements against strategies and objectives.</w:t>
            </w:r>
            <w:r>
              <w:rPr/>
              <w:t xml:space="preserve"> </w:t>
            </w:r>
          </w:p>
        </w:tc>
        <w:tc>
          <w:tcPr>
            <w:tcW w:w="155" w:type="dxa"/>
            <w:tcBorders>
              <w:bottom w:val="single" w:sz="2" w:space="0" w:color="7F7F7F"/>
            </w:tcBorders>
            <w:shd w:fill="D8D8D8" w:val="clear"/>
            <w:vAlign w:val="center"/>
          </w:tcPr>
          <w:p>
            <w:pPr>
              <w:pStyle w:val="TableContents"/>
              <w:bidi w:val="0"/>
              <w:spacing w:before="0" w:after="283"/>
              <w:jc w:val="left"/>
              <w:rPr/>
            </w:pPr>
            <w:r>
              <w:rPr/>
              <w:t>​</w:t>
            </w:r>
          </w:p>
        </w:tc>
      </w:tr>
    </w:tbl>
    <w:tbl>
      <w:tblPr>
        <w:tblW w:w="3379" w:type="dxa"/>
        <w:jc w:val="left"/>
        <w:tblInd w:w="920" w:type="dxa"/>
        <w:tblLayout w:type="fixed"/>
        <w:tblCellMar>
          <w:top w:w="0" w:type="dxa"/>
          <w:left w:w="0" w:type="dxa"/>
          <w:bottom w:w="28" w:type="dxa"/>
          <w:right w:w="0" w:type="dxa"/>
        </w:tblCellMar>
      </w:tblPr>
      <w:tblGrid>
        <w:gridCol w:w="124"/>
        <w:gridCol w:w="226"/>
        <w:gridCol w:w="109"/>
        <w:gridCol w:w="109"/>
        <w:gridCol w:w="22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22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22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SUSTAINABILITY APPROACH</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approach to sustainability is guided by our commitment to deliver long-term value to our stockholders. We regularly engage with our stockholders to obtain their input on evolving expectations related to sustainability. The key sustainability issues that we believe can have a meaningful impact on our delivery of stockholder value, and that align with stockholder feedback, include health and safety, employee engagement, talent management, data security and privacy, compliance with applicable laws and regulations related to the environment, fleet management and innovation, network optimization, corporate governance and ethical conduct.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Nominating, Corporate Governance and Sustainability Committee of the Board oversees the company’s sustainability strategies, performance and disclosures, and engages with management to provide oversight in these areas.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STOCKHOLDER ENGAGEMENT AND RESPONSIVENESS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Board considers engagement with stockholders on corporate governance, executive compensation and risk oversight to be a critical component of its stewardship responsibilities. We have established a robust, year-round stockholder engagement program to foster dialogue and seek stockholder perspectives on a broad range of topics, informing the Board’s decision-making.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At our 2024 Annual Meeting of Stockholders, our directors received 99% support on average, and our say-on-pay proposal received 97% support. These results reflect strong support for the Board and for XPO’s executive compensation program, which we designed in direct response to stockholder feedback. The Board is appreciative of our stockholders’ support and remains committed to ongoing engagement.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a part of our annual engagement efforts, in the autumn of 2024, we reached out to stockholders representing 69% of XPO’s common stock, as well as to the leading proxy advisory firms. We met with each stockholder and proxy advisor who accepted our request for engagement, representing 37% of our common stock.</w:t>
      </w:r>
      <w:r>
        <w:rPr>
          <w:rFonts w:ascii="Helvetica;Arial Narrow;sans-serif" w:hAnsi="Helvetica;Arial Narrow;sans-serif"/>
          <w:b w:val="false"/>
          <w:i w:val="false"/>
          <w:caps w:val="false"/>
          <w:smallCaps w:val="false"/>
          <w:color w:val="000000"/>
          <w:sz w:val="18"/>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E2231A"/>
          <w:sz w:val="18"/>
        </w:rPr>
      </w:pPr>
      <w:r>
        <w:rPr>
          <w:rFonts w:ascii="Helvetica;Arial Narrow;sans-serif" w:hAnsi="Helvetica;Arial Narrow;sans-serif"/>
          <w:b/>
          <w:i w:val="false"/>
          <w:caps w:val="false"/>
          <w:smallCaps w:val="false"/>
          <w:color w:val="E2231A"/>
          <w:spacing w:val="-2"/>
          <w:sz w:val="18"/>
        </w:rPr>
        <w:t>Scope of Autumn 2024 Stockholder Outreach</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Aggregate Stockholders Holding % of Shares Outstanding</w:t>
      </w:r>
      <w:r>
        <w:rPr>
          <w:rFonts w:ascii="Helvetica;Arial Narrow;sans-serif" w:hAnsi="Helvetica;Arial Narrow;sans-serif"/>
          <w:b/>
          <w:i w:val="false"/>
          <w:caps w:val="false"/>
          <w:smallCaps w:val="false"/>
          <w:color w:val="000000"/>
          <w:spacing w:val="-1"/>
          <w:sz w:val="14"/>
        </w:rPr>
        <w:t>(1)</w:t>
      </w:r>
      <w:r>
        <w:rPr>
          <w:rFonts w:ascii="Helvetica;Arial Narrow;sans-serif" w:hAnsi="Helvetica;Arial Narrow;sans-serif"/>
          <w:b/>
          <w:i w:val="false"/>
          <w:caps w:val="false"/>
          <w:smallCaps w:val="false"/>
          <w:color w:val="000000"/>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114800" cy="1524000"/>
            <wp:effectExtent l="0" t="0" r="0" b="0"/>
            <wp:docPr id="12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6" descr=""/>
                    <pic:cNvPicPr>
                      <a:picLocks noChangeAspect="1" noChangeArrowheads="1"/>
                    </pic:cNvPicPr>
                  </pic:nvPicPr>
                  <pic:blipFill>
                    <a:blip r:embed="rId87"/>
                    <a:stretch>
                      <a:fillRect/>
                    </a:stretch>
                  </pic:blipFill>
                  <pic:spPr bwMode="auto">
                    <a:xfrm>
                      <a:off x="0" y="0"/>
                      <a:ext cx="4114800" cy="1524000"/>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22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Calculated based on stockholder positions and shares outstanding as of September 6, 2024, representing time of outreach and engagement.</w:t>
      </w:r>
      <w:r>
        <mc:AlternateContent>
          <mc:Choice Requires="wps">
            <w:drawing>
              <wp:anchor behindDoc="0" distT="139700" distB="0" distL="0" distR="0" simplePos="0" locked="0" layoutInCell="1" allowOverlap="1" relativeHeight="172">
                <wp:simplePos x="0" y="0"/>
                <wp:positionH relativeFrom="column">
                  <wp:align>left</wp:align>
                </wp:positionH>
                <wp:positionV relativeFrom="line">
                  <wp:align>top</wp:align>
                </wp:positionV>
                <wp:extent cx="254000" cy="241300"/>
                <wp:effectExtent l="0" t="0" r="0" b="0"/>
                <wp:wrapSquare wrapText="right"/>
                <wp:docPr id="129" name="Frame43"/>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5"/>
                              </w:rPr>
                              <w:t>(1)</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5"/>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During these engagements, we discussed a range of topics, including Board composition, the Board’s approach to risk oversight, and our executive compensation program. Stockholders voiced their appreciation for XPO’s responsiveness to prior feedback in designing an executive compensation program with a formulaic short-term incentive structure based on key operational metrics and an annual long-term incentive award with multi-year performance and vesting periods. Stockholders also appreciated the robust Compensation Discussion and Analysis (“CD&amp;A”) disclosures that were further enhanced in last year’s CD&amp;A in response to feedback, including the Compensation and Human Capital Committee’s approach to establishing executive pay levels based on market pay practices and individual qualifications. Overall, stockholders expressed support for our compensation program, its strong alignment of pay with performance, its ability to drive long-term stockholder value, and its effectiveness in retaining key executive talent.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After considering the 2024 say-on-pay result and the feedback received during our engagement with stockholders, the Compensation and Human Capital Committee determined that our current executive compensation program design continues to best serve XPO and its stockholders. This year’s CD&amp;A continues to provide robust disclosures on our program’s alignment of pay with performance. </w:t>
      </w:r>
    </w:p>
    <w:tbl>
      <w:tblPr>
        <w:tblW w:w="3379" w:type="dxa"/>
        <w:jc w:val="left"/>
        <w:tblInd w:w="920" w:type="dxa"/>
        <w:tblLayout w:type="fixed"/>
        <w:tblCellMar>
          <w:top w:w="0" w:type="dxa"/>
          <w:left w:w="0" w:type="dxa"/>
          <w:bottom w:w="28" w:type="dxa"/>
          <w:right w:w="0" w:type="dxa"/>
        </w:tblCellMar>
      </w:tblPr>
      <w:tblGrid>
        <w:gridCol w:w="124"/>
        <w:gridCol w:w="226"/>
        <w:gridCol w:w="109"/>
        <w:gridCol w:w="109"/>
        <w:gridCol w:w="22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22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7</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22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BODA"/>
      <w:bookmarkEnd w:id="4"/>
      <w:r>
        <w:rPr>
          <w:rFonts w:ascii="calibri;arial;sans-serif" w:hAnsi="calibri;arial;sans-serif"/>
          <w:b w:val="false"/>
          <w:i w:val="false"/>
          <w:caps w:val="false"/>
          <w:smallCaps w:val="false"/>
          <w:color w:val="000000"/>
          <w:sz w:val="16"/>
        </w:rPr>
        <w:t>​</w:t>
      </w:r>
      <w:bookmarkStart w:id="5" w:name="tABXB"/>
      <w:bookmarkEnd w:id="5"/>
      <w:r>
        <w:rPr>
          <w:rFonts w:ascii="calibri;arial;sans-serif" w:hAnsi="calibri;arial;sans-serif"/>
          <w:b w:val="false"/>
          <w:i w:val="false"/>
          <w:caps w:val="false"/>
          <w:smallCaps w:val="false"/>
          <w:color w:val="000000"/>
          <w:sz w:val="16"/>
        </w:rPr>
        <w:t>​</w:t>
      </w:r>
      <w:bookmarkStart w:id="6" w:name="tDIR"/>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760" w:before="200" w:after="283"/>
        <w:ind w:left="920" w:right="0" w:hanging="0"/>
        <w:jc w:val="left"/>
        <w:rPr>
          <w:rFonts w:ascii="Arial Narrow;Helvetica;sans-serif" w:hAnsi="Arial Narrow;Helvetica;sans-serif"/>
          <w:b w:val="false"/>
          <w:i w:val="false"/>
          <w:caps w:val="false"/>
          <w:smallCaps w:val="false"/>
          <w:color w:val="E2231A"/>
          <w:sz w:val="72"/>
        </w:rPr>
      </w:pPr>
      <w:r>
        <w:rPr>
          <w:rFonts w:ascii="Arial Narrow;Helvetica;sans-serif" w:hAnsi="Arial Narrow;Helvetica;sans-serif"/>
          <w:b w:val="false"/>
          <w:i w:val="false"/>
          <w:caps w:val="false"/>
          <w:smallCaps w:val="false"/>
          <w:color w:val="E2231A"/>
          <w:spacing w:val="-10"/>
          <w:sz w:val="72"/>
        </w:rPr>
        <w:t>BOARD OF DIRECTORS AND</w:t>
      </w:r>
      <w:r>
        <w:rPr>
          <w:rFonts w:ascii="Arial Narrow;Helvetica;sans-serif" w:hAnsi="Arial Narrow;Helvetica;sans-serif"/>
          <w:b w:val="false"/>
          <w:i w:val="false"/>
          <w:caps w:val="false"/>
          <w:smallCaps w:val="false"/>
          <w:color w:val="E2231A"/>
          <w:sz w:val="72"/>
        </w:rPr>
        <w:t xml:space="preserve"> </w:t>
      </w:r>
    </w:p>
    <w:tbl>
      <w:tblPr>
        <w:tblW w:w="3515" w:type="dxa"/>
        <w:jc w:val="left"/>
        <w:tblInd w:w="920" w:type="dxa"/>
        <w:tblLayout w:type="fixed"/>
        <w:tblCellMar>
          <w:top w:w="28" w:type="dxa"/>
          <w:left w:w="28" w:type="dxa"/>
          <w:bottom w:w="28" w:type="dxa"/>
          <w:right w:w="28" w:type="dxa"/>
        </w:tblCellMar>
      </w:tblPr>
      <w:tblGrid>
        <w:gridCol w:w="3361"/>
        <w:gridCol w:w="154"/>
      </w:tblGrid>
      <w:tr>
        <w:trPr/>
        <w:tc>
          <w:tcPr>
            <w:tcW w:w="3361" w:type="dxa"/>
            <w:tcBorders/>
            <w:vAlign w:val="center"/>
          </w:tcPr>
          <w:p>
            <w:pPr>
              <w:pStyle w:val="TableContents"/>
              <w:bidi w:val="0"/>
              <w:spacing w:before="0" w:after="283"/>
              <w:jc w:val="left"/>
              <w:rPr/>
            </w:pPr>
            <w:r>
              <w:rPr/>
              <w:t>CORPORATE GOVERNANCE</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p>
      <w:pPr>
        <w:pStyle w:val="TextBody"/>
        <w:bidi w:val="0"/>
        <w:spacing w:lineRule="atLeast" w:line="240" w:before="16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ALIGNMENT BETWEEN XPO’S BOARD COMPOSITION, MISSION AND BUSINESS STRATEGY</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00" w:before="10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XPO’s mission is to be the customer service leader in providing freight transportation services, by helping shippers move goods efficiently through their supply chains. We have approximately 38,000 employees at 614 locations in 17 countries across North America and Europe, serving approximately 55,000 customers. We care deeply about our responsibilities to our stockholders, customers and employees, and we view safety, sustainability, strong governance, and a purpose-driven culture as essential components of our business. </w:t>
      </w:r>
    </w:p>
    <w:p>
      <w:pPr>
        <w:pStyle w:val="TextBody"/>
        <w:bidi w:val="0"/>
        <w:spacing w:lineRule="atLeast" w:line="200" w:before="10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company has two reportable segments: North American Less-Than-Truckload (“North American LTL”), the largest component of our business, and European Transportation. LTL is a bedrock industry providing a critical service to the economy, with favorable pricing dynamics and an established competitive landscape in North America. We have one of the largest LTL networks in North America, with approximately 9% share of the U.S. market, estimated to be $52 billion in annual revenue in 2023. Our national network of service centers, drivers and road equipment provides critical geographic density and day-definite domestic and cross-border services to approximately 99% of U.S. zip codes, as well as Canada, Mexico and the Caribbean. For the year ended December 31, 2024, our customer-focused organization of truck drivers, service center teams and sales professionals worked together to move approximately 18 billion pounds of freight through our network to its destinations.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00" w:before="10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company’s current needs and future potential are important considerations in determining the composition of our Board of Directors. XPO’s Board is comprised of a highly skilled group of leaders who share our values and reflect our culture. Many of our directors serve or have served as executive officers or board members of major public companies and have an extensive understanding of the principles of corporate governance. As summarized on page 5, our Board members have complementary expertise and skill sets, all of which are relevant to our company’s business, industry and strategy.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DIRECTORS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00" w:before="10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of Directors currently consists of eight members. The term of each of our directors will expire at the Annual Meeting. Our Board has nominated all of the current directors to stand for re-election at our Annual Meeting, as set forth in Proposal 1 on page 61 of this Proxy Statement.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00" w:before="10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Below is information regarding our eight director nominees, including the experience, qualifications, attributes and skills that led our Board to conclude each nominee should serve as a director.</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0" w:type="dxa"/>
          <w:right w:w="0" w:type="dxa"/>
        </w:tblCellMar>
      </w:tblPr>
      <w:tblGrid>
        <w:gridCol w:w="124"/>
        <w:gridCol w:w="2846"/>
        <w:gridCol w:w="262"/>
        <w:gridCol w:w="262"/>
        <w:gridCol w:w="5636"/>
        <w:gridCol w:w="155"/>
      </w:tblGrid>
      <w:tr>
        <w:trPr/>
        <w:tc>
          <w:tcPr>
            <w:tcW w:w="124" w:type="dxa"/>
            <w:tcBorders/>
            <w:shd w:fill="D8D8D8" w:val="clear"/>
            <w:vAlign w:val="center"/>
          </w:tcPr>
          <w:p>
            <w:pPr>
              <w:pStyle w:val="TableContents"/>
              <w:bidi w:val="0"/>
              <w:spacing w:before="0" w:after="283"/>
              <w:jc w:val="left"/>
              <w:rPr/>
            </w:pPr>
            <w:r>
              <w:rPr/>
              <w:t>​</w:t>
            </w:r>
          </w:p>
        </w:tc>
        <w:tc>
          <w:tcPr>
            <w:tcW w:w="2846" w:type="dxa"/>
            <w:tcBorders/>
            <w:shd w:fill="D8D8D8" w:val="clear"/>
            <w:vAlign w:val="center"/>
          </w:tcPr>
          <w:p>
            <w:pPr>
              <w:pStyle w:val="TableContents"/>
              <w:bidi w:val="0"/>
              <w:spacing w:lineRule="atLeast" w:line="216" w:before="0" w:after="0"/>
              <w:jc w:val="left"/>
              <w:rPr>
                <w:b/>
              </w:rPr>
            </w:pPr>
            <w:r>
              <w:rPr>
                <w:b/>
                <w:spacing w:val="-2"/>
              </w:rPr>
              <w:t>Brad Jacobs</w:t>
            </w:r>
            <w:r>
              <w:rPr>
                <w:b/>
              </w:rPr>
              <w:t xml:space="preserve"> </w:t>
            </w:r>
          </w:p>
          <w:p>
            <w:pPr>
              <w:pStyle w:val="TableContents"/>
              <w:bidi w:val="0"/>
              <w:spacing w:lineRule="atLeast" w:line="216" w:before="80" w:after="283"/>
              <w:jc w:val="left"/>
              <w:rPr>
                <w:b/>
              </w:rPr>
            </w:pPr>
            <w:r>
              <w:rPr>
                <w:b/>
                <w:spacing w:val="-2"/>
              </w:rPr>
              <w:t xml:space="preserve">Age: </w:t>
            </w:r>
            <w:r>
              <w:rPr>
                <w:b w:val="false"/>
                <w:spacing w:val="-2"/>
              </w:rPr>
              <w:t xml:space="preserve">68 </w:t>
            </w:r>
          </w:p>
        </w:tc>
        <w:tc>
          <w:tcPr>
            <w:tcW w:w="262" w:type="dxa"/>
            <w:tcBorders/>
            <w:shd w:fill="D8D8D8" w:val="clear"/>
            <w:vAlign w:val="center"/>
          </w:tcPr>
          <w:p>
            <w:pPr>
              <w:pStyle w:val="TableContents"/>
              <w:bidi w:val="0"/>
              <w:spacing w:before="0" w:after="283"/>
              <w:jc w:val="left"/>
              <w:rPr/>
            </w:pPr>
            <w:r>
              <w:rPr/>
              <w:t>​</w:t>
            </w:r>
          </w:p>
        </w:tc>
        <w:tc>
          <w:tcPr>
            <w:tcW w:w="262" w:type="dxa"/>
            <w:tcBorders/>
            <w:shd w:fill="D8D8D8" w:val="clear"/>
            <w:vAlign w:val="center"/>
          </w:tcPr>
          <w:p>
            <w:pPr>
              <w:pStyle w:val="TableContents"/>
              <w:bidi w:val="0"/>
              <w:spacing w:before="0" w:after="283"/>
              <w:jc w:val="left"/>
              <w:rPr/>
            </w:pPr>
            <w:r>
              <w:rPr/>
              <w:t>​</w:t>
            </w:r>
          </w:p>
        </w:tc>
        <w:tc>
          <w:tcPr>
            <w:tcW w:w="5636" w:type="dxa"/>
            <w:tcBorders/>
            <w:shd w:fill="D8D8D8" w:val="clear"/>
            <w:vAlign w:val="center"/>
          </w:tcPr>
          <w:p>
            <w:pPr>
              <w:pStyle w:val="TableContents"/>
              <w:bidi w:val="0"/>
              <w:spacing w:lineRule="atLeast" w:line="215" w:before="0" w:after="0"/>
              <w:jc w:val="right"/>
              <w:rPr/>
            </w:pPr>
            <w:r>
              <w:rPr>
                <w:spacing w:val="-2"/>
              </w:rPr>
              <w:t xml:space="preserve">Director since 2011 </w:t>
              <w:br/>
              <w:t>Executive Chairman since 2022</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6" w:type="dxa"/>
            <w:gridSpan w:val="4"/>
            <w:tcBorders/>
            <w:shd w:fill="D8D8D8" w:val="clear"/>
            <w:vAlign w:val="center"/>
          </w:tcPr>
          <w:p>
            <w:pPr>
              <w:pStyle w:val="TableContents"/>
              <w:bidi w:val="0"/>
              <w:spacing w:before="0" w:after="0"/>
              <w:jc w:val="left"/>
              <w:rPr/>
            </w:pPr>
            <w:r>
              <w:rPr/>
              <w:drawing>
                <wp:inline distT="0" distB="0" distL="0" distR="0">
                  <wp:extent cx="904875" cy="904875"/>
                  <wp:effectExtent l="0" t="0" r="0" b="0"/>
                  <wp:docPr id="13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7" descr=""/>
                          <pic:cNvPicPr>
                            <a:picLocks noChangeAspect="1" noChangeArrowheads="1"/>
                          </pic:cNvPicPr>
                        </pic:nvPicPr>
                        <pic:blipFill>
                          <a:blip r:embed="rId88"/>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216" w:before="0" w:after="283"/>
              <w:ind w:left="1680" w:right="0" w:hanging="0"/>
              <w:jc w:val="both"/>
              <w:rPr>
                <w:spacing w:val="-2"/>
              </w:rPr>
            </w:pPr>
            <w:r>
              <w:rPr>
                <w:spacing w:val="-2"/>
              </w:rPr>
              <w:t xml:space="preserve">Mr. Jacobs has served as executive chairman of XPO’s Board since November 1, 2022, and was previously chairman and chief executive officer from September 2, 2011 to October 31, 2022. He has served as chairman and chief executive officer of QXO, Inc. (NYSE: QXO) since June 6, 2024, and as non-executive chairman of GXO Logistics, Inc. (NYSE: GXO) since August 2, 2021. Mr. Jacobs has served as non-executive chairman of RXO, Inc. (NYSE: RXO) since November 1, 2022 and is not standing for re-election in 2025. Additionally, he is the managing member of Jacobs Private Equity, LLC and Jacobs Private Equity II, LLC. Prior to XPO, Mr. Jacobs led two public companies: United Rentals, Inc. (NYSE: URI), which he founded in 1997, and United Waste Systems, Inc., which he founded in 1989. </w:t>
            </w:r>
          </w:p>
          <w:p>
            <w:pPr>
              <w:pStyle w:val="TableContents"/>
              <w:bidi w:val="0"/>
              <w:spacing w:lineRule="atLeast" w:line="216" w:before="36" w:after="283"/>
              <w:jc w:val="both"/>
              <w:rPr>
                <w:spacing w:val="-2"/>
              </w:rPr>
            </w:pPr>
            <w:r>
              <w:rPr>
                <w:spacing w:val="-2"/>
              </w:rPr>
              <w:t xml:space="preserve">Mr. Jacobs served as chairman and chief executive officer of United Rentals for its first six years, and as executive chairman for an additional four years. He served eight years as chairman and chief executive officer of United Waste Systems.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6" w:type="dxa"/>
            <w:gridSpan w:val="4"/>
            <w:tcBorders/>
            <w:shd w:fill="D8D8D8" w:val="clear"/>
            <w:vAlign w:val="center"/>
          </w:tcPr>
          <w:p>
            <w:pPr>
              <w:pStyle w:val="TableContents"/>
              <w:bidi w:val="0"/>
              <w:spacing w:lineRule="atLeast" w:line="216" w:before="0" w:after="0"/>
              <w:jc w:val="left"/>
              <w:rPr/>
            </w:pPr>
            <w:r>
              <w:rPr>
                <w:spacing w:val="-2"/>
              </w:rPr>
              <w:t xml:space="preserve">Board Committees: </w:t>
            </w:r>
            <w:r>
              <w:rPr>
                <w:b w:val="false"/>
                <w:spacing w:val="-2"/>
              </w:rPr>
              <w:t xml:space="preserve">None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6" w:type="dxa"/>
            <w:gridSpan w:val="4"/>
            <w:tcBorders/>
            <w:shd w:fill="D8D8D8" w:val="clear"/>
            <w:vAlign w:val="center"/>
          </w:tcPr>
          <w:p>
            <w:pPr>
              <w:pStyle w:val="TableContents"/>
              <w:bidi w:val="0"/>
              <w:spacing w:lineRule="atLeast" w:line="216" w:before="0" w:after="0"/>
              <w:jc w:val="left"/>
              <w:rPr/>
            </w:pPr>
            <w:r>
              <w:rPr>
                <w:b/>
                <w:spacing w:val="-2"/>
              </w:rPr>
              <w:t>Other Public Company Boards:</w:t>
            </w:r>
            <w:r>
              <w:rPr>
                <w:spacing w:val="-2"/>
              </w:rPr>
              <w:t xml:space="preserve"> GXO Logistics, Inc. (NYSE: GXO); QXO, Inc. (NYSE: QXO)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6" w:type="dxa"/>
            <w:gridSpan w:val="4"/>
            <w:tcBorders/>
            <w:shd w:fill="D8D8D8" w:val="clear"/>
            <w:vAlign w:val="center"/>
          </w:tcPr>
          <w:p>
            <w:pPr>
              <w:pStyle w:val="TableContents"/>
              <w:bidi w:val="0"/>
              <w:spacing w:lineRule="atLeast" w:line="216" w:before="0" w:after="0"/>
              <w:jc w:val="left"/>
              <w:rPr>
                <w:b/>
                <w:i/>
              </w:rPr>
            </w:pPr>
            <w:r>
              <w:rPr>
                <w:b/>
                <w:i/>
              </w:rPr>
              <w:t>Mr. Jacobs’ Skills and Experience Align with XPO’s Strategy:</w:t>
            </w:r>
          </w:p>
          <w:p>
            <w:pPr>
              <w:pStyle w:val="TableContents"/>
              <w:bidi w:val="0"/>
              <w:spacing w:lineRule="atLeast" w:line="215" w:before="36" w:after="0"/>
              <w:ind w:left="160" w:right="0" w:hanging="0"/>
              <w:jc w:val="both"/>
              <w:rPr>
                <w:spacing w:val="-2"/>
              </w:rPr>
            </w:pPr>
            <w:r>
              <w:rPr>
                <w:spacing w:val="-2"/>
              </w:rPr>
              <w:t xml:space="preserve">As XPO’s founder and chief executive officer, Mr. Jacobs’ in-depth knowledge of the company’s business from his more than a decade of service provides invaluable perspectives on operations and long-term strategic planning and priorities; </w:t>
            </w:r>
            <w:r>
              <mc:AlternateContent>
                <mc:Choice Requires="wps">
                  <w:drawing>
                    <wp:anchor behindDoc="0" distT="22860" distB="0" distL="0" distR="0" simplePos="0" locked="0" layoutInCell="1" allowOverlap="1" relativeHeight="173">
                      <wp:simplePos x="0" y="0"/>
                      <wp:positionH relativeFrom="column">
                        <wp:align>left</wp:align>
                      </wp:positionH>
                      <wp:positionV relativeFrom="line">
                        <wp:align>top</wp:align>
                      </wp:positionV>
                      <wp:extent cx="101600" cy="350520"/>
                      <wp:effectExtent l="0" t="0" r="0" b="0"/>
                      <wp:wrapSquare wrapText="right"/>
                      <wp:docPr id="131" name="Frame4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5"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160" w:right="0" w:hanging="0"/>
              <w:jc w:val="both"/>
              <w:rPr>
                <w:spacing w:val="-2"/>
              </w:rPr>
            </w:pPr>
            <w:r>
              <w:rPr>
                <w:spacing w:val="-2"/>
              </w:rPr>
              <w:t xml:space="preserve">Leadership experience as chief executive officer of large public companies and as a thought leader on building successful businesses enables Mr. Jacobs to foster productive Board engagement and decision-making in his role as executive chairman; and </w:t>
            </w:r>
            <w:r>
              <mc:AlternateContent>
                <mc:Choice Requires="wps">
                  <w:drawing>
                    <wp:anchor behindDoc="0" distT="22860" distB="0" distL="0" distR="0" simplePos="0" locked="0" layoutInCell="1" allowOverlap="1" relativeHeight="174">
                      <wp:simplePos x="0" y="0"/>
                      <wp:positionH relativeFrom="column">
                        <wp:align>left</wp:align>
                      </wp:positionH>
                      <wp:positionV relativeFrom="line">
                        <wp:align>top</wp:align>
                      </wp:positionV>
                      <wp:extent cx="101600" cy="350520"/>
                      <wp:effectExtent l="0" t="0" r="0" b="0"/>
                      <wp:wrapSquare wrapText="right"/>
                      <wp:docPr id="132" name="Frame4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160" w:right="0" w:hanging="0"/>
              <w:jc w:val="both"/>
              <w:rPr/>
            </w:pPr>
            <w:r>
              <w:rPr>
                <w:spacing w:val="-2"/>
              </w:rPr>
              <w:t>Extensive past and current experience as chairman of large public companies equips Mr. Jacobs to provide strong leadership of the Board in its oversight of management and company performance, long-term strategic decision-making, risk management and creation of long-term stockholder value.</w:t>
            </w:r>
            <w:r>
              <w:rPr/>
              <w:t xml:space="preserve"> </w:t>
            </w:r>
            <w:r>
              <mc:AlternateContent>
                <mc:Choice Requires="wps">
                  <w:drawing>
                    <wp:anchor behindDoc="0" distT="22860" distB="0" distL="0" distR="0" simplePos="0" locked="0" layoutInCell="1" allowOverlap="1" relativeHeight="175">
                      <wp:simplePos x="0" y="0"/>
                      <wp:positionH relativeFrom="column">
                        <wp:align>left</wp:align>
                      </wp:positionH>
                      <wp:positionV relativeFrom="line">
                        <wp:align>top</wp:align>
                      </wp:positionV>
                      <wp:extent cx="101600" cy="350520"/>
                      <wp:effectExtent l="0" t="0" r="0" b="0"/>
                      <wp:wrapSquare wrapText="right"/>
                      <wp:docPr id="133" name="Frame4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bl>
    <w:tbl>
      <w:tblPr>
        <w:tblW w:w="3379" w:type="dxa"/>
        <w:jc w:val="left"/>
        <w:tblInd w:w="920" w:type="dxa"/>
        <w:tblLayout w:type="fixed"/>
        <w:tblCellMar>
          <w:top w:w="0" w:type="dxa"/>
          <w:left w:w="0" w:type="dxa"/>
          <w:bottom w:w="28" w:type="dxa"/>
          <w:right w:w="0" w:type="dxa"/>
        </w:tblCellMar>
      </w:tblPr>
      <w:tblGrid>
        <w:gridCol w:w="124"/>
        <w:gridCol w:w="226"/>
        <w:gridCol w:w="109"/>
        <w:gridCol w:w="109"/>
        <w:gridCol w:w="22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22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8</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22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0" w:type="dxa"/>
          <w:right w:w="0" w:type="dxa"/>
        </w:tblCellMar>
      </w:tblPr>
      <w:tblGrid>
        <w:gridCol w:w="124"/>
        <w:gridCol w:w="109"/>
        <w:gridCol w:w="1516"/>
        <w:gridCol w:w="109"/>
        <w:gridCol w:w="109"/>
        <w:gridCol w:w="7054"/>
        <w:gridCol w:w="109"/>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6" w:type="dxa"/>
            <w:tcBorders/>
            <w:vAlign w:val="center"/>
          </w:tcPr>
          <w:p>
            <w:pPr>
              <w:pStyle w:val="TableContents"/>
              <w:bidi w:val="0"/>
              <w:spacing w:before="0" w:after="0"/>
              <w:jc w:val="left"/>
              <w:rPr>
                <w:b/>
              </w:rPr>
            </w:pPr>
            <w:r>
              <w:rPr>
                <w:b/>
                <w:spacing w:val="-2"/>
              </w:rPr>
              <w:t>Bella Allaire</w:t>
            </w:r>
            <w:r>
              <w:rPr>
                <w:b/>
              </w:rPr>
              <w:t xml:space="preserve"> </w:t>
            </w:r>
          </w:p>
          <w:p>
            <w:pPr>
              <w:pStyle w:val="TableContents"/>
              <w:bidi w:val="0"/>
              <w:spacing w:before="120" w:after="283"/>
              <w:jc w:val="left"/>
              <w:rPr>
                <w:b/>
              </w:rPr>
            </w:pPr>
            <w:r>
              <w:rPr>
                <w:b/>
                <w:spacing w:val="-2"/>
              </w:rPr>
              <w:t xml:space="preserve">Age: </w:t>
            </w:r>
            <w:r>
              <w:rPr>
                <w:b w:val="false"/>
                <w:spacing w:val="-2"/>
              </w:rPr>
              <w:t xml:space="preserve">71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54" w:type="dxa"/>
            <w:tcBorders/>
            <w:vAlign w:val="center"/>
          </w:tcPr>
          <w:p>
            <w:pPr>
              <w:pStyle w:val="TableContents"/>
              <w:bidi w:val="0"/>
              <w:spacing w:before="0" w:after="0"/>
              <w:jc w:val="right"/>
              <w:rPr/>
            </w:pPr>
            <w:r>
              <w:rPr>
                <w:spacing w:val="-2"/>
              </w:rPr>
              <w:t>Independent Director since 2022</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6" w:type="dxa"/>
            <w:tcBorders/>
            <w:vAlign w:val="center"/>
          </w:tcPr>
          <w:p>
            <w:pPr>
              <w:pStyle w:val="TableContents"/>
              <w:bidi w:val="0"/>
              <w:spacing w:before="0" w:after="0"/>
              <w:jc w:val="left"/>
              <w:rPr/>
            </w:pPr>
            <w:r>
              <w:rPr/>
              <w:drawing>
                <wp:inline distT="0" distB="0" distL="0" distR="0">
                  <wp:extent cx="904875" cy="904875"/>
                  <wp:effectExtent l="0" t="0" r="0" b="0"/>
                  <wp:docPr id="13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8" descr=""/>
                          <pic:cNvPicPr>
                            <a:picLocks noChangeAspect="1" noChangeArrowheads="1"/>
                          </pic:cNvPicPr>
                        </pic:nvPicPr>
                        <pic:blipFill>
                          <a:blip r:embed="rId89"/>
                          <a:stretch>
                            <a:fillRect/>
                          </a:stretch>
                        </pic:blipFill>
                        <pic:spPr bwMode="auto">
                          <a:xfrm>
                            <a:off x="0" y="0"/>
                            <a:ext cx="904875"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54" w:type="dxa"/>
            <w:tcBorders/>
            <w:vAlign w:val="center"/>
          </w:tcPr>
          <w:p>
            <w:pPr>
              <w:pStyle w:val="TableContents"/>
              <w:bidi w:val="0"/>
              <w:spacing w:lineRule="atLeast" w:line="216" w:before="0" w:after="0"/>
              <w:jc w:val="both"/>
              <w:rPr>
                <w:spacing w:val="-2"/>
              </w:rPr>
            </w:pPr>
            <w:r>
              <w:rPr>
                <w:spacing w:val="-2"/>
              </w:rPr>
              <w:t xml:space="preserve">Ms. Allaire has served as a director of the company since November 1, 2022. She has served as chief administrative officer of Raymond James Financial, Inc. (NYSE: RJF) since October 2024, and earlier as Raymond James’ executive vice president of technology and operations from June 2011 to October 2024. Previously, she was managing director and chief information officer of UBS Wealth Management, Americas, and held a variety of technology roles at Prudential Securities, including executive vice president and chief information officer. Ms. Allaire holds a bachelor’s degree from Lviv University in Ukraine.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8" w:type="dxa"/>
            <w:gridSpan w:val="4"/>
            <w:tcBorders/>
            <w:vAlign w:val="center"/>
          </w:tcPr>
          <w:p>
            <w:pPr>
              <w:pStyle w:val="TableContents"/>
              <w:bidi w:val="0"/>
              <w:spacing w:lineRule="atLeast" w:line="180" w:before="0" w:after="0"/>
              <w:jc w:val="left"/>
              <w:rPr>
                <w:b/>
              </w:rPr>
            </w:pPr>
            <w:r>
              <w:rPr>
                <w:b/>
                <w:spacing w:val="-2"/>
              </w:rPr>
              <w:t>Board Committees:</w:t>
            </w:r>
            <w:r>
              <w:rPr>
                <w:b/>
              </w:rPr>
              <w:t xml:space="preserve"> </w:t>
            </w:r>
          </w:p>
          <w:p>
            <w:pPr>
              <w:pStyle w:val="TableContents"/>
              <w:bidi w:val="0"/>
              <w:spacing w:lineRule="atLeast" w:line="180" w:before="36" w:after="0"/>
              <w:ind w:left="160" w:right="0" w:hanging="0"/>
              <w:jc w:val="left"/>
              <w:rPr>
                <w:spacing w:val="-2"/>
              </w:rPr>
            </w:pPr>
            <w:r>
              <w:rPr>
                <w:spacing w:val="-2"/>
              </w:rPr>
              <w:t xml:space="preserve">Chair of the Nominating, Corporate Governance and Sustainability Committee </w:t>
            </w:r>
            <w:r>
              <mc:AlternateContent>
                <mc:Choice Requires="wps">
                  <w:drawing>
                    <wp:anchor behindDoc="0" distT="22860" distB="0" distL="0" distR="0" simplePos="0" locked="0" layoutInCell="1" allowOverlap="1" relativeHeight="176">
                      <wp:simplePos x="0" y="0"/>
                      <wp:positionH relativeFrom="column">
                        <wp:align>left</wp:align>
                      </wp:positionH>
                      <wp:positionV relativeFrom="line">
                        <wp:align>top</wp:align>
                      </wp:positionV>
                      <wp:extent cx="101600" cy="350520"/>
                      <wp:effectExtent l="0" t="0" r="0" b="0"/>
                      <wp:wrapSquare wrapText="right"/>
                      <wp:docPr id="135" name="Frame4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8" w:type="dxa"/>
            <w:gridSpan w:val="4"/>
            <w:tcBorders/>
            <w:vAlign w:val="center"/>
          </w:tcPr>
          <w:p>
            <w:pPr>
              <w:pStyle w:val="TableContents"/>
              <w:bidi w:val="0"/>
              <w:spacing w:before="0" w:after="283"/>
              <w:jc w:val="left"/>
              <w:rPr/>
            </w:pPr>
            <w:r>
              <w:rPr>
                <w:spacing w:val="-2"/>
              </w:rPr>
              <w:t xml:space="preserve">Other Public Company Boards: </w:t>
            </w:r>
            <w:r>
              <w:rPr>
                <w:b w:val="false"/>
                <w:spacing w:val="-2"/>
              </w:rPr>
              <w:t xml:space="preserve">None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788" w:type="dxa"/>
            <w:gridSpan w:val="4"/>
            <w:tcBorders>
              <w:bottom w:val="single" w:sz="6" w:space="0" w:color="000000"/>
            </w:tcBorders>
            <w:tcMar>
              <w:bottom w:w="240" w:type="dxa"/>
            </w:tcMar>
            <w:vAlign w:val="center"/>
          </w:tcPr>
          <w:p>
            <w:pPr>
              <w:pStyle w:val="TableContents"/>
              <w:bidi w:val="0"/>
              <w:spacing w:lineRule="atLeast" w:line="216" w:before="0" w:after="0"/>
              <w:jc w:val="left"/>
              <w:rPr>
                <w:b/>
                <w:i/>
              </w:rPr>
            </w:pPr>
            <w:r>
              <w:rPr>
                <w:b/>
                <w:i/>
              </w:rPr>
              <w:t>Ms. Allaire’s Skills and Experience Align with XPO’s Strategy:</w:t>
            </w:r>
          </w:p>
          <w:p>
            <w:pPr>
              <w:pStyle w:val="TableContents"/>
              <w:bidi w:val="0"/>
              <w:spacing w:lineRule="atLeast" w:line="216" w:before="36" w:after="0"/>
              <w:ind w:left="160" w:right="0" w:hanging="0"/>
              <w:jc w:val="both"/>
              <w:rPr>
                <w:spacing w:val="-2"/>
              </w:rPr>
            </w:pPr>
            <w:r>
              <w:rPr>
                <w:spacing w:val="-2"/>
              </w:rPr>
              <w:t xml:space="preserve">Deep technical knowledge gained through executive roles overseeing technological transformation and operations provides the Board with important expertise in operational excellence and technological innovation; and </w:t>
            </w:r>
            <w:r>
              <mc:AlternateContent>
                <mc:Choice Requires="wps">
                  <w:drawing>
                    <wp:anchor behindDoc="0" distT="22860" distB="0" distL="0" distR="0" simplePos="0" locked="0" layoutInCell="1" allowOverlap="1" relativeHeight="177">
                      <wp:simplePos x="0" y="0"/>
                      <wp:positionH relativeFrom="column">
                        <wp:align>left</wp:align>
                      </wp:positionH>
                      <wp:positionV relativeFrom="line">
                        <wp:align>top</wp:align>
                      </wp:positionV>
                      <wp:extent cx="101600" cy="350520"/>
                      <wp:effectExtent l="0" t="0" r="0" b="0"/>
                      <wp:wrapSquare wrapText="right"/>
                      <wp:docPr id="136" name="Frame4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160" w:right="0" w:hanging="0"/>
              <w:jc w:val="both"/>
              <w:rPr/>
            </w:pPr>
            <w:r>
              <w:rPr>
                <w:spacing w:val="-2"/>
              </w:rPr>
              <w:t>Ms. Allaire’s extensive experience with cybersecurity, enterprise risk management and talent management contribute valuable perspectives to the Board relevant to XPO’s technology and service ecosystems.</w:t>
            </w:r>
            <w:r>
              <w:rPr/>
              <w:t xml:space="preserve"> </w:t>
            </w:r>
            <w:r>
              <mc:AlternateContent>
                <mc:Choice Requires="wps">
                  <w:drawing>
                    <wp:anchor behindDoc="0" distT="22860" distB="0" distL="0" distR="0" simplePos="0" locked="0" layoutInCell="1" allowOverlap="1" relativeHeight="178">
                      <wp:simplePos x="0" y="0"/>
                      <wp:positionH relativeFrom="column">
                        <wp:align>left</wp:align>
                      </wp:positionH>
                      <wp:positionV relativeFrom="line">
                        <wp:align>top</wp:align>
                      </wp:positionV>
                      <wp:extent cx="101600" cy="350520"/>
                      <wp:effectExtent l="0" t="0" r="0" b="0"/>
                      <wp:wrapSquare wrapText="right"/>
                      <wp:docPr id="137" name="Frame4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519"/>
        <w:gridCol w:w="109"/>
        <w:gridCol w:w="109"/>
        <w:gridCol w:w="7269"/>
        <w:gridCol w:w="155"/>
      </w:tblGrid>
      <w:tr>
        <w:trPr/>
        <w:tc>
          <w:tcPr>
            <w:tcW w:w="124" w:type="dxa"/>
            <w:tcBorders/>
            <w:shd w:fill="D8D8D8" w:val="clear"/>
            <w:vAlign w:val="center"/>
          </w:tcPr>
          <w:p>
            <w:pPr>
              <w:pStyle w:val="TableContents"/>
              <w:bidi w:val="0"/>
              <w:spacing w:before="0" w:after="283"/>
              <w:jc w:val="left"/>
              <w:rPr/>
            </w:pPr>
            <w:r>
              <w:rPr/>
              <w:t>​</w:t>
            </w:r>
          </w:p>
        </w:tc>
        <w:tc>
          <w:tcPr>
            <w:tcW w:w="1519" w:type="dxa"/>
            <w:tcBorders/>
            <w:shd w:fill="D8D8D8" w:val="clear"/>
            <w:vAlign w:val="center"/>
          </w:tcPr>
          <w:p>
            <w:pPr>
              <w:pStyle w:val="TableContents"/>
              <w:bidi w:val="0"/>
              <w:spacing w:lineRule="atLeast" w:line="216" w:before="0" w:after="0"/>
              <w:jc w:val="left"/>
              <w:rPr>
                <w:b/>
              </w:rPr>
            </w:pPr>
            <w:r>
              <w:rPr>
                <w:b/>
                <w:spacing w:val="-2"/>
              </w:rPr>
              <w:t>J. Wes Frye</w:t>
            </w:r>
            <w:r>
              <w:rPr>
                <w:b/>
              </w:rPr>
              <w:t xml:space="preserve"> </w:t>
            </w:r>
          </w:p>
          <w:p>
            <w:pPr>
              <w:pStyle w:val="TableContents"/>
              <w:bidi w:val="0"/>
              <w:spacing w:lineRule="atLeast" w:line="216" w:before="120" w:after="283"/>
              <w:jc w:val="left"/>
              <w:rPr>
                <w:b/>
              </w:rPr>
            </w:pPr>
            <w:r>
              <w:rPr>
                <w:b/>
                <w:spacing w:val="-2"/>
              </w:rPr>
              <w:t xml:space="preserve">Age: </w:t>
            </w:r>
            <w:r>
              <w:rPr>
                <w:b w:val="false"/>
                <w:spacing w:val="-2"/>
              </w:rPr>
              <w:t xml:space="preserve">77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269" w:type="dxa"/>
            <w:tcBorders/>
            <w:shd w:fill="D8D8D8" w:val="clear"/>
            <w:vAlign w:val="center"/>
          </w:tcPr>
          <w:p>
            <w:pPr>
              <w:pStyle w:val="TableContents"/>
              <w:bidi w:val="0"/>
              <w:spacing w:lineRule="atLeast" w:line="216" w:before="0" w:after="0"/>
              <w:jc w:val="right"/>
              <w:rPr/>
            </w:pPr>
            <w:r>
              <w:rPr>
                <w:spacing w:val="-2"/>
              </w:rPr>
              <w:t>Independent Director since 2023</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519" w:type="dxa"/>
            <w:tcBorders/>
            <w:shd w:fill="D8D8D8" w:val="clear"/>
            <w:vAlign w:val="center"/>
          </w:tcPr>
          <w:p>
            <w:pPr>
              <w:pStyle w:val="TableContents"/>
              <w:bidi w:val="0"/>
              <w:spacing w:before="0" w:after="0"/>
              <w:jc w:val="left"/>
              <w:rPr/>
            </w:pPr>
            <w:r>
              <w:rPr/>
              <w:drawing>
                <wp:inline distT="0" distB="0" distL="0" distR="0">
                  <wp:extent cx="904875" cy="904875"/>
                  <wp:effectExtent l="0" t="0" r="0" b="0"/>
                  <wp:docPr id="13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9" descr=""/>
                          <pic:cNvPicPr>
                            <a:picLocks noChangeAspect="1" noChangeArrowheads="1"/>
                          </pic:cNvPicPr>
                        </pic:nvPicPr>
                        <pic:blipFill>
                          <a:blip r:embed="rId90"/>
                          <a:stretch>
                            <a:fillRect/>
                          </a:stretch>
                        </pic:blipFill>
                        <pic:spPr bwMode="auto">
                          <a:xfrm>
                            <a:off x="0" y="0"/>
                            <a:ext cx="904875" cy="90487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269" w:type="dxa"/>
            <w:tcBorders/>
            <w:shd w:fill="D8D8D8" w:val="clear"/>
            <w:vAlign w:val="center"/>
          </w:tcPr>
          <w:p>
            <w:pPr>
              <w:pStyle w:val="TableContents"/>
              <w:bidi w:val="0"/>
              <w:spacing w:lineRule="atLeast" w:line="216" w:before="0" w:after="0"/>
              <w:jc w:val="both"/>
              <w:rPr>
                <w:spacing w:val="-2"/>
              </w:rPr>
            </w:pPr>
            <w:r>
              <w:rPr>
                <w:spacing w:val="-2"/>
              </w:rPr>
              <w:t xml:space="preserve">Mr. Frye has served as a director of the company since March 8, 2023. He retired from Old Dominion Freight Line, Inc. (NYSE: ODFL) in 2015, after serving as senior vice president and chief financial officer for the last 18 years of his 30-year tenure with the LTL transportation industry leader. Mr. Frye holds an MBA degree in finance from the University of North Carolina at Charlotte, and a bachelor’s degree in business administration from Appalachian State University.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6" w:type="dxa"/>
            <w:gridSpan w:val="4"/>
            <w:tcBorders/>
            <w:shd w:fill="D8D8D8" w:val="clear"/>
            <w:vAlign w:val="center"/>
          </w:tcPr>
          <w:p>
            <w:pPr>
              <w:pStyle w:val="TableContents"/>
              <w:bidi w:val="0"/>
              <w:spacing w:lineRule="atLeast" w:line="216" w:before="0" w:after="0"/>
              <w:jc w:val="left"/>
              <w:rPr>
                <w:b/>
              </w:rPr>
            </w:pPr>
            <w:r>
              <w:rPr>
                <w:b/>
                <w:spacing w:val="-2"/>
              </w:rPr>
              <w:t>Board Committees:</w:t>
            </w:r>
            <w:r>
              <w:rPr>
                <w:b/>
              </w:rPr>
              <w:t xml:space="preserve"> </w:t>
            </w:r>
          </w:p>
          <w:p>
            <w:pPr>
              <w:pStyle w:val="TableContents"/>
              <w:bidi w:val="0"/>
              <w:spacing w:lineRule="atLeast" w:line="180" w:before="36" w:after="0"/>
              <w:ind w:left="160" w:right="0" w:hanging="0"/>
              <w:jc w:val="left"/>
              <w:rPr/>
            </w:pPr>
            <w:r>
              <w:rPr>
                <w:spacing w:val="-2"/>
              </w:rPr>
              <w:t>Member of the Nominating, Corporate Governance and Sustainability Committee</w:t>
            </w:r>
            <w:r>
              <w:rPr/>
              <w:t xml:space="preserve"> </w:t>
            </w:r>
            <w:r>
              <mc:AlternateContent>
                <mc:Choice Requires="wps">
                  <w:drawing>
                    <wp:anchor behindDoc="0" distT="22860" distB="0" distL="0" distR="0" simplePos="0" locked="0" layoutInCell="1" allowOverlap="1" relativeHeight="179">
                      <wp:simplePos x="0" y="0"/>
                      <wp:positionH relativeFrom="column">
                        <wp:align>left</wp:align>
                      </wp:positionH>
                      <wp:positionV relativeFrom="line">
                        <wp:align>top</wp:align>
                      </wp:positionV>
                      <wp:extent cx="101600" cy="350520"/>
                      <wp:effectExtent l="0" t="0" r="0" b="0"/>
                      <wp:wrapSquare wrapText="right"/>
                      <wp:docPr id="139" name="Frame5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160" w:right="0" w:hanging="0"/>
              <w:jc w:val="left"/>
              <w:rPr>
                <w:spacing w:val="-2"/>
              </w:rPr>
            </w:pPr>
            <w:r>
              <w:rPr>
                <w:spacing w:val="-2"/>
              </w:rPr>
              <w:t xml:space="preserve">Member of the Operational Excellence Committee </w:t>
            </w:r>
            <w:r>
              <mc:AlternateContent>
                <mc:Choice Requires="wps">
                  <w:drawing>
                    <wp:anchor behindDoc="0" distT="22860" distB="0" distL="0" distR="0" simplePos="0" locked="0" layoutInCell="1" allowOverlap="1" relativeHeight="180">
                      <wp:simplePos x="0" y="0"/>
                      <wp:positionH relativeFrom="column">
                        <wp:align>left</wp:align>
                      </wp:positionH>
                      <wp:positionV relativeFrom="line">
                        <wp:align>top</wp:align>
                      </wp:positionV>
                      <wp:extent cx="101600" cy="350520"/>
                      <wp:effectExtent l="0" t="0" r="0" b="0"/>
                      <wp:wrapSquare wrapText="right"/>
                      <wp:docPr id="140" name="Frame5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6" w:type="dxa"/>
            <w:gridSpan w:val="4"/>
            <w:tcBorders/>
            <w:shd w:fill="D8D8D8" w:val="clear"/>
            <w:vAlign w:val="center"/>
          </w:tcPr>
          <w:p>
            <w:pPr>
              <w:pStyle w:val="TableContents"/>
              <w:bidi w:val="0"/>
              <w:spacing w:lineRule="atLeast" w:line="216" w:before="0" w:after="0"/>
              <w:jc w:val="left"/>
              <w:rPr/>
            </w:pPr>
            <w:r>
              <w:rPr>
                <w:spacing w:val="-2"/>
              </w:rPr>
              <w:t xml:space="preserve">Other Public Company Boards: </w:t>
            </w:r>
            <w:r>
              <w:rPr>
                <w:b w:val="false"/>
                <w:spacing w:val="-2"/>
              </w:rPr>
              <w:t xml:space="preserve">None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6" w:type="dxa"/>
            <w:gridSpan w:val="4"/>
            <w:tcBorders/>
            <w:shd w:fill="D8D8D8" w:val="clear"/>
            <w:vAlign w:val="center"/>
          </w:tcPr>
          <w:p>
            <w:pPr>
              <w:pStyle w:val="TableContents"/>
              <w:bidi w:val="0"/>
              <w:spacing w:lineRule="atLeast" w:line="216" w:before="0" w:after="0"/>
              <w:jc w:val="left"/>
              <w:rPr>
                <w:b/>
                <w:i/>
              </w:rPr>
            </w:pPr>
            <w:r>
              <w:rPr>
                <w:b/>
                <w:i/>
              </w:rPr>
              <w:t>Mr. Frye’s Skills and Experience Align with XPO’s Strategy:</w:t>
            </w:r>
          </w:p>
          <w:p>
            <w:pPr>
              <w:pStyle w:val="TableContents"/>
              <w:bidi w:val="0"/>
              <w:spacing w:lineRule="atLeast" w:line="215" w:before="36" w:after="0"/>
              <w:ind w:left="160" w:right="0" w:hanging="0"/>
              <w:jc w:val="both"/>
              <w:rPr/>
            </w:pPr>
            <w:r>
              <w:rPr>
                <w:spacing w:val="-2"/>
              </w:rPr>
              <w:t>Thirty years of direct LTL operational experience brings important industry expertise to the Board as XPO executes its growth plan as a pure-play LTL business in North America; and</w:t>
            </w:r>
            <w:r>
              <w:rPr/>
              <w:t xml:space="preserve"> </w:t>
            </w:r>
            <w:r>
              <mc:AlternateContent>
                <mc:Choice Requires="wps">
                  <w:drawing>
                    <wp:anchor behindDoc="0" distT="22860" distB="0" distL="0" distR="0" simplePos="0" locked="0" layoutInCell="1" allowOverlap="1" relativeHeight="181">
                      <wp:simplePos x="0" y="0"/>
                      <wp:positionH relativeFrom="column">
                        <wp:align>left</wp:align>
                      </wp:positionH>
                      <wp:positionV relativeFrom="line">
                        <wp:align>top</wp:align>
                      </wp:positionV>
                      <wp:extent cx="101600" cy="350520"/>
                      <wp:effectExtent l="0" t="0" r="0" b="0"/>
                      <wp:wrapSquare wrapText="right"/>
                      <wp:docPr id="141" name="Frame5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5"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160" w:right="0" w:hanging="0"/>
              <w:jc w:val="both"/>
              <w:rPr/>
            </w:pPr>
            <w:r>
              <w:rPr>
                <w:spacing w:val="-2"/>
              </w:rPr>
              <w:t>Extensive finance and accounting knowledge gained through his role as an operationally oriented chief financial officer with Old Dominion Freight Line enables Mr. Frye to contribute important insights to the Board based on his understanding of financial undertakings and risks associated with XPO’s business and the industry at large.</w:t>
            </w:r>
            <w:r>
              <w:rPr/>
              <w:t xml:space="preserve"> </w:t>
            </w:r>
            <w:r>
              <mc:AlternateContent>
                <mc:Choice Requires="wps">
                  <w:drawing>
                    <wp:anchor behindDoc="0" distT="22860" distB="0" distL="0" distR="0" simplePos="0" locked="0" layoutInCell="1" allowOverlap="1" relativeHeight="182">
                      <wp:simplePos x="0" y="0"/>
                      <wp:positionH relativeFrom="column">
                        <wp:align>left</wp:align>
                      </wp:positionH>
                      <wp:positionV relativeFrom="line">
                        <wp:align>top</wp:align>
                      </wp:positionV>
                      <wp:extent cx="101600" cy="350520"/>
                      <wp:effectExtent l="0" t="0" r="0" b="0"/>
                      <wp:wrapSquare wrapText="right"/>
                      <wp:docPr id="142" name="Frame5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bl>
    <w:tbl>
      <w:tblPr>
        <w:tblW w:w="3379" w:type="dxa"/>
        <w:jc w:val="left"/>
        <w:tblInd w:w="920" w:type="dxa"/>
        <w:tblLayout w:type="fixed"/>
        <w:tblCellMar>
          <w:top w:w="0" w:type="dxa"/>
          <w:left w:w="0" w:type="dxa"/>
          <w:bottom w:w="28" w:type="dxa"/>
          <w:right w:w="0" w:type="dxa"/>
        </w:tblCellMar>
      </w:tblPr>
      <w:tblGrid>
        <w:gridCol w:w="124"/>
        <w:gridCol w:w="226"/>
        <w:gridCol w:w="109"/>
        <w:gridCol w:w="109"/>
        <w:gridCol w:w="22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22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9</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22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0" w:type="dxa"/>
          <w:right w:w="0" w:type="dxa"/>
        </w:tblCellMar>
      </w:tblPr>
      <w:tblGrid>
        <w:gridCol w:w="124"/>
        <w:gridCol w:w="109"/>
        <w:gridCol w:w="3639"/>
        <w:gridCol w:w="302"/>
        <w:gridCol w:w="302"/>
        <w:gridCol w:w="4543"/>
        <w:gridCol w:w="109"/>
        <w:gridCol w:w="157"/>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39" w:type="dxa"/>
            <w:tcBorders/>
            <w:vAlign w:val="center"/>
          </w:tcPr>
          <w:p>
            <w:pPr>
              <w:pStyle w:val="TableContents"/>
              <w:bidi w:val="0"/>
              <w:spacing w:before="0" w:after="0"/>
              <w:jc w:val="left"/>
              <w:rPr>
                <w:b/>
              </w:rPr>
            </w:pPr>
            <w:r>
              <w:rPr>
                <w:b/>
                <w:spacing w:val="-2"/>
              </w:rPr>
              <w:t>Mario Harik</w:t>
            </w:r>
            <w:r>
              <w:rPr>
                <w:b/>
              </w:rPr>
              <w:t xml:space="preserve"> </w:t>
            </w:r>
          </w:p>
          <w:p>
            <w:pPr>
              <w:pStyle w:val="TableContents"/>
              <w:bidi w:val="0"/>
              <w:spacing w:before="120" w:after="283"/>
              <w:jc w:val="left"/>
              <w:rPr>
                <w:b/>
              </w:rPr>
            </w:pPr>
            <w:r>
              <w:rPr>
                <w:b/>
                <w:spacing w:val="-2"/>
              </w:rPr>
              <w:t xml:space="preserve">Age: </w:t>
            </w:r>
            <w:r>
              <w:rPr>
                <w:b w:val="false"/>
                <w:spacing w:val="-2"/>
              </w:rPr>
              <w:t xml:space="preserve">44 </w:t>
            </w:r>
          </w:p>
        </w:tc>
        <w:tc>
          <w:tcPr>
            <w:tcW w:w="302" w:type="dxa"/>
            <w:tcBorders/>
            <w:vAlign w:val="center"/>
          </w:tcPr>
          <w:p>
            <w:pPr>
              <w:pStyle w:val="TableContents"/>
              <w:bidi w:val="0"/>
              <w:spacing w:before="0" w:after="283"/>
              <w:jc w:val="left"/>
              <w:rPr/>
            </w:pPr>
            <w:r>
              <w:rPr/>
              <w:t>​</w:t>
            </w:r>
          </w:p>
        </w:tc>
        <w:tc>
          <w:tcPr>
            <w:tcW w:w="302" w:type="dxa"/>
            <w:tcBorders/>
            <w:vAlign w:val="center"/>
          </w:tcPr>
          <w:p>
            <w:pPr>
              <w:pStyle w:val="TableContents"/>
              <w:bidi w:val="0"/>
              <w:spacing w:before="0" w:after="283"/>
              <w:jc w:val="left"/>
              <w:rPr/>
            </w:pPr>
            <w:r>
              <w:rPr/>
              <w:t>​</w:t>
            </w:r>
          </w:p>
        </w:tc>
        <w:tc>
          <w:tcPr>
            <w:tcW w:w="4543" w:type="dxa"/>
            <w:tcBorders/>
            <w:vAlign w:val="center"/>
          </w:tcPr>
          <w:p>
            <w:pPr>
              <w:pStyle w:val="TableContents"/>
              <w:bidi w:val="0"/>
              <w:spacing w:before="0" w:after="0"/>
              <w:jc w:val="right"/>
              <w:rPr/>
            </w:pPr>
            <w:r>
              <w:rPr>
                <w:spacing w:val="-2"/>
              </w:rPr>
              <w:t>Director since 2022</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6" w:type="dxa"/>
            <w:gridSpan w:val="4"/>
            <w:tcBorders/>
            <w:vAlign w:val="center"/>
          </w:tcPr>
          <w:p>
            <w:pPr>
              <w:pStyle w:val="TableContents"/>
              <w:bidi w:val="0"/>
              <w:spacing w:before="0" w:after="0"/>
              <w:jc w:val="left"/>
              <w:rPr/>
            </w:pPr>
            <w:r>
              <w:rPr/>
              <w:drawing>
                <wp:inline distT="0" distB="0" distL="0" distR="0">
                  <wp:extent cx="904875" cy="904875"/>
                  <wp:effectExtent l="0" t="0" r="0" b="0"/>
                  <wp:docPr id="14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0" descr=""/>
                          <pic:cNvPicPr>
                            <a:picLocks noChangeAspect="1" noChangeArrowheads="1"/>
                          </pic:cNvPicPr>
                        </pic:nvPicPr>
                        <pic:blipFill>
                          <a:blip r:embed="rId91"/>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216" w:before="0" w:after="283"/>
              <w:ind w:left="1680" w:right="0" w:hanging="0"/>
              <w:jc w:val="both"/>
              <w:rPr>
                <w:spacing w:val="-2"/>
              </w:rPr>
            </w:pPr>
            <w:r>
              <w:rPr>
                <w:spacing w:val="-2"/>
              </w:rPr>
              <w:t xml:space="preserve">Mr. Harik has served as a director and chief executive officer of the company since November 1, 2022. Previously, he served as president of XPO’s North American Less-Than-Truckload business unit from October 2021 to October 2022, and additionally held roles as XPO’s chief information officer from November 2011 to October 2022 and chief customer officer from February 2021 to January 2022. Prior to XPO, he was chief information officer and senior vice president of research and development with Oakleaf Waste Management, chief technology officer with Tallan, Inc., and co-founder and chief architect of web and voice applications with G3 Analyst. Mr. Harik has served as a director of QXO, Inc. </w:t>
            </w:r>
          </w:p>
          <w:p>
            <w:pPr>
              <w:pStyle w:val="TableContents"/>
              <w:bidi w:val="0"/>
              <w:spacing w:lineRule="atLeast" w:line="216" w:before="36" w:after="283"/>
              <w:jc w:val="both"/>
              <w:rPr>
                <w:spacing w:val="-2"/>
              </w:rPr>
            </w:pPr>
            <w:r>
              <w:rPr>
                <w:spacing w:val="-2"/>
              </w:rPr>
              <w:t xml:space="preserve">(NYSE: QXO) since June 2024. He holds a master’s degree in engineering, information technology from Massachusetts Institute of Technology, and a degree in engineering, computer and communications from the American University of Beirut in Lebanon.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6" w:type="dxa"/>
            <w:gridSpan w:val="4"/>
            <w:tcBorders/>
            <w:vAlign w:val="center"/>
          </w:tcPr>
          <w:p>
            <w:pPr>
              <w:pStyle w:val="TableContents"/>
              <w:bidi w:val="0"/>
              <w:spacing w:lineRule="atLeast" w:line="216" w:before="0" w:after="0"/>
              <w:jc w:val="left"/>
              <w:rPr>
                <w:b/>
              </w:rPr>
            </w:pPr>
            <w:r>
              <w:rPr>
                <w:b/>
                <w:spacing w:val="-2"/>
              </w:rPr>
              <w:t>Board Committees:</w:t>
            </w:r>
            <w:r>
              <w:rPr>
                <w:b/>
              </w:rPr>
              <w:t xml:space="preserve"> </w:t>
            </w:r>
          </w:p>
          <w:p>
            <w:pPr>
              <w:pStyle w:val="TableContents"/>
              <w:bidi w:val="0"/>
              <w:spacing w:lineRule="atLeast" w:line="180" w:before="36" w:after="0"/>
              <w:ind w:left="160" w:right="0" w:hanging="0"/>
              <w:jc w:val="left"/>
              <w:rPr>
                <w:spacing w:val="-2"/>
              </w:rPr>
            </w:pPr>
            <w:r>
              <w:rPr>
                <w:spacing w:val="-2"/>
              </w:rPr>
              <w:t xml:space="preserve">Chair of the Operational Excellence Committee </w:t>
            </w:r>
            <w:r>
              <mc:AlternateContent>
                <mc:Choice Requires="wps">
                  <w:drawing>
                    <wp:anchor behindDoc="0" distT="22860" distB="0" distL="0" distR="0" simplePos="0" locked="0" layoutInCell="1" allowOverlap="1" relativeHeight="183">
                      <wp:simplePos x="0" y="0"/>
                      <wp:positionH relativeFrom="column">
                        <wp:align>left</wp:align>
                      </wp:positionH>
                      <wp:positionV relativeFrom="line">
                        <wp:align>top</wp:align>
                      </wp:positionV>
                      <wp:extent cx="101600" cy="350520"/>
                      <wp:effectExtent l="0" t="0" r="0" b="0"/>
                      <wp:wrapSquare wrapText="right"/>
                      <wp:docPr id="144" name="Frame5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6" w:type="dxa"/>
            <w:gridSpan w:val="4"/>
            <w:tcBorders/>
            <w:vAlign w:val="center"/>
          </w:tcPr>
          <w:p>
            <w:pPr>
              <w:pStyle w:val="TableContents"/>
              <w:bidi w:val="0"/>
              <w:spacing w:before="0" w:after="283"/>
              <w:jc w:val="left"/>
              <w:rPr/>
            </w:pPr>
            <w:r>
              <w:rPr>
                <w:spacing w:val="-2"/>
              </w:rPr>
              <w:t xml:space="preserve">Other Public Company Boards: </w:t>
            </w:r>
            <w:r>
              <w:rPr>
                <w:b w:val="false"/>
                <w:spacing w:val="-2"/>
              </w:rPr>
              <w:t xml:space="preserve">QXO, Inc. (NYSE: QXO)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786" w:type="dxa"/>
            <w:gridSpan w:val="4"/>
            <w:tcBorders>
              <w:bottom w:val="single" w:sz="6" w:space="0" w:color="000000"/>
            </w:tcBorders>
            <w:tcMar>
              <w:bottom w:w="240" w:type="dxa"/>
            </w:tcMar>
            <w:vAlign w:val="center"/>
          </w:tcPr>
          <w:p>
            <w:pPr>
              <w:pStyle w:val="TableContents"/>
              <w:bidi w:val="0"/>
              <w:spacing w:lineRule="atLeast" w:line="216" w:before="0" w:after="0"/>
              <w:jc w:val="left"/>
              <w:rPr>
                <w:b/>
                <w:i/>
              </w:rPr>
            </w:pPr>
            <w:r>
              <w:rPr>
                <w:b/>
                <w:i/>
              </w:rPr>
              <w:t>Mr. Harik’s Skills and Experience Align with XPO’s Strategy:</w:t>
            </w:r>
          </w:p>
          <w:p>
            <w:pPr>
              <w:pStyle w:val="TableContents"/>
              <w:bidi w:val="0"/>
              <w:spacing w:lineRule="atLeast" w:line="216" w:before="36" w:after="0"/>
              <w:ind w:left="160" w:right="0" w:hanging="0"/>
              <w:jc w:val="both"/>
              <w:rPr>
                <w:spacing w:val="-2"/>
              </w:rPr>
            </w:pPr>
            <w:r>
              <w:rPr>
                <w:spacing w:val="-2"/>
              </w:rPr>
              <w:t xml:space="preserve">In-depth leadership of XPO’s North American LTL unit brings a comprehensive understanding of company-specific business opportunities to the Board, including strategic and operational execution, customer-centric culture-building and avenues for profitable growth within the LTL industry; and </w:t>
            </w:r>
            <w:r>
              <mc:AlternateContent>
                <mc:Choice Requires="wps">
                  <w:drawing>
                    <wp:anchor behindDoc="0" distT="22860" distB="0" distL="0" distR="0" simplePos="0" locked="0" layoutInCell="1" allowOverlap="1" relativeHeight="184">
                      <wp:simplePos x="0" y="0"/>
                      <wp:positionH relativeFrom="column">
                        <wp:align>left</wp:align>
                      </wp:positionH>
                      <wp:positionV relativeFrom="line">
                        <wp:align>top</wp:align>
                      </wp:positionV>
                      <wp:extent cx="101600" cy="350520"/>
                      <wp:effectExtent l="0" t="0" r="0" b="0"/>
                      <wp:wrapSquare wrapText="right"/>
                      <wp:docPr id="145" name="Frame5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160" w:right="0" w:hanging="0"/>
              <w:jc w:val="both"/>
              <w:rPr/>
            </w:pPr>
            <w:r>
              <w:rPr>
                <w:spacing w:val="-2"/>
              </w:rPr>
              <w:t>Extensive technical knowledge gained by Mr. Harik through his leadership of XPO’s global innovation strategy and proprietary technology development is directly relevant to the freight transportation sector and highly valuable to the Board.</w:t>
            </w:r>
            <w:r>
              <w:rPr/>
              <w:t xml:space="preserve"> </w:t>
            </w:r>
            <w:r>
              <mc:AlternateContent>
                <mc:Choice Requires="wps">
                  <w:drawing>
                    <wp:anchor behindDoc="0" distT="22860" distB="0" distL="0" distR="0" simplePos="0" locked="0" layoutInCell="1" allowOverlap="1" relativeHeight="185">
                      <wp:simplePos x="0" y="0"/>
                      <wp:positionH relativeFrom="column">
                        <wp:align>left</wp:align>
                      </wp:positionH>
                      <wp:positionV relativeFrom="line">
                        <wp:align>top</wp:align>
                      </wp:positionV>
                      <wp:extent cx="101600" cy="350520"/>
                      <wp:effectExtent l="0" t="0" r="0" b="0"/>
                      <wp:wrapSquare wrapText="right"/>
                      <wp:docPr id="146" name="Frame5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3569"/>
        <w:gridCol w:w="228"/>
        <w:gridCol w:w="228"/>
        <w:gridCol w:w="4979"/>
        <w:gridCol w:w="157"/>
      </w:tblGrid>
      <w:tr>
        <w:trPr/>
        <w:tc>
          <w:tcPr>
            <w:tcW w:w="124" w:type="dxa"/>
            <w:tcBorders/>
            <w:shd w:fill="D8D8D8" w:val="clear"/>
            <w:vAlign w:val="center"/>
          </w:tcPr>
          <w:p>
            <w:pPr>
              <w:pStyle w:val="TableContents"/>
              <w:bidi w:val="0"/>
              <w:spacing w:before="0" w:after="283"/>
              <w:jc w:val="left"/>
              <w:rPr/>
            </w:pPr>
            <w:r>
              <w:rPr/>
              <w:t>​</w:t>
            </w:r>
          </w:p>
        </w:tc>
        <w:tc>
          <w:tcPr>
            <w:tcW w:w="3569" w:type="dxa"/>
            <w:tcBorders/>
            <w:shd w:fill="D8D8D8" w:val="clear"/>
            <w:vAlign w:val="center"/>
          </w:tcPr>
          <w:p>
            <w:pPr>
              <w:pStyle w:val="TableContents"/>
              <w:bidi w:val="0"/>
              <w:spacing w:lineRule="atLeast" w:line="216" w:before="0" w:after="0"/>
              <w:jc w:val="left"/>
              <w:rPr>
                <w:b/>
              </w:rPr>
            </w:pPr>
            <w:r>
              <w:rPr>
                <w:b/>
                <w:spacing w:val="-2"/>
              </w:rPr>
              <w:t>Michael G. Jesselson</w:t>
            </w:r>
            <w:r>
              <w:rPr>
                <w:b/>
              </w:rPr>
              <w:t xml:space="preserve"> </w:t>
            </w:r>
          </w:p>
        </w:tc>
        <w:tc>
          <w:tcPr>
            <w:tcW w:w="228" w:type="dxa"/>
            <w:tcBorders/>
            <w:shd w:fill="D8D8D8" w:val="clear"/>
            <w:vAlign w:val="center"/>
          </w:tcPr>
          <w:p>
            <w:pPr>
              <w:pStyle w:val="TableContents"/>
              <w:bidi w:val="0"/>
              <w:spacing w:before="0" w:after="283"/>
              <w:jc w:val="left"/>
              <w:rPr/>
            </w:pPr>
            <w:r>
              <w:rPr/>
              <w:t>​</w:t>
            </w:r>
          </w:p>
        </w:tc>
        <w:tc>
          <w:tcPr>
            <w:tcW w:w="228" w:type="dxa"/>
            <w:tcBorders/>
            <w:shd w:fill="D8D8D8" w:val="clear"/>
            <w:vAlign w:val="center"/>
          </w:tcPr>
          <w:p>
            <w:pPr>
              <w:pStyle w:val="TableContents"/>
              <w:bidi w:val="0"/>
              <w:spacing w:before="0" w:after="283"/>
              <w:jc w:val="left"/>
              <w:rPr/>
            </w:pPr>
            <w:r>
              <w:rPr/>
              <w:t>​</w:t>
            </w:r>
          </w:p>
        </w:tc>
        <w:tc>
          <w:tcPr>
            <w:tcW w:w="4979" w:type="dxa"/>
            <w:tcBorders/>
            <w:shd w:fill="D8D8D8" w:val="clear"/>
            <w:vAlign w:val="center"/>
          </w:tcPr>
          <w:p>
            <w:pPr>
              <w:pStyle w:val="TableContents"/>
              <w:bidi w:val="0"/>
              <w:spacing w:lineRule="atLeast" w:line="216" w:before="0" w:after="0"/>
              <w:jc w:val="right"/>
              <w:rPr/>
            </w:pPr>
            <w:r>
              <w:rPr>
                <w:spacing w:val="-2"/>
              </w:rPr>
              <w:t>Independent Director since 2011</w:t>
            </w:r>
            <w:r>
              <w:rPr/>
              <w:t xml:space="preserve"> </w:t>
            </w:r>
          </w:p>
        </w:tc>
        <w:tc>
          <w:tcPr>
            <w:tcW w:w="157"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4" w:type="dxa"/>
            <w:gridSpan w:val="4"/>
            <w:tcBorders/>
            <w:shd w:fill="D8D8D8" w:val="clear"/>
            <w:vAlign w:val="center"/>
          </w:tcPr>
          <w:p>
            <w:pPr>
              <w:pStyle w:val="TableContents"/>
              <w:bidi w:val="0"/>
              <w:spacing w:lineRule="atLeast" w:line="216" w:before="0" w:after="0"/>
              <w:jc w:val="left"/>
              <w:rPr>
                <w:b/>
              </w:rPr>
            </w:pPr>
            <w:r>
              <w:rPr>
                <w:b/>
                <w:spacing w:val="-2"/>
              </w:rPr>
              <w:t xml:space="preserve">Age: </w:t>
            </w:r>
            <w:r>
              <w:rPr>
                <w:b w:val="false"/>
                <w:spacing w:val="-2"/>
              </w:rPr>
              <w:t>73</w:t>
            </w:r>
            <w:r>
              <w:rPr>
                <w:b/>
              </w:rPr>
              <w:t xml:space="preserve"> </w:t>
            </w:r>
          </w:p>
          <w:p>
            <w:pPr>
              <w:pStyle w:val="TableContents"/>
              <w:bidi w:val="0"/>
              <w:spacing w:before="92" w:after="283"/>
              <w:jc w:val="left"/>
              <w:rPr/>
            </w:pPr>
            <w:r>
              <w:rPr/>
              <w:drawing>
                <wp:inline distT="0" distB="0" distL="0" distR="0">
                  <wp:extent cx="904875" cy="904875"/>
                  <wp:effectExtent l="0" t="0" r="0" b="0"/>
                  <wp:docPr id="14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91" descr=""/>
                          <pic:cNvPicPr>
                            <a:picLocks noChangeAspect="1" noChangeArrowheads="1"/>
                          </pic:cNvPicPr>
                        </pic:nvPicPr>
                        <pic:blipFill>
                          <a:blip r:embed="rId92"/>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216" w:before="0" w:after="283"/>
              <w:ind w:left="1680" w:right="0" w:hanging="0"/>
              <w:jc w:val="both"/>
              <w:rPr>
                <w:spacing w:val="-2"/>
              </w:rPr>
            </w:pPr>
            <w:r>
              <w:rPr>
                <w:spacing w:val="-2"/>
              </w:rPr>
              <w:t xml:space="preserve">Mr. Jesselson has served as a director of the company since September 2, 2011, and served as lead independent director from March 2016 to October 31, 2022. He has been president and chief executive officer of Jesselson Capital Corporation since 1994 and has served as a director of Centurion Acquisition Corp. (Nasdaq: ALF) since June 2024. Previously, Mr. Jesselson served as a director of Ascendant Digital Acquisition Corp. III from November 2021 to February 2023 and as a director of Ascendant Digital Acquisition Corp. I from July 2020 to July 2021. He was a director of American Eagle Outfitters, Inc. (NYSE: AEO) from November 1997 to May 2017, including a tenure as lead independent director. Earlier, </w:t>
            </w:r>
          </w:p>
          <w:p>
            <w:pPr>
              <w:pStyle w:val="TableContents"/>
              <w:bidi w:val="0"/>
              <w:spacing w:lineRule="atLeast" w:line="216" w:before="36" w:after="283"/>
              <w:jc w:val="both"/>
              <w:rPr>
                <w:spacing w:val="-2"/>
              </w:rPr>
            </w:pPr>
            <w:r>
              <w:rPr>
                <w:spacing w:val="-2"/>
              </w:rPr>
              <w:t xml:space="preserve">he worked at Philipp Brothers, a division of Engelhard Industries, from 1972 to 1981, then at Salomon Brothers Inc., in the financial trading sector. He is a director of C-III Capital Partners LLC, Sigma Clarity Capital and other private companies, as well as numerous philanthropic organizations. Mr. Jesselson recently concluded his term as the chairman of Bar Ilan University in Israel. He attended New York University School of Engineering. </w:t>
            </w:r>
          </w:p>
        </w:tc>
        <w:tc>
          <w:tcPr>
            <w:tcW w:w="157"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4" w:type="dxa"/>
            <w:gridSpan w:val="4"/>
            <w:tcBorders/>
            <w:shd w:fill="D8D8D8" w:val="clear"/>
            <w:vAlign w:val="center"/>
          </w:tcPr>
          <w:p>
            <w:pPr>
              <w:pStyle w:val="TableContents"/>
              <w:bidi w:val="0"/>
              <w:spacing w:lineRule="atLeast" w:line="216" w:before="0" w:after="0"/>
              <w:jc w:val="left"/>
              <w:rPr>
                <w:b/>
              </w:rPr>
            </w:pPr>
            <w:r>
              <w:rPr>
                <w:b/>
                <w:spacing w:val="-2"/>
              </w:rPr>
              <w:t>Board Committees:</w:t>
            </w:r>
            <w:r>
              <w:rPr>
                <w:b/>
              </w:rPr>
              <w:t xml:space="preserve"> </w:t>
            </w:r>
          </w:p>
          <w:p>
            <w:pPr>
              <w:pStyle w:val="TableContents"/>
              <w:bidi w:val="0"/>
              <w:spacing w:lineRule="atLeast" w:line="180" w:before="36" w:after="0"/>
              <w:ind w:left="160" w:right="0" w:hanging="0"/>
              <w:jc w:val="left"/>
              <w:rPr>
                <w:spacing w:val="-2"/>
              </w:rPr>
            </w:pPr>
            <w:r>
              <w:rPr>
                <w:spacing w:val="-2"/>
              </w:rPr>
              <w:t xml:space="preserve">Member of the Audit Committee </w:t>
            </w:r>
            <w:r>
              <mc:AlternateContent>
                <mc:Choice Requires="wps">
                  <w:drawing>
                    <wp:anchor behindDoc="0" distT="22860" distB="0" distL="0" distR="0" simplePos="0" locked="0" layoutInCell="1" allowOverlap="1" relativeHeight="186">
                      <wp:simplePos x="0" y="0"/>
                      <wp:positionH relativeFrom="column">
                        <wp:align>left</wp:align>
                      </wp:positionH>
                      <wp:positionV relativeFrom="line">
                        <wp:align>top</wp:align>
                      </wp:positionV>
                      <wp:extent cx="101600" cy="350520"/>
                      <wp:effectExtent l="0" t="0" r="0" b="0"/>
                      <wp:wrapSquare wrapText="right"/>
                      <wp:docPr id="148" name="Frame5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4" w:type="dxa"/>
            <w:gridSpan w:val="4"/>
            <w:tcBorders/>
            <w:shd w:fill="D8D8D8" w:val="clear"/>
            <w:vAlign w:val="center"/>
          </w:tcPr>
          <w:p>
            <w:pPr>
              <w:pStyle w:val="TableContents"/>
              <w:bidi w:val="0"/>
              <w:spacing w:lineRule="atLeast" w:line="216" w:before="0" w:after="0"/>
              <w:jc w:val="left"/>
              <w:rPr/>
            </w:pPr>
            <w:r>
              <w:rPr>
                <w:spacing w:val="-2"/>
              </w:rPr>
              <w:t xml:space="preserve">Other Public Company Boards: </w:t>
            </w:r>
            <w:r>
              <w:rPr>
                <w:b w:val="false"/>
                <w:spacing w:val="-2"/>
              </w:rPr>
              <w:t xml:space="preserve">Centurion Acquisition Corp. (Nasdaq: ALF) </w:t>
            </w:r>
          </w:p>
        </w:tc>
        <w:tc>
          <w:tcPr>
            <w:tcW w:w="157"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4" w:type="dxa"/>
            <w:gridSpan w:val="4"/>
            <w:tcBorders/>
            <w:shd w:fill="D8D8D8" w:val="clear"/>
            <w:vAlign w:val="center"/>
          </w:tcPr>
          <w:p>
            <w:pPr>
              <w:pStyle w:val="TableContents"/>
              <w:bidi w:val="0"/>
              <w:spacing w:lineRule="atLeast" w:line="216" w:before="0" w:after="0"/>
              <w:jc w:val="left"/>
              <w:rPr>
                <w:b/>
                <w:i/>
              </w:rPr>
            </w:pPr>
            <w:r>
              <w:rPr>
                <w:b/>
                <w:i/>
              </w:rPr>
              <w:t>Mr. Jesselson’s Skills and Experience Align with XPO’s Strategy:</w:t>
            </w:r>
          </w:p>
          <w:p>
            <w:pPr>
              <w:pStyle w:val="TableContents"/>
              <w:bidi w:val="0"/>
              <w:spacing w:lineRule="atLeast" w:line="216" w:before="36" w:after="0"/>
              <w:ind w:left="160" w:right="0" w:hanging="0"/>
              <w:jc w:val="both"/>
              <w:rPr/>
            </w:pPr>
            <w:r>
              <w:rPr>
                <w:spacing w:val="-2"/>
              </w:rPr>
              <w:t>Significant experience with public company governance through prior service on the board of directors of American Eagle Outfitters, including as its lead independent director, contributes to the effective, independent oversight of XPO’s Board and thoughtful approach to governance practices; and</w:t>
            </w:r>
            <w:r>
              <w:rPr/>
              <w:t xml:space="preserve"> </w:t>
            </w:r>
            <w:r>
              <mc:AlternateContent>
                <mc:Choice Requires="wps">
                  <w:drawing>
                    <wp:anchor behindDoc="0" distT="22860" distB="0" distL="0" distR="0" simplePos="0" locked="0" layoutInCell="1" allowOverlap="1" relativeHeight="187">
                      <wp:simplePos x="0" y="0"/>
                      <wp:positionH relativeFrom="column">
                        <wp:align>left</wp:align>
                      </wp:positionH>
                      <wp:positionV relativeFrom="line">
                        <wp:align>top</wp:align>
                      </wp:positionV>
                      <wp:extent cx="101600" cy="350520"/>
                      <wp:effectExtent l="0" t="0" r="0" b="0"/>
                      <wp:wrapSquare wrapText="right"/>
                      <wp:docPr id="149" name="Frame5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160" w:right="0" w:hanging="0"/>
              <w:jc w:val="both"/>
              <w:rPr/>
            </w:pPr>
            <w:r>
              <w:rPr>
                <w:spacing w:val="-2"/>
              </w:rPr>
              <w:t>Mr. Jesselson’s extensive investment expertise is important to XPO’s business model as the company continues to invest in growth to generate value for its stockholders.</w:t>
            </w:r>
            <w:r>
              <w:rPr/>
              <w:t xml:space="preserve"> </w:t>
            </w:r>
            <w:r>
              <mc:AlternateContent>
                <mc:Choice Requires="wps">
                  <w:drawing>
                    <wp:anchor behindDoc="0" distT="22860" distB="0" distL="0" distR="0" simplePos="0" locked="0" layoutInCell="1" allowOverlap="1" relativeHeight="188">
                      <wp:simplePos x="0" y="0"/>
                      <wp:positionH relativeFrom="column">
                        <wp:align>left</wp:align>
                      </wp:positionH>
                      <wp:positionV relativeFrom="line">
                        <wp:align>top</wp:align>
                      </wp:positionV>
                      <wp:extent cx="101600" cy="350520"/>
                      <wp:effectExtent l="0" t="0" r="0" b="0"/>
                      <wp:wrapSquare wrapText="right"/>
                      <wp:docPr id="150" name="Frame5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shd w:fill="D8D8D8" w:val="clear"/>
            <w:vAlign w:val="center"/>
          </w:tcPr>
          <w:p>
            <w:pPr>
              <w:pStyle w:val="TableContents"/>
              <w:bidi w:val="0"/>
              <w:spacing w:before="0" w:after="283"/>
              <w:jc w:val="left"/>
              <w:rPr/>
            </w:pPr>
            <w:r>
              <w:rPr/>
              <w:t>​</w:t>
            </w:r>
          </w:p>
        </w:tc>
      </w:tr>
    </w:tbl>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10</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0" w:type="dxa"/>
          <w:right w:w="0" w:type="dxa"/>
        </w:tblCellMar>
      </w:tblPr>
      <w:tblGrid>
        <w:gridCol w:w="124"/>
        <w:gridCol w:w="109"/>
        <w:gridCol w:w="1516"/>
        <w:gridCol w:w="109"/>
        <w:gridCol w:w="109"/>
        <w:gridCol w:w="58"/>
        <w:gridCol w:w="275"/>
        <w:gridCol w:w="275"/>
        <w:gridCol w:w="6445"/>
        <w:gridCol w:w="109"/>
        <w:gridCol w:w="156"/>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2" w:type="dxa"/>
            <w:gridSpan w:val="4"/>
            <w:tcBorders/>
            <w:vAlign w:val="center"/>
          </w:tcPr>
          <w:p>
            <w:pPr>
              <w:pStyle w:val="TableContents"/>
              <w:bidi w:val="0"/>
              <w:spacing w:before="0" w:after="0"/>
              <w:jc w:val="left"/>
              <w:rPr>
                <w:b/>
              </w:rPr>
            </w:pPr>
            <w:r>
              <w:rPr>
                <w:b/>
                <w:spacing w:val="-2"/>
              </w:rPr>
              <w:t>Allison Landry</w:t>
            </w:r>
            <w:r>
              <w:rPr>
                <w:b/>
              </w:rPr>
              <w:t xml:space="preserve"> </w:t>
            </w:r>
          </w:p>
          <w:p>
            <w:pPr>
              <w:pStyle w:val="TableContents"/>
              <w:bidi w:val="0"/>
              <w:spacing w:before="120" w:after="283"/>
              <w:jc w:val="left"/>
              <w:rPr>
                <w:b/>
              </w:rPr>
            </w:pPr>
            <w:r>
              <w:rPr>
                <w:b/>
                <w:spacing w:val="-2"/>
              </w:rPr>
              <w:t xml:space="preserve">Age: </w:t>
            </w:r>
            <w:r>
              <w:rPr>
                <w:b w:val="false"/>
                <w:spacing w:val="-2"/>
              </w:rPr>
              <w:t xml:space="preserve">46 </w:t>
            </w:r>
          </w:p>
        </w:tc>
        <w:tc>
          <w:tcPr>
            <w:tcW w:w="275"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jc w:val="left"/>
              <w:rPr/>
            </w:pPr>
            <w:r>
              <w:rPr/>
              <w:t>​</w:t>
            </w:r>
          </w:p>
        </w:tc>
        <w:tc>
          <w:tcPr>
            <w:tcW w:w="6445" w:type="dxa"/>
            <w:tcBorders/>
            <w:vAlign w:val="center"/>
          </w:tcPr>
          <w:p>
            <w:pPr>
              <w:pStyle w:val="TableContents"/>
              <w:bidi w:val="0"/>
              <w:spacing w:lineRule="atLeast" w:line="216" w:before="0" w:after="0"/>
              <w:jc w:val="right"/>
              <w:rPr/>
            </w:pPr>
            <w:r>
              <w:rPr>
                <w:spacing w:val="-2"/>
              </w:rPr>
              <w:t xml:space="preserve">Independent Director since 2021 </w:t>
              <w:br/>
              <w:t>Vice Chair since 2022</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6" w:type="dxa"/>
            <w:tcBorders/>
            <w:vAlign w:val="center"/>
          </w:tcPr>
          <w:p>
            <w:pPr>
              <w:pStyle w:val="TableContents"/>
              <w:bidi w:val="0"/>
              <w:spacing w:before="0" w:after="0"/>
              <w:jc w:val="left"/>
              <w:rPr/>
            </w:pPr>
            <w:r>
              <w:rPr/>
              <w:drawing>
                <wp:inline distT="0" distB="0" distL="0" distR="0">
                  <wp:extent cx="904875" cy="904875"/>
                  <wp:effectExtent l="0" t="0" r="0" b="0"/>
                  <wp:docPr id="15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92" descr=""/>
                          <pic:cNvPicPr>
                            <a:picLocks noChangeAspect="1" noChangeArrowheads="1"/>
                          </pic:cNvPicPr>
                        </pic:nvPicPr>
                        <pic:blipFill>
                          <a:blip r:embed="rId93"/>
                          <a:stretch>
                            <a:fillRect/>
                          </a:stretch>
                        </pic:blipFill>
                        <pic:spPr bwMode="auto">
                          <a:xfrm>
                            <a:off x="0" y="0"/>
                            <a:ext cx="904875"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53" w:type="dxa"/>
            <w:gridSpan w:val="4"/>
            <w:tcBorders/>
            <w:vAlign w:val="center"/>
          </w:tcPr>
          <w:p>
            <w:pPr>
              <w:pStyle w:val="TableContents"/>
              <w:bidi w:val="0"/>
              <w:spacing w:lineRule="atLeast" w:line="216" w:before="0" w:after="0"/>
              <w:jc w:val="both"/>
              <w:rPr>
                <w:spacing w:val="-2"/>
              </w:rPr>
            </w:pPr>
            <w:r>
              <w:rPr>
                <w:spacing w:val="-2"/>
              </w:rPr>
              <w:t xml:space="preserve">Allison Landry has served as a director of the company since August 2, 2021, and as vice chair since November 1, 2022. From September 2005 to July 2021, she was a senior transportation research analyst with Credit Suisse, covering the trucking, railroad, airfreight and logistics industries. Previously, Ms. Landry served as a financial analyst and senior accountant with OneBeacon Insurance Company (now Intact Insurance Specialty Solutions). Ms. Landry has served as the lead independent director of QXO, Inc. (NYSE: QXO) since June 2024. She holds an MBA degree from Boston University’s Questrom School of Business, and a bachelor’s degree in psychology from College of the Holy Cross.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7" w:type="dxa"/>
            <w:gridSpan w:val="7"/>
            <w:tcBorders/>
            <w:vAlign w:val="center"/>
          </w:tcPr>
          <w:p>
            <w:pPr>
              <w:pStyle w:val="TableContents"/>
              <w:bidi w:val="0"/>
              <w:spacing w:lineRule="atLeast" w:line="216" w:before="0" w:after="0"/>
              <w:jc w:val="left"/>
              <w:rPr>
                <w:b/>
              </w:rPr>
            </w:pPr>
            <w:r>
              <w:rPr>
                <w:b/>
                <w:spacing w:val="-2"/>
              </w:rPr>
              <w:t>Board Committees:</w:t>
            </w:r>
            <w:r>
              <w:rPr>
                <w:b/>
              </w:rPr>
              <w:t xml:space="preserve"> </w:t>
            </w:r>
          </w:p>
          <w:p>
            <w:pPr>
              <w:pStyle w:val="TableContents"/>
              <w:bidi w:val="0"/>
              <w:spacing w:lineRule="atLeast" w:line="180" w:before="36" w:after="0"/>
              <w:ind w:left="160" w:right="0" w:hanging="0"/>
              <w:jc w:val="left"/>
              <w:rPr/>
            </w:pPr>
            <w:r>
              <w:rPr>
                <w:spacing w:val="-2"/>
              </w:rPr>
              <w:t>Member of the Audit Committee</w:t>
            </w:r>
            <w:r>
              <w:rPr/>
              <w:t xml:space="preserve"> </w:t>
            </w:r>
            <w:r>
              <mc:AlternateContent>
                <mc:Choice Requires="wps">
                  <w:drawing>
                    <wp:anchor behindDoc="0" distT="22860" distB="0" distL="0" distR="0" simplePos="0" locked="0" layoutInCell="1" allowOverlap="1" relativeHeight="189">
                      <wp:simplePos x="0" y="0"/>
                      <wp:positionH relativeFrom="column">
                        <wp:align>left</wp:align>
                      </wp:positionH>
                      <wp:positionV relativeFrom="line">
                        <wp:align>top</wp:align>
                      </wp:positionV>
                      <wp:extent cx="101600" cy="350520"/>
                      <wp:effectExtent l="0" t="0" r="0" b="0"/>
                      <wp:wrapSquare wrapText="right"/>
                      <wp:docPr id="152" name="Frame6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160" w:right="0" w:hanging="0"/>
              <w:jc w:val="left"/>
              <w:rPr/>
            </w:pPr>
            <w:r>
              <w:rPr>
                <w:spacing w:val="-2"/>
              </w:rPr>
              <w:t>Member of the Compensation and Human Capital Committee</w:t>
            </w:r>
            <w:r>
              <w:rPr/>
              <w:t xml:space="preserve"> </w:t>
            </w:r>
            <w:r>
              <mc:AlternateContent>
                <mc:Choice Requires="wps">
                  <w:drawing>
                    <wp:anchor behindDoc="0" distT="22860" distB="0" distL="0" distR="0" simplePos="0" locked="0" layoutInCell="1" allowOverlap="1" relativeHeight="190">
                      <wp:simplePos x="0" y="0"/>
                      <wp:positionH relativeFrom="column">
                        <wp:align>left</wp:align>
                      </wp:positionH>
                      <wp:positionV relativeFrom="line">
                        <wp:align>top</wp:align>
                      </wp:positionV>
                      <wp:extent cx="101600" cy="350520"/>
                      <wp:effectExtent l="0" t="0" r="0" b="0"/>
                      <wp:wrapSquare wrapText="right"/>
                      <wp:docPr id="153" name="Frame6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160" w:right="0" w:hanging="0"/>
              <w:jc w:val="left"/>
              <w:rPr>
                <w:spacing w:val="-2"/>
              </w:rPr>
            </w:pPr>
            <w:r>
              <w:rPr>
                <w:spacing w:val="-2"/>
              </w:rPr>
              <w:t xml:space="preserve">Member of the Operational Excellence Committee </w:t>
            </w:r>
            <w:r>
              <mc:AlternateContent>
                <mc:Choice Requires="wps">
                  <w:drawing>
                    <wp:anchor behindDoc="0" distT="22860" distB="0" distL="0" distR="0" simplePos="0" locked="0" layoutInCell="1" allowOverlap="1" relativeHeight="191">
                      <wp:simplePos x="0" y="0"/>
                      <wp:positionH relativeFrom="column">
                        <wp:align>left</wp:align>
                      </wp:positionH>
                      <wp:positionV relativeFrom="line">
                        <wp:align>top</wp:align>
                      </wp:positionV>
                      <wp:extent cx="101600" cy="350520"/>
                      <wp:effectExtent l="0" t="0" r="0" b="0"/>
                      <wp:wrapSquare wrapText="right"/>
                      <wp:docPr id="154" name="Frame6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7" w:type="dxa"/>
            <w:gridSpan w:val="7"/>
            <w:tcBorders/>
            <w:vAlign w:val="center"/>
          </w:tcPr>
          <w:p>
            <w:pPr>
              <w:pStyle w:val="TableContents"/>
              <w:bidi w:val="0"/>
              <w:spacing w:before="0" w:after="283"/>
              <w:jc w:val="left"/>
              <w:rPr/>
            </w:pPr>
            <w:r>
              <w:rPr>
                <w:spacing w:val="-2"/>
              </w:rPr>
              <w:t xml:space="preserve">Other Public Company Boards: </w:t>
            </w:r>
            <w:r>
              <w:rPr>
                <w:b w:val="false"/>
                <w:spacing w:val="-2"/>
              </w:rPr>
              <w:t xml:space="preserve">QXO, Inc. (NYSE: QXO)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787" w:type="dxa"/>
            <w:gridSpan w:val="7"/>
            <w:tcBorders>
              <w:bottom w:val="single" w:sz="6" w:space="0" w:color="000000"/>
            </w:tcBorders>
            <w:tcMar>
              <w:bottom w:w="240" w:type="dxa"/>
            </w:tcMar>
            <w:vAlign w:val="center"/>
          </w:tcPr>
          <w:p>
            <w:pPr>
              <w:pStyle w:val="TableContents"/>
              <w:bidi w:val="0"/>
              <w:spacing w:lineRule="atLeast" w:line="216" w:before="0" w:after="0"/>
              <w:jc w:val="left"/>
              <w:rPr>
                <w:b/>
                <w:i/>
              </w:rPr>
            </w:pPr>
            <w:r>
              <w:rPr>
                <w:b/>
                <w:i/>
              </w:rPr>
              <w:t>Ms. Landry’s Skills and Experience Align with XPO’s Strategy:</w:t>
            </w:r>
          </w:p>
          <w:p>
            <w:pPr>
              <w:pStyle w:val="TableContents"/>
              <w:bidi w:val="0"/>
              <w:spacing w:lineRule="atLeast" w:line="216" w:before="36" w:after="0"/>
              <w:ind w:left="160" w:right="0" w:hanging="0"/>
              <w:jc w:val="both"/>
              <w:rPr>
                <w:spacing w:val="-2"/>
              </w:rPr>
            </w:pPr>
            <w:r>
              <w:rPr>
                <w:spacing w:val="-2"/>
              </w:rPr>
              <w:t xml:space="preserve">More than 15 years of experience in the transportation sector, equity markets, research and analysis give Ms. Landry an invaluable investor perspective and understanding of stockholder value creation; and </w:t>
            </w:r>
            <w:r>
              <mc:AlternateContent>
                <mc:Choice Requires="wps">
                  <w:drawing>
                    <wp:anchor behindDoc="0" distT="22860" distB="0" distL="0" distR="0" simplePos="0" locked="0" layoutInCell="1" allowOverlap="1" relativeHeight="192">
                      <wp:simplePos x="0" y="0"/>
                      <wp:positionH relativeFrom="column">
                        <wp:align>left</wp:align>
                      </wp:positionH>
                      <wp:positionV relativeFrom="line">
                        <wp:align>top</wp:align>
                      </wp:positionV>
                      <wp:extent cx="101600" cy="350520"/>
                      <wp:effectExtent l="0" t="0" r="0" b="0"/>
                      <wp:wrapSquare wrapText="right"/>
                      <wp:docPr id="155" name="Frame6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5" w:before="36" w:after="0"/>
              <w:ind w:left="160" w:right="0" w:hanging="0"/>
              <w:jc w:val="both"/>
              <w:rPr/>
            </w:pPr>
            <w:r>
              <w:rPr>
                <w:spacing w:val="-2"/>
              </w:rPr>
              <w:t>Significant experience in investments, financial analysis and valuation enables Ms. Landry to help guide XPO in identifying optimal strategic opportunities for profitable growth.</w:t>
            </w:r>
            <w:r>
              <w:rPr/>
              <w:t xml:space="preserve"> </w:t>
            </w:r>
            <w:r>
              <mc:AlternateContent>
                <mc:Choice Requires="wps">
                  <w:drawing>
                    <wp:anchor behindDoc="0" distT="22860" distB="0" distL="0" distR="0" simplePos="0" locked="0" layoutInCell="1" allowOverlap="1" relativeHeight="193">
                      <wp:simplePos x="0" y="0"/>
                      <wp:positionH relativeFrom="column">
                        <wp:align>left</wp:align>
                      </wp:positionH>
                      <wp:positionV relativeFrom="line">
                        <wp:align>top</wp:align>
                      </wp:positionV>
                      <wp:extent cx="101600" cy="350520"/>
                      <wp:effectExtent l="0" t="0" r="0" b="0"/>
                      <wp:wrapSquare wrapText="right"/>
                      <wp:docPr id="156" name="Frame6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5"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3357"/>
        <w:gridCol w:w="236"/>
        <w:gridCol w:w="236"/>
        <w:gridCol w:w="5176"/>
        <w:gridCol w:w="156"/>
      </w:tblGrid>
      <w:tr>
        <w:trPr/>
        <w:tc>
          <w:tcPr>
            <w:tcW w:w="124" w:type="dxa"/>
            <w:tcBorders/>
            <w:shd w:fill="D8D8D8" w:val="clear"/>
            <w:vAlign w:val="center"/>
          </w:tcPr>
          <w:p>
            <w:pPr>
              <w:pStyle w:val="TableContents"/>
              <w:bidi w:val="0"/>
              <w:spacing w:before="0" w:after="283"/>
              <w:jc w:val="left"/>
              <w:rPr/>
            </w:pPr>
            <w:r>
              <w:rPr/>
              <w:t>​</w:t>
            </w:r>
          </w:p>
        </w:tc>
        <w:tc>
          <w:tcPr>
            <w:tcW w:w="3357" w:type="dxa"/>
            <w:tcBorders/>
            <w:shd w:fill="D8D8D8" w:val="clear"/>
            <w:vAlign w:val="center"/>
          </w:tcPr>
          <w:p>
            <w:pPr>
              <w:pStyle w:val="TableContents"/>
              <w:bidi w:val="0"/>
              <w:spacing w:lineRule="atLeast" w:line="216" w:before="0" w:after="0"/>
              <w:jc w:val="left"/>
              <w:rPr>
                <w:b/>
              </w:rPr>
            </w:pPr>
            <w:r>
              <w:rPr>
                <w:b/>
                <w:spacing w:val="-2"/>
              </w:rPr>
              <w:t>Irene Moshouris</w:t>
            </w:r>
            <w:r>
              <w:rPr>
                <w:b/>
              </w:rPr>
              <w:t xml:space="preserve"> </w:t>
            </w:r>
          </w:p>
        </w:tc>
        <w:tc>
          <w:tcPr>
            <w:tcW w:w="236" w:type="dxa"/>
            <w:tcBorders/>
            <w:shd w:fill="D8D8D8" w:val="clear"/>
            <w:vAlign w:val="center"/>
          </w:tcPr>
          <w:p>
            <w:pPr>
              <w:pStyle w:val="TableContents"/>
              <w:bidi w:val="0"/>
              <w:spacing w:before="0" w:after="283"/>
              <w:jc w:val="left"/>
              <w:rPr/>
            </w:pPr>
            <w:r>
              <w:rPr/>
              <w:t>​</w:t>
            </w:r>
          </w:p>
        </w:tc>
        <w:tc>
          <w:tcPr>
            <w:tcW w:w="236" w:type="dxa"/>
            <w:tcBorders/>
            <w:shd w:fill="D8D8D8" w:val="clear"/>
            <w:vAlign w:val="center"/>
          </w:tcPr>
          <w:p>
            <w:pPr>
              <w:pStyle w:val="TableContents"/>
              <w:bidi w:val="0"/>
              <w:spacing w:before="0" w:after="283"/>
              <w:jc w:val="left"/>
              <w:rPr/>
            </w:pPr>
            <w:r>
              <w:rPr/>
              <w:t>​</w:t>
            </w:r>
          </w:p>
        </w:tc>
        <w:tc>
          <w:tcPr>
            <w:tcW w:w="5176" w:type="dxa"/>
            <w:tcBorders/>
            <w:shd w:fill="D8D8D8" w:val="clear"/>
            <w:vAlign w:val="center"/>
          </w:tcPr>
          <w:p>
            <w:pPr>
              <w:pStyle w:val="TableContents"/>
              <w:bidi w:val="0"/>
              <w:spacing w:lineRule="atLeast" w:line="216" w:before="0" w:after="0"/>
              <w:jc w:val="right"/>
              <w:rPr/>
            </w:pPr>
            <w:r>
              <w:rPr>
                <w:spacing w:val="-2"/>
              </w:rPr>
              <w:t>Independent Director since 2022</w:t>
            </w:r>
            <w:r>
              <w:rPr/>
              <w:t xml:space="preserve"> </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5" w:type="dxa"/>
            <w:gridSpan w:val="4"/>
            <w:tcBorders/>
            <w:shd w:fill="D8D8D8" w:val="clear"/>
            <w:vAlign w:val="center"/>
          </w:tcPr>
          <w:p>
            <w:pPr>
              <w:pStyle w:val="TableContents"/>
              <w:bidi w:val="0"/>
              <w:spacing w:lineRule="atLeast" w:line="216" w:before="0" w:after="0"/>
              <w:jc w:val="left"/>
              <w:rPr>
                <w:b/>
              </w:rPr>
            </w:pPr>
            <w:r>
              <w:rPr>
                <w:b/>
                <w:spacing w:val="-2"/>
              </w:rPr>
              <w:t xml:space="preserve">Age: </w:t>
            </w:r>
            <w:r>
              <w:rPr>
                <w:b w:val="false"/>
                <w:spacing w:val="-2"/>
              </w:rPr>
              <w:t>64</w:t>
            </w:r>
            <w:r>
              <w:rPr>
                <w:b/>
              </w:rPr>
              <w:t xml:space="preserve"> </w:t>
            </w:r>
          </w:p>
          <w:p>
            <w:pPr>
              <w:pStyle w:val="TableContents"/>
              <w:bidi w:val="0"/>
              <w:spacing w:before="132" w:after="283"/>
              <w:jc w:val="left"/>
              <w:rPr/>
            </w:pPr>
            <w:r>
              <w:rPr/>
              <w:drawing>
                <wp:inline distT="0" distB="0" distL="0" distR="0">
                  <wp:extent cx="904875" cy="904875"/>
                  <wp:effectExtent l="0" t="0" r="0" b="0"/>
                  <wp:docPr id="15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3" descr=""/>
                          <pic:cNvPicPr>
                            <a:picLocks noChangeAspect="1" noChangeArrowheads="1"/>
                          </pic:cNvPicPr>
                        </pic:nvPicPr>
                        <pic:blipFill>
                          <a:blip r:embed="rId94"/>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216" w:before="0" w:after="283"/>
              <w:ind w:left="1680" w:right="0" w:hanging="0"/>
              <w:jc w:val="both"/>
              <w:rPr>
                <w:spacing w:val="-2"/>
              </w:rPr>
            </w:pPr>
            <w:r>
              <w:rPr>
                <w:spacing w:val="-2"/>
              </w:rPr>
              <w:t xml:space="preserve">Ms. Moshouris has served as a director of the company since November 1, 2022. She served as senior vice president-treasurer of United Rentals, Inc. (NYSE: URI) from April 2011 until her retirement in June 2023, and previously held the position of vice president and treasurer from August 2006 to April 2011. Prior to United Rentals, Ms. Moshouris was vice president and deputy treasurer with Avon Products, Inc., corporate tax manager with GTE Corporation, tax director, pharmaceutical group with Sterling Winthrop Inc. and tax manager with Arthur Andersen &amp; Co. She served as a member of the board of directors of Summit Materials, Inc. (NYSE: SUM) from January 2024 to February 2025. Ms. Moshouris holds a master of laws degree in taxation from New York University School of Law, a juris </w:t>
            </w:r>
          </w:p>
          <w:p>
            <w:pPr>
              <w:pStyle w:val="TableContents"/>
              <w:bidi w:val="0"/>
              <w:spacing w:lineRule="atLeast" w:line="216" w:before="36" w:after="283"/>
              <w:jc w:val="left"/>
              <w:rPr>
                <w:spacing w:val="-2"/>
              </w:rPr>
            </w:pPr>
            <w:r>
              <w:rPr>
                <w:spacing w:val="-2"/>
              </w:rPr>
              <w:t xml:space="preserve">doctorate degree from Brooklyn Law School and a bachelor’s degree from Queens College. </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5" w:type="dxa"/>
            <w:gridSpan w:val="4"/>
            <w:tcBorders/>
            <w:shd w:fill="D8D8D8" w:val="clear"/>
            <w:vAlign w:val="center"/>
          </w:tcPr>
          <w:p>
            <w:pPr>
              <w:pStyle w:val="TableContents"/>
              <w:bidi w:val="0"/>
              <w:spacing w:lineRule="atLeast" w:line="216" w:before="0" w:after="0"/>
              <w:jc w:val="left"/>
              <w:rPr>
                <w:b/>
              </w:rPr>
            </w:pPr>
            <w:r>
              <w:rPr>
                <w:b/>
                <w:spacing w:val="-2"/>
              </w:rPr>
              <w:t>Board Committees:</w:t>
            </w:r>
            <w:r>
              <w:rPr>
                <w:b/>
              </w:rPr>
              <w:t xml:space="preserve"> </w:t>
            </w:r>
          </w:p>
          <w:p>
            <w:pPr>
              <w:pStyle w:val="TableContents"/>
              <w:bidi w:val="0"/>
              <w:spacing w:lineRule="atLeast" w:line="180" w:before="36" w:after="0"/>
              <w:ind w:left="160" w:right="0" w:hanging="0"/>
              <w:jc w:val="left"/>
              <w:rPr/>
            </w:pPr>
            <w:r>
              <w:rPr>
                <w:spacing w:val="-2"/>
              </w:rPr>
              <w:t>Chair of the Audit Committee</w:t>
            </w:r>
            <w:r>
              <w:rPr/>
              <w:t xml:space="preserve"> </w:t>
            </w:r>
            <w:r>
              <mc:AlternateContent>
                <mc:Choice Requires="wps">
                  <w:drawing>
                    <wp:anchor behindDoc="0" distT="22860" distB="0" distL="0" distR="0" simplePos="0" locked="0" layoutInCell="1" allowOverlap="1" relativeHeight="194">
                      <wp:simplePos x="0" y="0"/>
                      <wp:positionH relativeFrom="column">
                        <wp:align>left</wp:align>
                      </wp:positionH>
                      <wp:positionV relativeFrom="line">
                        <wp:align>top</wp:align>
                      </wp:positionV>
                      <wp:extent cx="101600" cy="350520"/>
                      <wp:effectExtent l="0" t="0" r="0" b="0"/>
                      <wp:wrapSquare wrapText="right"/>
                      <wp:docPr id="158" name="Frame6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160" w:right="0" w:hanging="0"/>
              <w:jc w:val="left"/>
              <w:rPr/>
            </w:pPr>
            <w:r>
              <w:rPr>
                <w:spacing w:val="-2"/>
              </w:rPr>
              <w:t>Member of the Compensation and Human Capital Committee</w:t>
            </w:r>
            <w:r>
              <w:rPr/>
              <w:t xml:space="preserve"> </w:t>
            </w:r>
            <w:r>
              <mc:AlternateContent>
                <mc:Choice Requires="wps">
                  <w:drawing>
                    <wp:anchor behindDoc="0" distT="22860" distB="0" distL="0" distR="0" simplePos="0" locked="0" layoutInCell="1" allowOverlap="1" relativeHeight="195">
                      <wp:simplePos x="0" y="0"/>
                      <wp:positionH relativeFrom="column">
                        <wp:align>left</wp:align>
                      </wp:positionH>
                      <wp:positionV relativeFrom="line">
                        <wp:align>top</wp:align>
                      </wp:positionV>
                      <wp:extent cx="101600" cy="350520"/>
                      <wp:effectExtent l="0" t="0" r="0" b="0"/>
                      <wp:wrapSquare wrapText="right"/>
                      <wp:docPr id="159" name="Frame6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8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6" w:after="0"/>
              <w:ind w:left="160" w:right="0" w:hanging="0"/>
              <w:jc w:val="left"/>
              <w:rPr>
                <w:spacing w:val="-2"/>
              </w:rPr>
            </w:pPr>
            <w:r>
              <w:rPr>
                <w:spacing w:val="-2"/>
              </w:rPr>
              <w:t xml:space="preserve">Member of the Nominating, Corporate Governance and Sustainability Committee </w:t>
            </w:r>
            <w:r>
              <mc:AlternateContent>
                <mc:Choice Requires="wps">
                  <w:drawing>
                    <wp:anchor behindDoc="0" distT="22860" distB="0" distL="0" distR="0" simplePos="0" locked="0" layoutInCell="1" allowOverlap="1" relativeHeight="196">
                      <wp:simplePos x="0" y="0"/>
                      <wp:positionH relativeFrom="column">
                        <wp:align>left</wp:align>
                      </wp:positionH>
                      <wp:positionV relativeFrom="line">
                        <wp:align>top</wp:align>
                      </wp:positionV>
                      <wp:extent cx="101600" cy="350520"/>
                      <wp:effectExtent l="0" t="0" r="0" b="0"/>
                      <wp:wrapSquare wrapText="right"/>
                      <wp:docPr id="160" name="Frame6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5" w:type="dxa"/>
            <w:gridSpan w:val="4"/>
            <w:tcBorders/>
            <w:shd w:fill="D8D8D8" w:val="clear"/>
            <w:vAlign w:val="center"/>
          </w:tcPr>
          <w:p>
            <w:pPr>
              <w:pStyle w:val="TableContents"/>
              <w:bidi w:val="0"/>
              <w:spacing w:lineRule="atLeast" w:line="216" w:before="0" w:after="0"/>
              <w:jc w:val="left"/>
              <w:rPr/>
            </w:pPr>
            <w:r>
              <w:rPr>
                <w:b/>
                <w:spacing w:val="-2"/>
              </w:rPr>
              <w:t>Other Public Company Boards:</w:t>
            </w:r>
            <w:r>
              <w:rPr>
                <w:spacing w:val="-2"/>
              </w:rPr>
              <w:t xml:space="preserve"> None</w:t>
            </w:r>
            <w:r>
              <w:rPr/>
              <w:t xml:space="preserve"> </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005" w:type="dxa"/>
            <w:gridSpan w:val="4"/>
            <w:tcBorders/>
            <w:shd w:fill="D8D8D8" w:val="clear"/>
            <w:vAlign w:val="center"/>
          </w:tcPr>
          <w:p>
            <w:pPr>
              <w:pStyle w:val="TableContents"/>
              <w:bidi w:val="0"/>
              <w:spacing w:lineRule="atLeast" w:line="216" w:before="0" w:after="0"/>
              <w:jc w:val="left"/>
              <w:rPr>
                <w:b/>
                <w:i/>
              </w:rPr>
            </w:pPr>
            <w:r>
              <w:rPr>
                <w:b/>
                <w:i/>
              </w:rPr>
              <w:t>Ms. Moshouris’ Skills and Experience Align with XPO’s Strategy:</w:t>
            </w:r>
          </w:p>
          <w:p>
            <w:pPr>
              <w:pStyle w:val="TableContents"/>
              <w:bidi w:val="0"/>
              <w:spacing w:lineRule="atLeast" w:line="216" w:before="36" w:after="0"/>
              <w:ind w:left="160" w:right="0" w:hanging="0"/>
              <w:jc w:val="both"/>
              <w:rPr/>
            </w:pPr>
            <w:r>
              <w:rPr>
                <w:spacing w:val="-2"/>
              </w:rPr>
              <w:t>Senior financial leadership experience gained through her roles with United Rentals, as well as her numerous treasury and tax management positions with global corporations, provide Ms. Moshouris with the strong oversight skills necessary to chair the Audit Committee; and</w:t>
            </w:r>
            <w:r>
              <w:rPr/>
              <w:t xml:space="preserve"> </w:t>
            </w:r>
            <w:r>
              <mc:AlternateContent>
                <mc:Choice Requires="wps">
                  <w:drawing>
                    <wp:anchor behindDoc="0" distT="22860" distB="0" distL="0" distR="0" simplePos="0" locked="0" layoutInCell="1" allowOverlap="1" relativeHeight="197">
                      <wp:simplePos x="0" y="0"/>
                      <wp:positionH relativeFrom="column">
                        <wp:align>left</wp:align>
                      </wp:positionH>
                      <wp:positionV relativeFrom="line">
                        <wp:align>top</wp:align>
                      </wp:positionV>
                      <wp:extent cx="101600" cy="350520"/>
                      <wp:effectExtent l="0" t="0" r="0" b="0"/>
                      <wp:wrapSquare wrapText="right"/>
                      <wp:docPr id="161" name="Frame6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5" w:before="36" w:after="0"/>
              <w:ind w:left="160" w:right="0" w:hanging="0"/>
              <w:jc w:val="both"/>
              <w:rPr/>
            </w:pPr>
            <w:r>
              <w:rPr>
                <w:spacing w:val="-2"/>
              </w:rPr>
              <w:t>International business experience, including roles in international treasury and global finance in Europe and Latin America, contributes to the Board’s oversight of strategy, given the global nature of XPO’s business.</w:t>
            </w:r>
            <w:r>
              <w:rPr/>
              <w:t xml:space="preserve"> </w:t>
            </w:r>
            <w:r>
              <mc:AlternateContent>
                <mc:Choice Requires="wps">
                  <w:drawing>
                    <wp:anchor behindDoc="0" distT="22860" distB="0" distL="0" distR="0" simplePos="0" locked="0" layoutInCell="1" allowOverlap="1" relativeHeight="198">
                      <wp:simplePos x="0" y="0"/>
                      <wp:positionH relativeFrom="column">
                        <wp:align>left</wp:align>
                      </wp:positionH>
                      <wp:positionV relativeFrom="line">
                        <wp:align>top</wp:align>
                      </wp:positionV>
                      <wp:extent cx="101600" cy="350520"/>
                      <wp:effectExtent l="0" t="0" r="0" b="0"/>
                      <wp:wrapSquare wrapText="right"/>
                      <wp:docPr id="162" name="Frame6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5"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5"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D8D8D8" w:val="clear"/>
            <w:vAlign w:val="center"/>
          </w:tcPr>
          <w:p>
            <w:pPr>
              <w:pStyle w:val="TableContents"/>
              <w:bidi w:val="0"/>
              <w:spacing w:before="0" w:after="283"/>
              <w:jc w:val="left"/>
              <w:rPr/>
            </w:pPr>
            <w:r>
              <w:rPr/>
              <w:t>​</w:t>
            </w:r>
          </w:p>
        </w:tc>
      </w:tr>
    </w:tbl>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11</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0" w:type="dxa"/>
          <w:right w:w="0" w:type="dxa"/>
        </w:tblCellMar>
      </w:tblPr>
      <w:tblGrid>
        <w:gridCol w:w="124"/>
        <w:gridCol w:w="109"/>
        <w:gridCol w:w="3270"/>
        <w:gridCol w:w="213"/>
        <w:gridCol w:w="213"/>
        <w:gridCol w:w="5091"/>
        <w:gridCol w:w="109"/>
        <w:gridCol w:w="156"/>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70" w:type="dxa"/>
            <w:tcBorders/>
            <w:vAlign w:val="center"/>
          </w:tcPr>
          <w:p>
            <w:pPr>
              <w:pStyle w:val="TableContents"/>
              <w:bidi w:val="0"/>
              <w:spacing w:before="0" w:after="0"/>
              <w:jc w:val="left"/>
              <w:rPr>
                <w:b/>
              </w:rPr>
            </w:pPr>
            <w:r>
              <w:rPr>
                <w:b/>
                <w:spacing w:val="-2"/>
              </w:rPr>
              <w:t>Johnny C. Taylor, Jr.</w:t>
            </w:r>
            <w:r>
              <w:rPr>
                <w:b/>
              </w:rPr>
              <w:t xml:space="preserve"> </w:t>
            </w:r>
          </w:p>
          <w:p>
            <w:pPr>
              <w:pStyle w:val="TableContents"/>
              <w:bidi w:val="0"/>
              <w:spacing w:before="120" w:after="283"/>
              <w:jc w:val="left"/>
              <w:rPr>
                <w:b/>
              </w:rPr>
            </w:pPr>
            <w:r>
              <w:rPr>
                <w:b/>
                <w:spacing w:val="-2"/>
              </w:rPr>
              <w:t xml:space="preserve">Age: </w:t>
            </w:r>
            <w:r>
              <w:rPr>
                <w:b w:val="false"/>
                <w:spacing w:val="-2"/>
              </w:rPr>
              <w:t xml:space="preserve">56 </w:t>
            </w:r>
          </w:p>
        </w:tc>
        <w:tc>
          <w:tcPr>
            <w:tcW w:w="213" w:type="dxa"/>
            <w:tcBorders/>
            <w:vAlign w:val="center"/>
          </w:tcPr>
          <w:p>
            <w:pPr>
              <w:pStyle w:val="TableContents"/>
              <w:bidi w:val="0"/>
              <w:spacing w:before="0" w:after="283"/>
              <w:jc w:val="left"/>
              <w:rPr/>
            </w:pPr>
            <w:r>
              <w:rPr/>
              <w:t>​</w:t>
            </w:r>
          </w:p>
        </w:tc>
        <w:tc>
          <w:tcPr>
            <w:tcW w:w="213" w:type="dxa"/>
            <w:tcBorders/>
            <w:vAlign w:val="center"/>
          </w:tcPr>
          <w:p>
            <w:pPr>
              <w:pStyle w:val="TableContents"/>
              <w:bidi w:val="0"/>
              <w:spacing w:before="0" w:after="283"/>
              <w:jc w:val="left"/>
              <w:rPr/>
            </w:pPr>
            <w:r>
              <w:rPr/>
              <w:t>​</w:t>
            </w:r>
          </w:p>
        </w:tc>
        <w:tc>
          <w:tcPr>
            <w:tcW w:w="5091" w:type="dxa"/>
            <w:tcBorders/>
            <w:vAlign w:val="center"/>
          </w:tcPr>
          <w:p>
            <w:pPr>
              <w:pStyle w:val="TableContents"/>
              <w:bidi w:val="0"/>
              <w:spacing w:lineRule="atLeast" w:line="216" w:before="0" w:after="0"/>
              <w:jc w:val="right"/>
              <w:rPr/>
            </w:pPr>
            <w:r>
              <w:rPr>
                <w:spacing w:val="-2"/>
              </w:rPr>
              <w:t xml:space="preserve">Independent Director since 2021 </w:t>
              <w:br/>
              <w:t>Lead Independent Director since 2022</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7" w:type="dxa"/>
            <w:gridSpan w:val="4"/>
            <w:tcBorders/>
            <w:vAlign w:val="center"/>
          </w:tcPr>
          <w:p>
            <w:pPr>
              <w:pStyle w:val="TableContents"/>
              <w:bidi w:val="0"/>
              <w:spacing w:before="0" w:after="0"/>
              <w:jc w:val="left"/>
              <w:rPr/>
            </w:pPr>
            <w:r>
              <w:rPr/>
              <w:drawing>
                <wp:inline distT="0" distB="0" distL="0" distR="0">
                  <wp:extent cx="904875" cy="904875"/>
                  <wp:effectExtent l="0" t="0" r="0" b="0"/>
                  <wp:docPr id="16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94" descr=""/>
                          <pic:cNvPicPr>
                            <a:picLocks noChangeAspect="1" noChangeArrowheads="1"/>
                          </pic:cNvPicPr>
                        </pic:nvPicPr>
                        <pic:blipFill>
                          <a:blip r:embed="rId95"/>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216" w:before="0" w:after="283"/>
              <w:ind w:left="1680" w:right="0" w:hanging="0"/>
              <w:jc w:val="both"/>
              <w:rPr>
                <w:spacing w:val="-2"/>
              </w:rPr>
            </w:pPr>
            <w:r>
              <w:rPr>
                <w:spacing w:val="-2"/>
              </w:rPr>
              <w:t xml:space="preserve">Mr. Taylor has served as a director of the company since August 2, 2021, and as lead independent director since November 1, 2022. He has served as president and chief executive officer of the Society of Human Resources Management (SHRM) since December 2017. Previously, Mr. Taylor was president and chief executive officer of the Thurgood Marshall College Fund from May 2010 to December 2017. He has served as a member of the board of directors of Guild Education since February 2021 and of Flores &amp; Associates, LLC since January 2023. He has served as a trustee of the University of Miami since June 2017, as a corporate member of Jobs for America’s Graduates since January 2018, and as a </w:t>
            </w:r>
          </w:p>
          <w:p>
            <w:pPr>
              <w:pStyle w:val="TableContents"/>
              <w:bidi w:val="0"/>
              <w:spacing w:lineRule="atLeast" w:line="216" w:before="36" w:after="283"/>
              <w:jc w:val="both"/>
              <w:rPr>
                <w:spacing w:val="-2"/>
              </w:rPr>
            </w:pPr>
            <w:r>
              <w:rPr>
                <w:spacing w:val="-2"/>
              </w:rPr>
              <w:t xml:space="preserve">member of the National Board of Governors of the American Red Cross since June 2018. Previously he served as chairman of the President’s Advisory Board on Historically Black Colleges and Universities and on the White House American Workforce Policy Advisory Board from February 2018 until January 2021, and as a member of the board of directors of iCIMS, Inc. from March 2021 until January 2023. Mr. Taylor holds a juris doctorate degree and a master’s degree from Drake University, and a bachelor’s degree from the University of Miami.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7" w:type="dxa"/>
            <w:gridSpan w:val="4"/>
            <w:tcBorders/>
            <w:vAlign w:val="center"/>
          </w:tcPr>
          <w:p>
            <w:pPr>
              <w:pStyle w:val="TableContents"/>
              <w:bidi w:val="0"/>
              <w:spacing w:lineRule="atLeast" w:line="216" w:before="0" w:after="0"/>
              <w:jc w:val="left"/>
              <w:rPr>
                <w:b/>
              </w:rPr>
            </w:pPr>
            <w:r>
              <w:rPr>
                <w:b/>
                <w:spacing w:val="-2"/>
              </w:rPr>
              <w:t>Board Committees:</w:t>
            </w:r>
            <w:r>
              <w:rPr>
                <w:b/>
              </w:rPr>
              <w:t xml:space="preserve"> </w:t>
            </w:r>
          </w:p>
          <w:p>
            <w:pPr>
              <w:pStyle w:val="TableContents"/>
              <w:bidi w:val="0"/>
              <w:spacing w:lineRule="atLeast" w:line="180" w:before="36" w:after="0"/>
              <w:ind w:left="160" w:right="0" w:hanging="0"/>
              <w:jc w:val="left"/>
              <w:rPr>
                <w:spacing w:val="-2"/>
              </w:rPr>
            </w:pPr>
            <w:r>
              <w:rPr>
                <w:spacing w:val="-2"/>
              </w:rPr>
              <w:t xml:space="preserve">Chair of the Compensation and Human Capital Committee </w:t>
            </w:r>
            <w:r>
              <mc:AlternateContent>
                <mc:Choice Requires="wps">
                  <w:drawing>
                    <wp:anchor behindDoc="0" distT="22860" distB="0" distL="0" distR="0" simplePos="0" locked="0" layoutInCell="1" allowOverlap="1" relativeHeight="199">
                      <wp:simplePos x="0" y="0"/>
                      <wp:positionH relativeFrom="column">
                        <wp:align>left</wp:align>
                      </wp:positionH>
                      <wp:positionV relativeFrom="line">
                        <wp:align>top</wp:align>
                      </wp:positionV>
                      <wp:extent cx="101600" cy="350520"/>
                      <wp:effectExtent l="0" t="0" r="0" b="0"/>
                      <wp:wrapSquare wrapText="right"/>
                      <wp:docPr id="164" name="Frame7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7" w:type="dxa"/>
            <w:gridSpan w:val="4"/>
            <w:tcBorders/>
            <w:vAlign w:val="center"/>
          </w:tcPr>
          <w:p>
            <w:pPr>
              <w:pStyle w:val="TableContents"/>
              <w:bidi w:val="0"/>
              <w:spacing w:before="0" w:after="283"/>
              <w:jc w:val="left"/>
              <w:rPr/>
            </w:pPr>
            <w:r>
              <w:rPr>
                <w:spacing w:val="-2"/>
              </w:rPr>
              <w:t xml:space="preserve">Other Public Company Boards: </w:t>
            </w:r>
            <w:r>
              <w:rPr>
                <w:b w:val="false"/>
                <w:spacing w:val="-2"/>
              </w:rPr>
              <w:t xml:space="preserve">None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787" w:type="dxa"/>
            <w:gridSpan w:val="4"/>
            <w:tcBorders>
              <w:bottom w:val="single" w:sz="6" w:space="0" w:color="000000"/>
            </w:tcBorders>
            <w:tcMar>
              <w:bottom w:w="240" w:type="dxa"/>
            </w:tcMar>
            <w:vAlign w:val="center"/>
          </w:tcPr>
          <w:p>
            <w:pPr>
              <w:pStyle w:val="TableContents"/>
              <w:bidi w:val="0"/>
              <w:spacing w:lineRule="atLeast" w:line="216" w:before="0" w:after="0"/>
              <w:jc w:val="left"/>
              <w:rPr>
                <w:b/>
                <w:i/>
              </w:rPr>
            </w:pPr>
            <w:r>
              <w:rPr>
                <w:b/>
                <w:i/>
              </w:rPr>
              <w:t>Mr. Taylor’s Skills and Experience Align with XPO’s Strategy:</w:t>
            </w:r>
          </w:p>
          <w:p>
            <w:pPr>
              <w:pStyle w:val="TableContents"/>
              <w:bidi w:val="0"/>
              <w:spacing w:lineRule="atLeast" w:line="216" w:before="36" w:after="0"/>
              <w:ind w:left="160" w:right="0" w:hanging="0"/>
              <w:jc w:val="both"/>
              <w:rPr>
                <w:spacing w:val="-2"/>
              </w:rPr>
            </w:pPr>
            <w:r>
              <w:rPr>
                <w:spacing w:val="-2"/>
              </w:rPr>
              <w:t xml:space="preserve">More than 25 years of experience in senior human resources, legal and business roles across a variety of industries and organizations contributes to the Board’s oversight of business operations, while incorporating crucial legal and human capital considerations; and </w:t>
            </w:r>
            <w:r>
              <mc:AlternateContent>
                <mc:Choice Requires="wps">
                  <w:drawing>
                    <wp:anchor behindDoc="0" distT="22860" distB="0" distL="0" distR="0" simplePos="0" locked="0" layoutInCell="1" allowOverlap="1" relativeHeight="201">
                      <wp:simplePos x="0" y="0"/>
                      <wp:positionH relativeFrom="column">
                        <wp:align>left</wp:align>
                      </wp:positionH>
                      <wp:positionV relativeFrom="line">
                        <wp:align>top</wp:align>
                      </wp:positionV>
                      <wp:extent cx="101600" cy="350520"/>
                      <wp:effectExtent l="0" t="0" r="0" b="0"/>
                      <wp:wrapSquare wrapText="right"/>
                      <wp:docPr id="165" name="Frame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36" w:after="0"/>
              <w:ind w:left="160" w:right="0" w:hanging="0"/>
              <w:jc w:val="both"/>
              <w:rPr/>
            </w:pPr>
            <w:r>
              <w:rPr>
                <w:spacing w:val="-2"/>
              </w:rPr>
              <w:t>Expertise in human capital strategy and management, collective bargaining and labor relations, executive compensation, diversity and inclusion, workplace culture and leadership training comprise a critical skill set for the Board, given XPO’s continued focus on human capital oversight.</w:t>
            </w:r>
            <w:r>
              <w:rPr/>
              <w:t xml:space="preserve"> </w:t>
            </w:r>
            <w:r>
              <mc:AlternateContent>
                <mc:Choice Requires="wps">
                  <w:drawing>
                    <wp:anchor behindDoc="0" distT="22860" distB="0" distL="0" distR="0" simplePos="0" locked="0" layoutInCell="1" allowOverlap="1" relativeHeight="200">
                      <wp:simplePos x="0" y="0"/>
                      <wp:positionH relativeFrom="column">
                        <wp:align>left</wp:align>
                      </wp:positionH>
                      <wp:positionV relativeFrom="line">
                        <wp:align>top</wp:align>
                      </wp:positionV>
                      <wp:extent cx="101600" cy="350520"/>
                      <wp:effectExtent l="0" t="0" r="0" b="0"/>
                      <wp:wrapSquare wrapText="right"/>
                      <wp:docPr id="166" name="Frame7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16"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16"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12</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OTB"/>
      <w:bookmarkEnd w:id="7"/>
      <w:r>
        <w:rPr>
          <w:rFonts w:ascii="calibri;arial;sans-serif" w:hAnsi="calibri;arial;sans-serif"/>
          <w:b w:val="false"/>
          <w:i w:val="false"/>
          <w:caps w:val="false"/>
          <w:smallCaps w:val="false"/>
          <w:color w:val="000000"/>
          <w:sz w:val="16"/>
        </w:rPr>
        <w:t>​</w:t>
      </w:r>
      <w:bookmarkStart w:id="8" w:name="tBL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ROLE OF THE BOARD</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XPO’s business and affairs are managed under the direction of our Board of Directors, except with respect to those matters reserved to our stockholders. Our Board establishes our overall corporate policies, selects and evaluates our senior management team, monitors the performance of our company and management, and provides advice and counsel to management. Our directors have full access to our management, internal and external auditors, and outside advisors to assist them in fulfilling the Board’s responsibilities and furthering its mission to maximize long-term stockholder value.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BOARD LEADERSHIP STRUCTURE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Executive Chairman</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Effective on November 1, 2022, upon the completion of the RXO spin-off, Mr. Jacobs, our company’s founder, who had served as chairman and CEO since 2011, became executive chairman. Mr. Harik became CEO in a smooth transition, according to a previously announced succession plan. Our Board determined that splitting the chairman and CEO roles would be in the best interests of the company and our stockholders in order to position the company for success as a pure-play freight transportation company in North America. The Board believes that the executive chairman structure ensures stability for the company after years of transformation and provides strong strategic leadership and key support for management, particularly in the initial years of Mr. Harik’s tenure as CEO.</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executive chairman, Mr. Jacobs is responsible for leading the Board and overseeing overall corporate strategy. His duties include facilitating strategic investor and other key stakeholder relationships, overseeing corporate development, driving technological innovation, and leading strategic risk oversight for the organization by focusing company leadership on critical risks, including but not limited to cyber readiness. Mr. Jacobs consults regularly with our CEO, Mr. Harik, and other members of management on growth strategies, human capital strategies, AI and other technology strategies, key stakeholder engagements and other strategic matters, and joins business operating review meetings to provide direction to leaders across the business.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Mr. Jacobs, in his capacity as executive chairman, plays a critical role in XPO’s accomplishments. His collaboration with the rest of the Board, including Mr. Harik, supports the company in achieving outstanding results, while he also serves as an external leadership voice for the company’s interests. Mr. Jacobs: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Oversaw the successful execution of the company’s LTL growth plan, resulting in outperformance on critical financial metrics, including revenue, operating income, EPS and relative stock price performance;</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02">
                <wp:simplePos x="0" y="0"/>
                <wp:positionH relativeFrom="column">
                  <wp:align>left</wp:align>
                </wp:positionH>
                <wp:positionV relativeFrom="line">
                  <wp:align>top</wp:align>
                </wp:positionV>
                <wp:extent cx="127000" cy="525780"/>
                <wp:effectExtent l="0" t="0" r="0" b="0"/>
                <wp:wrapSquare wrapText="right"/>
                <wp:docPr id="167" name="Frame7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Worked to garner investor trust and support of the new leadership team and increase interest in XPO from the broad investment community, contributing to our stock’s meaningful outperformance in 2023 and 2024;</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03">
                <wp:simplePos x="0" y="0"/>
                <wp:positionH relativeFrom="column">
                  <wp:align>left</wp:align>
                </wp:positionH>
                <wp:positionV relativeFrom="line">
                  <wp:align>top</wp:align>
                </wp:positionV>
                <wp:extent cx="127000" cy="525780"/>
                <wp:effectExtent l="0" t="0" r="0" b="0"/>
                <wp:wrapSquare wrapText="right"/>
                <wp:docPr id="168" name="Frame7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Leveraged his decades of experience with successful M&amp;A transactions to oversee the Board’s approval of the company’s acquisition of 28 strategically important LTL service centers formerly operated by Yellow Corporation, which our company believes will drive profitable growth through the accelerated expansion of our North American LTL network;</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04">
                <wp:simplePos x="0" y="0"/>
                <wp:positionH relativeFrom="column">
                  <wp:align>left</wp:align>
                </wp:positionH>
                <wp:positionV relativeFrom="line">
                  <wp:align>top</wp:align>
                </wp:positionV>
                <wp:extent cx="127000" cy="525780"/>
                <wp:effectExtent l="0" t="0" r="0" b="0"/>
                <wp:wrapSquare wrapText="right"/>
                <wp:docPr id="169" name="Frame7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Worked with the Nominating, Corporate Governance and Sustainability Committee to recruit a key new member of the Board in response to stockholder feedback, and to form the new Operational Excellence Committee of the Board to provide additional guidance to management on operational strategy and improvements;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05">
                <wp:simplePos x="0" y="0"/>
                <wp:positionH relativeFrom="column">
                  <wp:align>left</wp:align>
                </wp:positionH>
                <wp:positionV relativeFrom="line">
                  <wp:align>top</wp:align>
                </wp:positionV>
                <wp:extent cx="127000" cy="525780"/>
                <wp:effectExtent l="0" t="0" r="0" b="0"/>
                <wp:wrapSquare wrapText="right"/>
                <wp:docPr id="170" name="Frame7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Worked with Mr. Harik to recruit new members of the leadership team, including Mr. Bates, a seasoned leader from a top-tier LTL competitor, to fill the new role of chief operating officer (“COO”);</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06">
                <wp:simplePos x="0" y="0"/>
                <wp:positionH relativeFrom="column">
                  <wp:align>left</wp:align>
                </wp:positionH>
                <wp:positionV relativeFrom="line">
                  <wp:align>top</wp:align>
                </wp:positionV>
                <wp:extent cx="127000" cy="525780"/>
                <wp:effectExtent l="0" t="0" r="0" b="0"/>
                <wp:wrapSquare wrapText="right"/>
                <wp:docPr id="171" name="Frame7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Worked with the Compensation and Human Capital Committee to increase its focus on human capital;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07">
                <wp:simplePos x="0" y="0"/>
                <wp:positionH relativeFrom="column">
                  <wp:align>left</wp:align>
                </wp:positionH>
                <wp:positionV relativeFrom="line">
                  <wp:align>top</wp:align>
                </wp:positionV>
                <wp:extent cx="127000" cy="525780"/>
                <wp:effectExtent l="0" t="0" r="0" b="0"/>
                <wp:wrapSquare wrapText="right"/>
                <wp:docPr id="172" name="Frame7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Provided leadership on strategic risk oversight, increasing the focus of the Board and the executive team on management of critical risks, including cyber readiness.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08">
                <wp:simplePos x="0" y="0"/>
                <wp:positionH relativeFrom="column">
                  <wp:align>left</wp:align>
                </wp:positionH>
                <wp:positionV relativeFrom="line">
                  <wp:align>top</wp:align>
                </wp:positionV>
                <wp:extent cx="127000" cy="525780"/>
                <wp:effectExtent l="0" t="0" r="0" b="0"/>
                <wp:wrapSquare wrapText="right"/>
                <wp:docPr id="173" name="Frame7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Board regularly reviews XPO’s leadership structure to determine the most appropriate structure for the company and its stockholders at a given time, considering the company’s needs, circumstances and opportunities, in accordance with the Board’s fiduciary duty. Based on its review, the Board believes the current leadership structure is best suited for the business at this time. The Board will continue to evaluate the company’s leadership structure on an ongoing basis.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Lead Independent Director</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is committed to providing effective independent oversight of our business. To strengthen its independent decision-making, our Board has approved Corporate Governance Guidelines (the “Guidelines”) which provide that the Board’s independent directors may appoint a lead independent director who presides over executive sessions of the independent directors. The position of lead independent director includes, among other duties: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0"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Presiding at executive sessions of outside directors and at meetings of the Board where the chairman is not present;</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09">
                <wp:simplePos x="0" y="0"/>
                <wp:positionH relativeFrom="column">
                  <wp:align>left</wp:align>
                </wp:positionH>
                <wp:positionV relativeFrom="line">
                  <wp:align>top</wp:align>
                </wp:positionV>
                <wp:extent cx="127000" cy="525780"/>
                <wp:effectExtent l="0" t="0" r="0" b="0"/>
                <wp:wrapSquare wrapText="right"/>
                <wp:docPr id="174" name="Frame8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Coordinating with the chairman with respect to meeting agendas and approving final meeting agendas, to maintain a focus on critical matters and ensure sufficient time for informed discussion of issues;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10">
                <wp:simplePos x="0" y="0"/>
                <wp:positionH relativeFrom="column">
                  <wp:align>left</wp:align>
                </wp:positionH>
                <wp:positionV relativeFrom="line">
                  <wp:align>top</wp:align>
                </wp:positionV>
                <wp:extent cx="127000" cy="525780"/>
                <wp:effectExtent l="0" t="0" r="0" b="0"/>
                <wp:wrapSquare wrapText="right"/>
                <wp:docPr id="175" name="Frame8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13</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BEP"/>
      <w:bookmarkEnd w:id="9"/>
      <w:r>
        <w:rPr>
          <w:rFonts w:ascii="calibri;arial;sans-serif" w:hAnsi="calibri;arial;sans-serif"/>
          <w:b w:val="false"/>
          <w:i w:val="false"/>
          <w:caps w:val="false"/>
          <w:smallCaps w:val="false"/>
          <w:color w:val="000000"/>
          <w:sz w:val="16"/>
        </w:rPr>
        <w:t>​</w:t>
      </w:r>
      <w:bookmarkStart w:id="10" w:name="tBRAD"/>
      <w:bookmarkEnd w:id="10"/>
      <w:r>
        <w:rPr>
          <w:rFonts w:ascii="calibri;arial;sans-serif" w:hAnsi="calibri;arial;sans-serif"/>
          <w:b w:val="false"/>
          <w:i w:val="false"/>
          <w:caps w:val="false"/>
          <w:smallCaps w:val="false"/>
          <w:color w:val="000000"/>
          <w:sz w:val="16"/>
        </w:rPr>
        <w:t>​</w:t>
      </w:r>
      <w:bookmarkStart w:id="11" w:name="tSDSP"/>
      <w:bookmarkEnd w:id="11"/>
      <w:r>
        <w:rPr>
          <w:rFonts w:ascii="calibri;arial;sans-serif" w:hAnsi="calibri;arial;sans-serif"/>
          <w:b w:val="false"/>
          <w:i w:val="false"/>
          <w:caps w:val="false"/>
          <w:smallCaps w:val="false"/>
          <w:color w:val="000000"/>
          <w:sz w:val="16"/>
        </w:rPr>
        <w:t>​</w:t>
      </w:r>
      <w:bookmarkStart w:id="12" w:name="tOUD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Coordinating with the chairman as to appropriate Board meeting schedules to ensure sufficient time is available for discussion of all agenda items;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127000" cy="525780"/>
                <wp:effectExtent l="0" t="0" r="0" b="0"/>
                <wp:wrapSquare wrapText="right"/>
                <wp:docPr id="176" name="Frame8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Coordinating with the chairman on the materials sent to the Board, and approving final meeting materials;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12">
                <wp:simplePos x="0" y="0"/>
                <wp:positionH relativeFrom="column">
                  <wp:align>left</wp:align>
                </wp:positionH>
                <wp:positionV relativeFrom="line">
                  <wp:align>top</wp:align>
                </wp:positionV>
                <wp:extent cx="127000" cy="525780"/>
                <wp:effectExtent l="0" t="0" r="0" b="0"/>
                <wp:wrapSquare wrapText="right"/>
                <wp:docPr id="177" name="Frame8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Calling and chairing sessions of the independent directors;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13">
                <wp:simplePos x="0" y="0"/>
                <wp:positionH relativeFrom="column">
                  <wp:align>left</wp:align>
                </wp:positionH>
                <wp:positionV relativeFrom="line">
                  <wp:align>top</wp:align>
                </wp:positionV>
                <wp:extent cx="127000" cy="525780"/>
                <wp:effectExtent l="0" t="0" r="0" b="0"/>
                <wp:wrapSquare wrapText="right"/>
                <wp:docPr id="178" name="Frame8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Ensuring availability for consultation and direct communication as appropriate;</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14">
                <wp:simplePos x="0" y="0"/>
                <wp:positionH relativeFrom="column">
                  <wp:align>left</wp:align>
                </wp:positionH>
                <wp:positionV relativeFrom="line">
                  <wp:align>top</wp:align>
                </wp:positionV>
                <wp:extent cx="127000" cy="525780"/>
                <wp:effectExtent l="0" t="0" r="0" b="0"/>
                <wp:wrapSquare wrapText="right"/>
                <wp:docPr id="179" name="Frame8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Serving as a liaison between the chairman and the independent directors;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15">
                <wp:simplePos x="0" y="0"/>
                <wp:positionH relativeFrom="column">
                  <wp:align>left</wp:align>
                </wp:positionH>
                <wp:positionV relativeFrom="line">
                  <wp:align>top</wp:align>
                </wp:positionV>
                <wp:extent cx="127000" cy="525780"/>
                <wp:effectExtent l="0" t="0" r="0" b="0"/>
                <wp:wrapSquare wrapText="right"/>
                <wp:docPr id="180" name="Frame8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Meeting with major stockholders as required.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16">
                <wp:simplePos x="0" y="0"/>
                <wp:positionH relativeFrom="column">
                  <wp:align>left</wp:align>
                </wp:positionH>
                <wp:positionV relativeFrom="line">
                  <wp:align>top</wp:align>
                </wp:positionV>
                <wp:extent cx="127000" cy="525780"/>
                <wp:effectExtent l="0" t="0" r="0" b="0"/>
                <wp:wrapSquare wrapText="right"/>
                <wp:docPr id="181" name="Frame8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Mr. Taylor has served the Board as lead independent director since November 1, 2022.</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Vice Chair</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addition, the Guidelines establish an independent vice chair position as a component of strong corporate governance. The Board’s vice chair is an independent director with authorities and duties that include, among others: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1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Presiding at meetings of the Board when the executive chairman and lead independent director are not present;</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17">
                <wp:simplePos x="0" y="0"/>
                <wp:positionH relativeFrom="column">
                  <wp:align>left</wp:align>
                </wp:positionH>
                <wp:positionV relativeFrom="line">
                  <wp:align>top</wp:align>
                </wp:positionV>
                <wp:extent cx="127000" cy="525780"/>
                <wp:effectExtent l="0" t="0" r="0" b="0"/>
                <wp:wrapSquare wrapText="right"/>
                <wp:docPr id="182" name="Frame8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Assisting the executive chairman, when appropriate, in carrying out his or her duties;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18">
                <wp:simplePos x="0" y="0"/>
                <wp:positionH relativeFrom="column">
                  <wp:align>left</wp:align>
                </wp:positionH>
                <wp:positionV relativeFrom="line">
                  <wp:align>top</wp:align>
                </wp:positionV>
                <wp:extent cx="127000" cy="525780"/>
                <wp:effectExtent l="0" t="0" r="0" b="0"/>
                <wp:wrapSquare wrapText="right"/>
                <wp:docPr id="183" name="Frame8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Assisting the lead independent director, when appropriate, in carrying out his or her duties;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19">
                <wp:simplePos x="0" y="0"/>
                <wp:positionH relativeFrom="column">
                  <wp:align>left</wp:align>
                </wp:positionH>
                <wp:positionV relativeFrom="line">
                  <wp:align>top</wp:align>
                </wp:positionV>
                <wp:extent cx="127000" cy="525780"/>
                <wp:effectExtent l="0" t="0" r="0" b="0"/>
                <wp:wrapSquare wrapText="right"/>
                <wp:docPr id="184" name="Frame9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Such other duties, responsibilities and assistance as the Board or the executive chairman may determine, including stockholder engagement.</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20">
                <wp:simplePos x="0" y="0"/>
                <wp:positionH relativeFrom="column">
                  <wp:align>left</wp:align>
                </wp:positionH>
                <wp:positionV relativeFrom="line">
                  <wp:align>top</wp:align>
                </wp:positionV>
                <wp:extent cx="127000" cy="525780"/>
                <wp:effectExtent l="0" t="0" r="0" b="0"/>
                <wp:wrapSquare wrapText="right"/>
                <wp:docPr id="185" name="Frame9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Ms. Landry has served the Board as vice chair since November 1, 2022.</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Further information regarding the positions of lead independent director and vice chair is set forth in the Guidelines, which are available on our Investor Relations website at </w:t>
      </w:r>
      <w:r>
        <w:rPr>
          <w:rFonts w:ascii="Helvetica;Arial Narrow;sans-serif" w:hAnsi="Helvetica;Arial Narrow;sans-serif"/>
          <w:b w:val="false"/>
          <w:i w:val="false"/>
          <w:caps w:val="false"/>
          <w:smallCaps w:val="false"/>
          <w:color w:val="000000"/>
          <w:spacing w:val="-2"/>
          <w:sz w:val="18"/>
          <w:u w:val="single"/>
        </w:rPr>
        <w:t>investors.xpo.com</w:t>
      </w:r>
      <w:r>
        <w:rPr>
          <w:rFonts w:ascii="Helvetica;Arial Narrow;sans-serif" w:hAnsi="Helvetica;Arial Narrow;sans-serif"/>
          <w:b w:val="false"/>
          <w:i w:val="false"/>
          <w:caps w:val="false"/>
          <w:smallCaps w:val="false"/>
          <w:color w:val="000000"/>
          <w:spacing w:val="-2"/>
          <w:sz w:val="18"/>
        </w:rPr>
        <w:t xml:space="preserve"> under the heading </w:t>
      </w:r>
      <w:r>
        <w:rPr>
          <w:rFonts w:ascii="Helvetica;Arial Narrow;sans-serif" w:hAnsi="Helvetica;Arial Narrow;sans-serif"/>
          <w:b w:val="false"/>
          <w:i/>
          <w:caps w:val="false"/>
          <w:smallCaps w:val="false"/>
          <w:color w:val="000000"/>
          <w:sz w:val="18"/>
        </w:rPr>
        <w:t>Corporate Governance — Highlights</w:t>
      </w:r>
      <w:r>
        <w:rPr>
          <w:rFonts w:ascii="Helvetica;Arial Narrow;sans-serif" w:hAnsi="Helvetica;Arial Narrow;sans-serif"/>
          <w:b w:val="false"/>
          <w:i w:val="false"/>
          <w:caps w:val="false"/>
          <w:smallCaps w:val="false"/>
          <w:color w:val="000000"/>
          <w:spacing w:val="-2"/>
          <w:sz w:val="18"/>
        </w:rPr>
        <w: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BOARD EVALUATION PROCESS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Board is responsible for conducting a self-evaluation as a whole and for each Board committee annually, for the purpose of determining whether the Board and the committees are functioning effectively. The Nominating, Corporate Governance and Sustainability Committee is responsible for establishing the evaluation criteria each year to reflect XPO’s business needs and evolving market practices, and for implementing the evaluation processes.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BOARD REFRESHMENT AND DIRECTOR SUCCESSION PLANNING</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is committed to ensuring that its composition includes a range of expertise aligned with the company’s business, as well as providing fresh perspectives on strategy. One of the ways the Board acts on this commitment is through the thoughtful refreshment of directors when appropriate. When selecting new directors, the Board considers, among other things, the nominee’s breadth of experience, financial expertise, integrity, ability to make independent analytical inquiries, understanding of our business environment, skills in areas relevant to our growth drivers and willingness to devote adequate time to Board duties — all in the context of the needs of the Board at that point in time, and with the objective of ensuring a diversity of backgrounds, expertise, and viewpoints. Our Board has engaged in a purposeful process of regular refreshment through a smooth onboarding process, and endeavors to include highly qualified women and individuals from historically underrepresented groups in the candidate pool. The Nominating, Corporate Governance and Sustainability Committee assesses the effectiveness of the Board’s diversity efforts through periodic evaluations of the Board composition.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With the completion of the RXO spin-off, the composition of the Board changed to align more closely to the remaining company’s business and strategy. Three directors stepped down from the Board, five directors, including Mr. Jacobs, remained on the Board, and three new directors, including Mr. Harik, our CEO, joined the Board in a smooth transition. In March 2023, the Board appointed an additional new director. In June 2024, a director resigned, and the Board reduced the size of the Board from nine to eight directors. Each director brings valuable experience and perspectives that complement those of the other directors. The Board believes that the current mix of director tenures provides XPO with a balance of long-term institutional knowledge and fresh perspectives.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See </w:t>
      </w:r>
      <w:r>
        <w:rPr>
          <w:rFonts w:ascii="Helvetica;Arial Narrow;sans-serif" w:hAnsi="Helvetica;Arial Narrow;sans-serif"/>
          <w:b w:val="false"/>
          <w:i/>
          <w:caps w:val="false"/>
          <w:smallCaps w:val="false"/>
          <w:color w:val="000000"/>
          <w:sz w:val="18"/>
        </w:rPr>
        <w:t>Director Selection Process</w:t>
      </w:r>
      <w:r>
        <w:rPr>
          <w:rFonts w:ascii="Helvetica;Arial Narrow;sans-serif" w:hAnsi="Helvetica;Arial Narrow;sans-serif"/>
          <w:b w:val="false"/>
          <w:i w:val="false"/>
          <w:caps w:val="false"/>
          <w:smallCaps w:val="false"/>
          <w:color w:val="000000"/>
          <w:spacing w:val="-2"/>
          <w:sz w:val="18"/>
        </w:rPr>
        <w:t xml:space="preserve"> below for further information on the Board’s procedures in selecting director candidates.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OUTSIDE DIRECTORSHIPS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Each director on the Board is expected to ensure that current and future commitments outside of XPO, including employment responsibilities and service on the boards of other entities, do not materially interfere with the director’s service to our company. As codified in the Guidelines, directors are instructed to advise the chairman, the vice chair, the lead independent director and the chair of the Nominating, Corporate Governance and Sustainability Committee in advance of accepting an invitation to serve on another public company board.</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14</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SPAM"/>
      <w:bookmarkEnd w:id="13"/>
      <w:r>
        <w:rPr>
          <w:rFonts w:ascii="calibri;arial;sans-serif" w:hAnsi="calibri;arial;sans-serif"/>
          <w:b w:val="false"/>
          <w:i w:val="false"/>
          <w:caps w:val="false"/>
          <w:smallCaps w:val="false"/>
          <w:color w:val="000000"/>
          <w:sz w:val="16"/>
        </w:rPr>
        <w:t>​</w:t>
      </w:r>
      <w:bookmarkStart w:id="14" w:name="tCOTB"/>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1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Nominating, Corporate Governance and Sustainability Committee regularly reviews each director’s ability to serve on XPO’s Board, taking into consideration the number of each director’s outside public company board commitments and conducting a particularly focused review of a director’s availability to fulfill his or her responsibilities as a director if he or she serves on more than three other public company boards. No members of XPO’s Board currently serve on more than three other public company boards. The Committee has reviewed XPO’s nominees for the Annual Meeting and has determined that all directors have the willingness and capacity to serve effectively on XPO’s Board.</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SUCCESSION PLANNING AND MANAGEMENT DEVELOPMENT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XPO’s succession planning is a Board-driven, collaborative process. The Compensation and Human Capital Committee is responsible for conducting succession planning for the executive officers and for reviewing management’s succession planning and talent assessment for the company’s leadership team and other key employees. While the current CEO has an important role to play, the Board is also responsible for the succession plan and collaborates with the CEO in deciding the timing and the necessary qualifications. Additionally, the Board will determine policies regarding CEO succession in the event of an emergency or the retirement of the CEO.</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COMMITTEES OF THE BOARD AND COMMITTEE MEMBERSHIP</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The Audit Committee, the Compensation and Human Capital Committee, and the Nominating, Corporate Governance and Sustainability Committee have written charters that comply with applicable rules of the U.S. Securities and Exchange Commission (the “SEC”) and with the rules set forth in the Listed Company Manual (the “NYSE Rules”) of the New York Stock Exchange (the “NYSE”). The Operational Excellence Committee has a charter approved by the Board. These charters are available on our Investor Relations website at </w:t>
      </w:r>
      <w:r>
        <w:rPr>
          <w:rFonts w:ascii="Helvetica;Arial Narrow;sans-serif" w:hAnsi="Helvetica;Arial Narrow;sans-serif"/>
          <w:b w:val="false"/>
          <w:i w:val="false"/>
          <w:caps w:val="false"/>
          <w:smallCaps w:val="false"/>
          <w:color w:val="000000"/>
          <w:spacing w:val="-2"/>
          <w:sz w:val="18"/>
          <w:u w:val="single"/>
        </w:rPr>
        <w:t>investors.xpo.com</w:t>
      </w:r>
      <w:r>
        <w:rPr>
          <w:rFonts w:ascii="Helvetica;Arial Narrow;sans-serif" w:hAnsi="Helvetica;Arial Narrow;sans-serif"/>
          <w:b w:val="false"/>
          <w:i w:val="false"/>
          <w:caps w:val="false"/>
          <w:smallCaps w:val="false"/>
          <w:color w:val="000000"/>
          <w:spacing w:val="-2"/>
          <w:sz w:val="18"/>
        </w:rPr>
        <w:t xml:space="preserve"> under the heading </w:t>
      </w:r>
      <w:r>
        <w:rPr>
          <w:rFonts w:ascii="Helvetica;Arial Narrow;sans-serif" w:hAnsi="Helvetica;Arial Narrow;sans-serif"/>
          <w:b w:val="false"/>
          <w:i/>
          <w:caps w:val="false"/>
          <w:smallCaps w:val="false"/>
          <w:color w:val="000000"/>
          <w:sz w:val="18"/>
        </w:rPr>
        <w:t>Corporate Governance — Highlights</w:t>
      </w:r>
      <w:r>
        <w:rPr>
          <w:rFonts w:ascii="Helvetica;Arial Narrow;sans-serif" w:hAnsi="Helvetica;Arial Narrow;sans-serif"/>
          <w:b w:val="false"/>
          <w:i w:val="false"/>
          <w:caps w:val="false"/>
          <w:smallCaps w:val="false"/>
          <w:color w:val="000000"/>
          <w:spacing w:val="-2"/>
          <w:sz w:val="18"/>
        </w:rPr>
        <w:t>. You may obtain a printed copy of any of these charters, without charge, by sending a request to: Corporate Secretary, XPO, Inc., Five American Lane, Greenwich, Connecticut 06831.</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Audit Committee, the Compensation and Human Capital Committee, and the Nominating, Corporate Governance and Sustainability Committee are each comprised entirely of independent directors within all applicable standards, as discussed below. Our Board’s general policy is to review and approve committee assignments annually. After consulting with our executive chairman and considering director qualifications, the Nominating, Corporate Governance and Sustainability Committee is responsible for recommending to our Board all committee assignments, including the roles of committee chairs. Each committee is authorized to retain, in its sole authority, its own outside counsel and other advisors as it desires, at the company’s expense. Also, each committee may form and delegate authority to subcommittees when appropriate. Our Board may eliminate or create additional committees as it deems appropriate.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sets forth the membership of each of our Board committees as of the date of this Proxy Statement. Mr. Jacobs does not serve on any Board committees.</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28" w:type="dxa"/>
          <w:right w:w="0" w:type="dxa"/>
        </w:tblCellMar>
      </w:tblPr>
      <w:tblGrid>
        <w:gridCol w:w="124"/>
        <w:gridCol w:w="1482"/>
        <w:gridCol w:w="109"/>
        <w:gridCol w:w="109"/>
        <w:gridCol w:w="1371"/>
        <w:gridCol w:w="109"/>
        <w:gridCol w:w="109"/>
        <w:gridCol w:w="1899"/>
        <w:gridCol w:w="109"/>
        <w:gridCol w:w="109"/>
        <w:gridCol w:w="1783"/>
        <w:gridCol w:w="109"/>
        <w:gridCol w:w="109"/>
        <w:gridCol w:w="1597"/>
        <w:gridCol w:w="157"/>
      </w:tblGrid>
      <w:tr>
        <w:trPr/>
        <w:tc>
          <w:tcPr>
            <w:tcW w:w="124" w:type="dxa"/>
            <w:tcBorders>
              <w:bottom w:val="single" w:sz="2" w:space="0" w:color="7F7F7F"/>
            </w:tcBorders>
            <w:vAlign w:val="center"/>
          </w:tcPr>
          <w:p>
            <w:pPr>
              <w:pStyle w:val="TableContents"/>
              <w:bidi w:val="0"/>
              <w:spacing w:before="0" w:after="283"/>
              <w:jc w:val="left"/>
              <w:rPr/>
            </w:pPr>
            <w:r>
              <w:rPr/>
              <w:t>​</w:t>
            </w:r>
          </w:p>
        </w:tc>
        <w:tc>
          <w:tcPr>
            <w:tcW w:w="1482" w:type="dxa"/>
            <w:tcBorders>
              <w:bottom w:val="single" w:sz="2" w:space="0" w:color="7F7F7F"/>
            </w:tcBorders>
            <w:tcMar>
              <w:bottom w:w="43" w:type="dxa"/>
            </w:tcMar>
            <w:vAlign w:val="center"/>
          </w:tcPr>
          <w:p>
            <w:pPr>
              <w:pStyle w:val="TableContents"/>
              <w:bidi w:val="0"/>
              <w:spacing w:before="0" w:after="0"/>
              <w:jc w:val="left"/>
              <w:rPr/>
            </w:pPr>
            <w:r>
              <w:rPr/>
              <w:t xml:space="preserve">Name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71" w:type="dxa"/>
            <w:tcBorders>
              <w:bottom w:val="single" w:sz="2" w:space="0" w:color="7F7F7F"/>
            </w:tcBorders>
            <w:tcMar>
              <w:bottom w:w="43" w:type="dxa"/>
            </w:tcMar>
            <w:vAlign w:val="center"/>
          </w:tcPr>
          <w:p>
            <w:pPr>
              <w:pStyle w:val="TableContents"/>
              <w:bidi w:val="0"/>
              <w:spacing w:before="0" w:after="0"/>
              <w:jc w:val="center"/>
              <w:rPr/>
            </w:pPr>
            <w:r>
              <w:rPr/>
              <w:t xml:space="preserve">Audit Committee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899" w:type="dxa"/>
            <w:tcBorders>
              <w:bottom w:val="single" w:sz="2" w:space="0" w:color="7F7F7F"/>
            </w:tcBorders>
            <w:tcMar>
              <w:bottom w:w="43" w:type="dxa"/>
            </w:tcMar>
            <w:vAlign w:val="center"/>
          </w:tcPr>
          <w:p>
            <w:pPr>
              <w:pStyle w:val="TableContents"/>
              <w:bidi w:val="0"/>
              <w:spacing w:before="0" w:after="0"/>
              <w:jc w:val="center"/>
              <w:rPr/>
            </w:pPr>
            <w:r>
              <w:rPr/>
              <w:t xml:space="preserve">Compensation and </w:t>
              <w:br/>
              <w:t xml:space="preserve">Human Capital Committee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783" w:type="dxa"/>
            <w:tcBorders>
              <w:bottom w:val="single" w:sz="2" w:space="0" w:color="7F7F7F"/>
            </w:tcBorders>
            <w:tcMar>
              <w:bottom w:w="43" w:type="dxa"/>
            </w:tcMar>
            <w:vAlign w:val="center"/>
          </w:tcPr>
          <w:p>
            <w:pPr>
              <w:pStyle w:val="TableContents"/>
              <w:bidi w:val="0"/>
              <w:spacing w:before="0" w:after="0"/>
              <w:jc w:val="center"/>
              <w:rPr/>
            </w:pPr>
            <w:r>
              <w:rPr/>
              <w:t>Nominating, Corporate</w:t>
              <w:br/>
              <w:t>Governance and</w:t>
              <w:br/>
              <w:t xml:space="preserve">Sustainability Committee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97" w:type="dxa"/>
            <w:tcBorders>
              <w:bottom w:val="single" w:sz="2" w:space="0" w:color="7F7F7F"/>
            </w:tcBorders>
            <w:tcMar>
              <w:bottom w:w="43" w:type="dxa"/>
            </w:tcMar>
            <w:vAlign w:val="center"/>
          </w:tcPr>
          <w:p>
            <w:pPr>
              <w:pStyle w:val="TableContents"/>
              <w:bidi w:val="0"/>
              <w:spacing w:before="0" w:after="0"/>
              <w:jc w:val="center"/>
              <w:rPr/>
            </w:pPr>
            <w:r>
              <w:rPr/>
              <w:t>Operational Excellence</w:t>
              <w:br/>
              <w:t xml:space="preserve">Committee </w:t>
            </w:r>
          </w:p>
        </w:tc>
        <w:tc>
          <w:tcPr>
            <w:tcW w:w="157"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82" w:type="dxa"/>
            <w:tcBorders/>
            <w:shd w:fill="D8D8D8" w:val="clear"/>
            <w:tcMar>
              <w:bottom w:w="0" w:type="dxa"/>
            </w:tcMar>
            <w:vAlign w:val="center"/>
          </w:tcPr>
          <w:p>
            <w:pPr>
              <w:pStyle w:val="TableContents"/>
              <w:bidi w:val="0"/>
              <w:spacing w:before="0" w:after="283"/>
              <w:jc w:val="left"/>
              <w:rPr/>
            </w:pPr>
            <w:r>
              <w:rPr/>
              <w:t xml:space="preserve">Bella Allaire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7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89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783" w:type="dxa"/>
            <w:tcBorders/>
            <w:shd w:fill="D8D8D8" w:val="clear"/>
            <w:tcMar>
              <w:bottom w:w="0" w:type="dxa"/>
            </w:tcMar>
            <w:vAlign w:val="center"/>
          </w:tcPr>
          <w:p>
            <w:pPr>
              <w:pStyle w:val="TableContents"/>
              <w:bidi w:val="0"/>
              <w:spacing w:before="0" w:after="0"/>
              <w:jc w:val="center"/>
              <w:rPr/>
            </w:pPr>
            <w:r>
              <w:rPr/>
              <w:t xml:space="preserve">C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97" w:type="dxa"/>
            <w:tcBorders/>
            <w:shd w:fill="D8D8D8" w:val="clear"/>
            <w:tcMar>
              <w:bottom w:w="0" w:type="dxa"/>
            </w:tcMar>
            <w:vAlign w:val="center"/>
          </w:tcPr>
          <w:p>
            <w:pPr>
              <w:pStyle w:val="TableContents"/>
              <w:bidi w:val="0"/>
              <w:spacing w:before="0" w:after="283"/>
              <w:jc w:val="left"/>
              <w:rPr/>
            </w:pPr>
            <w:r>
              <w:rPr/>
              <w:t>​</w:t>
            </w:r>
          </w:p>
        </w:tc>
        <w:tc>
          <w:tcPr>
            <w:tcW w:w="157"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82" w:type="dxa"/>
            <w:tcBorders/>
            <w:tcMar>
              <w:bottom w:w="0" w:type="dxa"/>
            </w:tcMar>
            <w:vAlign w:val="center"/>
          </w:tcPr>
          <w:p>
            <w:pPr>
              <w:pStyle w:val="TableContents"/>
              <w:bidi w:val="0"/>
              <w:spacing w:before="0" w:after="283"/>
              <w:jc w:val="left"/>
              <w:rPr/>
            </w:pPr>
            <w:r>
              <w:rPr/>
              <w:t xml:space="preserve">J. Wes Frye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7" w:type="dxa"/>
            <w:tcBorders/>
            <w:tcMar>
              <w:bottom w:w="0" w:type="dxa"/>
            </w:tcMar>
            <w:vAlign w:val="center"/>
          </w:tcPr>
          <w:p>
            <w:pPr>
              <w:pStyle w:val="TableContents"/>
              <w:bidi w:val="0"/>
              <w:spacing w:before="0" w:after="0"/>
              <w:jc w:val="center"/>
              <w:rPr/>
            </w:pP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82" w:type="dxa"/>
            <w:tcBorders/>
            <w:shd w:fill="D8D8D8" w:val="clear"/>
            <w:tcMar>
              <w:bottom w:w="0" w:type="dxa"/>
            </w:tcMar>
            <w:vAlign w:val="center"/>
          </w:tcPr>
          <w:p>
            <w:pPr>
              <w:pStyle w:val="TableContents"/>
              <w:bidi w:val="0"/>
              <w:spacing w:before="0" w:after="283"/>
              <w:jc w:val="left"/>
              <w:rPr/>
            </w:pPr>
            <w:r>
              <w:rPr/>
              <w:t xml:space="preserve">Mario Harik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7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89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78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97" w:type="dxa"/>
            <w:tcBorders/>
            <w:shd w:fill="D8D8D8" w:val="clear"/>
            <w:tcMar>
              <w:bottom w:w="0" w:type="dxa"/>
            </w:tcMar>
            <w:vAlign w:val="center"/>
          </w:tcPr>
          <w:p>
            <w:pPr>
              <w:pStyle w:val="TableContents"/>
              <w:bidi w:val="0"/>
              <w:spacing w:before="0" w:after="0"/>
              <w:jc w:val="center"/>
              <w:rPr/>
            </w:pPr>
            <w:r>
              <w:rPr/>
              <w:t xml:space="preserve">C </w:t>
            </w:r>
          </w:p>
        </w:tc>
        <w:tc>
          <w:tcPr>
            <w:tcW w:w="157"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82" w:type="dxa"/>
            <w:tcBorders/>
            <w:tcMar>
              <w:bottom w:w="0" w:type="dxa"/>
            </w:tcMar>
            <w:vAlign w:val="center"/>
          </w:tcPr>
          <w:p>
            <w:pPr>
              <w:pStyle w:val="TableContents"/>
              <w:bidi w:val="0"/>
              <w:spacing w:before="0" w:after="283"/>
              <w:jc w:val="left"/>
              <w:rPr/>
            </w:pPr>
            <w:r>
              <w:rPr/>
              <w:t xml:space="preserve">Michael G. Jesselson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1" w:type="dxa"/>
            <w:tcBorders/>
            <w:tcMar>
              <w:bottom w:w="0" w:type="dxa"/>
            </w:tcMar>
            <w:vAlign w:val="center"/>
          </w:tcPr>
          <w:p>
            <w:pPr>
              <w:pStyle w:val="TableContents"/>
              <w:bidi w:val="0"/>
              <w:spacing w:before="0" w:after="0"/>
              <w:jc w:val="center"/>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82" w:type="dxa"/>
            <w:tcBorders/>
            <w:shd w:fill="D8D8D8" w:val="clear"/>
            <w:tcMar>
              <w:bottom w:w="0" w:type="dxa"/>
            </w:tcMar>
            <w:vAlign w:val="center"/>
          </w:tcPr>
          <w:p>
            <w:pPr>
              <w:pStyle w:val="TableContents"/>
              <w:bidi w:val="0"/>
              <w:spacing w:before="0" w:after="283"/>
              <w:jc w:val="left"/>
              <w:rPr/>
            </w:pPr>
            <w:r>
              <w:rPr/>
              <w:t xml:space="preserve">Allison Landry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71" w:type="dxa"/>
            <w:tcBorders/>
            <w:shd w:fill="D8D8D8" w:val="clear"/>
            <w:tcMar>
              <w:bottom w:w="0" w:type="dxa"/>
            </w:tcMar>
            <w:vAlign w:val="center"/>
          </w:tcPr>
          <w:p>
            <w:pPr>
              <w:pStyle w:val="TableContents"/>
              <w:bidi w:val="0"/>
              <w:spacing w:before="0" w:after="0"/>
              <w:jc w:val="center"/>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899" w:type="dxa"/>
            <w:tcBorders/>
            <w:shd w:fill="D8D8D8" w:val="clear"/>
            <w:tcMar>
              <w:bottom w:w="0" w:type="dxa"/>
            </w:tcMar>
            <w:vAlign w:val="center"/>
          </w:tcPr>
          <w:p>
            <w:pPr>
              <w:pStyle w:val="TableContents"/>
              <w:bidi w:val="0"/>
              <w:spacing w:before="0" w:after="0"/>
              <w:jc w:val="center"/>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78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97" w:type="dxa"/>
            <w:tcBorders/>
            <w:shd w:fill="D8D8D8" w:val="clear"/>
            <w:tcMar>
              <w:bottom w:w="0" w:type="dxa"/>
            </w:tcMar>
            <w:vAlign w:val="center"/>
          </w:tcPr>
          <w:p>
            <w:pPr>
              <w:pStyle w:val="TableContents"/>
              <w:bidi w:val="0"/>
              <w:spacing w:before="0" w:after="0"/>
              <w:jc w:val="center"/>
              <w:rPr/>
            </w:pPr>
            <w:r>
              <w:rPr/>
              <w:t xml:space="preserve">✓ </w:t>
            </w:r>
          </w:p>
        </w:tc>
        <w:tc>
          <w:tcPr>
            <w:tcW w:w="157"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82" w:type="dxa"/>
            <w:tcBorders/>
            <w:tcMar>
              <w:bottom w:w="0" w:type="dxa"/>
            </w:tcMar>
            <w:vAlign w:val="center"/>
          </w:tcPr>
          <w:p>
            <w:pPr>
              <w:pStyle w:val="TableContents"/>
              <w:bidi w:val="0"/>
              <w:spacing w:before="0" w:after="283"/>
              <w:jc w:val="left"/>
              <w:rPr/>
            </w:pPr>
            <w:r>
              <w:rPr/>
              <w:t xml:space="preserve">Irene Moshouris*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1" w:type="dxa"/>
            <w:tcBorders/>
            <w:tcMar>
              <w:bottom w:w="0" w:type="dxa"/>
            </w:tcMar>
            <w:vAlign w:val="center"/>
          </w:tcPr>
          <w:p>
            <w:pPr>
              <w:pStyle w:val="TableContents"/>
              <w:bidi w:val="0"/>
              <w:spacing w:before="0" w:after="0"/>
              <w:jc w:val="center"/>
              <w:rPr/>
            </w:pPr>
            <w:r>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9" w:type="dxa"/>
            <w:tcBorders/>
            <w:tcMar>
              <w:bottom w:w="0" w:type="dxa"/>
            </w:tcMar>
            <w:vAlign w:val="center"/>
          </w:tcPr>
          <w:p>
            <w:pPr>
              <w:pStyle w:val="TableContents"/>
              <w:bidi w:val="0"/>
              <w:spacing w:before="0" w:after="0"/>
              <w:jc w:val="center"/>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7F7F7F"/>
            </w:tcBorders>
            <w:shd w:fill="D8D8D8" w:val="clear"/>
            <w:vAlign w:val="center"/>
          </w:tcPr>
          <w:p>
            <w:pPr>
              <w:pStyle w:val="TableContents"/>
              <w:bidi w:val="0"/>
              <w:spacing w:before="0" w:after="283"/>
              <w:jc w:val="left"/>
              <w:rPr/>
            </w:pPr>
            <w:r>
              <w:rPr/>
              <w:t>​</w:t>
            </w:r>
          </w:p>
        </w:tc>
        <w:tc>
          <w:tcPr>
            <w:tcW w:w="1482" w:type="dxa"/>
            <w:tcBorders>
              <w:bottom w:val="single" w:sz="6" w:space="0" w:color="7F7F7F"/>
            </w:tcBorders>
            <w:shd w:fill="D8D8D8" w:val="clear"/>
            <w:tcMar>
              <w:bottom w:w="80" w:type="dxa"/>
            </w:tcMar>
            <w:vAlign w:val="center"/>
          </w:tcPr>
          <w:p>
            <w:pPr>
              <w:pStyle w:val="TableContents"/>
              <w:bidi w:val="0"/>
              <w:spacing w:before="0" w:after="283"/>
              <w:jc w:val="left"/>
              <w:rPr/>
            </w:pPr>
            <w:r>
              <w:rPr/>
              <w:t xml:space="preserve">Johnny C. Taylor, Jr. </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371" w:type="dxa"/>
            <w:tcBorders>
              <w:bottom w:val="single" w:sz="6" w:space="0" w:color="7F7F7F"/>
            </w:tcBorders>
            <w:shd w:fill="D8D8D8" w:val="clear"/>
            <w:tcMar>
              <w:bottom w:w="80" w:type="dxa"/>
            </w:tcM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899" w:type="dxa"/>
            <w:tcBorders>
              <w:bottom w:val="single" w:sz="6" w:space="0" w:color="7F7F7F"/>
            </w:tcBorders>
            <w:shd w:fill="D8D8D8" w:val="clear"/>
            <w:tcMar>
              <w:bottom w:w="80" w:type="dxa"/>
            </w:tcMar>
            <w:vAlign w:val="center"/>
          </w:tcPr>
          <w:p>
            <w:pPr>
              <w:pStyle w:val="TableContents"/>
              <w:bidi w:val="0"/>
              <w:spacing w:before="0" w:after="0"/>
              <w:jc w:val="center"/>
              <w:rPr/>
            </w:pPr>
            <w:r>
              <w:rPr/>
              <w:t xml:space="preserve">C </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783" w:type="dxa"/>
            <w:tcBorders>
              <w:bottom w:val="single" w:sz="6" w:space="0" w:color="7F7F7F"/>
            </w:tcBorders>
            <w:shd w:fill="D8D8D8" w:val="clear"/>
            <w:tcMar>
              <w:bottom w:w="80" w:type="dxa"/>
            </w:tcM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597" w:type="dxa"/>
            <w:tcBorders>
              <w:bottom w:val="single" w:sz="6" w:space="0" w:color="7F7F7F"/>
            </w:tcBorders>
            <w:shd w:fill="D8D8D8" w:val="clear"/>
            <w:tcMar>
              <w:bottom w:w="80" w:type="dxa"/>
            </w:tcMar>
            <w:vAlign w:val="center"/>
          </w:tcPr>
          <w:p>
            <w:pPr>
              <w:pStyle w:val="TableContents"/>
              <w:bidi w:val="0"/>
              <w:spacing w:before="0" w:after="283"/>
              <w:jc w:val="left"/>
              <w:rPr/>
            </w:pPr>
            <w:r>
              <w:rPr/>
              <w:t>​</w:t>
            </w:r>
          </w:p>
        </w:tc>
        <w:tc>
          <w:tcPr>
            <w:tcW w:w="157" w:type="dxa"/>
            <w:tcBorders>
              <w:bottom w:val="single" w:sz="6" w:space="0" w:color="7F7F7F"/>
            </w:tcBorders>
            <w:shd w:fill="D8D8D8" w:val="clear"/>
            <w:vAlign w:val="center"/>
          </w:tcPr>
          <w:p>
            <w:pPr>
              <w:pStyle w:val="TableContents"/>
              <w:bidi w:val="0"/>
              <w:spacing w:before="0" w:after="283"/>
              <w:jc w:val="left"/>
              <w:rPr/>
            </w:pPr>
            <w:r>
              <w:rPr/>
              <w:t>​</w:t>
            </w:r>
          </w:p>
        </w:tc>
      </w:tr>
    </w:tbl>
    <w:tbl>
      <w:tblPr>
        <w:tblW w:w="8922" w:type="dxa"/>
        <w:jc w:val="left"/>
        <w:tblInd w:w="920" w:type="dxa"/>
        <w:tblLayout w:type="fixed"/>
        <w:tblCellMar>
          <w:top w:w="0" w:type="dxa"/>
          <w:left w:w="0" w:type="dxa"/>
          <w:bottom w:w="0" w:type="dxa"/>
          <w:right w:w="0" w:type="dxa"/>
        </w:tblCellMar>
      </w:tblPr>
      <w:tblGrid>
        <w:gridCol w:w="124"/>
        <w:gridCol w:w="2011"/>
        <w:gridCol w:w="109"/>
        <w:gridCol w:w="109"/>
        <w:gridCol w:w="2491"/>
        <w:gridCol w:w="109"/>
        <w:gridCol w:w="109"/>
        <w:gridCol w:w="3706"/>
        <w:gridCol w:w="154"/>
      </w:tblGrid>
      <w:tr>
        <w:trPr/>
        <w:tc>
          <w:tcPr>
            <w:tcW w:w="124" w:type="dxa"/>
            <w:tcBorders/>
            <w:vAlign w:val="center"/>
          </w:tcPr>
          <w:p>
            <w:pPr>
              <w:pStyle w:val="TableContents"/>
              <w:bidi w:val="0"/>
              <w:spacing w:before="0" w:after="283"/>
              <w:jc w:val="left"/>
              <w:rPr/>
            </w:pPr>
            <w:r>
              <w:rPr/>
              <w:t>​</w:t>
            </w:r>
          </w:p>
        </w:tc>
        <w:tc>
          <w:tcPr>
            <w:tcW w:w="2011" w:type="dxa"/>
            <w:tcBorders/>
            <w:vAlign w:val="center"/>
          </w:tcPr>
          <w:p>
            <w:pPr>
              <w:pStyle w:val="TableContents"/>
              <w:bidi w:val="0"/>
              <w:spacing w:before="0" w:after="0"/>
              <w:jc w:val="left"/>
              <w:rPr>
                <w:rFonts w:ascii="Helvetica;Arial Narrow;sans-serif" w:hAnsi="Helvetica;Arial Narrow;sans-serif"/>
                <w:b/>
              </w:rPr>
            </w:pPr>
            <w:r>
              <w:rPr>
                <w:rFonts w:ascii="Helvetica;Arial Narrow;sans-serif" w:hAnsi="Helvetica;Arial Narrow;sans-serif"/>
                <w:b/>
                <w:spacing w:val="-2"/>
              </w:rPr>
              <w:t>C</w:t>
            </w:r>
            <w:r>
              <w:rPr>
                <w:rFonts w:ascii="Helvetica;Arial Narrow;sans-serif" w:hAnsi="Helvetica;Arial Narrow;sans-serif"/>
                <w:b/>
              </w:rPr>
              <w:t xml:space="preserve"> </w:t>
            </w:r>
            <w:r>
              <w:rPr>
                <w:rFonts w:ascii="Arial Narrow;Helvetica;sans-serif" w:hAnsi="Arial Narrow;Helvetica;sans-serif"/>
                <w:b w:val="false"/>
              </w:rPr>
              <w:t xml:space="preserve">= 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1" w:type="dxa"/>
            <w:tcBorders/>
            <w:vAlign w:val="center"/>
          </w:tcPr>
          <w:p>
            <w:pPr>
              <w:pStyle w:val="TableContents"/>
              <w:bidi w:val="0"/>
              <w:spacing w:before="0" w:after="283"/>
              <w:jc w:val="left"/>
              <w:rPr/>
            </w:pPr>
            <w:r>
              <w:rPr/>
              <w:t xml:space="preserve">✓ </w:t>
            </w:r>
            <w:r>
              <w:rPr/>
              <w:t xml:space="preserve">= Committee 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06" w:type="dxa"/>
            <w:tcBorders/>
            <w:vAlign w:val="center"/>
          </w:tcPr>
          <w:p>
            <w:pPr>
              <w:pStyle w:val="TableContents"/>
              <w:bidi w:val="0"/>
              <w:spacing w:before="0" w:after="283"/>
              <w:ind w:left="58" w:right="0" w:hanging="0"/>
              <w:jc w:val="left"/>
              <w:rPr/>
            </w:pPr>
            <w:r>
              <w:rPr>
                <w:rFonts w:ascii="Helvetica;Arial Narrow;sans-serif" w:hAnsi="Helvetica;Arial Narrow;sans-serif"/>
                <w:b/>
                <w:spacing w:val="-2"/>
              </w:rPr>
              <w:t>*</w:t>
            </w:r>
            <w:r>
              <w:rPr/>
              <w:t xml:space="preserve"> = Audit Committee Financial Expert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316"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summary of the committees’ responsibilities is as follows: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caps w:val="false"/>
          <w:smallCaps w:val="false"/>
          <w:color w:val="000000"/>
          <w:sz w:val="18"/>
        </w:rPr>
        <w:t>Audit Committee.</w:t>
      </w:r>
      <w:r>
        <w:rPr>
          <w:rFonts w:ascii="Helvetica;Arial Narrow;sans-serif" w:hAnsi="Helvetica;Arial Narrow;sans-serif"/>
          <w:b w:val="false"/>
          <w:i w:val="false"/>
          <w:caps w:val="false"/>
          <w:smallCaps w:val="false"/>
          <w:color w:val="000000"/>
          <w:spacing w:val="-2"/>
          <w:sz w:val="18"/>
        </w:rPr>
        <w:t xml:space="preserve"> Our Audit Committee has been established in accordance with Section 3(a)(58)(A) of the Securities Exchange Act of 1934, as amended (the “Exchange Act”), to assist our Board in fulfilling its responsibilities in a number of areas, including, without limitation, oversight of: (i) our accounting and financial reporting processes, including our systems of internal controls and disclosure controls; (ii) the integrity of our financial statements; (iii) our compliance with legal and regulatory requirements; (iv) the qualifications and independence of our independent registered public accounting firm; (v) the performance of our independent registered public accounting firm and internal audit function; and (vi) related-party transactions. Each member of the Audit Committee satisfies all applicable independence standards, has not participated in the preparation of our financial statements at any time during the past three years, and is able to read and understand fundamental financial statements. From January 1, 2024 to June 6, 2024, the Audit Committee was comprised of the following three directors: Mr. Jason Aiken (chair), Mr. Jesselson and Ms. Moshouris. Mr. Aiken resigned from the company’s Board on June 6, 2024. From June 6, 2024 to the date of this Proxy Statement, the Audit Committee has been comprised of the following three directors: Ms. Moshouris (chair), Mr. Jesselson and Ms. Landry. Our Board has determined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15</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that Ms. Moshouris qualifies as an “audit committee financial expert” as defined under Item 407(d)(5) of Regulation S-K under the Exchange Act. During 2024, the Audit Committee met six times and acted once via unanimous written consent.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caps w:val="false"/>
          <w:smallCaps w:val="false"/>
          <w:color w:val="000000"/>
          <w:sz w:val="18"/>
        </w:rPr>
        <w:t>Compensation and Human Capital Committee.</w:t>
      </w:r>
      <w:r>
        <w:rPr>
          <w:rFonts w:ascii="Helvetica;Arial Narrow;sans-serif" w:hAnsi="Helvetica;Arial Narrow;sans-serif"/>
          <w:b w:val="false"/>
          <w:i w:val="false"/>
          <w:caps w:val="false"/>
          <w:smallCaps w:val="false"/>
          <w:color w:val="000000"/>
          <w:spacing w:val="-2"/>
          <w:sz w:val="18"/>
        </w:rPr>
        <w:t xml:space="preserve"> The primary responsibilities of the Compensation and Human Capital Committee are, among other things: (i) to oversee the administration of our compensation programs; (ii) to review and approve the compensation of our executive management; (iii) to review company contributions to qualified and non-qualified plans; (iv) to prepare any report on executive compensation required by SEC rules and regulations; and (v) to retain independent compensation consultants and oversee the work of such consultants. During 2024, the Compensation and Human Capital Committee met six times and acted three times via unanimous written consent to deliberate on a range of matters relating to compensation, including: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4"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Certification of goal attainment for performance-based restricted stock unit (“PSU”) awards;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8740" distB="0" distL="0" distR="0" simplePos="0" locked="0" layoutInCell="1" allowOverlap="1" relativeHeight="221">
                <wp:simplePos x="0" y="0"/>
                <wp:positionH relativeFrom="column">
                  <wp:align>left</wp:align>
                </wp:positionH>
                <wp:positionV relativeFrom="line">
                  <wp:align>top</wp:align>
                </wp:positionV>
                <wp:extent cx="127000" cy="525780"/>
                <wp:effectExtent l="0" t="0" r="0" b="0"/>
                <wp:wrapSquare wrapText="right"/>
                <wp:docPr id="186" name="Frame9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6"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Director and executive compensation benchmarking, compared to market levels of pay;</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6360" distB="0" distL="0" distR="0" simplePos="0" locked="0" layoutInCell="1" allowOverlap="1" relativeHeight="222">
                <wp:simplePos x="0" y="0"/>
                <wp:positionH relativeFrom="column">
                  <wp:align>left</wp:align>
                </wp:positionH>
                <wp:positionV relativeFrom="line">
                  <wp:align>top</wp:align>
                </wp:positionV>
                <wp:extent cx="127000" cy="525780"/>
                <wp:effectExtent l="0" t="0" r="0" b="0"/>
                <wp:wrapSquare wrapText="right"/>
                <wp:docPr id="187" name="Frame9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8pt;mso-wrap-distance-bottom:0pt;margin-top:6.8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6"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Trends in executive pay practices and relevant developments within the regulatory landscape;</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6360" distB="0" distL="0" distR="0" simplePos="0" locked="0" layoutInCell="1" allowOverlap="1" relativeHeight="223">
                <wp:simplePos x="0" y="0"/>
                <wp:positionH relativeFrom="column">
                  <wp:align>left</wp:align>
                </wp:positionH>
                <wp:positionV relativeFrom="line">
                  <wp:align>top</wp:align>
                </wp:positionV>
                <wp:extent cx="127000" cy="525780"/>
                <wp:effectExtent l="0" t="0" r="0" b="0"/>
                <wp:wrapSquare wrapText="right"/>
                <wp:docPr id="188" name="Frame9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6"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Executive compensation decision frameworks and strategies for cash and long-term incentive (“LTI”) compensation;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6360" distB="0" distL="0" distR="0" simplePos="0" locked="0" layoutInCell="1" allowOverlap="1" relativeHeight="224">
                <wp:simplePos x="0" y="0"/>
                <wp:positionH relativeFrom="column">
                  <wp:align>left</wp:align>
                </wp:positionH>
                <wp:positionV relativeFrom="line">
                  <wp:align>top</wp:align>
                </wp:positionV>
                <wp:extent cx="127000" cy="525780"/>
                <wp:effectExtent l="0" t="0" r="0" b="0"/>
                <wp:wrapSquare wrapText="right"/>
                <wp:docPr id="189" name="Frame9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8pt;mso-wrap-distance-bottom:0pt;margin-top:6.8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6"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Thresholds, targets and/or maximum values related to cash compensation;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6360" distB="0" distL="0" distR="0" simplePos="0" locked="0" layoutInCell="1" allowOverlap="1" relativeHeight="225">
                <wp:simplePos x="0" y="0"/>
                <wp:positionH relativeFrom="column">
                  <wp:align>left</wp:align>
                </wp:positionH>
                <wp:positionV relativeFrom="line">
                  <wp:align>top</wp:align>
                </wp:positionV>
                <wp:extent cx="127000" cy="525780"/>
                <wp:effectExtent l="0" t="0" r="0" b="0"/>
                <wp:wrapSquare wrapText="right"/>
                <wp:docPr id="190" name="Frame9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6"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Risk assessment of incentive compensation plans;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6360" distB="0" distL="0" distR="0" simplePos="0" locked="0" layoutInCell="1" allowOverlap="1" relativeHeight="226">
                <wp:simplePos x="0" y="0"/>
                <wp:positionH relativeFrom="column">
                  <wp:align>left</wp:align>
                </wp:positionH>
                <wp:positionV relativeFrom="line">
                  <wp:align>top</wp:align>
                </wp:positionV>
                <wp:extent cx="127000" cy="525780"/>
                <wp:effectExtent l="0" t="0" r="0" b="0"/>
                <wp:wrapSquare wrapText="right"/>
                <wp:docPr id="191" name="Frame9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8pt;mso-wrap-distance-bottom:0pt;margin-top:6.8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NEO performance evaluations with respect to financial and non-financial goals and expectations;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7630" distB="0" distL="0" distR="0" simplePos="0" locked="0" layoutInCell="1" allowOverlap="1" relativeHeight="227">
                <wp:simplePos x="0" y="0"/>
                <wp:positionH relativeFrom="column">
                  <wp:align>left</wp:align>
                </wp:positionH>
                <wp:positionV relativeFrom="line">
                  <wp:align>top</wp:align>
                </wp:positionV>
                <wp:extent cx="127000" cy="525780"/>
                <wp:effectExtent l="0" t="0" r="0" b="0"/>
                <wp:wrapSquare wrapText="right"/>
                <wp:docPr id="192" name="Frame9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Approval of compensation decisions for directors and executive officers;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7630" distB="0" distL="0" distR="0" simplePos="0" locked="0" layoutInCell="1" allowOverlap="1" relativeHeight="228">
                <wp:simplePos x="0" y="0"/>
                <wp:positionH relativeFrom="column">
                  <wp:align>left</wp:align>
                </wp:positionH>
                <wp:positionV relativeFrom="line">
                  <wp:align>top</wp:align>
                </wp:positionV>
                <wp:extent cx="127000" cy="525780"/>
                <wp:effectExtent l="0" t="0" r="0" b="0"/>
                <wp:wrapSquare wrapText="right"/>
                <wp:docPr id="193" name="Frame9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9pt;mso-wrap-distance-bottom:0pt;margin-top:6.9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Evaluation of share utilization (i.e., burn rate and dilution) in our employee equity plan;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7630" distB="0" distL="0" distR="0" simplePos="0" locked="0" layoutInCell="1" allowOverlap="1" relativeHeight="229">
                <wp:simplePos x="0" y="0"/>
                <wp:positionH relativeFrom="column">
                  <wp:align>left</wp:align>
                </wp:positionH>
                <wp:positionV relativeFrom="line">
                  <wp:align>top</wp:align>
                </wp:positionV>
                <wp:extent cx="127000" cy="525780"/>
                <wp:effectExtent l="0" t="0" r="0" b="0"/>
                <wp:wrapSquare wrapText="right"/>
                <wp:docPr id="194" name="Frame10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Compliance with executive stock ownership guidelines;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7630" distB="0" distL="0" distR="0" simplePos="0" locked="0" layoutInCell="1" allowOverlap="1" relativeHeight="230">
                <wp:simplePos x="0" y="0"/>
                <wp:positionH relativeFrom="column">
                  <wp:align>left</wp:align>
                </wp:positionH>
                <wp:positionV relativeFrom="line">
                  <wp:align>top</wp:align>
                </wp:positionV>
                <wp:extent cx="127000" cy="525780"/>
                <wp:effectExtent l="0" t="0" r="0" b="0"/>
                <wp:wrapSquare wrapText="right"/>
                <wp:docPr id="195" name="Frame10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9pt;mso-wrap-distance-bottom:0pt;margin-top:6.9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Material changes in benefit plans across the company;</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7630" distB="0" distL="0" distR="0" simplePos="0" locked="0" layoutInCell="1" allowOverlap="1" relativeHeight="231">
                <wp:simplePos x="0" y="0"/>
                <wp:positionH relativeFrom="column">
                  <wp:align>left</wp:align>
                </wp:positionH>
                <wp:positionV relativeFrom="line">
                  <wp:align>top</wp:align>
                </wp:positionV>
                <wp:extent cx="127000" cy="525780"/>
                <wp:effectExtent l="0" t="0" r="0" b="0"/>
                <wp:wrapSquare wrapText="right"/>
                <wp:docPr id="196" name="Frame10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Cash bonus accruals for employees in our company’s annual incentive plan, based on financial performance of each business;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7630" distB="0" distL="0" distR="0" simplePos="0" locked="0" layoutInCell="1" allowOverlap="1" relativeHeight="232">
                <wp:simplePos x="0" y="0"/>
                <wp:positionH relativeFrom="column">
                  <wp:align>left</wp:align>
                </wp:positionH>
                <wp:positionV relativeFrom="line">
                  <wp:align>top</wp:align>
                </wp:positionV>
                <wp:extent cx="127000" cy="525780"/>
                <wp:effectExtent l="0" t="0" r="0" b="0"/>
                <wp:wrapSquare wrapText="right"/>
                <wp:docPr id="197" name="Frame10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9pt;mso-wrap-distance-bottom:0pt;margin-top:6.9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Review and certification of compensation advisor independence;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7630" distB="0" distL="0" distR="0" simplePos="0" locked="0" layoutInCell="1" allowOverlap="1" relativeHeight="233">
                <wp:simplePos x="0" y="0"/>
                <wp:positionH relativeFrom="column">
                  <wp:align>left</wp:align>
                </wp:positionH>
                <wp:positionV relativeFrom="line">
                  <wp:align>top</wp:align>
                </wp:positionV>
                <wp:extent cx="127000" cy="525780"/>
                <wp:effectExtent l="0" t="0" r="0" b="0"/>
                <wp:wrapSquare wrapText="right"/>
                <wp:docPr id="198" name="Frame10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38"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Inclusion of the compensation, discussion and analysis disclosure in the company’s annual proxy statement and its incorporation by reference into the company’s 2024 Form 10-K.</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7630" distB="0" distL="0" distR="0" simplePos="0" locked="0" layoutInCell="1" allowOverlap="1" relativeHeight="234">
                <wp:simplePos x="0" y="0"/>
                <wp:positionH relativeFrom="column">
                  <wp:align>left</wp:align>
                </wp:positionH>
                <wp:positionV relativeFrom="line">
                  <wp:align>top</wp:align>
                </wp:positionV>
                <wp:extent cx="127000" cy="525780"/>
                <wp:effectExtent l="0" t="0" r="0" b="0"/>
                <wp:wrapSquare wrapText="right"/>
                <wp:docPr id="199" name="Frame10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9pt;mso-wrap-distance-bottom:0pt;margin-top:6.9pt;mso-position-vertical:top;mso-position-vertical-relative:text;margin-left:1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From January 1, 2024 to the date of this Proxy Statement, the Compensation and Human Capital Committee has been comprised of the following three directors: Mr. Taylor (chair), Ms. Landry and Ms. Moshouris.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caps w:val="false"/>
          <w:smallCaps w:val="false"/>
          <w:color w:val="000000"/>
          <w:sz w:val="18"/>
        </w:rPr>
        <w:t>Nominating, Corporate Governance and Sustainability Committee.</w:t>
      </w:r>
      <w:r>
        <w:rPr>
          <w:rFonts w:ascii="Helvetica;Arial Narrow;sans-serif" w:hAnsi="Helvetica;Arial Narrow;sans-serif"/>
          <w:b w:val="false"/>
          <w:i w:val="false"/>
          <w:caps w:val="false"/>
          <w:smallCaps w:val="false"/>
          <w:color w:val="000000"/>
          <w:spacing w:val="-2"/>
          <w:sz w:val="18"/>
        </w:rPr>
        <w:t xml:space="preserve"> The primary responsibilities of the Nominating, Corporate Governance and Sustainability Committee are, among other things: (i) to identify individuals qualified to become Board members and recommend that our Board select such individuals to be presented for stockholder consideration at the Annual Meeting or to be appointed by the Board to fill a vacancy; (ii) to make recommendations to the Board concerning committee appointments; (iii) to develop, recommend to the Board and annually review the Guidelines and oversee corporate governance matters; (iv) to support the Board in its oversight of our company’s sustainability strategies, performance and external disclosures; and (v) to oversee an annual evaluation of our Board and its committees. From January 1, 2024 to June 6, 2024, the Nominating, Corporate Governance and Sustainability Committee was comprised of the following three directors: Ms. Landry (chair), Ms. Allaire and Ms. Moshouris. From June 6, 2024 to the date of this Proxy Statement, the Nominating, Corporate Governance and Sustainability Committee has been comprised of the following three directors: Ms. Allaire (chair), Mr. Frye and Ms. Moshouris. The Nominating, Corporate Governance and Sustainability Committee met twice during 2024 and acted once via unanimous written consent.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caps w:val="false"/>
          <w:smallCaps w:val="false"/>
          <w:color w:val="000000"/>
          <w:sz w:val="18"/>
        </w:rPr>
        <w:t>Operational Excellence Committee.</w:t>
      </w:r>
      <w:r>
        <w:rPr>
          <w:rFonts w:ascii="Helvetica;Arial Narrow;sans-serif" w:hAnsi="Helvetica;Arial Narrow;sans-serif"/>
          <w:b w:val="false"/>
          <w:i w:val="false"/>
          <w:caps w:val="false"/>
          <w:smallCaps w:val="false"/>
          <w:color w:val="000000"/>
          <w:spacing w:val="-2"/>
          <w:sz w:val="18"/>
        </w:rPr>
        <w:t xml:space="preserve"> The Operational Excellence Committee is a standing committee of the Board formed on April 12, 2023. The primary responsibilities of the Operational Excellence Committee are to review the company’s strategies and objectives with respect to operational excellence, including financial and operational performance, and continuous improvement of service quality, efficiency, cost control, safety and technological innovation. The Operational Excellence Committee will also review, with management, the reports and key performance indicators relating to our company’s progress with operational excellence and achievement against the company’s strategic expectations and objectives. From its inception in April 2023 to the date of this Proxy Statement, the Operational Excellence Committee has been comprised of the following three directors: Mr. Harik (chair), Mr. Frye and Ms. Landry. The Operational Excellence Committee met five times during 2024.</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of Directors held four meetings during 2024 and acted four times via unanimous written consent. Each person currently serving as a director attended at least 75% of the aggregate meetings of the Board and any committee(s) on which he or she served during the time he or she served on the Board or committee(s).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directors are expected to attend our annual meetings. Any director who is unable to attend is expected to notify our Board chairman in advance of the meeting date. All of our directors then serving and standing for re-election, except Mr. Taylor, attended the 2024 Annual Meeting of Stockholders.</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16</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BRO"/>
      <w:bookmarkEnd w:id="15"/>
      <w:r>
        <w:rPr>
          <w:rFonts w:ascii="calibri;arial;sans-serif" w:hAnsi="calibri;arial;sans-serif"/>
          <w:b w:val="false"/>
          <w:i w:val="false"/>
          <w:caps w:val="false"/>
          <w:smallCaps w:val="false"/>
          <w:color w:val="000000"/>
          <w:sz w:val="16"/>
        </w:rPr>
        <w:t>​</w:t>
      </w:r>
      <w:bookmarkStart w:id="16" w:name="tBOOH"/>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BOARD RISK OVERSIGHT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of Directors provides overall risk oversight, with a focus on the most significant risks facing our company. In addition, the Board is responsible for ensuring that appropriate crisis management and business continuity plans are in place. The management of risks to our business, and the execution of contingency plans, are primarily the responsibility of our senior management team.</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Our Board and senior management team regularly discuss the company’s business strategy, operations, policies, controls, prospects, and current and potential risks. These discussions include approaches for assessing, monitoring, mitigating, and controlling risk exposure. The full Board oversees the company’s cybersecurity risk management program (see </w:t>
      </w:r>
      <w:r>
        <w:rPr>
          <w:rFonts w:ascii="Helvetica;Arial Narrow;sans-serif" w:hAnsi="Helvetica;Arial Narrow;sans-serif"/>
          <w:b w:val="false"/>
          <w:i/>
          <w:caps w:val="false"/>
          <w:smallCaps w:val="false"/>
          <w:color w:val="000000"/>
          <w:sz w:val="18"/>
        </w:rPr>
        <w:t>Board Oversight of Information Technology and Cybersecurity Risk Management</w:t>
      </w:r>
      <w:r>
        <w:rPr>
          <w:rFonts w:ascii="Helvetica;Arial Narrow;sans-serif" w:hAnsi="Helvetica;Arial Narrow;sans-serif"/>
          <w:b w:val="false"/>
          <w:i w:val="false"/>
          <w:caps w:val="false"/>
          <w:smallCaps w:val="false"/>
          <w:color w:val="000000"/>
          <w:spacing w:val="-2"/>
          <w:sz w:val="18"/>
        </w:rPr>
        <w:t xml:space="preserve"> for more information below). The Board has delegated responsibility for the oversight of other specific risks to its committees as follows:</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0" w:type="dxa"/>
          <w:right w:w="0" w:type="dxa"/>
        </w:tblCellMar>
      </w:tblPr>
      <w:tblGrid>
        <w:gridCol w:w="124"/>
        <w:gridCol w:w="109"/>
        <w:gridCol w:w="2634"/>
        <w:gridCol w:w="109"/>
        <w:gridCol w:w="109"/>
        <w:gridCol w:w="109"/>
        <w:gridCol w:w="2867"/>
        <w:gridCol w:w="109"/>
        <w:gridCol w:w="109"/>
        <w:gridCol w:w="109"/>
        <w:gridCol w:w="2632"/>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E2231A" w:val="clear"/>
            <w:tcMar>
              <w:bottom w:w="28" w:type="dxa"/>
            </w:tcMar>
            <w:vAlign w:val="center"/>
          </w:tcPr>
          <w:p>
            <w:pPr>
              <w:pStyle w:val="TableContents"/>
              <w:bidi w:val="0"/>
              <w:spacing w:before="0" w:after="283"/>
              <w:jc w:val="left"/>
              <w:rPr/>
            </w:pPr>
            <w:r>
              <w:rPr/>
              <w:t>​</w:t>
            </w:r>
          </w:p>
        </w:tc>
        <w:tc>
          <w:tcPr>
            <w:tcW w:w="2634" w:type="dxa"/>
            <w:tcBorders>
              <w:bottom w:val="single" w:sz="2" w:space="0" w:color="7F7F7F"/>
            </w:tcBorders>
            <w:shd w:fill="E2231A" w:val="clear"/>
            <w:tcMar>
              <w:bottom w:w="28" w:type="dxa"/>
            </w:tcMar>
            <w:vAlign w:val="center"/>
          </w:tcPr>
          <w:p>
            <w:pPr>
              <w:pStyle w:val="TableContents"/>
              <w:bidi w:val="0"/>
              <w:spacing w:lineRule="atLeast" w:line="202" w:before="0" w:after="0"/>
              <w:jc w:val="center"/>
              <w:rPr>
                <w:spacing w:val="-2"/>
              </w:rPr>
            </w:pPr>
            <w:r>
              <w:rPr>
                <w:spacing w:val="-2"/>
              </w:rPr>
              <w:t xml:space="preserve">AUDIT </w:t>
              <w:br/>
              <w:t xml:space="preserve">COMMITTEE </w:t>
            </w:r>
          </w:p>
        </w:tc>
        <w:tc>
          <w:tcPr>
            <w:tcW w:w="109" w:type="dxa"/>
            <w:tcBorders>
              <w:bottom w:val="single" w:sz="2" w:space="0" w:color="7F7F7F"/>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E2231A" w:val="clear"/>
            <w:tcMar>
              <w:bottom w:w="28" w:type="dxa"/>
            </w:tcMar>
            <w:vAlign w:val="center"/>
          </w:tcPr>
          <w:p>
            <w:pPr>
              <w:pStyle w:val="TableContents"/>
              <w:bidi w:val="0"/>
              <w:spacing w:before="0" w:after="283"/>
              <w:jc w:val="left"/>
              <w:rPr/>
            </w:pPr>
            <w:r>
              <w:rPr/>
              <w:t>​</w:t>
            </w:r>
          </w:p>
        </w:tc>
        <w:tc>
          <w:tcPr>
            <w:tcW w:w="2867" w:type="dxa"/>
            <w:tcBorders>
              <w:bottom w:val="single" w:sz="2" w:space="0" w:color="7F7F7F"/>
            </w:tcBorders>
            <w:shd w:fill="E2231A" w:val="clear"/>
            <w:tcMar>
              <w:bottom w:w="28" w:type="dxa"/>
            </w:tcMar>
            <w:vAlign w:val="center"/>
          </w:tcPr>
          <w:p>
            <w:pPr>
              <w:pStyle w:val="TableContents"/>
              <w:bidi w:val="0"/>
              <w:spacing w:lineRule="atLeast" w:line="202" w:before="0" w:after="0"/>
              <w:jc w:val="center"/>
              <w:rPr>
                <w:spacing w:val="-2"/>
              </w:rPr>
            </w:pPr>
            <w:r>
              <w:rPr>
                <w:spacing w:val="-2"/>
              </w:rPr>
              <w:t xml:space="preserve">COMPENSATION </w:t>
              <w:br/>
              <w:t xml:space="preserve">AND HUMAN CAPITAL COMMITTEE </w:t>
            </w:r>
          </w:p>
        </w:tc>
        <w:tc>
          <w:tcPr>
            <w:tcW w:w="109" w:type="dxa"/>
            <w:tcBorders>
              <w:bottom w:val="single" w:sz="2" w:space="0" w:color="7F7F7F"/>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E2231A" w:val="clear"/>
            <w:tcMar>
              <w:bottom w:w="28" w:type="dxa"/>
            </w:tcMar>
            <w:vAlign w:val="center"/>
          </w:tcPr>
          <w:p>
            <w:pPr>
              <w:pStyle w:val="TableContents"/>
              <w:bidi w:val="0"/>
              <w:spacing w:before="0" w:after="283"/>
              <w:jc w:val="left"/>
              <w:rPr/>
            </w:pPr>
            <w:r>
              <w:rPr/>
              <w:t>​</w:t>
            </w:r>
          </w:p>
        </w:tc>
        <w:tc>
          <w:tcPr>
            <w:tcW w:w="2632" w:type="dxa"/>
            <w:tcBorders>
              <w:bottom w:val="single" w:sz="2" w:space="0" w:color="7F7F7F"/>
            </w:tcBorders>
            <w:shd w:fill="E2231A" w:val="clear"/>
            <w:tcMar>
              <w:bottom w:w="40" w:type="dxa"/>
            </w:tcMar>
            <w:vAlign w:val="center"/>
          </w:tcPr>
          <w:p>
            <w:pPr>
              <w:pStyle w:val="TableContents"/>
              <w:bidi w:val="0"/>
              <w:spacing w:lineRule="atLeast" w:line="202" w:before="0" w:after="0"/>
              <w:jc w:val="center"/>
              <w:rPr>
                <w:spacing w:val="-2"/>
              </w:rPr>
            </w:pPr>
            <w:r>
              <w:rPr>
                <w:spacing w:val="-2"/>
              </w:rPr>
              <w:t xml:space="preserve">NOMINATING, CORPORATE </w:t>
              <w:br/>
              <w:t xml:space="preserve">GOVERNANCE AND </w:t>
              <w:br/>
              <w:t xml:space="preserve">SUSTAINABILITY COMMITTEE </w:t>
            </w:r>
          </w:p>
        </w:tc>
        <w:tc>
          <w:tcPr>
            <w:tcW w:w="109" w:type="dxa"/>
            <w:tcBorders>
              <w:bottom w:val="single" w:sz="2" w:space="0" w:color="7F7F7F"/>
            </w:tcBorders>
            <w:shd w:fill="E2231A" w:val="clear"/>
            <w:tcMar>
              <w:bottom w:w="28" w:type="dxa"/>
            </w:tcMar>
            <w:vAlign w:val="center"/>
          </w:tcPr>
          <w:p>
            <w:pPr>
              <w:pStyle w:val="TableContents"/>
              <w:bidi w:val="0"/>
              <w:spacing w:before="0" w:after="283"/>
              <w:jc w:val="left"/>
              <w:rPr/>
            </w:pPr>
            <w:r>
              <w:rPr/>
              <w:t>​</w:t>
            </w:r>
          </w:p>
        </w:tc>
        <w:tc>
          <w:tcPr>
            <w:tcW w:w="156"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2634" w:type="dxa"/>
            <w:tcBorders>
              <w:bottom w:val="single" w:sz="6" w:space="0" w:color="7F7F7F"/>
            </w:tcBorders>
            <w:tcMar>
              <w:bottom w:w="28" w:type="dxa"/>
            </w:tcMar>
            <w:vAlign w:val="center"/>
          </w:tcPr>
          <w:p>
            <w:pPr>
              <w:pStyle w:val="TableContents"/>
              <w:bidi w:val="0"/>
              <w:spacing w:lineRule="atLeast" w:line="216" w:before="0" w:after="0"/>
              <w:ind w:left="180" w:right="0" w:hanging="0"/>
              <w:jc w:val="both"/>
              <w:rPr/>
            </w:pPr>
            <w:r>
              <w:rPr>
                <w:spacing w:val="-2"/>
              </w:rPr>
              <w:t>Oversees the policies that govern the process by which our exposure to risk is assessed and managed by management. In that role, the Audit Committee discusses major financial risk exposures with our management and discusses the steps that management has taken to monitor and control these exposures.</w:t>
            </w:r>
            <w:r>
              <w:rPr/>
              <w:t xml:space="preserve">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114300" cy="525780"/>
                      <wp:effectExtent l="0" t="0" r="0" b="0"/>
                      <wp:wrapSquare wrapText="right"/>
                      <wp:docPr id="200" name="Frame10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both"/>
              <w:rPr>
                <w:spacing w:val="-2"/>
              </w:rPr>
            </w:pPr>
            <w:r>
              <w:rPr>
                <w:spacing w:val="-2"/>
              </w:rPr>
              <w:t xml:space="preserve">Reviews risks arising from related-party transactions involving our company, and for overseeing our company-wide Code of Business Ethics and overall compliance with legal and regulatory requirements. </w:t>
            </w:r>
            <w:r>
              <mc:AlternateContent>
                <mc:Choice Requires="wps">
                  <w:drawing>
                    <wp:anchor behindDoc="0" distT="99060" distB="0" distL="0" distR="0" simplePos="0" locked="0" layoutInCell="1" allowOverlap="1" relativeHeight="236">
                      <wp:simplePos x="0" y="0"/>
                      <wp:positionH relativeFrom="column">
                        <wp:align>left</wp:align>
                      </wp:positionH>
                      <wp:positionV relativeFrom="line">
                        <wp:align>top</wp:align>
                      </wp:positionV>
                      <wp:extent cx="114300" cy="525780"/>
                      <wp:effectExtent l="0" t="0" r="0" b="0"/>
                      <wp:wrapSquare wrapText="right"/>
                      <wp:docPr id="201" name="Frame10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2867" w:type="dxa"/>
            <w:tcBorders>
              <w:bottom w:val="single" w:sz="6" w:space="0" w:color="7F7F7F"/>
            </w:tcBorders>
            <w:tcMar>
              <w:bottom w:w="120" w:type="dxa"/>
            </w:tcMar>
            <w:vAlign w:val="center"/>
          </w:tcPr>
          <w:p>
            <w:pPr>
              <w:pStyle w:val="TableContents"/>
              <w:bidi w:val="0"/>
              <w:spacing w:lineRule="atLeast" w:line="216" w:before="0" w:after="0"/>
              <w:ind w:left="180" w:right="0" w:hanging="0"/>
              <w:jc w:val="both"/>
              <w:rPr/>
            </w:pPr>
            <w:r>
              <w:rPr>
                <w:spacing w:val="-2"/>
              </w:rPr>
              <w:t>Monitors the risks associated with our compensation philosophy and programs.</w:t>
            </w:r>
            <w:r>
              <w:rPr/>
              <w:t xml:space="preserve">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114300" cy="525780"/>
                      <wp:effectExtent l="0" t="0" r="0" b="0"/>
                      <wp:wrapSquare wrapText="right"/>
                      <wp:docPr id="202" name="Frame10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both"/>
              <w:rPr>
                <w:spacing w:val="-2"/>
              </w:rPr>
            </w:pPr>
            <w:r>
              <w:rPr>
                <w:spacing w:val="-2"/>
              </w:rPr>
              <w:t xml:space="preserve">Ensures that the company’s compensation structure strikes an appropriate balance in motivating our senior executives to deliver long-term results for the company’s stockholders, while simultaneously holding our senior leadership team accountable. </w:t>
            </w:r>
            <w:r>
              <mc:AlternateContent>
                <mc:Choice Requires="wps">
                  <w:drawing>
                    <wp:anchor behindDoc="0" distT="99060" distB="0" distL="0" distR="0" simplePos="0" locked="0" layoutInCell="1" allowOverlap="1" relativeHeight="238">
                      <wp:simplePos x="0" y="0"/>
                      <wp:positionH relativeFrom="column">
                        <wp:align>left</wp:align>
                      </wp:positionH>
                      <wp:positionV relativeFrom="line">
                        <wp:align>top</wp:align>
                      </wp:positionV>
                      <wp:extent cx="114300" cy="525780"/>
                      <wp:effectExtent l="0" t="0" r="0" b="0"/>
                      <wp:wrapSquare wrapText="right"/>
                      <wp:docPr id="203" name="Frame10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2632" w:type="dxa"/>
            <w:tcBorders>
              <w:bottom w:val="single" w:sz="6" w:space="0" w:color="7F7F7F"/>
            </w:tcBorders>
            <w:tcMar>
              <w:bottom w:w="120" w:type="dxa"/>
            </w:tcMar>
            <w:vAlign w:val="center"/>
          </w:tcPr>
          <w:p>
            <w:pPr>
              <w:pStyle w:val="TableContents"/>
              <w:bidi w:val="0"/>
              <w:spacing w:lineRule="atLeast" w:line="216" w:before="0" w:after="0"/>
              <w:ind w:left="180" w:right="0" w:hanging="0"/>
              <w:jc w:val="both"/>
              <w:rPr/>
            </w:pPr>
            <w:r>
              <w:rPr>
                <w:spacing w:val="-2"/>
              </w:rPr>
              <w:t>Oversees risks related to our governance structure and processes, as well as risks associated with the company’s corporate sustainability practices and reporting.</w:t>
            </w:r>
            <w:r>
              <w:rPr/>
              <w:t xml:space="preserve"> </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114300" cy="525780"/>
                      <wp:effectExtent l="0" t="0" r="0" b="0"/>
                      <wp:wrapSquare wrapText="right"/>
                      <wp:docPr id="204" name="Frame11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both"/>
              <w:rPr/>
            </w:pPr>
            <w:r>
              <w:rPr>
                <w:spacing w:val="-2"/>
              </w:rPr>
              <w:t>Oversees the company’s political activity and, pursuant to our Political Activity Policy, has final approval over all proposed political contributions by the company.</w:t>
            </w:r>
            <w:r>
              <w:rPr/>
              <w:t xml:space="preserve"> </w:t>
            </w:r>
            <w:r>
              <mc:AlternateContent>
                <mc:Choice Requires="wps">
                  <w:drawing>
                    <wp:anchor behindDoc="0" distT="99060" distB="0" distL="0" distR="0" simplePos="0" locked="0" layoutInCell="1" allowOverlap="1" relativeHeight="240">
                      <wp:simplePos x="0" y="0"/>
                      <wp:positionH relativeFrom="column">
                        <wp:align>left</wp:align>
                      </wp:positionH>
                      <wp:positionV relativeFrom="line">
                        <wp:align>top</wp:align>
                      </wp:positionV>
                      <wp:extent cx="114300" cy="525780"/>
                      <wp:effectExtent l="0" t="0" r="0" b="0"/>
                      <wp:wrapSquare wrapText="right"/>
                      <wp:docPr id="205" name="Frame11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26"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BOARD OVERSIGHT OF HUMAN RESOURCES MANAGEMENT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a people-driven company with a strong customer service culture, our ability to be an employer of choice and a business partner of choice are intertwined. Our management team and Board are committed to attracting a high caliber of talent to our organization and ensuring a workplace culture that prioritizes safety and engagement, as well as professional growth and competitive total compensation that meets the needs of our employees and their families. Our success relies in large part on our robust governance structure and Code of Business Ethics, our good corporate citizenship and, importantly, highly engaged employees with a strong customer service mentality. Our management team and Board work together in a transparent manner that enables open communication, including with respect to human resources-related matters. Our directors have access to information about our human resources operations and plans, and our Chief Human Resources Officer (“CHRO”) regularly attends and presents at meetings of our Board. Additionally, all Board members are invited to attend internal monthly operating review meetings with our business leaders. These meetings include discussions about human capital management topics, such as employee health and safety, sustainability initiatives and employee engagement. The Committee discussions focused on executive compensation, workplace culture and other items related to human resources management.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CHRO has primary responsibility for our human capital management strategy, including recruiting, developing, engaging and retaining employees who share our work ethic and the XPO values that ultimately guide our decisions and actions. These values are: overachieve for customers, be safe, be accountable, always improve, respect each other and be world-class in every way. We are responsive to employee feedback in enhancing our workplaces to support the safety, well-being and satisfaction of our team in the following areas, among others: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18"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404040"/>
          <w:sz w:val="18"/>
        </w:rPr>
        <w:t>Workplace Belonging:</w:t>
      </w:r>
      <w:r>
        <w:rPr>
          <w:rFonts w:ascii="Helvetica;Arial Narrow;sans-serif" w:hAnsi="Helvetica;Arial Narrow;sans-serif"/>
          <w:b w:val="false"/>
          <w:i w:val="false"/>
          <w:caps w:val="false"/>
          <w:smallCaps w:val="false"/>
          <w:color w:val="000000"/>
          <w:spacing w:val="-2"/>
          <w:sz w:val="18"/>
        </w:rPr>
        <w:t xml:space="preserve"> We take pride in having an inclusive workplace that encourages a diversity of skills and perspectives. We welcome employees of every race, ethnicity, national origin, religion, life experience and disability. We celebrate Black history, women’s history, LGBTQ+ pride, Hispanic heritage, Native American heritage, Asian American heritage, and military veterans.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41">
                <wp:simplePos x="0" y="0"/>
                <wp:positionH relativeFrom="column">
                  <wp:align>left</wp:align>
                </wp:positionH>
                <wp:positionV relativeFrom="line">
                  <wp:align>top</wp:align>
                </wp:positionV>
                <wp:extent cx="127000" cy="525780"/>
                <wp:effectExtent l="0" t="0" r="0" b="0"/>
                <wp:wrapSquare wrapText="right"/>
                <wp:docPr id="206" name="Frame11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404040"/>
          <w:sz w:val="18"/>
        </w:rPr>
        <w:t>Health and Safety:</w:t>
      </w:r>
      <w:r>
        <w:rPr>
          <w:rFonts w:ascii="Helvetica;Arial Narrow;sans-serif" w:hAnsi="Helvetica;Arial Narrow;sans-serif"/>
          <w:b w:val="false"/>
          <w:i w:val="false"/>
          <w:caps w:val="false"/>
          <w:smallCaps w:val="false"/>
          <w:color w:val="000000"/>
          <w:spacing w:val="-2"/>
          <w:sz w:val="18"/>
        </w:rPr>
        <w:t xml:space="preserve"> The physical and emotional safety of our employees is paramount, and we have numerous protocols in place to ensure a safe work environment. We developed our Road to Zero program to decrease occupational injuries and illnesses through education, mentoring, communication and on-the-job training that instills awareness and reduces risk. These same priorities are emphasized when we train new commercial driver candidates at our inhouse LTL driver training schools nationwide, where veteran XPO driver-instructors reinforce our safety culture. As part of Road to Zero, we track accident-free miles and recognize XPO drivers who have achieved million-mile safety milestones. As of December 31, 2024, more than 2,500 of our LTL drivers have achieved a safety designation of at least one million accident-free miles, with 246 of these drivers meeting this threshold in 2024. Since the inception of Road to Zero in 2022, we have had four drivers reach four million accident-free miles during their career, which is the highest driver safety record in XPO’s history.</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242">
                <wp:simplePos x="0" y="0"/>
                <wp:positionH relativeFrom="column">
                  <wp:align>left</wp:align>
                </wp:positionH>
                <wp:positionV relativeFrom="line">
                  <wp:align>top</wp:align>
                </wp:positionV>
                <wp:extent cx="127000" cy="525780"/>
                <wp:effectExtent l="0" t="0" r="0" b="0"/>
                <wp:wrapSquare wrapText="right"/>
                <wp:docPr id="207" name="Frame11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17</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BOOS"/>
      <w:bookmarkEnd w:id="17"/>
      <w:r>
        <w:rPr>
          <w:rFonts w:ascii="calibri;arial;sans-serif" w:hAnsi="calibri;arial;sans-serif"/>
          <w:b w:val="false"/>
          <w:i w:val="false"/>
          <w:caps w:val="false"/>
          <w:smallCaps w:val="false"/>
          <w:color w:val="000000"/>
          <w:sz w:val="16"/>
        </w:rPr>
        <w:t>​</w:t>
      </w:r>
      <w:bookmarkStart w:id="18" w:name="tBOOI"/>
      <w:bookmarkEnd w:id="18"/>
      <w:r>
        <w:rPr>
          <w:rFonts w:ascii="calibri;arial;sans-serif" w:hAnsi="calibri;arial;sans-serif"/>
          <w:b w:val="false"/>
          <w:i w:val="false"/>
          <w:caps w:val="false"/>
          <w:smallCaps w:val="false"/>
          <w:color w:val="000000"/>
          <w:sz w:val="16"/>
        </w:rPr>
        <w:t>​</w:t>
      </w:r>
      <w:bookmarkStart w:id="19" w:name="tDS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404040"/>
          <w:sz w:val="18"/>
        </w:rPr>
        <w:t>Employee Engagement and Development</w:t>
      </w:r>
      <w:r>
        <w:rPr>
          <w:rFonts w:ascii="Helvetica;Arial Narrow;sans-serif" w:hAnsi="Helvetica;Arial Narrow;sans-serif"/>
          <w:b w:val="false"/>
          <w:i w:val="false"/>
          <w:caps w:val="false"/>
          <w:smallCaps w:val="false"/>
          <w:color w:val="000000"/>
          <w:spacing w:val="-2"/>
          <w:sz w:val="18"/>
        </w:rPr>
        <w:t>: XPO’s executive leadership team regularly solicits feedback from employees to gauge satisfaction and encourage constructive suggestions. Each quarter, we ask our “wired” employees to submit their input through an anonymous online satisfaction survey. In the U.S., we also conduct an annual satisfaction survey of our “non-wired” frontline employees and hold regular roundtables and town halls. Based on employee feedback, we develop action plans at the business unit and facility levels to implement targeted improvements. XPO has been named a 2024 “Top Company For Women To Work For In Transportation — Elite 30” by the Women in Trucking Association, a 2024 “StarEmployer by VETS Index, and a “2025 Military Friendly Employer — Gold Ranking” by Viqtory. We emphasize professional development and foster talent through ongoing company initiatives, including XPO Accelerate, our internal driving schools and our XPO Freight Management Training program.</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127000" cy="525780"/>
                <wp:effectExtent l="0" t="0" r="0" b="0"/>
                <wp:wrapSquare wrapText="right"/>
                <wp:docPr id="208" name="Frame11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76"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404040"/>
          <w:sz w:val="18"/>
        </w:rPr>
        <w:t>Expansive Total Rewards:</w:t>
      </w:r>
      <w:r>
        <w:rPr>
          <w:rFonts w:ascii="Helvetica;Arial Narrow;sans-serif" w:hAnsi="Helvetica;Arial Narrow;sans-serif"/>
          <w:b w:val="false"/>
          <w:i w:val="false"/>
          <w:caps w:val="false"/>
          <w:smallCaps w:val="false"/>
          <w:color w:val="000000"/>
          <w:spacing w:val="-2"/>
          <w:sz w:val="18"/>
        </w:rPr>
        <w:t xml:space="preserve"> Our total compensation package is instrumental in providing a superior employment experience and conveys how much we appreciate each employee’s choice of XPO. We offer comprehensive health plan options, a pregnancy care policy, family bonding policy, tuition reimbursement and company contributions to 401(k) retirement accounts, as well as virtual preventive health care, virtual physical therapy and diabetes management services at no cost to employees, optional supplemental insurance and short-term loans, and a personalized Total Rewards Statement.</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44">
                <wp:simplePos x="0" y="0"/>
                <wp:positionH relativeFrom="column">
                  <wp:align>left</wp:align>
                </wp:positionH>
                <wp:positionV relativeFrom="line">
                  <wp:align>top</wp:align>
                </wp:positionV>
                <wp:extent cx="127000" cy="525780"/>
                <wp:effectExtent l="0" t="0" r="0" b="0"/>
                <wp:wrapSquare wrapText="right"/>
                <wp:docPr id="209" name="Frame11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142"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For additional information about our global organization and culture, see Human Capital Management included in Part I, Item 1 of our 2024 Form 10-K.</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BOARD OVERSIGHT OF SUSTAINABILITY MATTERS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commitment to advancing sustainability is reflected in our efforts to continually improve our performance on matters that serve the interests of our stakeholders — our stockholders, customers, employees and the communities in which we work and live. The XPO Board of Directors supports these efforts by providing oversight of, and engagement with management regarding, various sustainability initiatives. Since 2020, the Board’s Nominating, Corporate Governance and Sustainability Committee has operated under a charter that describes the Nominating, Corporate Governance and Sustainability Committee’s purpose as, in part, overseeing the work of management regarding the development of sustainability strategies and associated performance and disclosures. The chair and members of the Nominating, Corporate Governance and Sustainability Committee periodically meet with management to discuss sustainability matters, including the preparation and publication of XPO’s externally facing sustainability disclosures.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BOARD OVERSIGHT OF INFORMATION TECHNOLOGY AND CYBERSECURITY RISK MANAGEMENT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of Directors maintains direct oversight over information technology and cybersecurity risk. Directors receive regular updates from management regarding information technology and cybersecurity governance processes, the status of projects to strengthen internal cybersecurity, and the results of security breach simulations. The Board provides feedback on these matters and also discusses relevant incidents in the industry and the evolving threat landscape. Our Board is informed of all material cybersecurity incidents, and our information security program includes procedures for calling a special session of the Board in the event of a high-risk or critical-risk cybersecurity incident. In addition, our response measures include procedures to provide updates to senior management and the Board in the event of an ongoing incident.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company has a robust cybersecurity team overseen by our Chief Information Officer (“CIO”), whose team is responsible for leading enterprise-wide cybersecurity strategy, policy, standards, architecture, threat prevention, threat detection, and incident response processes. The cybersecurity team continuously reviews legislative, regulatory, and technical developments related to cybersecurity, and enhances our information security capabilities in order to protect against potential threats. The information security team provides periodic reports to our CIO, Board of Directors, as well as our CEO and other members of our senior management as appropriate. To foster a strong cybersecurity business environment, our CIO meets regularly with his team and key personnel to share information about potential cybersecurity events, monitor, prevent and detect potential cybersecurity incidents, and develop reports for senior management.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part of our information security program, our CIO and his team integrate our information security measures and evaluation of potential cybersecurity risks into our company’s overall risk management processes.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the event that a cybersecurity incident occurs, our incident response team, composed of members of our information security team and other key personnel, identifies, evaluates and quantifies the relevant risk based on available information, and classifies the severity of the cybersecurity incident based on the level of risk to the company. Our measures are regularly evaluated by internal and external experts, with the results of those reviews reported to senior management and the Board. To date, XPO has not experienced any cybersecurity threats or incidents which have materially affected, or are reasonably likely to materially affect, the company.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are committed to continually improving our detection and recovery processes and have implemented an information security training program that all employees are required to complete at regular intervals. Additionally, our company has obtained an information security risk insurance policy.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For additional information about the Board’s oversight of information technology and cybersecurity risk management, see </w:t>
      </w:r>
      <w:r>
        <w:rPr>
          <w:rFonts w:ascii="Helvetica;Arial Narrow;sans-serif" w:hAnsi="Helvetica;Arial Narrow;sans-serif"/>
          <w:b w:val="false"/>
          <w:i/>
          <w:caps w:val="false"/>
          <w:smallCaps w:val="false"/>
          <w:color w:val="000000"/>
          <w:sz w:val="18"/>
        </w:rPr>
        <w:t>Cybersecurity</w:t>
      </w:r>
      <w:r>
        <w:rPr>
          <w:rFonts w:ascii="Helvetica;Arial Narrow;sans-serif" w:hAnsi="Helvetica;Arial Narrow;sans-serif"/>
          <w:b w:val="false"/>
          <w:i w:val="false"/>
          <w:caps w:val="false"/>
          <w:smallCaps w:val="false"/>
          <w:color w:val="000000"/>
          <w:spacing w:val="-2"/>
          <w:sz w:val="18"/>
        </w:rPr>
        <w:t xml:space="preserve"> included in Part I, Item 1C of our 2024 Form 10-K.</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DIRECTOR SELECTION PROCESS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Nominating, Corporate Governance and Sustainability Committee is responsible for recommending to our Board of Directors all nominees for election to the Board, including nominees for re-election to the Board, after consultation with the chairman of the Board and in accordance with our company’s contractual obligations.</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18</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DOAC"/>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Under the terms of the Investment Agreement dated June 13, 2011 (the “Investment Agreement”), by and among Jacobs Private Equity, LLC (“JPE”), the other investors party thereto (collectively with JPE, the “Investors”), and our company, JPE has the right to designate certain percentages of the nominees for our Board of Directors so long as JPE owns securities representing specified percentages of the total voting power of our capital stock on a fully-diluted basis. JPE does not currently own securities representing the required voting power to qualify for the right to designate nominees for our Board. The foregoing rights of JPE under the Investment Agreement are in addition to, and not in limitation of, JPE’s voting rights as a holder of capital stock of our company. The Investment Agreement does not grant special voting rights to JPE or the other Investors; each share of our company’s stock votes equally for each director. JPE is controlled by Mr. Jacobs, our executive chairman. The Investment Agreement and the terms contemplated therein were approved by our stockholders at a special meeting on September 1, 2011. None of the foregoing will prevent our Board from acting in accordance with its fiduciary duties or applicable law or stock exchange requirements or from acting in good faith in accordance with our governing documents, while giving due consideration to the intent of the Investment Agreement.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considering new nominees for election to our Board (subject to the contractual rights granted to JPE pursuant to the Investment Agreement), the Nominating, Corporate Governance and Sustainability Committee considers, among other things, breadth of experience, financial expertise, wisdom, integrity, an ability to make independent analytical inquiries, an understanding of our company’s business environment, knowledge and experience in areas such as technology, marketing and other disciplines relevant to our company’s businesses, the nominee’s ownership interest in our company, and a willingness and ability to devote adequate time to Board duties, all in the context of the needs of the Board at that point in time and with the objective of ensuring diversity in the background, experience and viewpoints of Board members. The Nominating, Corporate Governance and Sustainability Committee assesses the effectiveness of its diversity efforts through periodic evaluations of the Board’s composition. Our Board also endeavors to include diverse individuals in the candidate pool and has engaged in a purposeful process of regular refreshment.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Subject to the contractual rights granted to JPE pursuant to the Investment Agreement, the Nominating, Corporate Governance and Sustainability Committee may identify potential nominees for election to our Board from a variety of sources, including recommendations from current directors or management, recommendations from our stockholders or any other source the committee deems appropriate, including engaging a third-party consulting firm to assist in identifying independent director candidates.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will consider nominees submitted by our stockholders, subject to the same factors that are brought to bear when it considers nominees referred by other sources. Any stockholder who wishes to nominate a potential director candidate must follow the specific requirements set forth in our bylaws, which are summarized below. We did not receive any director nominees from our stockholders for our Annual Meeting.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bylaws require that a stockholder who wishes to nominate an individual for election as a director at our annual meeting must give us advance written notice. The notice must be delivered to or mailed and received by the secretary of our company not less than 90 days, and not more than 180 days, prior to the earlier of the date of the annual meeting and the first anniversary of the preceding year’s annual meeting. As more specifically provided in our bylaws, any nomination must include: (i) the nominator’s name and address and the number of shares of each class of our capital stock that the nominator owns; (ii) a representation that the nominator is a holder of record of stock entitled to vote at the annual meeting, will continue to be a stockholder of record through the date of the annual meeting and intends to appear in person or by proxy at the annual meeting; (iii) the name and address of any person with whom the nominator is acting in concert and the number of shares of each class of our capital stock that any such person owns; (iv) a certification that each such stockholder, such beneficial owner or any of their respective affiliates or associates, or others acting in concert therewith, has complied with all applicable federal, state and other legal requirements in connection with its acquisition of XPO shares or other securities; (v) the information with respect to each such proposed director nominee that would be required to be (a) set forth in a Schedule 13D filed pursuant to Rule 13d-1(a) or an amendment pursuant to Rule 13d-2(a), and (b) provided in a proxy statement prepared in accordance with applicable SEC rules; (vi) the consent of the proposed candidate to serve as a member of our Board; and (vii) a completed director questionnaire signed by such nominee. A copy of our bylaws may be obtained by sending a request to: Corporate Secretary, XPO, Inc., Five American Lane, Greenwich, Connecticut 06831.</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DIRECTOR ORIENTATION AND CONTINUING EDUCATION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Pursuant to the Guidelines, our company provides new directors with an orientation program to familiarize them with, among other things, the company’s business, strategic plans, significant financial, accounting and risk management issues, compliance programs, conflict policies, Code of Business Ethics, the Guidelines, principal officers, and internal and external auditors.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Each director is expected to participate in continuing education programs in order to maintain the necessary level of expertise to perform his or her responsibilities as a director. The company reimburses directors for the reasonable costs of attending such programs.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19</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IC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DIRECTOR COMPENSATION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sets forth information concerning the compensation of each person who served as a non-employee director of our company during 2024.</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2024 Director Compensation Table</w:t>
      </w:r>
      <w:r>
        <w:rPr>
          <w:rFonts w:ascii="Helvetica;Arial Narrow;sans-serif" w:hAnsi="Helvetica;Arial Narrow;sans-serif"/>
          <w:b/>
          <w:i/>
          <w:caps w:val="false"/>
          <w:smallCaps w:val="false"/>
          <w:color w:val="E2231A"/>
          <w:sz w:val="14"/>
        </w:rPr>
        <w:t>(1)</w:t>
      </w:r>
      <w:r>
        <w:rPr>
          <w:rFonts w:ascii="Helvetica;Arial Narrow;sans-serif" w:hAnsi="Helvetica;Arial Narrow;sans-serif"/>
          <w:b/>
          <w:i/>
          <w:caps w:val="false"/>
          <w:smallCaps w:val="false"/>
          <w:color w:val="000000"/>
          <w:spacing w:val="4"/>
          <w:sz w:val="18"/>
        </w:rPr>
        <w:t xml:space="preserve"> </w:t>
      </w:r>
    </w:p>
    <w:tbl>
      <w:tblPr>
        <w:tblW w:w="7582" w:type="dxa"/>
        <w:jc w:val="left"/>
        <w:tblInd w:w="920" w:type="dxa"/>
        <w:tblLayout w:type="fixed"/>
        <w:tblCellMar>
          <w:top w:w="0" w:type="dxa"/>
          <w:left w:w="0" w:type="dxa"/>
          <w:bottom w:w="28" w:type="dxa"/>
          <w:right w:w="0" w:type="dxa"/>
        </w:tblCellMar>
      </w:tblPr>
      <w:tblGrid>
        <w:gridCol w:w="124"/>
        <w:gridCol w:w="2356"/>
        <w:gridCol w:w="109"/>
        <w:gridCol w:w="109"/>
        <w:gridCol w:w="109"/>
        <w:gridCol w:w="226"/>
        <w:gridCol w:w="886"/>
        <w:gridCol w:w="109"/>
        <w:gridCol w:w="109"/>
        <w:gridCol w:w="109"/>
        <w:gridCol w:w="134"/>
        <w:gridCol w:w="277"/>
        <w:gridCol w:w="1089"/>
        <w:gridCol w:w="134"/>
        <w:gridCol w:w="109"/>
        <w:gridCol w:w="109"/>
        <w:gridCol w:w="109"/>
        <w:gridCol w:w="226"/>
        <w:gridCol w:w="886"/>
        <w:gridCol w:w="109"/>
        <w:gridCol w:w="154"/>
      </w:tblGrid>
      <w:tr>
        <w:trPr/>
        <w:tc>
          <w:tcPr>
            <w:tcW w:w="124" w:type="dxa"/>
            <w:tcBorders>
              <w:bottom w:val="single" w:sz="2" w:space="0" w:color="7F7F7F"/>
            </w:tcBorders>
            <w:vAlign w:val="center"/>
          </w:tcPr>
          <w:p>
            <w:pPr>
              <w:pStyle w:val="TableContents"/>
              <w:bidi w:val="0"/>
              <w:spacing w:before="0" w:after="283"/>
              <w:jc w:val="left"/>
              <w:rPr/>
            </w:pPr>
            <w:r>
              <w:rPr/>
              <w:t>​</w:t>
            </w:r>
          </w:p>
        </w:tc>
        <w:tc>
          <w:tcPr>
            <w:tcW w:w="2356" w:type="dxa"/>
            <w:tcBorders>
              <w:bottom w:val="single" w:sz="2" w:space="0" w:color="7F7F7F"/>
            </w:tcBorders>
            <w:tcMar>
              <w:bottom w:w="43" w:type="dxa"/>
            </w:tcMar>
            <w:vAlign w:val="center"/>
          </w:tcPr>
          <w:p>
            <w:pPr>
              <w:pStyle w:val="TableContents"/>
              <w:bidi w:val="0"/>
              <w:spacing w:before="0" w:after="0"/>
              <w:jc w:val="left"/>
              <w:rPr/>
            </w:pPr>
            <w:r>
              <w:rPr/>
              <w:t xml:space="preserve">Name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30"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Fees Earned</w:t>
              <w:br/>
              <w:t>in Cash</w:t>
            </w:r>
            <w:r>
              <w:rPr>
                <w:sz w:val="10"/>
              </w:rPr>
              <w:t>(2)</w:t>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634"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Stock Awards</w:t>
            </w:r>
            <w:r>
              <w:rPr>
                <w:sz w:val="10"/>
              </w:rPr>
              <w:t>(3)</w:t>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30" w:type="dxa"/>
            <w:gridSpan w:val="4"/>
            <w:tcBorders>
              <w:bottom w:val="single" w:sz="2" w:space="0" w:color="7F7F7F"/>
            </w:tcBorders>
            <w:tcMar>
              <w:bottom w:w="43" w:type="dxa"/>
            </w:tcMar>
            <w:vAlign w:val="center"/>
          </w:tcPr>
          <w:p>
            <w:pPr>
              <w:pStyle w:val="TableContents"/>
              <w:bidi w:val="0"/>
              <w:spacing w:before="0" w:after="0"/>
              <w:jc w:val="center"/>
              <w:rPr/>
            </w:pPr>
            <w:r>
              <w:rPr/>
              <w:t xml:space="preserve">Total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356" w:type="dxa"/>
            <w:tcBorders/>
            <w:shd w:fill="D8D8D8" w:val="clear"/>
            <w:tcMar>
              <w:bottom w:w="0" w:type="dxa"/>
            </w:tcMar>
            <w:vAlign w:val="center"/>
          </w:tcPr>
          <w:p>
            <w:pPr>
              <w:pStyle w:val="TableContents"/>
              <w:bidi w:val="0"/>
              <w:spacing w:before="0" w:after="283"/>
              <w:jc w:val="left"/>
              <w:rPr/>
            </w:pPr>
            <w:r>
              <w:rPr/>
              <w:t>Jason Aiken</w:t>
            </w:r>
            <w:r>
              <w:rPr>
                <w:sz w:val="11"/>
              </w:rPr>
              <w:t>(4)</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45,288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4" w:type="dxa"/>
            <w:tcBorders/>
            <w:shd w:fill="D8D8D8" w:val="clear"/>
            <w:tcMar>
              <w:bottom w:w="0" w:type="dxa"/>
            </w:tcMar>
            <w:vAlign w:val="center"/>
          </w:tcPr>
          <w:p>
            <w:pPr>
              <w:pStyle w:val="TableContents"/>
              <w:bidi w:val="0"/>
              <w:spacing w:before="0" w:after="283"/>
              <w:jc w:val="left"/>
              <w:rPr/>
            </w:pPr>
            <w:r>
              <w:rPr/>
              <w:t>​</w:t>
            </w:r>
          </w:p>
        </w:tc>
        <w:tc>
          <w:tcPr>
            <w:tcW w:w="277" w:type="dxa"/>
            <w:tcBorders/>
            <w:shd w:fill="D8D8D8" w:val="clear"/>
            <w:tcMar>
              <w:bottom w:w="0" w:type="dxa"/>
            </w:tcMar>
            <w:vAlign w:val="center"/>
          </w:tcPr>
          <w:p>
            <w:pPr>
              <w:pStyle w:val="TableContents"/>
              <w:bidi w:val="0"/>
              <w:spacing w:before="0" w:after="283"/>
              <w:jc w:val="right"/>
              <w:rPr/>
            </w:pPr>
            <w:r>
              <w:rPr/>
              <w:t>$</w:t>
            </w:r>
          </w:p>
        </w:tc>
        <w:tc>
          <w:tcPr>
            <w:tcW w:w="1089" w:type="dxa"/>
            <w:tcBorders/>
            <w:shd w:fill="D8D8D8" w:val="clear"/>
            <w:tcMar>
              <w:bottom w:w="0" w:type="dxa"/>
            </w:tcMar>
            <w:vAlign w:val="center"/>
          </w:tcPr>
          <w:p>
            <w:pPr>
              <w:pStyle w:val="TableContents"/>
              <w:bidi w:val="0"/>
              <w:spacing w:before="0" w:after="283"/>
              <w:jc w:val="right"/>
              <w:rPr/>
            </w:pPr>
            <w:r>
              <w:rPr/>
              <w:t>183,341</w:t>
            </w:r>
          </w:p>
        </w:tc>
        <w:tc>
          <w:tcPr>
            <w:tcW w:w="13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228,629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56" w:type="dxa"/>
            <w:tcBorders/>
            <w:tcMar>
              <w:bottom w:w="0" w:type="dxa"/>
            </w:tcMar>
            <w:vAlign w:val="center"/>
          </w:tcPr>
          <w:p>
            <w:pPr>
              <w:pStyle w:val="TableContents"/>
              <w:bidi w:val="0"/>
              <w:spacing w:before="0" w:after="283"/>
              <w:jc w:val="left"/>
              <w:rPr/>
            </w:pPr>
            <w:r>
              <w:rPr/>
              <w:t>Bella Allaire</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91,374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183,341</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274,715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356" w:type="dxa"/>
            <w:tcBorders/>
            <w:shd w:fill="D8D8D8" w:val="clear"/>
            <w:tcMar>
              <w:bottom w:w="0" w:type="dxa"/>
            </w:tcMar>
            <w:vAlign w:val="center"/>
          </w:tcPr>
          <w:p>
            <w:pPr>
              <w:pStyle w:val="TableContents"/>
              <w:bidi w:val="0"/>
              <w:spacing w:before="0" w:after="283"/>
              <w:jc w:val="left"/>
              <w:rPr/>
            </w:pPr>
            <w:r>
              <w:rPr/>
              <w:t>J. Wes Frye</w:t>
            </w:r>
            <w:r>
              <w:rPr>
                <w:sz w:val="11"/>
              </w:rPr>
              <w:t>(6)</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100,000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4" w:type="dxa"/>
            <w:tcBorders/>
            <w:shd w:fill="D8D8D8" w:val="clear"/>
            <w:tcMar>
              <w:bottom w:w="0" w:type="dxa"/>
            </w:tcMar>
            <w:vAlign w:val="center"/>
          </w:tcPr>
          <w:p>
            <w:pPr>
              <w:pStyle w:val="TableContents"/>
              <w:bidi w:val="0"/>
              <w:spacing w:before="0" w:after="283"/>
              <w:jc w:val="left"/>
              <w:rPr/>
            </w:pPr>
            <w:r>
              <w:rPr/>
              <w:t>​</w:t>
            </w:r>
          </w:p>
        </w:tc>
        <w:tc>
          <w:tcPr>
            <w:tcW w:w="277" w:type="dxa"/>
            <w:tcBorders/>
            <w:shd w:fill="D8D8D8" w:val="clear"/>
            <w:tcMar>
              <w:bottom w:w="0" w:type="dxa"/>
            </w:tcMar>
            <w:vAlign w:val="center"/>
          </w:tcPr>
          <w:p>
            <w:pPr>
              <w:pStyle w:val="TableContents"/>
              <w:bidi w:val="0"/>
              <w:spacing w:before="0" w:after="283"/>
              <w:jc w:val="right"/>
              <w:rPr/>
            </w:pPr>
            <w:r>
              <w:rPr/>
              <w:t>​</w:t>
            </w:r>
          </w:p>
        </w:tc>
        <w:tc>
          <w:tcPr>
            <w:tcW w:w="1089" w:type="dxa"/>
            <w:tcBorders/>
            <w:shd w:fill="D8D8D8" w:val="clear"/>
            <w:tcMar>
              <w:bottom w:w="0" w:type="dxa"/>
            </w:tcMar>
            <w:vAlign w:val="center"/>
          </w:tcPr>
          <w:p>
            <w:pPr>
              <w:pStyle w:val="TableContents"/>
              <w:bidi w:val="0"/>
              <w:spacing w:before="0" w:after="283"/>
              <w:jc w:val="right"/>
              <w:rPr/>
            </w:pPr>
            <w:r>
              <w:rPr/>
              <w:t>183,341</w:t>
            </w:r>
          </w:p>
        </w:tc>
        <w:tc>
          <w:tcPr>
            <w:tcW w:w="13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283,341</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56" w:type="dxa"/>
            <w:tcBorders/>
            <w:tcMar>
              <w:bottom w:w="0" w:type="dxa"/>
            </w:tcMar>
            <w:vAlign w:val="center"/>
          </w:tcPr>
          <w:p>
            <w:pPr>
              <w:pStyle w:val="TableContents"/>
              <w:bidi w:val="0"/>
              <w:spacing w:before="0" w:after="283"/>
              <w:jc w:val="left"/>
              <w:rPr/>
            </w:pPr>
            <w:r>
              <w:rPr/>
              <w:t>Michael G. Jesselson</w:t>
            </w:r>
            <w:r>
              <w:rPr>
                <w:sz w:val="11"/>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183,341</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263,341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356" w:type="dxa"/>
            <w:tcBorders/>
            <w:shd w:fill="D8D8D8" w:val="clear"/>
            <w:tcMar>
              <w:bottom w:w="0" w:type="dxa"/>
            </w:tcMar>
            <w:vAlign w:val="center"/>
          </w:tcPr>
          <w:p>
            <w:pPr>
              <w:pStyle w:val="TableContents"/>
              <w:bidi w:val="0"/>
              <w:spacing w:before="0" w:after="283"/>
              <w:jc w:val="left"/>
              <w:rPr/>
            </w:pPr>
            <w:r>
              <w:rPr/>
              <w:t>Allison Landry</w:t>
            </w:r>
            <w:r>
              <w:rPr>
                <w:sz w:val="11"/>
              </w:rPr>
              <w:t>(8)</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130,275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4" w:type="dxa"/>
            <w:tcBorders/>
            <w:shd w:fill="D8D8D8" w:val="clear"/>
            <w:tcMar>
              <w:bottom w:w="0" w:type="dxa"/>
            </w:tcMar>
            <w:vAlign w:val="center"/>
          </w:tcPr>
          <w:p>
            <w:pPr>
              <w:pStyle w:val="TableContents"/>
              <w:bidi w:val="0"/>
              <w:spacing w:before="0" w:after="283"/>
              <w:jc w:val="left"/>
              <w:rPr/>
            </w:pPr>
            <w:r>
              <w:rPr/>
              <w:t>​</w:t>
            </w:r>
          </w:p>
        </w:tc>
        <w:tc>
          <w:tcPr>
            <w:tcW w:w="277" w:type="dxa"/>
            <w:tcBorders/>
            <w:shd w:fill="D8D8D8" w:val="clear"/>
            <w:tcMar>
              <w:bottom w:w="0" w:type="dxa"/>
            </w:tcMar>
            <w:vAlign w:val="center"/>
          </w:tcPr>
          <w:p>
            <w:pPr>
              <w:pStyle w:val="TableContents"/>
              <w:bidi w:val="0"/>
              <w:spacing w:before="0" w:after="283"/>
              <w:jc w:val="right"/>
              <w:rPr/>
            </w:pPr>
            <w:r>
              <w:rPr/>
              <w:t>​</w:t>
            </w:r>
          </w:p>
        </w:tc>
        <w:tc>
          <w:tcPr>
            <w:tcW w:w="1089" w:type="dxa"/>
            <w:tcBorders/>
            <w:shd w:fill="D8D8D8" w:val="clear"/>
            <w:tcMar>
              <w:bottom w:w="0" w:type="dxa"/>
            </w:tcMar>
            <w:vAlign w:val="center"/>
          </w:tcPr>
          <w:p>
            <w:pPr>
              <w:pStyle w:val="TableContents"/>
              <w:bidi w:val="0"/>
              <w:spacing w:before="0" w:after="283"/>
              <w:jc w:val="right"/>
              <w:rPr/>
            </w:pPr>
            <w:r>
              <w:rPr/>
              <w:t>183,341</w:t>
            </w:r>
          </w:p>
        </w:tc>
        <w:tc>
          <w:tcPr>
            <w:tcW w:w="13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313,616</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56" w:type="dxa"/>
            <w:tcBorders/>
            <w:tcMar>
              <w:bottom w:w="0" w:type="dxa"/>
            </w:tcMar>
            <w:vAlign w:val="center"/>
          </w:tcPr>
          <w:p>
            <w:pPr>
              <w:pStyle w:val="TableContents"/>
              <w:bidi w:val="0"/>
              <w:spacing w:before="0" w:after="283"/>
              <w:jc w:val="left"/>
              <w:rPr/>
            </w:pPr>
            <w:r>
              <w:rPr/>
              <w:t>Irene Moshouris</w:t>
            </w:r>
            <w:r>
              <w:rPr>
                <w:sz w:val="11"/>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94,217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183,341</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277,558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7F7F7F"/>
            </w:tcBorders>
            <w:shd w:fill="D8D8D8" w:val="clear"/>
            <w:vAlign w:val="center"/>
          </w:tcPr>
          <w:p>
            <w:pPr>
              <w:pStyle w:val="TableContents"/>
              <w:bidi w:val="0"/>
              <w:spacing w:before="0" w:after="283"/>
              <w:jc w:val="left"/>
              <w:rPr/>
            </w:pPr>
            <w:r>
              <w:rPr/>
              <w:t>​</w:t>
            </w:r>
          </w:p>
        </w:tc>
        <w:tc>
          <w:tcPr>
            <w:tcW w:w="2356" w:type="dxa"/>
            <w:tcBorders>
              <w:bottom w:val="single" w:sz="6" w:space="0" w:color="7F7F7F"/>
            </w:tcBorders>
            <w:shd w:fill="D8D8D8" w:val="clear"/>
            <w:tcMar>
              <w:bottom w:w="80" w:type="dxa"/>
            </w:tcMar>
            <w:vAlign w:val="center"/>
          </w:tcPr>
          <w:p>
            <w:pPr>
              <w:pStyle w:val="TableContents"/>
              <w:bidi w:val="0"/>
              <w:spacing w:lineRule="atLeast" w:line="142" w:before="0" w:after="283"/>
              <w:jc w:val="left"/>
              <w:rPr/>
            </w:pPr>
            <w:r>
              <w:rPr/>
              <w:t>Johnny C. Taylor, Jr.</w:t>
            </w:r>
            <w:r>
              <w:rPr>
                <w:sz w:val="11"/>
              </w:rPr>
              <w:t>(10)</w:t>
            </w:r>
            <w:r>
              <w:rPr/>
              <w:t xml:space="preserve"> </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226"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886" w:type="dxa"/>
            <w:tcBorders>
              <w:bottom w:val="single" w:sz="6" w:space="0" w:color="7F7F7F"/>
            </w:tcBorders>
            <w:shd w:fill="D8D8D8" w:val="clear"/>
            <w:tcMar>
              <w:bottom w:w="80" w:type="dxa"/>
            </w:tcMar>
            <w:vAlign w:val="center"/>
          </w:tcPr>
          <w:p>
            <w:pPr>
              <w:pStyle w:val="TableContents"/>
              <w:bidi w:val="0"/>
              <w:spacing w:before="0" w:after="283"/>
              <w:jc w:val="right"/>
              <w:rPr/>
            </w:pPr>
            <w:r>
              <w:rPr/>
              <w:t>125,000</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34" w:type="dxa"/>
            <w:tcBorders>
              <w:bottom w:val="single" w:sz="6" w:space="0" w:color="7F7F7F"/>
            </w:tcBorders>
            <w:shd w:fill="D8D8D8" w:val="clear"/>
            <w:vAlign w:val="center"/>
          </w:tcPr>
          <w:p>
            <w:pPr>
              <w:pStyle w:val="TableContents"/>
              <w:bidi w:val="0"/>
              <w:spacing w:before="0" w:after="283"/>
              <w:jc w:val="left"/>
              <w:rPr/>
            </w:pPr>
            <w:r>
              <w:rPr/>
              <w:t>​</w:t>
            </w:r>
          </w:p>
        </w:tc>
        <w:tc>
          <w:tcPr>
            <w:tcW w:w="277"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1089" w:type="dxa"/>
            <w:tcBorders>
              <w:bottom w:val="single" w:sz="6" w:space="0" w:color="7F7F7F"/>
            </w:tcBorders>
            <w:shd w:fill="D8D8D8" w:val="clear"/>
            <w:tcMar>
              <w:bottom w:w="80" w:type="dxa"/>
            </w:tcMar>
            <w:vAlign w:val="center"/>
          </w:tcPr>
          <w:p>
            <w:pPr>
              <w:pStyle w:val="TableContents"/>
              <w:bidi w:val="0"/>
              <w:spacing w:before="0" w:after="283"/>
              <w:jc w:val="right"/>
              <w:rPr/>
            </w:pPr>
            <w:r>
              <w:rPr/>
              <w:t>183,341</w:t>
            </w:r>
          </w:p>
        </w:tc>
        <w:tc>
          <w:tcPr>
            <w:tcW w:w="134"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226"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886" w:type="dxa"/>
            <w:tcBorders>
              <w:bottom w:val="single" w:sz="6" w:space="0" w:color="7F7F7F"/>
            </w:tcBorders>
            <w:shd w:fill="D8D8D8" w:val="clear"/>
            <w:tcMar>
              <w:bottom w:w="80" w:type="dxa"/>
            </w:tcMar>
            <w:vAlign w:val="center"/>
          </w:tcPr>
          <w:p>
            <w:pPr>
              <w:pStyle w:val="TableContents"/>
              <w:bidi w:val="0"/>
              <w:spacing w:before="0" w:after="283"/>
              <w:jc w:val="right"/>
              <w:rPr/>
            </w:pPr>
            <w:r>
              <w:rPr/>
              <w:t>308,341</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54" w:type="dxa"/>
            <w:tcBorders>
              <w:bottom w:val="single" w:sz="6" w:space="0" w:color="7F7F7F"/>
            </w:tcBorders>
            <w:shd w:fill="D8D8D8" w:val="cle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0" w:after="0"/>
        <w:ind w:left="1320" w:right="0" w:hanging="0"/>
        <w:jc w:val="both"/>
        <w:rPr>
          <w:rFonts w:ascii="Arial Narrow;Helvetica;sans-serif" w:hAnsi="Arial Narrow;Helvetica;sans-serif"/>
          <w:b w:val="false"/>
          <w:i/>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Compensation information for Mr. Jacobs and Mr. Harik, who are NEOs of our company, is disclosed in this Proxy Statement under the heading </w:t>
      </w:r>
      <w:r>
        <w:rPr>
          <w:rFonts w:ascii="Arial Narrow;Helvetica;sans-serif" w:hAnsi="Arial Narrow;Helvetica;sans-serif"/>
          <w:b w:val="false"/>
          <w:i/>
          <w:caps w:val="false"/>
          <w:smallCaps w:val="false"/>
          <w:color w:val="000000"/>
          <w:sz w:val="15"/>
        </w:rPr>
        <w:t>Executive Compensation — Compensation Tables</w:t>
      </w:r>
      <w:r>
        <w:rPr>
          <w:rFonts w:ascii="Arial Narrow;Helvetica;sans-serif" w:hAnsi="Arial Narrow;Helvetica;sans-serif"/>
          <w:b w:val="false"/>
          <w:i w:val="false"/>
          <w:caps w:val="false"/>
          <w:smallCaps w:val="false"/>
          <w:color w:val="000000"/>
          <w:sz w:val="15"/>
        </w:rPr>
        <w:t>. Mr. Jacobs and Mr. Harik did not receive additional compensation for their service as a director.</w:t>
      </w:r>
      <w:r>
        <w:rPr>
          <w:rFonts w:ascii="Arial Narrow;Helvetica;sans-serif" w:hAnsi="Arial Narrow;Helvetica;sans-serif"/>
          <w:b w:val="false"/>
          <w:i/>
          <w:caps w:val="false"/>
          <w:smallCaps w:val="false"/>
          <w:color w:val="000000"/>
          <w:spacing w:val="3"/>
          <w:sz w:val="15"/>
        </w:rPr>
        <w:t xml:space="preserve"> </w:t>
      </w:r>
      <w:r>
        <mc:AlternateContent>
          <mc:Choice Requires="wps">
            <w:drawing>
              <wp:anchor behindDoc="0" distT="44450" distB="0" distL="0" distR="0" simplePos="0" locked="0" layoutInCell="1" allowOverlap="1" relativeHeight="245">
                <wp:simplePos x="0" y="0"/>
                <wp:positionH relativeFrom="column">
                  <wp:align>left</wp:align>
                </wp:positionH>
                <wp:positionV relativeFrom="line">
                  <wp:align>top</wp:align>
                </wp:positionV>
                <wp:extent cx="254000" cy="241300"/>
                <wp:effectExtent l="0" t="0" r="0" b="0"/>
                <wp:wrapSquare wrapText="right"/>
                <wp:docPr id="210" name="Frame116"/>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i/>
                                <w:sz w:val="15"/>
                              </w:rPr>
                            </w:pPr>
                            <w:r>
                              <w:rPr>
                                <w:i w:val="false"/>
                                <w:caps w:val="false"/>
                                <w:smallCaps w:val="false"/>
                                <w:sz w:val="11"/>
                              </w:rPr>
                              <w:t>(1)</w:t>
                            </w:r>
                            <w:r>
                              <w:rPr>
                                <w:i/>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90" w:before="0" w:after="283"/>
                        <w:jc w:val="both"/>
                        <w:rPr>
                          <w:i/>
                          <w:sz w:val="15"/>
                        </w:rPr>
                      </w:pPr>
                      <w:r>
                        <w:rPr>
                          <w:i w:val="false"/>
                          <w:caps w:val="false"/>
                          <w:smallCaps w:val="false"/>
                          <w:sz w:val="11"/>
                        </w:rPr>
                        <w:t>(1)</w:t>
                      </w:r>
                      <w:r>
                        <w:rPr>
                          <w:i/>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amounts reflected in this column represent the fees earned by each director for his or her Board service during 2024. Because the fees are paid in arrears and fourth quarter payments are received during the following calendar year, fees earned more accurately represent the compensation received by our directors.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246">
                <wp:simplePos x="0" y="0"/>
                <wp:positionH relativeFrom="column">
                  <wp:align>left</wp:align>
                </wp:positionH>
                <wp:positionV relativeFrom="line">
                  <wp:align>top</wp:align>
                </wp:positionV>
                <wp:extent cx="254000" cy="241300"/>
                <wp:effectExtent l="0" t="0" r="0" b="0"/>
                <wp:wrapSquare wrapText="right"/>
                <wp:docPr id="211" name="Frame117"/>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(2)</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(2)</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amounts reflected in this column represent an annual grant amount made in 2024 as discussed in more detail below, and represent a full or prorated grant date fair value of the awards made in 2024, as computed in accordance with Financial Accounting Standards Board Accounting Standards Codification 718 “Compensation — Stock Compensation” (“ASC 718”). For further discussion of the assumptions used in the calculation of the grant date fair value, please see “Notes to Consolidated Financial Statements — Note 15. Stock-Based Compensation” of the 2024 Form 10-K. Each director serving on January 2, 2024 was granted an award of 2,160 time-based restricted stock units (“Time-Based RSUs”), corresponding to the value of  $183,341. These awards vested on January 2, 2025. Mr. Aiken resigned from the company’s Board on June 6, 2024 and his award forfeited as a result.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247">
                <wp:simplePos x="0" y="0"/>
                <wp:positionH relativeFrom="column">
                  <wp:align>left</wp:align>
                </wp:positionH>
                <wp:positionV relativeFrom="line">
                  <wp:align>top</wp:align>
                </wp:positionV>
                <wp:extent cx="254000" cy="241300"/>
                <wp:effectExtent l="0" t="0" r="0" b="0"/>
                <wp:wrapSquare wrapText="right"/>
                <wp:docPr id="212" name="Frame118"/>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(3)</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(3)</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As of June 6, 2024, Mr. Aiken held 6,200 RSUs and 6,400 shares of our common stock. Mr. Aiken resigned from the company’s Board on June 6, 2024. Effective upon Mr. Aiken’s resignation 4,040 RSUs, which had been previously deferred, vested and 2,160 RSUs, which were unvested as of his resignation date, were forfeited.</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248">
                <wp:simplePos x="0" y="0"/>
                <wp:positionH relativeFrom="column">
                  <wp:align>left</wp:align>
                </wp:positionH>
                <wp:positionV relativeFrom="line">
                  <wp:align>top</wp:align>
                </wp:positionV>
                <wp:extent cx="254000" cy="241300"/>
                <wp:effectExtent l="0" t="0" r="0" b="0"/>
                <wp:wrapSquare wrapText="right"/>
                <wp:docPr id="213" name="Frame119"/>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(4)</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(4)</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As of December 31, 2024, Ms. Allaire held 2,160 RSUs. As of the Record Date, Ms. Allaire directly owns 8,542 shares of our common stock as disclosed in this Proxy Statement under the heading </w:t>
      </w:r>
      <w:r>
        <w:rPr>
          <w:rFonts w:ascii="Arial Narrow;Helvetica;sans-serif" w:hAnsi="Arial Narrow;Helvetica;sans-serif"/>
          <w:b w:val="false"/>
          <w:i/>
          <w:caps w:val="false"/>
          <w:smallCaps w:val="false"/>
          <w:color w:val="000000"/>
          <w:sz w:val="15"/>
        </w:rPr>
        <w:t>Security Ownership of Certain Beneficial Owners and Management</w:t>
      </w:r>
      <w:r>
        <w:rPr>
          <w:rFonts w:ascii="Arial Narrow;Helvetica;sans-serif" w:hAnsi="Arial Narrow;Helvetica;sans-serif"/>
          <w:b w:val="false"/>
          <w:i w:val="false"/>
          <w:caps w:val="false"/>
          <w:smallCaps w:val="false"/>
          <w:color w:val="000000"/>
          <w:sz w:val="15"/>
        </w:rPr>
        <w: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249">
                <wp:simplePos x="0" y="0"/>
                <wp:positionH relativeFrom="column">
                  <wp:align>left</wp:align>
                </wp:positionH>
                <wp:positionV relativeFrom="line">
                  <wp:align>top</wp:align>
                </wp:positionV>
                <wp:extent cx="254000" cy="241300"/>
                <wp:effectExtent l="0" t="0" r="0" b="0"/>
                <wp:wrapSquare wrapText="right"/>
                <wp:docPr id="214" name="Frame120"/>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(5)</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(5)</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As of December 31, 2024, Mr. Frye held 2,160 RSUs. As of the Record Date, Mr. Frye directly and indirectly owns a total of 9,607 shares of our common stock as disclosed in this Proxy Statement under the heading </w:t>
      </w:r>
      <w:r>
        <w:rPr>
          <w:rFonts w:ascii="Arial Narrow;Helvetica;sans-serif" w:hAnsi="Arial Narrow;Helvetica;sans-serif"/>
          <w:b w:val="false"/>
          <w:i/>
          <w:caps w:val="false"/>
          <w:smallCaps w:val="false"/>
          <w:color w:val="000000"/>
          <w:sz w:val="15"/>
        </w:rPr>
        <w:t>Security Ownership of Certain Beneficial Owners and Management</w:t>
      </w:r>
      <w:r>
        <w:rPr>
          <w:rFonts w:ascii="Arial Narrow;Helvetica;sans-serif" w:hAnsi="Arial Narrow;Helvetica;sans-serif"/>
          <w:b w:val="false"/>
          <w:i w:val="false"/>
          <w:caps w:val="false"/>
          <w:smallCaps w:val="false"/>
          <w:color w:val="000000"/>
          <w:sz w:val="15"/>
        </w:rPr>
        <w: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250">
                <wp:simplePos x="0" y="0"/>
                <wp:positionH relativeFrom="column">
                  <wp:align>left</wp:align>
                </wp:positionH>
                <wp:positionV relativeFrom="line">
                  <wp:align>top</wp:align>
                </wp:positionV>
                <wp:extent cx="254000" cy="241300"/>
                <wp:effectExtent l="0" t="0" r="0" b="0"/>
                <wp:wrapSquare wrapText="right"/>
                <wp:docPr id="215" name="Frame121"/>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(6)</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(6)</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As of December 31, 2024, Mr. Jesselson held 18,048 RSUs. As of the Record Date, Mr. Jesselson directly and indirectly owns a total of 313,557 shares of our common stock as disclosed in this Proxy Statement under the heading </w:t>
      </w:r>
      <w:r>
        <w:rPr>
          <w:rFonts w:ascii="Arial Narrow;Helvetica;sans-serif" w:hAnsi="Arial Narrow;Helvetica;sans-serif"/>
          <w:b w:val="false"/>
          <w:i/>
          <w:caps w:val="false"/>
          <w:smallCaps w:val="false"/>
          <w:color w:val="000000"/>
          <w:sz w:val="15"/>
        </w:rPr>
        <w:t>Security Ownership of Certain Beneficial Owners and Management.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251">
                <wp:simplePos x="0" y="0"/>
                <wp:positionH relativeFrom="column">
                  <wp:align>left</wp:align>
                </wp:positionH>
                <wp:positionV relativeFrom="line">
                  <wp:align>top</wp:align>
                </wp:positionV>
                <wp:extent cx="254000" cy="241300"/>
                <wp:effectExtent l="0" t="0" r="0" b="0"/>
                <wp:wrapSquare wrapText="right"/>
                <wp:docPr id="216" name="Frame122"/>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(7)</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(7)</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As of December 31, 2024, Ms. Landry held 2,160 RSUs. As of the Record Date, Ms. Landry directly owns 9,125 shares of our common stock as disclosed in this Proxy Statement under the heading </w:t>
      </w:r>
      <w:r>
        <w:rPr>
          <w:rFonts w:ascii="Arial Narrow;Helvetica;sans-serif" w:hAnsi="Arial Narrow;Helvetica;sans-serif"/>
          <w:b w:val="false"/>
          <w:i/>
          <w:caps w:val="false"/>
          <w:smallCaps w:val="false"/>
          <w:color w:val="000000"/>
          <w:sz w:val="15"/>
        </w:rPr>
        <w:t>Security Ownership of Certain Beneficial Owners and Management.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252">
                <wp:simplePos x="0" y="0"/>
                <wp:positionH relativeFrom="column">
                  <wp:align>left</wp:align>
                </wp:positionH>
                <wp:positionV relativeFrom="line">
                  <wp:align>top</wp:align>
                </wp:positionV>
                <wp:extent cx="254000" cy="241300"/>
                <wp:effectExtent l="0" t="0" r="0" b="0"/>
                <wp:wrapSquare wrapText="right"/>
                <wp:docPr id="217" name="Frame123"/>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(8)</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(8)</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As of December 31, 2024, Ms. Moshouris held 2,160 RSUs. As of the Record Date, Ms. Moshouris directly owns 8,542 shares of our common stock as disclosed in this Proxy Statement under the heading </w:t>
      </w:r>
      <w:r>
        <w:rPr>
          <w:rFonts w:ascii="Arial Narrow;Helvetica;sans-serif" w:hAnsi="Arial Narrow;Helvetica;sans-serif"/>
          <w:b w:val="false"/>
          <w:i/>
          <w:caps w:val="false"/>
          <w:smallCaps w:val="false"/>
          <w:color w:val="000000"/>
          <w:sz w:val="15"/>
        </w:rPr>
        <w:t>Security Ownership of Certain Beneficial Owners and Management.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253">
                <wp:simplePos x="0" y="0"/>
                <wp:positionH relativeFrom="column">
                  <wp:align>left</wp:align>
                </wp:positionH>
                <wp:positionV relativeFrom="line">
                  <wp:align>top</wp:align>
                </wp:positionV>
                <wp:extent cx="254000" cy="241300"/>
                <wp:effectExtent l="0" t="0" r="0" b="0"/>
                <wp:wrapSquare wrapText="right"/>
                <wp:docPr id="218" name="Frame124"/>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(9)</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(9)</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As of December 31, 2024, Mr. Taylor held 6,200 RSUs. As of the Record Date, Mr. Taylor directly owns 12,600 shares of our common stock as disclosed in this Proxy Statement under the heading </w:t>
      </w:r>
      <w:r>
        <w:rPr>
          <w:rFonts w:ascii="Arial Narrow;Helvetica;sans-serif" w:hAnsi="Arial Narrow;Helvetica;sans-serif"/>
          <w:b w:val="false"/>
          <w:i/>
          <w:caps w:val="false"/>
          <w:smallCaps w:val="false"/>
          <w:color w:val="000000"/>
          <w:sz w:val="15"/>
        </w:rPr>
        <w:t>Security Ownership of Certain Beneficial Owners and Management.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254">
                <wp:simplePos x="0" y="0"/>
                <wp:positionH relativeFrom="column">
                  <wp:align>left</wp:align>
                </wp:positionH>
                <wp:positionV relativeFrom="line">
                  <wp:align>top</wp:align>
                </wp:positionV>
                <wp:extent cx="254000" cy="241300"/>
                <wp:effectExtent l="0" t="0" r="0" b="0"/>
                <wp:wrapSquare wrapText="right"/>
                <wp:docPr id="219" name="Frame125"/>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(10)</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(10)</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compensation of our directors is subject to approval by our Board of Directors, which is based, in part, on the recommendation of the Compensation and Human Capital Committee. Directors who are employees of our company do not receive additional compensation for service as members of our Board or its committees. The Compensation and Human Capital Committee annually reviews all forms of independent director compensation paid to directors, with Exequity LLP, the Compensation and Human Capital Committee’s independent compensation consultant, providing competitive benchmarking and guidance. Following a review of director compensation relative to peer group practices (same group used to evaluate executive compensation), no changes were recommended for 2024 as compensation was determined to be competitive and reflective of market practices.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For service during calendar year 2024, our non-employee directors received an annual cash retainer of $80,000 and Time-Based RSUs with a fair market value of $183,341. The annual grant of such Time-Based RSUs was made on the first business day of 2024 (the “RSU Grant Date”). The number of units was determined by dividing $190,000 by the average of the closing prices of the company’s common stock on the ten trading days immediately preceding the RSU Grant Date. The grant vested on the first business day of 2025. The vice chair of the Board and the lead independent director each received an additional $25,000 annual cash retainer. Additionally, the chairs of the Audit Committee, Compensation and Human Capital Committee, and Nominating, Corporate Governance and Sustainability Committee received a cash retainer of $25,000, $20,000 and $20,000, respectively. The non-employee members of the Operating Excellence Committee each received an annual $20,000 cash retainer. All cash compensation is paid quarterly in arrears.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No other fees were paid to our directors for their attendance at or participation in meetings of our Board or its committees in 2024. We reimbursed our directors for expenses incurred in the performance of their duties, including reimbursement for air travel and hotel expenses.</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20</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ITPP1"/>
      <w:bookmarkEnd w:id="22"/>
      <w:r>
        <w:rPr>
          <w:rFonts w:ascii="calibri;arial;sans-serif" w:hAnsi="calibri;arial;sans-serif"/>
          <w:b w:val="false"/>
          <w:i w:val="false"/>
          <w:caps w:val="false"/>
          <w:smallCaps w:val="false"/>
          <w:color w:val="404040"/>
          <w:sz w:val="16"/>
        </w:rPr>
        <w:t>​</w:t>
      </w:r>
      <w:bookmarkStart w:id="23" w:name="tNHP2"/>
      <w:bookmarkEnd w:id="23"/>
      <w:r>
        <w:rPr>
          <w:rFonts w:ascii="calibri;arial;sans-serif" w:hAnsi="calibri;arial;sans-serif"/>
          <w:b w:val="false"/>
          <w:i w:val="false"/>
          <w:caps w:val="false"/>
          <w:smallCaps w:val="false"/>
          <w:color w:val="404040"/>
          <w:sz w:val="16"/>
        </w:rPr>
        <w:t>​</w:t>
      </w:r>
      <w:bookmarkStart w:id="24" w:name="tCAHC1"/>
      <w:bookmarkEnd w:id="24"/>
      <w:r>
        <w:rPr>
          <w:rFonts w:ascii="calibri;arial;sans-serif" w:hAnsi="calibri;arial;sans-serif"/>
          <w:b w:val="false"/>
          <w:i w:val="false"/>
          <w:caps w:val="false"/>
          <w:smallCaps w:val="false"/>
          <w:color w:val="404040"/>
          <w:sz w:val="16"/>
        </w:rPr>
        <w:t>​</w:t>
      </w:r>
      <w:bookmarkStart w:id="25" w:name="tCGGA"/>
      <w:bookmarkEnd w:id="25"/>
      <w:r>
        <w:rPr>
          <w:rFonts w:ascii="calibri;arial;sans-serif" w:hAnsi="calibri;arial;sans-serif"/>
          <w:b w:val="false"/>
          <w:i w:val="false"/>
          <w:caps w:val="false"/>
          <w:smallCaps w:val="false"/>
          <w:color w:val="404040"/>
          <w:sz w:val="16"/>
        </w:rPr>
        <w:t>​</w:t>
      </w:r>
      <w:bookmarkStart w:id="26" w:name="tDIIN"/>
      <w:bookmarkEnd w:id="26"/>
      <w:r>
        <w:rPr>
          <w:rFonts w:ascii="calibri;arial;sans-serif" w:hAnsi="calibri;arial;sans-serif"/>
          <w:b w:val="false"/>
          <w:i w:val="false"/>
          <w:caps w:val="false"/>
          <w:smallCaps w:val="false"/>
          <w:color w:val="40404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10" w:before="200" w:after="283"/>
        <w:ind w:left="920" w:right="0" w:hanging="0"/>
        <w:jc w:val="both"/>
        <w:rPr>
          <w:rFonts w:ascii="Helvetica;Arial Narrow;sans-serif" w:hAnsi="Helvetica;Arial Narrow;sans-serif"/>
          <w:b w:val="false"/>
          <w:i w:val="false"/>
          <w:caps w:val="false"/>
          <w:smallCaps w:val="false"/>
          <w:color w:val="404040"/>
          <w:sz w:val="18"/>
        </w:rPr>
      </w:pPr>
      <w:r>
        <w:rPr>
          <w:rFonts w:ascii="Helvetica;Arial Narrow;sans-serif" w:hAnsi="Helvetica;Arial Narrow;sans-serif"/>
          <w:b w:val="false"/>
          <w:i w:val="false"/>
          <w:caps w:val="false"/>
          <w:smallCaps w:val="false"/>
          <w:color w:val="404040"/>
          <w:spacing w:val="-2"/>
          <w:sz w:val="18"/>
        </w:rPr>
        <w:t>In 2016, our Board adopted a stock ownership policy establishing guidelines for stock retention requirements that apply to our non-employee directors and executive officers. Non-employee directors are subject to stock ownership guidelines of six times the annual cash retainer. To determine compliance with these guidelines, generally, common shares held directly or indirectly, vested RSUs subject to deferred delivery of stock, and unvested RSUs subject solely to time-based vesting count toward meeting the stock ownership guidelines. Stock options and equity-based awards subject to performance-based vesting conditions do not count toward meeting stock ownership guidelines until they have been exercised or the performance conditions are met, as applicable. Until the guidelines are met, 70% of the net shares (after tax withholding) received upon settlement of equity-based awards are required to be retained by the director. A revised policy was adopted by the Board in June 2023, extending the period by when a newly appointed director is required to reach the required ownership level from three years to five years from the date of his or her appointment. As of the Record Date, all members of our Board were in compliance with this policy.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INSIDER TRADING POLICIES AND PROCEDURES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404040"/>
          <w:sz w:val="18"/>
        </w:rPr>
      </w:pPr>
      <w:r>
        <w:rPr>
          <w:rFonts w:ascii="Helvetica;Arial Narrow;sans-serif" w:hAnsi="Helvetica;Arial Narrow;sans-serif"/>
          <w:b w:val="false"/>
          <w:i w:val="false"/>
          <w:caps w:val="false"/>
          <w:smallCaps w:val="false"/>
          <w:color w:val="404040"/>
          <w:spacing w:val="-2"/>
          <w:sz w:val="18"/>
        </w:rPr>
        <w:t xml:space="preserve">We maintain an Insider Trading Policy that governs the purchase and sale of our securities by our directors, officers, and key employees that is reasonably designed to promote compliance with insider trading laws, rules, and regulations as well as the NYSE rules. This policy prohibits purchasing or selling XPO securities when any of these individuals are in possession of material non-public information about XPO. The policy also provides for “black-out periods” during each quarter in which certain individuals are prohibited from purchasing or selling XPO securities, as well as pre-clearance procedures for certain individuals, including all executive officers and directors, before engaging in certain transactions. The policy also prohibits certain hedging and pledging transactions, short selling, and option trading that may lead to inadvertent violations of the policy or otherwise create the appearance of impropriety or violations. The Insider Trading Policy is available on our Investor Relations website at </w:t>
      </w:r>
      <w:r>
        <w:rPr>
          <w:rFonts w:ascii="Helvetica;Arial Narrow;sans-serif" w:hAnsi="Helvetica;Arial Narrow;sans-serif"/>
          <w:b w:val="false"/>
          <w:i w:val="false"/>
          <w:caps w:val="false"/>
          <w:smallCaps w:val="false"/>
          <w:color w:val="404040"/>
          <w:spacing w:val="-2"/>
          <w:sz w:val="18"/>
          <w:u w:val="single"/>
        </w:rPr>
        <w:t>investors.xpo.com</w:t>
      </w:r>
      <w:r>
        <w:rPr>
          <w:rFonts w:ascii="Helvetica;Arial Narrow;sans-serif" w:hAnsi="Helvetica;Arial Narrow;sans-serif"/>
          <w:b w:val="false"/>
          <w:i w:val="false"/>
          <w:caps w:val="false"/>
          <w:smallCaps w:val="false"/>
          <w:color w:val="404040"/>
          <w:spacing w:val="-2"/>
          <w:sz w:val="18"/>
        </w:rPr>
        <w:t xml:space="preserve"> under the heading </w:t>
      </w:r>
      <w:r>
        <w:rPr>
          <w:rFonts w:ascii="Helvetica;Arial Narrow;sans-serif" w:hAnsi="Helvetica;Arial Narrow;sans-serif"/>
          <w:b w:val="false"/>
          <w:i/>
          <w:caps w:val="false"/>
          <w:smallCaps w:val="false"/>
          <w:color w:val="000000"/>
          <w:sz w:val="18"/>
        </w:rPr>
        <w:t>Corporate Governance — Highlights</w:t>
      </w:r>
      <w:r>
        <w:rPr>
          <w:rFonts w:ascii="Helvetica;Arial Narrow;sans-serif" w:hAnsi="Helvetica;Arial Narrow;sans-serif"/>
          <w:b w:val="false"/>
          <w:i w:val="false"/>
          <w:caps w:val="false"/>
          <w:smallCaps w:val="false"/>
          <w:color w:val="000000"/>
          <w:sz w:val="18"/>
        </w:rPr>
        <w: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NO HEDGING OR PLEDGING</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404040"/>
          <w:sz w:val="18"/>
        </w:rPr>
      </w:pPr>
      <w:r>
        <w:rPr>
          <w:rFonts w:ascii="Helvetica;Arial Narrow;sans-serif" w:hAnsi="Helvetica;Arial Narrow;sans-serif"/>
          <w:b w:val="false"/>
          <w:i w:val="false"/>
          <w:caps w:val="false"/>
          <w:smallCaps w:val="false"/>
          <w:color w:val="404040"/>
          <w:spacing w:val="-2"/>
          <w:sz w:val="18"/>
        </w:rPr>
        <w:t>Certain transactions in XPO securities such as: (i) short sales; (ii) transactions in publicly traded options or other derivative securities; (iii) purchasing financial instruments (including prepaid variable forward contracts, equity swaps, collars, and exchange funds) or other transactions that hedge or offset, or are designed to hedge or offset, any decrease in the market value of XPO’s securities; or (iv) purchasing securities of the company on margin, holding securities of the company in a margin account or pledging company securities as collateral for a loan, create a heightened compliance risk or could create the appearance of misalignment between our directors, employees and stockholders. As a result, our insider trading policy prohibits such transactions and any other transactions that are designed to or have the effect of hedging or offsetting any decrease in the market value of equity securities.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COMPENSATION AND HUMAN CAPITAL COMMITTEE INTERLOCKS AND INSIDER PARTICIPATION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404040"/>
          <w:sz w:val="18"/>
        </w:rPr>
      </w:pPr>
      <w:r>
        <w:rPr>
          <w:rFonts w:ascii="Helvetica;Arial Narrow;sans-serif" w:hAnsi="Helvetica;Arial Narrow;sans-serif"/>
          <w:b w:val="false"/>
          <w:i w:val="false"/>
          <w:caps w:val="false"/>
          <w:smallCaps w:val="false"/>
          <w:color w:val="404040"/>
          <w:spacing w:val="-2"/>
          <w:sz w:val="18"/>
        </w:rPr>
        <w:t>None of the members of our Compensation and Human Capital Committee have been an officer or employee of our company. During 2024, there were no material reportable transactions between the company and the members of the Compensation and Human Capital Committee and none of our executive officers served on any compensation committee or board of directors of any entity that has one or more executive officers serving on our Compensation and Human Capital Committee or on our Board of Directors.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CORPORATE GOVERNANCE GUIDELINES AND CODE OF BUSINESS ETHICS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404040"/>
          <w:sz w:val="18"/>
        </w:rPr>
      </w:pPr>
      <w:r>
        <w:rPr>
          <w:rFonts w:ascii="Helvetica;Arial Narrow;sans-serif" w:hAnsi="Helvetica;Arial Narrow;sans-serif"/>
          <w:b w:val="false"/>
          <w:i w:val="false"/>
          <w:caps w:val="false"/>
          <w:smallCaps w:val="false"/>
          <w:color w:val="404040"/>
          <w:spacing w:val="-2"/>
          <w:sz w:val="18"/>
        </w:rPr>
        <w:t>Our Board of Directors is committed to sound corporate governance principles and practices. Our Corporate Governance Guidelines (the “Guidelines”) serve as a framework within which our Board conducts its operations. Among other things, the Guidelines include criteria for determining the qualifications and independence of our Board members, requirements for the standing Board committees, and the responsibilities of our Board members, including meeting attendance and the responsibility to conduct an annual evaluation of the effectiveness of our Board and its committees. The Nominating, Corporate Governance and Sustainability Committee is responsible for reviewing the Guidelines annually, or more frequently as appropriate, and recommending appropriate changes to our Board in light of applicable laws and regulations, the governance standards identified by leading governance authorities, and our company’s evolving needs.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404040"/>
          <w:sz w:val="18"/>
        </w:rPr>
      </w:pPr>
      <w:r>
        <w:rPr>
          <w:rFonts w:ascii="Helvetica;Arial Narrow;sans-serif" w:hAnsi="Helvetica;Arial Narrow;sans-serif"/>
          <w:b w:val="false"/>
          <w:i w:val="false"/>
          <w:caps w:val="false"/>
          <w:smallCaps w:val="false"/>
          <w:color w:val="404040"/>
          <w:spacing w:val="-2"/>
          <w:sz w:val="18"/>
        </w:rPr>
        <w:t xml:space="preserve">XPO has a Code of Business Ethics (the “Code”) that applies to our directors and executive officers, as well as to our company at large. The Code is designed to deter wrongdoing, promote the honest and ethical conduct of all employees, promote compliance with applicable governmental laws, rules and regulations, and provide clear channels for reporting concerns. The Code constitutes a “code of ethics” as defined by the SEC in Item 406(b) of Regulation S-K. We intend to satisfy the disclosure requirements under applicable SEC rules relating to amendments to the Code or waivers of any provision of the Code as applicable to our principal executive officer, our principal financial officer and our principal accounting officer by posting such disclosures on our website pursuant to SEC rules. The Guidelines and the Code are available on our Investor Relations website at </w:t>
      </w:r>
      <w:r>
        <w:rPr>
          <w:rFonts w:ascii="Helvetica;Arial Narrow;sans-serif" w:hAnsi="Helvetica;Arial Narrow;sans-serif"/>
          <w:b w:val="false"/>
          <w:i w:val="false"/>
          <w:caps w:val="false"/>
          <w:smallCaps w:val="false"/>
          <w:color w:val="404040"/>
          <w:spacing w:val="-2"/>
          <w:sz w:val="18"/>
          <w:u w:val="single"/>
        </w:rPr>
        <w:t>investors.xpo.com</w:t>
      </w:r>
      <w:r>
        <w:rPr>
          <w:rFonts w:ascii="Helvetica;Arial Narrow;sans-serif" w:hAnsi="Helvetica;Arial Narrow;sans-serif"/>
          <w:b w:val="false"/>
          <w:i w:val="false"/>
          <w:caps w:val="false"/>
          <w:smallCaps w:val="false"/>
          <w:color w:val="404040"/>
          <w:spacing w:val="-2"/>
          <w:sz w:val="18"/>
        </w:rPr>
        <w:t xml:space="preserve">, under the heading </w:t>
      </w:r>
      <w:r>
        <w:rPr>
          <w:rFonts w:ascii="Helvetica;Arial Narrow;sans-serif" w:hAnsi="Helvetica;Arial Narrow;sans-serif"/>
          <w:b w:val="false"/>
          <w:i/>
          <w:caps w:val="false"/>
          <w:smallCaps w:val="false"/>
          <w:color w:val="000000"/>
          <w:sz w:val="18"/>
        </w:rPr>
        <w:t>Corporate Governance — Highlights</w:t>
      </w:r>
      <w:r>
        <w:rPr>
          <w:rFonts w:ascii="Helvetica;Arial Narrow;sans-serif" w:hAnsi="Helvetica;Arial Narrow;sans-serif"/>
          <w:b w:val="false"/>
          <w:i w:val="false"/>
          <w:caps w:val="false"/>
          <w:smallCaps w:val="false"/>
          <w:color w:val="404040"/>
          <w:spacing w:val="-2"/>
          <w:sz w:val="18"/>
        </w:rPr>
        <w:t>. In addition, you may obtain a printed copy of these documents without charge by sending a request to: Corporate Secretary, XPO, Inc., Five American Lane, Greenwich, Connecticut 06831.</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DIRECTOR INDEPENDENCE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404040"/>
          <w:spacing w:val="-2"/>
          <w:sz w:val="18"/>
        </w:rPr>
      </w:pPr>
      <w:r>
        <w:rPr>
          <w:rFonts w:ascii="Helvetica;Arial Narrow;sans-serif" w:hAnsi="Helvetica;Arial Narrow;sans-serif"/>
          <w:b w:val="false"/>
          <w:i w:val="false"/>
          <w:caps w:val="false"/>
          <w:smallCaps w:val="false"/>
          <w:color w:val="404040"/>
          <w:spacing w:val="-2"/>
          <w:sz w:val="18"/>
        </w:rPr>
        <w:t xml:space="preserve">Under the Guidelines, our Board of Directors is responsible for making independence determinations annually with the assistance of the Nominating, Corporate Governance and Sustainability Committee. Such independence determinations are made by reference to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21</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SCWT"/>
      <w:bookmarkEnd w:id="27"/>
      <w:r>
        <w:rPr>
          <w:rFonts w:ascii="calibri;arial;sans-serif" w:hAnsi="calibri;arial;sans-serif"/>
          <w:b w:val="false"/>
          <w:i w:val="false"/>
          <w:caps w:val="false"/>
          <w:smallCaps w:val="false"/>
          <w:color w:val="000000"/>
          <w:sz w:val="16"/>
        </w:rPr>
        <w:t>​</w:t>
      </w:r>
      <w:bookmarkStart w:id="28" w:name="tSPFN"/>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independence standard under the Guidelines and the definition of “independent director” under Section 303A.02 of the NYSE Rules. Our Board has affirmatively determined that each person who served as a director during any part of 2024, except for Mr. Jacobs, the executive chairman of the Board, and Mr. Harik, our CEO, satisfies the independence standards under the Guidelines and the NYSE Rules.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addition to the independence standards provided in the Guidelines, our Board has determined that each director who serves on our Audit Committee satisfies standards for independence of Audit Committee members established by the SEC and the NYSE Rules; that is, the director may not: (i) accept directly or indirectly any consulting, advisory or other compensatory fee from our company other than their director compensation; or (ii) be an affiliated person of our company or any of its subsidiaries. Our Board has also determined that each member of the Compensation and Human Capital Committee satisfies the NYSE standards for independence of Compensation and Human Capital Committee members. In making the independence determinations for each director, our Board and the Nominating, Corporate Governance and Sustainability Committee analyzed certain relationships of the directors, including both those that were not required to be disclosed pursuant to Item 404(a) of Regulation S-K and those required to be disclosed pursuant to Item 404(a) of Regulation S-K as set forth below in the section titled “Certain Relationships and Related-Party Transactions.” For Mr. Taylor, the relationships not required to be disclosed below include ordinary course commercial transactions between our company and the companies at which Mr. Taylor serves in a leadership capacity.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STOCKHOLDER COMMUNICATION WITH THE BOARD</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Stockholders and other parties interested in communicating with our Board of Directors, any Board committee, any individual director, including our lead independent director, or any group of directors (such as our independent directors) should send written correspondence to: Board of Directors c/o Corporate Secretary, XPO, Inc., Five American Lane, Greenwich, Connecticut 06831. Note that we will not forward communications to the Board that qualify as spam, junk mail, mass mailings, resumes or other forms of job inquiries, surveys, business solicitations or advertisements.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STOCKHOLDER PROPOSALS FOR NEXT YEAR’S ANNUAL MEETING</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Stockholder proposals intended to be presented at our 2026 Annual Meeting of Stockholders must be received by our Corporate Secretary no later than December 3, 2025, in order to be considered for inclusion in our proxy materials, pursuant to Rule 14a-8 under the Exchange Act.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more specifically provided for in our bylaws, no business may be brought before an annual meeting of our stockholders unless it is specified in the notice of the annual meeting or is otherwise brought before the annual meeting by or at the direction of our Board of Directors or by a stockholder entitled to vote and who has delivered proper notice to us not less than 90 days, and not more than 180 days, prior to the earlier of the date of the annual meeting and the first anniversary of the preceding year’s annual meeting. For example, assuming that our 2026 Annual Meeting of Stockholders is held on or after May 15, 2026, any stockholder proposal to be considered at the 2026 Annual Meeting of Stockholders, including nominations of persons for election to our Board, must be properly submitted to us no earlier than November 16, 2025 and no later than February 14, 2026.</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Additionally, to comply with the SEC’s universal proxy rules, stockholders who intend to solicit proxies in support of director nominees other than the company’s nominees must provide notice that sets forth the information required by Rule 14a-19 under the Exchange Act no later than March 16, 2026.</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Detailed information for submitting stockholder proposals or nominations of director candidates will be provided upon written request sent to: Corporate Secretary, XPO, Inc., Five American Lane, Greenwich, Connecticut 06831.</w:t>
      </w:r>
      <w:r>
        <w:rPr>
          <w:rFonts w:ascii="Helvetica;Arial Narrow;sans-serif" w:hAnsi="Helvetica;Arial Narrow;sans-serif"/>
          <w:b w:val="false"/>
          <w:i w:val="false"/>
          <w:caps w:val="false"/>
          <w:smallCaps w:val="false"/>
          <w:color w:val="000000"/>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22</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CRAR"/>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760" w:before="200" w:after="283"/>
        <w:ind w:left="920" w:right="0" w:hanging="0"/>
        <w:jc w:val="left"/>
        <w:rPr>
          <w:rFonts w:ascii="Arial Narrow;Helvetica;sans-serif" w:hAnsi="Arial Narrow;Helvetica;sans-serif"/>
          <w:b w:val="false"/>
          <w:i w:val="false"/>
          <w:caps w:val="false"/>
          <w:smallCaps w:val="false"/>
          <w:color w:val="E2231A"/>
          <w:spacing w:val="-10"/>
          <w:sz w:val="72"/>
        </w:rPr>
      </w:pPr>
      <w:r>
        <w:rPr>
          <w:rFonts w:ascii="Arial Narrow;Helvetica;sans-serif" w:hAnsi="Arial Narrow;Helvetica;sans-serif"/>
          <w:b w:val="false"/>
          <w:i w:val="false"/>
          <w:caps w:val="false"/>
          <w:smallCaps w:val="false"/>
          <w:color w:val="E2231A"/>
          <w:spacing w:val="-10"/>
          <w:sz w:val="72"/>
        </w:rPr>
        <w:t xml:space="preserve">CERTAIN RELATIONSHIPS AND </w:t>
      </w:r>
    </w:p>
    <w:tbl>
      <w:tblPr>
        <w:tblW w:w="4220" w:type="dxa"/>
        <w:jc w:val="left"/>
        <w:tblInd w:w="920" w:type="dxa"/>
        <w:tblLayout w:type="fixed"/>
        <w:tblCellMar>
          <w:top w:w="28" w:type="dxa"/>
          <w:left w:w="28" w:type="dxa"/>
          <w:bottom w:w="28" w:type="dxa"/>
          <w:right w:w="28" w:type="dxa"/>
        </w:tblCellMar>
      </w:tblPr>
      <w:tblGrid>
        <w:gridCol w:w="4066"/>
        <w:gridCol w:w="154"/>
      </w:tblGrid>
      <w:tr>
        <w:trPr/>
        <w:tc>
          <w:tcPr>
            <w:tcW w:w="4066" w:type="dxa"/>
            <w:tcBorders/>
            <w:vAlign w:val="center"/>
          </w:tcPr>
          <w:p>
            <w:pPr>
              <w:pStyle w:val="TableContents"/>
              <w:bidi w:val="0"/>
              <w:spacing w:before="0" w:after="283"/>
              <w:jc w:val="left"/>
              <w:rPr/>
            </w:pPr>
            <w:r>
              <w:rPr/>
              <w:t>RELATED-PARTY TRANSACTIONS</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p>
      <w:pPr>
        <w:pStyle w:val="TextBody"/>
        <w:bidi w:val="0"/>
        <w:spacing w:lineRule="atLeast" w:line="220" w:before="16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Under its written charter, the Audit Committee of our Board of Directors is responsible for reviewing and approving or ratifying any transaction between our company and a related person (as defined in Item 404 of Regulation S-K) that is required to be disclosed under the rules and regulations of the SEC. Our management is responsible for bringing any such transaction to the attention of the Audit Committee. In approving or rejecting a related-person transaction, the Audit Committee considers the relevant facts and circumstances, including the material terms of the transaction, risks, benefits, costs, availability of other comparable services or products and, if applicable, the impact on a director’s independence.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During 2024, we subleased an average of approximately 1,500 square feet of office space to JPE at our Greenwich, Connecticut office. Pursuant to the terms of the sublease, JPE paid monthly rent based on the amount of square feet subleased as well as a share of common area maintenance charges and certain overhead costs. During 2024, JPE paid XPO a total of $131,164. Mr. Jacobs, our executive chairman, is the managing member of JPE. This related party transaction was approved by the Audit Committee.</w:t>
      </w:r>
      <w:r>
        <w:rPr>
          <w:rFonts w:ascii="Helvetica;Arial Narrow;sans-serif" w:hAnsi="Helvetica;Arial Narrow;sans-serif"/>
          <w:b w:val="false"/>
          <w:i w:val="false"/>
          <w:caps w:val="false"/>
          <w:smallCaps w:val="false"/>
          <w:color w:val="000000"/>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23</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SOOC"/>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760" w:before="200" w:after="283"/>
        <w:ind w:left="920" w:right="0" w:hanging="0"/>
        <w:jc w:val="both"/>
        <w:rPr>
          <w:rFonts w:ascii="Arial Narrow;Helvetica;sans-serif" w:hAnsi="Arial Narrow;Helvetica;sans-serif"/>
          <w:b w:val="false"/>
          <w:i w:val="false"/>
          <w:caps w:val="false"/>
          <w:smallCaps w:val="false"/>
          <w:color w:val="E2231A"/>
          <w:sz w:val="72"/>
        </w:rPr>
      </w:pPr>
      <w:r>
        <w:rPr>
          <w:rFonts w:ascii="Arial Narrow;Helvetica;sans-serif" w:hAnsi="Arial Narrow;Helvetica;sans-serif"/>
          <w:b w:val="false"/>
          <w:i w:val="false"/>
          <w:caps w:val="false"/>
          <w:smallCaps w:val="false"/>
          <w:color w:val="E2231A"/>
          <w:sz w:val="72"/>
        </w:rPr>
        <w:t xml:space="preserve">SECURITY OWNERSHIP OF CERTAIN BENEFICIAL OWNERS AND MANAGEMENT </w:t>
      </w:r>
    </w:p>
    <w:p>
      <w:pPr>
        <w:pStyle w:val="TextBody"/>
        <w:bidi w:val="0"/>
        <w:spacing w:before="0" w:after="283"/>
        <w:ind w:left="920" w:right="0" w:hanging="0"/>
        <w:jc w:val="left"/>
        <w:rPr>
          <w:caps w:val="false"/>
          <w:smallCaps w:val="false"/>
          <w:color w:val="000000"/>
          <w:bdr w:val="single" w:sz="8" w:space="1" w:color="7F7F7F"/>
        </w:rPr>
      </w:pPr>
      <w:r>
        <w:rPr>
          <w:caps w:val="false"/>
          <w:smallCaps w:val="false"/>
          <w:color w:val="000000"/>
          <w:bdr w:val="single" w:sz="8" w:space="1" w:color="7F7F7F"/>
        </w:rPr>
        <w:t>​</w:t>
      </w:r>
    </w:p>
    <w:p>
      <w:pPr>
        <w:pStyle w:val="TextBody"/>
        <w:bidi w:val="0"/>
        <w:spacing w:lineRule="atLeast" w:line="220" w:before="22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sets forth information concerning the beneficial ownership of our voting securities as of the Record Date by: (i) each person who is known by us, based solely on a review of public filings, to be the beneficial owner of more than 5% of any class of our outstanding voting securities; (ii) each director; (iii) each NEO; and (iv) all executive officers and directors as a group. None of the foregoing persons beneficially owned any shares of equity securities of our subsidiaries as of the Record Date.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Under applicable SEC rules, a person is deemed to be the “beneficial owner” of a voting security if such person has (or shares) either investment power or voting power over such security or has (or shares) the right to acquire such security within 60 days by any of a number of means, including upon the exercise of options or warrants or the conversion of convertible securities. A beneficial owner’s percentage ownership is determined by assuming that options, warrants and convertible securities that are held solely by the beneficial owner, and which are exercisable or convertible within 60 days, have been exercised or converted. Unless otherwise indicated, we believe that all persons named in the table below have sole voting and investment power with respect to all voting securities shown as being owned by them. Unless otherwise indicated, the address of each beneficial owner in the table below is: c/o XPO, Inc., Five American Lane, Greenwich, Connecticut 06831.</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28" w:type="dxa"/>
          <w:right w:w="0" w:type="dxa"/>
        </w:tblCellMar>
      </w:tblPr>
      <w:tblGrid>
        <w:gridCol w:w="124"/>
        <w:gridCol w:w="5137"/>
        <w:gridCol w:w="109"/>
        <w:gridCol w:w="109"/>
        <w:gridCol w:w="138"/>
        <w:gridCol w:w="138"/>
        <w:gridCol w:w="1507"/>
        <w:gridCol w:w="138"/>
        <w:gridCol w:w="109"/>
        <w:gridCol w:w="109"/>
        <w:gridCol w:w="191"/>
        <w:gridCol w:w="191"/>
        <w:gridCol w:w="931"/>
        <w:gridCol w:w="194"/>
        <w:gridCol w:w="160"/>
      </w:tblGrid>
      <w:tr>
        <w:trPr/>
        <w:tc>
          <w:tcPr>
            <w:tcW w:w="124" w:type="dxa"/>
            <w:tcBorders>
              <w:bottom w:val="single" w:sz="2" w:space="0" w:color="7F7F7F"/>
            </w:tcBorders>
            <w:vAlign w:val="center"/>
          </w:tcPr>
          <w:p>
            <w:pPr>
              <w:pStyle w:val="TableContents"/>
              <w:bidi w:val="0"/>
              <w:spacing w:before="0" w:after="283"/>
              <w:jc w:val="left"/>
              <w:rPr/>
            </w:pPr>
            <w:r>
              <w:rPr/>
              <w:t>​</w:t>
            </w:r>
          </w:p>
        </w:tc>
        <w:tc>
          <w:tcPr>
            <w:tcW w:w="5137" w:type="dxa"/>
            <w:tcBorders>
              <w:bottom w:val="single" w:sz="2" w:space="0" w:color="7F7F7F"/>
            </w:tcBorders>
            <w:tcMar>
              <w:bottom w:w="43" w:type="dxa"/>
            </w:tcMar>
            <w:vAlign w:val="center"/>
          </w:tcPr>
          <w:p>
            <w:pPr>
              <w:pStyle w:val="TableContents"/>
              <w:bidi w:val="0"/>
              <w:spacing w:before="0" w:after="0"/>
              <w:jc w:val="left"/>
              <w:rPr/>
            </w:pPr>
            <w:r>
              <w:rPr/>
              <w:t xml:space="preserve">Name of Beneficial Owner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921" w:type="dxa"/>
            <w:gridSpan w:val="4"/>
            <w:tcBorders>
              <w:bottom w:val="single" w:sz="2" w:space="0" w:color="7F7F7F"/>
            </w:tcBorders>
            <w:tcMar>
              <w:bottom w:w="43" w:type="dxa"/>
            </w:tcMar>
            <w:vAlign w:val="center"/>
          </w:tcPr>
          <w:p>
            <w:pPr>
              <w:pStyle w:val="TableContents"/>
              <w:bidi w:val="0"/>
              <w:spacing w:before="0" w:after="0"/>
              <w:jc w:val="center"/>
              <w:rPr/>
            </w:pPr>
            <w:r>
              <w:rPr/>
              <w:t>Shares of</w:t>
              <w:br/>
              <w:t>Common Stock</w:t>
              <w:br/>
              <w:t xml:space="preserve">Beneficially Owned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07"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Percentage of</w:t>
              <w:br/>
              <w:t>Common Stock</w:t>
              <w:br/>
              <w:t>Outstanding</w:t>
            </w:r>
            <w:r>
              <w:rPr>
                <w:sz w:val="10"/>
              </w:rPr>
              <w:t>(1)</w:t>
            </w:r>
            <w:r>
              <w:rPr/>
              <w:t xml:space="preserve"> </w:t>
            </w:r>
          </w:p>
        </w:tc>
        <w:tc>
          <w:tcPr>
            <w:tcW w:w="160"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Beneficial Ownership of 5% or more:</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37" w:type="dxa"/>
            <w:tcBorders/>
            <w:tcMar>
              <w:bottom w:w="0" w:type="dxa"/>
            </w:tcMar>
            <w:vAlign w:val="center"/>
          </w:tcPr>
          <w:p>
            <w:pPr>
              <w:pStyle w:val="TableContents"/>
              <w:bidi w:val="0"/>
              <w:spacing w:before="0" w:after="283"/>
              <w:jc w:val="left"/>
              <w:rPr/>
            </w:pPr>
            <w:r>
              <w:rPr/>
              <w:t>Capital Research Global Investors</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7" w:type="dxa"/>
            <w:tcBorders/>
            <w:tcMar>
              <w:bottom w:w="0" w:type="dxa"/>
            </w:tcMar>
            <w:vAlign w:val="center"/>
          </w:tcPr>
          <w:p>
            <w:pPr>
              <w:pStyle w:val="TableContents"/>
              <w:bidi w:val="0"/>
              <w:spacing w:before="0" w:after="283"/>
              <w:jc w:val="right"/>
              <w:rPr/>
            </w:pPr>
            <w:r>
              <w:rPr/>
              <w:t>13,810,938</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11.7%</w:t>
            </w:r>
          </w:p>
        </w:tc>
        <w:tc>
          <w:tcPr>
            <w:tcW w:w="19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BlackRock, Inc.</w:t>
            </w:r>
            <w:r>
              <w:rPr>
                <w:sz w:val="11"/>
              </w:rPr>
              <w:t>(3)</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11,812,633</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10.0%</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37" w:type="dxa"/>
            <w:tcBorders/>
            <w:tcMar>
              <w:bottom w:w="0" w:type="dxa"/>
            </w:tcMar>
            <w:vAlign w:val="center"/>
          </w:tcPr>
          <w:p>
            <w:pPr>
              <w:pStyle w:val="TableContents"/>
              <w:bidi w:val="0"/>
              <w:spacing w:before="0" w:after="283"/>
              <w:jc w:val="left"/>
              <w:rPr/>
            </w:pPr>
            <w:r>
              <w:rPr/>
              <w:t>MFN Partners, LP</w:t>
            </w:r>
            <w:r>
              <w:rPr>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7" w:type="dxa"/>
            <w:tcBorders/>
            <w:tcMar>
              <w:bottom w:w="0" w:type="dxa"/>
            </w:tcMar>
            <w:vAlign w:val="center"/>
          </w:tcPr>
          <w:p>
            <w:pPr>
              <w:pStyle w:val="TableContents"/>
              <w:bidi w:val="0"/>
              <w:spacing w:before="0" w:after="283"/>
              <w:jc w:val="right"/>
              <w:rPr/>
            </w:pPr>
            <w:r>
              <w:rPr/>
              <w:t>11,425,369</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9.7%</w:t>
            </w:r>
          </w:p>
        </w:tc>
        <w:tc>
          <w:tcPr>
            <w:tcW w:w="19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The Vanguard Group</w:t>
            </w:r>
            <w:r>
              <w:rPr>
                <w:sz w:val="11"/>
              </w:rPr>
              <w:t>(5)</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10,923,106</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9.3%</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37" w:type="dxa"/>
            <w:tcBorders/>
            <w:tcMar>
              <w:bottom w:w="0" w:type="dxa"/>
            </w:tcMar>
            <w:vAlign w:val="center"/>
          </w:tcPr>
          <w:p>
            <w:pPr>
              <w:pStyle w:val="TableContents"/>
              <w:bidi w:val="0"/>
              <w:spacing w:before="0" w:after="283"/>
              <w:jc w:val="left"/>
              <w:rPr/>
            </w:pPr>
            <w:r>
              <w:rPr/>
              <w:t>Capital World Investors</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7" w:type="dxa"/>
            <w:tcBorders/>
            <w:tcMar>
              <w:bottom w:w="0" w:type="dxa"/>
            </w:tcMar>
            <w:vAlign w:val="center"/>
          </w:tcPr>
          <w:p>
            <w:pPr>
              <w:pStyle w:val="TableContents"/>
              <w:bidi w:val="0"/>
              <w:spacing w:before="0" w:after="283"/>
              <w:jc w:val="right"/>
              <w:rPr/>
            </w:pPr>
            <w:r>
              <w:rPr/>
              <w:t>7,753,883</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6.6%</w:t>
            </w:r>
          </w:p>
        </w:tc>
        <w:tc>
          <w:tcPr>
            <w:tcW w:w="19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Directors: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37" w:type="dxa"/>
            <w:tcBorders/>
            <w:tcMar>
              <w:bottom w:w="0" w:type="dxa"/>
            </w:tcMar>
            <w:vAlign w:val="center"/>
          </w:tcPr>
          <w:p>
            <w:pPr>
              <w:pStyle w:val="TableContents"/>
              <w:bidi w:val="0"/>
              <w:spacing w:before="0" w:after="283"/>
              <w:jc w:val="left"/>
              <w:rPr/>
            </w:pPr>
            <w:r>
              <w:rPr/>
              <w:t xml:space="preserve">Bella Allaire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7" w:type="dxa"/>
            <w:tcBorders/>
            <w:tcMar>
              <w:bottom w:w="0" w:type="dxa"/>
            </w:tcMar>
            <w:vAlign w:val="center"/>
          </w:tcPr>
          <w:p>
            <w:pPr>
              <w:pStyle w:val="TableContents"/>
              <w:bidi w:val="0"/>
              <w:spacing w:before="0" w:after="283"/>
              <w:jc w:val="right"/>
              <w:rPr/>
            </w:pPr>
            <w:r>
              <w:rPr/>
              <w:t>8,542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9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J. Wes Frye</w:t>
            </w:r>
            <w:r>
              <w:rPr>
                <w:sz w:val="11"/>
              </w:rPr>
              <w:t>(7)</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9,607</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37" w:type="dxa"/>
            <w:tcBorders/>
            <w:tcMar>
              <w:bottom w:w="0" w:type="dxa"/>
            </w:tcMar>
            <w:vAlign w:val="center"/>
          </w:tcPr>
          <w:p>
            <w:pPr>
              <w:pStyle w:val="TableContents"/>
              <w:bidi w:val="0"/>
              <w:spacing w:before="0" w:after="283"/>
              <w:jc w:val="left"/>
              <w:rPr/>
            </w:pPr>
            <w:r>
              <w:rPr/>
              <w:t>Michael G. Jesselson</w:t>
            </w:r>
            <w:r>
              <w:rPr>
                <w:sz w:val="11"/>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7" w:type="dxa"/>
            <w:tcBorders/>
            <w:tcMar>
              <w:bottom w:w="0" w:type="dxa"/>
            </w:tcMar>
            <w:vAlign w:val="center"/>
          </w:tcPr>
          <w:p>
            <w:pPr>
              <w:pStyle w:val="TableContents"/>
              <w:bidi w:val="0"/>
              <w:spacing w:before="0" w:after="283"/>
              <w:jc w:val="right"/>
              <w:rPr/>
            </w:pPr>
            <w:r>
              <w:rPr/>
              <w:t>313,557</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9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 xml:space="preserve">Allison Landry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9,125</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37" w:type="dxa"/>
            <w:tcBorders/>
            <w:tcMar>
              <w:bottom w:w="0" w:type="dxa"/>
            </w:tcMar>
            <w:vAlign w:val="center"/>
          </w:tcPr>
          <w:p>
            <w:pPr>
              <w:pStyle w:val="TableContents"/>
              <w:bidi w:val="0"/>
              <w:spacing w:before="0" w:after="283"/>
              <w:jc w:val="left"/>
              <w:rPr/>
            </w:pPr>
            <w:r>
              <w:rPr/>
              <w:t xml:space="preserve">Irene Moshouris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7" w:type="dxa"/>
            <w:tcBorders/>
            <w:tcMar>
              <w:bottom w:w="0" w:type="dxa"/>
            </w:tcMar>
            <w:vAlign w:val="center"/>
          </w:tcPr>
          <w:p>
            <w:pPr>
              <w:pStyle w:val="TableContents"/>
              <w:bidi w:val="0"/>
              <w:spacing w:before="0" w:after="283"/>
              <w:jc w:val="right"/>
              <w:rPr/>
            </w:pPr>
            <w:r>
              <w:rPr/>
              <w:t>8,542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9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 xml:space="preserve">Johnny C. Taylor, Jr.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12,600</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37" w:type="dxa"/>
            <w:tcBorders/>
            <w:tcMar>
              <w:bottom w:w="0" w:type="dxa"/>
            </w:tcMar>
            <w:vAlign w:val="center"/>
          </w:tcPr>
          <w:p>
            <w:pPr>
              <w:pStyle w:val="TableContents"/>
              <w:bidi w:val="0"/>
              <w:spacing w:before="0" w:after="283"/>
              <w:jc w:val="left"/>
              <w:rPr/>
            </w:pPr>
            <w:r>
              <w:rPr/>
              <w:t>NEOs:</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7"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9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Brad Jacobs+</w:t>
            </w:r>
            <w:r>
              <w:rPr>
                <w:sz w:val="11"/>
              </w:rPr>
              <w:t>(9)</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2,619,700</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2.2%</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37" w:type="dxa"/>
            <w:tcBorders/>
            <w:tcMar>
              <w:bottom w:w="0" w:type="dxa"/>
            </w:tcMar>
            <w:vAlign w:val="center"/>
          </w:tcPr>
          <w:p>
            <w:pPr>
              <w:pStyle w:val="TableContents"/>
              <w:bidi w:val="0"/>
              <w:spacing w:before="0" w:after="283"/>
              <w:jc w:val="left"/>
              <w:rPr/>
            </w:pPr>
            <w:r>
              <w:rPr/>
              <w:t xml:space="preserve">Mario Harik+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7" w:type="dxa"/>
            <w:tcBorders/>
            <w:tcMar>
              <w:bottom w:w="0" w:type="dxa"/>
            </w:tcMar>
            <w:vAlign w:val="center"/>
          </w:tcPr>
          <w:p>
            <w:pPr>
              <w:pStyle w:val="TableContents"/>
              <w:bidi w:val="0"/>
              <w:spacing w:before="0" w:after="283"/>
              <w:jc w:val="right"/>
              <w:rPr/>
            </w:pPr>
            <w:r>
              <w:rPr/>
              <w:t>337,536</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9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 xml:space="preserve">Kyle Wismans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35,232</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37" w:type="dxa"/>
            <w:tcBorders/>
            <w:tcMar>
              <w:bottom w:w="0" w:type="dxa"/>
            </w:tcMar>
            <w:vAlign w:val="center"/>
          </w:tcPr>
          <w:p>
            <w:pPr>
              <w:pStyle w:val="TableContents"/>
              <w:bidi w:val="0"/>
              <w:spacing w:before="0" w:after="283"/>
              <w:jc w:val="left"/>
              <w:rPr/>
            </w:pPr>
            <w:r>
              <w:rPr/>
              <w:t>Dave Bates</w:t>
            </w:r>
            <w:r>
              <w:rPr>
                <w:sz w:val="11"/>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7" w:type="dxa"/>
            <w:tcBorders/>
            <w:tcMar>
              <w:bottom w:w="0" w:type="dxa"/>
            </w:tcMar>
            <w:vAlign w:val="center"/>
          </w:tcPr>
          <w:p>
            <w:pPr>
              <w:pStyle w:val="TableContents"/>
              <w:bidi w:val="0"/>
              <w:spacing w:before="0" w:after="283"/>
              <w:jc w:val="right"/>
              <w:rPr/>
            </w:pPr>
            <w:r>
              <w:rPr/>
              <w:t>54,260</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9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137" w:type="dxa"/>
            <w:tcBorders/>
            <w:shd w:fill="D8D8D8" w:val="clear"/>
            <w:tcMar>
              <w:bottom w:w="0" w:type="dxa"/>
            </w:tcMar>
            <w:vAlign w:val="center"/>
          </w:tcPr>
          <w:p>
            <w:pPr>
              <w:pStyle w:val="TableContents"/>
              <w:bidi w:val="0"/>
              <w:spacing w:before="0" w:after="283"/>
              <w:jc w:val="left"/>
              <w:rPr/>
            </w:pPr>
            <w:r>
              <w:rPr/>
              <w:t xml:space="preserve">Wendy Cassity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left"/>
              <w:rPr/>
            </w:pPr>
            <w:r>
              <w:rPr/>
              <w:t>​</w:t>
            </w:r>
          </w:p>
        </w:tc>
        <w:tc>
          <w:tcPr>
            <w:tcW w:w="138" w:type="dxa"/>
            <w:tcBorders/>
            <w:shd w:fill="D8D8D8" w:val="clear"/>
            <w:tcMar>
              <w:bottom w:w="0" w:type="dxa"/>
            </w:tcMar>
            <w:vAlign w:val="center"/>
          </w:tcPr>
          <w:p>
            <w:pPr>
              <w:pStyle w:val="TableContents"/>
              <w:bidi w:val="0"/>
              <w:spacing w:before="0" w:after="283"/>
              <w:jc w:val="right"/>
              <w:rPr/>
            </w:pPr>
            <w:r>
              <w:rPr/>
              <w:t>​</w:t>
            </w:r>
          </w:p>
        </w:tc>
        <w:tc>
          <w:tcPr>
            <w:tcW w:w="1507" w:type="dxa"/>
            <w:tcBorders/>
            <w:shd w:fill="D8D8D8" w:val="clear"/>
            <w:tcMar>
              <w:bottom w:w="0" w:type="dxa"/>
            </w:tcMar>
            <w:vAlign w:val="center"/>
          </w:tcPr>
          <w:p>
            <w:pPr>
              <w:pStyle w:val="TableContents"/>
              <w:bidi w:val="0"/>
              <w:spacing w:before="0" w:after="283"/>
              <w:jc w:val="right"/>
              <w:rPr/>
            </w:pPr>
            <w:r>
              <w:rPr/>
              <w:t>9,871</w:t>
            </w:r>
          </w:p>
        </w:tc>
        <w:tc>
          <w:tcPr>
            <w:tcW w:w="138"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left"/>
              <w:rPr/>
            </w:pPr>
            <w:r>
              <w:rPr/>
              <w:t>​</w:t>
            </w:r>
          </w:p>
        </w:tc>
        <w:tc>
          <w:tcPr>
            <w:tcW w:w="191" w:type="dxa"/>
            <w:tcBorders/>
            <w:shd w:fill="D8D8D8" w:val="clear"/>
            <w:tcMar>
              <w:bottom w:w="0" w:type="dxa"/>
            </w:tcMar>
            <w:vAlign w:val="center"/>
          </w:tcPr>
          <w:p>
            <w:pPr>
              <w:pStyle w:val="TableContents"/>
              <w:bidi w:val="0"/>
              <w:spacing w:before="0" w:after="283"/>
              <w:jc w:val="right"/>
              <w:rPr/>
            </w:pPr>
            <w:r>
              <w:rPr/>
              <w:t>​</w:t>
            </w:r>
          </w:p>
        </w:tc>
        <w:tc>
          <w:tcPr>
            <w:tcW w:w="931" w:type="dxa"/>
            <w:tcBorders/>
            <w:shd w:fill="D8D8D8" w:val="clear"/>
            <w:tcMar>
              <w:bottom w:w="0" w:type="dxa"/>
            </w:tcMar>
            <w:vAlign w:val="center"/>
          </w:tcPr>
          <w:p>
            <w:pPr>
              <w:pStyle w:val="TableContents"/>
              <w:bidi w:val="0"/>
              <w:spacing w:before="0" w:after="283"/>
              <w:jc w:val="right"/>
              <w:rPr/>
            </w:pPr>
            <w:r>
              <w:rPr/>
              <w:t>*</w:t>
            </w:r>
          </w:p>
        </w:tc>
        <w:tc>
          <w:tcPr>
            <w:tcW w:w="194"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7F7F7F"/>
            </w:tcBorders>
            <w:vAlign w:val="center"/>
          </w:tcPr>
          <w:p>
            <w:pPr>
              <w:pStyle w:val="TableContents"/>
              <w:bidi w:val="0"/>
              <w:spacing w:before="0" w:after="283"/>
              <w:jc w:val="left"/>
              <w:rPr/>
            </w:pPr>
            <w:r>
              <w:rPr/>
              <w:t>​</w:t>
            </w:r>
          </w:p>
        </w:tc>
        <w:tc>
          <w:tcPr>
            <w:tcW w:w="5137" w:type="dxa"/>
            <w:tcBorders>
              <w:bottom w:val="single" w:sz="6" w:space="0" w:color="7F7F7F"/>
            </w:tcBorders>
            <w:tcMar>
              <w:bottom w:w="80" w:type="dxa"/>
            </w:tcMar>
            <w:vAlign w:val="center"/>
          </w:tcPr>
          <w:p>
            <w:pPr>
              <w:pStyle w:val="TableContents"/>
              <w:bidi w:val="0"/>
              <w:spacing w:lineRule="atLeast" w:line="142" w:before="0" w:after="283"/>
              <w:jc w:val="left"/>
              <w:rPr/>
            </w:pPr>
            <w:r>
              <w:rPr/>
              <w:t>Current Directors and Executive Officers as a Group: (11 People)</w:t>
            </w:r>
            <w:r>
              <w:rPr>
                <w:sz w:val="11"/>
              </w:rPr>
              <w:t>(11)</w:t>
            </w:r>
            <w:r>
              <w:rPr/>
              <w:t xml:space="preserve"> </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38" w:type="dxa"/>
            <w:tcBorders>
              <w:bottom w:val="single" w:sz="6" w:space="0" w:color="7F7F7F"/>
            </w:tcBorders>
            <w:vAlign w:val="center"/>
          </w:tcPr>
          <w:p>
            <w:pPr>
              <w:pStyle w:val="TableContents"/>
              <w:bidi w:val="0"/>
              <w:spacing w:before="0" w:after="283"/>
              <w:jc w:val="left"/>
              <w:rPr/>
            </w:pPr>
            <w:r>
              <w:rPr/>
              <w:t>​</w:t>
            </w:r>
          </w:p>
        </w:tc>
        <w:tc>
          <w:tcPr>
            <w:tcW w:w="138" w:type="dxa"/>
            <w:tcBorders>
              <w:bottom w:val="single" w:sz="6" w:space="0" w:color="7F7F7F"/>
            </w:tcBorders>
            <w:tcMar>
              <w:bottom w:w="80" w:type="dxa"/>
            </w:tcMar>
            <w:vAlign w:val="center"/>
          </w:tcPr>
          <w:p>
            <w:pPr>
              <w:pStyle w:val="TableContents"/>
              <w:bidi w:val="0"/>
              <w:spacing w:before="0" w:after="283"/>
              <w:jc w:val="right"/>
              <w:rPr/>
            </w:pPr>
            <w:r>
              <w:rPr/>
              <w:t>​</w:t>
            </w:r>
          </w:p>
        </w:tc>
        <w:tc>
          <w:tcPr>
            <w:tcW w:w="1507" w:type="dxa"/>
            <w:tcBorders>
              <w:bottom w:val="single" w:sz="6" w:space="0" w:color="7F7F7F"/>
            </w:tcBorders>
            <w:tcMar>
              <w:bottom w:w="80" w:type="dxa"/>
            </w:tcMar>
            <w:vAlign w:val="center"/>
          </w:tcPr>
          <w:p>
            <w:pPr>
              <w:pStyle w:val="TableContents"/>
              <w:bidi w:val="0"/>
              <w:spacing w:before="0" w:after="283"/>
              <w:jc w:val="right"/>
              <w:rPr/>
            </w:pPr>
            <w:r>
              <w:rPr/>
              <w:t>3,418,572</w:t>
            </w:r>
          </w:p>
        </w:tc>
        <w:tc>
          <w:tcPr>
            <w:tcW w:w="138"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91" w:type="dxa"/>
            <w:tcBorders>
              <w:bottom w:val="single" w:sz="6" w:space="0" w:color="7F7F7F"/>
            </w:tcBorders>
            <w:vAlign w:val="center"/>
          </w:tcPr>
          <w:p>
            <w:pPr>
              <w:pStyle w:val="TableContents"/>
              <w:bidi w:val="0"/>
              <w:spacing w:before="0" w:after="283"/>
              <w:jc w:val="left"/>
              <w:rPr/>
            </w:pPr>
            <w:r>
              <w:rPr/>
              <w:t>​</w:t>
            </w:r>
          </w:p>
        </w:tc>
        <w:tc>
          <w:tcPr>
            <w:tcW w:w="191" w:type="dxa"/>
            <w:tcBorders>
              <w:bottom w:val="single" w:sz="6" w:space="0" w:color="7F7F7F"/>
            </w:tcBorders>
            <w:tcMar>
              <w:bottom w:w="80" w:type="dxa"/>
            </w:tcMar>
            <w:vAlign w:val="center"/>
          </w:tcPr>
          <w:p>
            <w:pPr>
              <w:pStyle w:val="TableContents"/>
              <w:bidi w:val="0"/>
              <w:spacing w:before="0" w:after="283"/>
              <w:jc w:val="right"/>
              <w:rPr/>
            </w:pPr>
            <w:r>
              <w:rPr/>
              <w:t>​</w:t>
            </w:r>
          </w:p>
        </w:tc>
        <w:tc>
          <w:tcPr>
            <w:tcW w:w="931" w:type="dxa"/>
            <w:tcBorders>
              <w:bottom w:val="single" w:sz="6" w:space="0" w:color="7F7F7F"/>
            </w:tcBorders>
            <w:tcMar>
              <w:bottom w:w="80" w:type="dxa"/>
            </w:tcMar>
            <w:vAlign w:val="center"/>
          </w:tcPr>
          <w:p>
            <w:pPr>
              <w:pStyle w:val="TableContents"/>
              <w:bidi w:val="0"/>
              <w:spacing w:before="0" w:after="283"/>
              <w:jc w:val="right"/>
              <w:rPr/>
            </w:pPr>
            <w:r>
              <w:rPr/>
              <w:t>2.9%</w:t>
            </w:r>
          </w:p>
        </w:tc>
        <w:tc>
          <w:tcPr>
            <w:tcW w:w="194" w:type="dxa"/>
            <w:tcBorders>
              <w:bottom w:val="single" w:sz="6" w:space="0" w:color="7F7F7F"/>
            </w:tcBorders>
            <w:vAlign w:val="center"/>
          </w:tcPr>
          <w:p>
            <w:pPr>
              <w:pStyle w:val="TableContents"/>
              <w:bidi w:val="0"/>
              <w:spacing w:before="0" w:after="283"/>
              <w:jc w:val="left"/>
              <w:rPr/>
            </w:pPr>
            <w:r>
              <w:rPr/>
              <w:t>​</w:t>
            </w:r>
          </w:p>
        </w:tc>
        <w:tc>
          <w:tcPr>
            <w:tcW w:w="160" w:type="dxa"/>
            <w:tcBorders>
              <w:bottom w:val="single" w:sz="6" w:space="0" w:color="7F7F7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11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Less than 1%</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69850" distB="0" distL="0" distR="0" simplePos="0" locked="0" layoutInCell="1" allowOverlap="1" relativeHeight="255">
                <wp:simplePos x="0" y="0"/>
                <wp:positionH relativeFrom="column">
                  <wp:align>left</wp:align>
                </wp:positionH>
                <wp:positionV relativeFrom="line">
                  <wp:align>top</wp:align>
                </wp:positionV>
                <wp:extent cx="254000" cy="241300"/>
                <wp:effectExtent l="0" t="0" r="0" b="0"/>
                <wp:wrapSquare wrapText="right"/>
                <wp:docPr id="220" name="Frame126"/>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5"/>
                              </w:rPr>
                              <w:t>*</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5"/>
                        </w:rPr>
                        <w:t>*</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Director and Executive Officer</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256">
                <wp:simplePos x="0" y="0"/>
                <wp:positionH relativeFrom="column">
                  <wp:align>left</wp:align>
                </wp:positionH>
                <wp:positionV relativeFrom="line">
                  <wp:align>top</wp:align>
                </wp:positionV>
                <wp:extent cx="254000" cy="241300"/>
                <wp:effectExtent l="0" t="0" r="0" b="0"/>
                <wp:wrapSquare wrapText="right"/>
                <wp:docPr id="221" name="Frame127"/>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5"/>
                              </w:rPr>
                              <w:t>+</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5"/>
                        </w:rPr>
                        <w:t>+</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For purposes of this column, the number of shares of the class outstanding for each person reflects the sum of: (i) 117,787,124 shares of our common stock that were outstanding as of the Record Date; and (ii) the number of RSUs held, if any, that are or will become vested within 60 days of the Record Date.</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257">
                <wp:simplePos x="0" y="0"/>
                <wp:positionH relativeFrom="column">
                  <wp:align>left</wp:align>
                </wp:positionH>
                <wp:positionV relativeFrom="line">
                  <wp:align>top</wp:align>
                </wp:positionV>
                <wp:extent cx="254000" cy="241300"/>
                <wp:effectExtent l="0" t="0" r="0" b="0"/>
                <wp:wrapSquare wrapText="right"/>
                <wp:docPr id="222" name="Frame128"/>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Based on Amendment No. 2 to the Schedule 13G filed on November 7, 2024 by Capital Research Global Investors, which reported that, as of October 31, 2024, Capital Research Global Investors beneficially owned 13,810,938 shares or our common stock, with sole voting power over 13,793,548 shares of our common stock and sole dispositive power over 13,810,938 shares of our common stock. The address of the principal business office of Capital Research Global Investors is 333 South Hope Street, 55th Floor, Los Angeles, CA 90071.</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258">
                <wp:simplePos x="0" y="0"/>
                <wp:positionH relativeFrom="column">
                  <wp:align>left</wp:align>
                </wp:positionH>
                <wp:positionV relativeFrom="line">
                  <wp:align>top</wp:align>
                </wp:positionV>
                <wp:extent cx="254000" cy="241300"/>
                <wp:effectExtent l="0" t="0" r="0" b="0"/>
                <wp:wrapSquare wrapText="right"/>
                <wp:docPr id="223" name="Frame129"/>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(2)</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(2)</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Based on the Schedule 13G filed on January 8, 2025 by BlackRock, Inc., which reported that, as of December 31, 2024, BlackRock, Inc. beneficially owned 11,812,633 shares of our common stock, with sole voting power over 11,477,072 shares of our common stock and sole dispositive power over 11,812,633 shares of our common stock. The address of the principal business office of BlackRock, Inc. is 50 Hudson Yards, New York, NY 10001. </w:t>
      </w:r>
      <w:r>
        <mc:AlternateContent>
          <mc:Choice Requires="wps">
            <w:drawing>
              <wp:anchor behindDoc="0" distT="50800" distB="0" distL="0" distR="0" simplePos="0" locked="0" layoutInCell="1" allowOverlap="1" relativeHeight="259">
                <wp:simplePos x="0" y="0"/>
                <wp:positionH relativeFrom="column">
                  <wp:align>left</wp:align>
                </wp:positionH>
                <wp:positionV relativeFrom="line">
                  <wp:align>top</wp:align>
                </wp:positionV>
                <wp:extent cx="254000" cy="241300"/>
                <wp:effectExtent l="0" t="0" r="0" b="0"/>
                <wp:wrapSquare wrapText="right"/>
                <wp:docPr id="224" name="Frame130"/>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(3)</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(3)</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24</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190" w:before="200" w:after="283"/>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Based on Amendment No. 2 to the Schedule 13G filed on November 12, 2024 by: (i) MFN Partners, LP (the “Partnership”); (ii) MFN Partners GP, LLC (“MFN GP”), as the general partner of the Partnership; (iii) MFN Partners Management, LP (“MFN Management”), as the investment adviser to the Partnership; (iv) MFN Partners Management, LLC (“MFN LLC”), as the general partner of MFN Management; (v) Michael F. DeMichele, as a managing member of MFN GP and of MFN LLC; and (vi) Farhad Nanji, as a managing member of MFN GP and of MFN LLC (each, a “Reporting Person” and collectively, the “Reporting Persons”), which reported that, as of September 30, 2024, the Reporting Persons collectively owned 11,425,369 shares of our common stock with shared voting power and shared dispositive power. The address of the principal business office of each of the Partnership, MFN GP, MFN Management, MFN LLC and Messrs. DeMichele and Nanji is c/o MFN Partners Management, LP, 222 Berkeley Street, 13th Floor, Boston, MA 02116.</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254000" cy="350520"/>
                <wp:effectExtent l="0" t="0" r="0" b="0"/>
                <wp:wrapSquare wrapText="right"/>
                <wp:docPr id="225"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(4)</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Based on Amendment No. 9 to the Schedule 13G filed on February 13, 2024 by The Vanguard Group, which reported that, as of December 29, 2023, The Vanguard Group beneficially owned 10,923,106 shares of our common stock, with shared voting power over 41,086 shares of our common stock, sole dispositive power over 10,758,747 shares of our common stock and shared dispositive power over 164,359 shares of our common stock. The address of the principal business office of The Vanguard Group is 100 Vanguard Blvd., Malvern, PA 19355.</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26"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(5)</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Based on Amendment No 1 to the Schedule 13G filed on February 13, 2025 by Capital World Investors, which reported that, as of December 31, 2024, Capital World Investors beneficially owned 7,753,883 shares of our common stock, with sole voting power over 7,753,069 shares of our common stock and sole dispositive power over 7,753,883 shares of our common stock. The address of the principal business office of Capital World Investors is 333 South Hope Street, 55th Floor, Los Angeles, CA 90071.</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227"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(6)</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6,607 directly held shares of our common stock; and (ii) 3,000 shares of our common stock held in an individual retirement account of Mr. Frye.</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28"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left"/>
                              <w:rPr/>
                            </w:pPr>
                            <w:r>
                              <w:rPr>
                                <w:sz w:val="1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pPr>
                      <w:r>
                        <w:rPr>
                          <w:sz w:val="11"/>
                        </w:rPr>
                        <w:t>(7)</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56,499 directly held shares of our common stock; (ii) 5,000 shares of our common stock held in an individual retirement account of Mr. Jesselson; (iii) 6,000 shares of our common stock owned by Mr. Jesselson’s spouse; (iv) 201,001 shares of our common stock beneficially owned by the Michael G. Jesselson 4/8/71 Trust and the Michael G. Jesselson 12/18/80 Trust, of which trusts Mr. Jesselson is the beneficiary; (v) 8,000 shares of our common stock beneficially owned by the JJJ Irrevocable Trust, of which Mr. Jesselson is a trustee; (vi) 8,000 shares of our common stock beneficially owned by the RAJ Irrevocable Trust, of which Mr. Jesselson is a trustee; (vii) 8,000 shares of our common stock beneficially owned by the SJJ Irrevocable Trust, of which Mr. Jesselson is a trustee; and (viii) 21,057 shares of our common stock beneficially owned by Michael G. Jesselson and Linda Jesselson, Trustees UID 6/30/93 FBO Maya Ariel Ruth Jesselson.</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29"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(8)</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1,318,999 directly held shares of our common stock; and (ii) 1,300,701 shares of our common stock owned by JPE. Mr. Jacobs has indirect beneficial ownership of the shares of our common stock owned by JPE as a result of being its managing member.</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30"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(9)</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24,160 directly held shares of our common stock; and (ii) 30,100 RSUs that are or will become vested within 60 days of the Record Date.</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31"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left"/>
                              <w:rPr/>
                            </w:pPr>
                            <w:r>
                              <w:rPr>
                                <w:sz w:val="11"/>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pPr>
                      <w:r>
                        <w:rPr>
                          <w:sz w:val="11"/>
                        </w:rPr>
                        <w:t>(10)</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1"/>
        </w:rPr>
      </w:pPr>
      <w:r>
        <w:rPr>
          <w:rFonts w:ascii="Arial Narrow;Helvetica;sans-serif" w:hAnsi="Arial Narrow;Helvetica;sans-serif"/>
          <w:b w:val="false"/>
          <w:i w:val="false"/>
          <w:caps w:val="false"/>
          <w:smallCaps w:val="false"/>
          <w:color w:val="000000"/>
          <w:sz w:val="15"/>
        </w:rPr>
        <w:t>Includes 30,100 RSUs that are or will become vested within 60 days of the Record Date.</w:t>
      </w:r>
      <w:r>
        <w:rPr>
          <w:rFonts w:ascii="Arial Narrow;Helvetica;sans-serif" w:hAnsi="Arial Narrow;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267">
                <wp:simplePos x="0" y="0"/>
                <wp:positionH relativeFrom="column">
                  <wp:align>left</wp:align>
                </wp:positionH>
                <wp:positionV relativeFrom="line">
                  <wp:align>top</wp:align>
                </wp:positionV>
                <wp:extent cx="254000" cy="241300"/>
                <wp:effectExtent l="0" t="0" r="0" b="0"/>
                <wp:wrapSquare wrapText="right"/>
                <wp:docPr id="232" name="Frame138"/>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1"/>
                              </w:rPr>
                            </w:pPr>
                            <w:r>
                              <w:rPr>
                                <w:sz w:val="11"/>
                              </w:rPr>
                              <w:t xml:space="preserve">(11)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sz w:val="11"/>
                        </w:rPr>
                      </w:pPr>
                      <w:r>
                        <w:rPr>
                          <w:sz w:val="11"/>
                        </w:rPr>
                        <w:t xml:space="preserve">(11)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25</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EXCO"/>
      <w:bookmarkEnd w:id="31"/>
      <w:r>
        <w:rPr>
          <w:rFonts w:ascii="calibri;arial;sans-serif" w:hAnsi="calibri;arial;sans-serif"/>
          <w:b w:val="false"/>
          <w:i w:val="false"/>
          <w:caps w:val="false"/>
          <w:smallCaps w:val="false"/>
          <w:color w:val="000000"/>
          <w:sz w:val="16"/>
        </w:rPr>
        <w:t>​</w:t>
      </w:r>
      <w:bookmarkStart w:id="32" w:name="tCDAA"/>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3505" w:type="dxa"/>
        <w:jc w:val="left"/>
        <w:tblInd w:w="920" w:type="dxa"/>
        <w:tblLayout w:type="fixed"/>
        <w:tblCellMar>
          <w:top w:w="28" w:type="dxa"/>
          <w:left w:w="28" w:type="dxa"/>
          <w:bottom w:w="28" w:type="dxa"/>
          <w:right w:w="28" w:type="dxa"/>
        </w:tblCellMar>
      </w:tblPr>
      <w:tblGrid>
        <w:gridCol w:w="3351"/>
        <w:gridCol w:w="154"/>
      </w:tblGrid>
      <w:tr>
        <w:trPr/>
        <w:tc>
          <w:tcPr>
            <w:tcW w:w="3351" w:type="dxa"/>
            <w:tcBorders/>
            <w:vAlign w:val="center"/>
          </w:tcPr>
          <w:p>
            <w:pPr>
              <w:pStyle w:val="TableContents"/>
              <w:bidi w:val="0"/>
              <w:spacing w:before="0" w:after="283"/>
              <w:jc w:val="left"/>
              <w:rPr/>
            </w:pPr>
            <w:r>
              <w:rPr>
                <w:spacing w:val="-10"/>
              </w:rPr>
              <w:t>EXECUTIVE COMPENSATION</w:t>
            </w:r>
            <w:r>
              <w:rPr/>
              <w:t xml:space="preserve"> </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p>
      <w:pPr>
        <w:pStyle w:val="TextBody"/>
        <w:bidi w:val="0"/>
        <w:spacing w:lineRule="atLeast" w:line="240" w:before="24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COMPENSATION DISCUSSION AND ANALYSIS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This Compensation Discussion and Analysis (“CD&amp;A”) explains the guiding principles, policies and practices upon which our executive compensation program is based, as well as our decision-making process, including our consideration of stockholder feedback, and the 2024 compensation paid to our named executive officers (“NEOs”).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NAMED EXECUTIVE OFFICERS FOR 2024</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individuals were our named executive officers for 2024:</w:t>
      </w:r>
      <w:r>
        <w:rPr>
          <w:rFonts w:ascii="Helvetica;Arial Narrow;sans-serif" w:hAnsi="Helvetica;Arial Narrow;sans-serif"/>
          <w:b w:val="false"/>
          <w:i w:val="false"/>
          <w:caps w:val="false"/>
          <w:smallCaps w:val="false"/>
          <w:color w:val="000000"/>
          <w:spacing w:val="4"/>
          <w:sz w:val="18"/>
        </w:rPr>
        <w:t xml:space="preserve"> </w:t>
      </w:r>
    </w:p>
    <w:tbl>
      <w:tblPr>
        <w:tblW w:w="6453" w:type="dxa"/>
        <w:jc w:val="left"/>
        <w:tblInd w:w="920" w:type="dxa"/>
        <w:tblLayout w:type="fixed"/>
        <w:tblCellMar>
          <w:top w:w="0" w:type="dxa"/>
          <w:left w:w="0" w:type="dxa"/>
          <w:bottom w:w="0" w:type="dxa"/>
          <w:right w:w="0" w:type="dxa"/>
        </w:tblCellMar>
      </w:tblPr>
      <w:tblGrid>
        <w:gridCol w:w="124"/>
        <w:gridCol w:w="1636"/>
        <w:gridCol w:w="109"/>
        <w:gridCol w:w="109"/>
        <w:gridCol w:w="4321"/>
        <w:gridCol w:w="154"/>
      </w:tblGrid>
      <w:tr>
        <w:trPr/>
        <w:tc>
          <w:tcPr>
            <w:tcW w:w="124" w:type="dxa"/>
            <w:tcBorders/>
            <w:shd w:fill="000000" w:val="clear"/>
            <w:vAlign w:val="center"/>
          </w:tcPr>
          <w:p>
            <w:pPr>
              <w:pStyle w:val="TableContents"/>
              <w:bidi w:val="0"/>
              <w:spacing w:before="0" w:after="283"/>
              <w:jc w:val="left"/>
              <w:rPr/>
            </w:pPr>
            <w:r>
              <w:rPr/>
              <w:t>​</w:t>
            </w:r>
          </w:p>
        </w:tc>
        <w:tc>
          <w:tcPr>
            <w:tcW w:w="163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321" w:type="dxa"/>
            <w:tcBorders/>
            <w:shd w:fill="000000" w:val="clear"/>
            <w:vAlign w:val="center"/>
          </w:tcPr>
          <w:p>
            <w:pPr>
              <w:pStyle w:val="TableContents"/>
              <w:bidi w:val="0"/>
              <w:spacing w:before="0" w:after="0"/>
              <w:jc w:val="left"/>
              <w:rPr/>
            </w:pPr>
            <w:r>
              <w:rPr/>
              <w:t xml:space="preserve">Position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636" w:type="dxa"/>
            <w:tcBorders/>
            <w:shd w:fill="D8D8D8" w:val="clear"/>
            <w:vAlign w:val="center"/>
          </w:tcPr>
          <w:p>
            <w:pPr>
              <w:pStyle w:val="TableContents"/>
              <w:bidi w:val="0"/>
              <w:spacing w:before="0" w:after="0"/>
              <w:jc w:val="left"/>
              <w:rPr>
                <w:b/>
              </w:rPr>
            </w:pPr>
            <w:r>
              <w:rPr>
                <w:b/>
              </w:rPr>
              <w:t>Brad Jacobs</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4321" w:type="dxa"/>
            <w:tcBorders/>
            <w:shd w:fill="D8D8D8" w:val="clear"/>
            <w:vAlign w:val="center"/>
          </w:tcPr>
          <w:p>
            <w:pPr>
              <w:pStyle w:val="TableContents"/>
              <w:bidi w:val="0"/>
              <w:spacing w:before="0" w:after="283"/>
              <w:jc w:val="left"/>
              <w:rPr/>
            </w:pPr>
            <w:r>
              <w:rPr/>
              <w:t xml:space="preserve">Executive Chairman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0" w:after="0"/>
              <w:jc w:val="left"/>
              <w:rPr>
                <w:b/>
              </w:rPr>
            </w:pPr>
            <w:r>
              <w:rPr>
                <w:b/>
              </w:rPr>
              <w:t>Mario Harik</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21" w:type="dxa"/>
            <w:tcBorders/>
            <w:vAlign w:val="center"/>
          </w:tcPr>
          <w:p>
            <w:pPr>
              <w:pStyle w:val="TableContents"/>
              <w:bidi w:val="0"/>
              <w:spacing w:before="0" w:after="283"/>
              <w:jc w:val="left"/>
              <w:rPr/>
            </w:pPr>
            <w:r>
              <w:rPr/>
              <w:t xml:space="preserve">Chief Executive Officer </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636" w:type="dxa"/>
            <w:tcBorders/>
            <w:shd w:fill="D8D8D8" w:val="clear"/>
            <w:vAlign w:val="center"/>
          </w:tcPr>
          <w:p>
            <w:pPr>
              <w:pStyle w:val="TableContents"/>
              <w:bidi w:val="0"/>
              <w:spacing w:before="0" w:after="0"/>
              <w:jc w:val="left"/>
              <w:rPr>
                <w:b/>
              </w:rPr>
            </w:pPr>
            <w:r>
              <w:rPr>
                <w:b/>
              </w:rPr>
              <w:t>Kyle Wismans</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4321" w:type="dxa"/>
            <w:tcBorders/>
            <w:shd w:fill="D8D8D8" w:val="clear"/>
            <w:vAlign w:val="center"/>
          </w:tcPr>
          <w:p>
            <w:pPr>
              <w:pStyle w:val="TableContents"/>
              <w:bidi w:val="0"/>
              <w:spacing w:before="0" w:after="283"/>
              <w:jc w:val="left"/>
              <w:rPr/>
            </w:pPr>
            <w:r>
              <w:rPr/>
              <w:t xml:space="preserve">Chief Financial Officer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0" w:after="0"/>
              <w:jc w:val="left"/>
              <w:rPr>
                <w:b/>
              </w:rPr>
            </w:pPr>
            <w:r>
              <w:rPr>
                <w:b/>
              </w:rPr>
              <w:t>Dave Bates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21" w:type="dxa"/>
            <w:tcBorders/>
            <w:vAlign w:val="center"/>
          </w:tcPr>
          <w:p>
            <w:pPr>
              <w:pStyle w:val="TableContents"/>
              <w:bidi w:val="0"/>
              <w:spacing w:before="0" w:after="283"/>
              <w:jc w:val="left"/>
              <w:rPr/>
            </w:pPr>
            <w:r>
              <w:rPr/>
              <w:t xml:space="preserve">Chief Operating Officer </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636" w:type="dxa"/>
            <w:tcBorders/>
            <w:shd w:fill="D8D8D8" w:val="clear"/>
            <w:vAlign w:val="center"/>
          </w:tcPr>
          <w:p>
            <w:pPr>
              <w:pStyle w:val="TableContents"/>
              <w:bidi w:val="0"/>
              <w:spacing w:before="0" w:after="0"/>
              <w:jc w:val="left"/>
              <w:rPr>
                <w:b/>
              </w:rPr>
            </w:pPr>
            <w:r>
              <w:rPr>
                <w:b/>
              </w:rPr>
              <w:t>Wendy Cassity</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4321" w:type="dxa"/>
            <w:tcBorders/>
            <w:shd w:fill="D8D8D8" w:val="clear"/>
            <w:vAlign w:val="center"/>
          </w:tcPr>
          <w:p>
            <w:pPr>
              <w:pStyle w:val="TableContents"/>
              <w:bidi w:val="0"/>
              <w:spacing w:before="0" w:after="283"/>
              <w:jc w:val="left"/>
              <w:rPr/>
            </w:pPr>
            <w:r>
              <w:rPr/>
              <w:t>Chief Legal Officer and Corporate Secretary</w:t>
            </w:r>
          </w:p>
        </w:tc>
        <w:tc>
          <w:tcPr>
            <w:tcW w:w="154" w:type="dxa"/>
            <w:tcBorders/>
            <w:shd w:fill="D8D8D8" w:val="clear"/>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2070"/>
        <w:gridCol w:w="109"/>
        <w:gridCol w:w="109"/>
        <w:gridCol w:w="6718"/>
        <w:gridCol w:w="155"/>
      </w:tblGrid>
      <w:tr>
        <w:trPr/>
        <w:tc>
          <w:tcPr>
            <w:tcW w:w="124" w:type="dxa"/>
            <w:tcBorders/>
            <w:vAlign w:val="center"/>
          </w:tcPr>
          <w:p>
            <w:pPr>
              <w:pStyle w:val="TableContents"/>
              <w:bidi w:val="0"/>
              <w:spacing w:before="0" w:after="283"/>
              <w:jc w:val="left"/>
              <w:rPr/>
            </w:pPr>
            <w:r>
              <w:rPr/>
              <w:t>​</w:t>
            </w:r>
          </w:p>
        </w:tc>
        <w:tc>
          <w:tcPr>
            <w:tcW w:w="2070" w:type="dxa"/>
            <w:tcBorders/>
            <w:vAlign w:val="center"/>
          </w:tcPr>
          <w:p>
            <w:pPr>
              <w:pStyle w:val="TableContents"/>
              <w:bidi w:val="0"/>
              <w:spacing w:before="0" w:after="0"/>
              <w:jc w:val="center"/>
              <w:rPr/>
            </w:pPr>
            <w:r>
              <w:rPr/>
              <w:drawing>
                <wp:inline distT="0" distB="0" distL="0" distR="0">
                  <wp:extent cx="904875" cy="904875"/>
                  <wp:effectExtent l="0" t="0" r="0" b="0"/>
                  <wp:docPr id="23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95" descr=""/>
                          <pic:cNvPicPr>
                            <a:picLocks noChangeAspect="1" noChangeArrowheads="1"/>
                          </pic:cNvPicPr>
                        </pic:nvPicPr>
                        <pic:blipFill>
                          <a:blip r:embed="rId96"/>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199" w:before="60" w:after="283"/>
              <w:jc w:val="center"/>
              <w:rPr>
                <w:color w:val="E2231A"/>
              </w:rPr>
            </w:pPr>
            <w:r>
              <w:rPr>
                <w:b/>
                <w:i/>
                <w:color w:val="E2231A"/>
              </w:rPr>
              <w:t>Brad Jacobs</w:t>
            </w:r>
            <w:r>
              <w:rPr>
                <w:color w:val="000000"/>
                <w:spacing w:val="-2"/>
              </w:rPr>
              <w:t xml:space="preserve"> </w:t>
            </w:r>
            <w:r>
              <w:rPr>
                <w:color w:val="E2231A"/>
              </w:rPr>
              <w:br/>
            </w:r>
            <w:r>
              <w:rPr>
                <w:i/>
                <w:color w:val="E2231A"/>
              </w:rPr>
              <w:t>Executive Chairman</w:t>
            </w:r>
            <w:r>
              <w:rPr>
                <w:color w:val="E2231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lineRule="atLeast" w:line="200" w:before="0" w:after="0"/>
              <w:jc w:val="both"/>
              <w:rPr>
                <w:spacing w:val="-2"/>
              </w:rPr>
            </w:pPr>
            <w:r>
              <w:rPr>
                <w:spacing w:val="-2"/>
              </w:rPr>
              <w:t xml:space="preserve">Mr. Jacobs has served as executive chairman of XPO’s Board since November 1, 2022, and was previously chairman of the board and chief executive officer from September 2, 2011 to October 31, 2022. He has served as chairman of the board and chief executive officer of QXO, Inc. (NYSE: QXO) since June 6, 2024, and as non-executive chairman of GXO Logistics, Inc. (NYSE: GXO) since August 2, 2021. Mr. Jacobs has served as non-executive chairman of RXO, Inc. (NYSE: RXO) since November 1, 2022 and is not standing for re-election in 2025. Additionally, he is the managing member of Jacobs Private Equity, LLC and Jacobs Private Equity II, LLC. Prior to XPO, Mr. Jacobs led two public companies: United Rentals, Inc., which he founded in 1997, and United Waste Systems, Inc., which he founded in 1989. Mr. Jacobs served as chairman and chief executive officer of United Rentals for its first six years, and as executive chairman for an additional four years. He served eight years as chairman and chief executive officer of United Waste Systems.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70" w:type="dxa"/>
            <w:tcBorders/>
            <w:vAlign w:val="center"/>
          </w:tcPr>
          <w:p>
            <w:pPr>
              <w:pStyle w:val="TableContents"/>
              <w:bidi w:val="0"/>
              <w:spacing w:before="0" w:after="0"/>
              <w:jc w:val="center"/>
              <w:rPr/>
            </w:pPr>
            <w:r>
              <w:rPr/>
              <w:drawing>
                <wp:inline distT="0" distB="0" distL="0" distR="0">
                  <wp:extent cx="904875" cy="904875"/>
                  <wp:effectExtent l="0" t="0" r="0" b="0"/>
                  <wp:docPr id="23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96" descr=""/>
                          <pic:cNvPicPr>
                            <a:picLocks noChangeAspect="1" noChangeArrowheads="1"/>
                          </pic:cNvPicPr>
                        </pic:nvPicPr>
                        <pic:blipFill>
                          <a:blip r:embed="rId97"/>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200" w:before="59" w:after="283"/>
              <w:jc w:val="center"/>
              <w:rPr/>
            </w:pPr>
            <w:r>
              <w:rPr>
                <w:b/>
                <w:i/>
                <w:color w:val="E2231A"/>
              </w:rPr>
              <w:t>Mario Harik</w:t>
            </w:r>
            <w:r>
              <w:rPr>
                <w:spacing w:val="-2"/>
              </w:rPr>
              <w:t xml:space="preserve"> </w:t>
            </w:r>
            <w:r>
              <w:rPr/>
              <w:br/>
            </w:r>
            <w:r>
              <w:rPr>
                <w:i/>
                <w:color w:val="E2231A"/>
              </w:rPr>
              <w:t>Chief Executive Officer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lineRule="atLeast" w:line="200" w:before="0" w:after="0"/>
              <w:jc w:val="both"/>
              <w:rPr/>
            </w:pPr>
            <w:r>
              <w:rPr>
                <w:spacing w:val="-2"/>
              </w:rPr>
              <w:t>Mr. Harik has served as a director and chief executive officer of the company since November 1, 2022. Previously, he served as president of XPO’s North American Less-Than-Truckload unit from October 2021 to October 2022, and additionally held roles as XPO’s chief information officer from November 2011 to October 2022, and chief customer officer from February 2021 to January 2022. Prior to XPO, he was chief information officer and senior vice president of research and development with Oakleaf Waste Management, chief technology officer with Tallan, Inc., and co-founder and chief architect of web and voice applications with G3 Analyst. Mr. Harik has served as a director of QXO, Inc. (NYSE: QXO) since June 2024. He holds a master’s degree in engineering, information technology from Massachusetts Institute of Technology, and a degree in engineering, computer and communications from the American University of Beirut in Lebanon.</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70" w:type="dxa"/>
            <w:tcBorders/>
            <w:vAlign w:val="center"/>
          </w:tcPr>
          <w:p>
            <w:pPr>
              <w:pStyle w:val="TableContents"/>
              <w:bidi w:val="0"/>
              <w:spacing w:before="0" w:after="0"/>
              <w:jc w:val="center"/>
              <w:rPr/>
            </w:pPr>
            <w:r>
              <w:rPr/>
              <w:drawing>
                <wp:inline distT="0" distB="0" distL="0" distR="0">
                  <wp:extent cx="904875" cy="904875"/>
                  <wp:effectExtent l="0" t="0" r="0" b="0"/>
                  <wp:docPr id="23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97" descr=""/>
                          <pic:cNvPicPr>
                            <a:picLocks noChangeAspect="1" noChangeArrowheads="1"/>
                          </pic:cNvPicPr>
                        </pic:nvPicPr>
                        <pic:blipFill>
                          <a:blip r:embed="rId98"/>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200" w:before="59" w:after="283"/>
              <w:jc w:val="center"/>
              <w:rPr/>
            </w:pPr>
            <w:r>
              <w:rPr>
                <w:b/>
                <w:i/>
                <w:color w:val="E2231A"/>
              </w:rPr>
              <w:t>Kyle Wismans</w:t>
            </w:r>
            <w:r>
              <w:rPr>
                <w:spacing w:val="-2"/>
              </w:rPr>
              <w:t xml:space="preserve"> </w:t>
            </w:r>
            <w:r>
              <w:rPr/>
              <w:br/>
            </w:r>
            <w:r>
              <w:rPr>
                <w:i/>
                <w:color w:val="E2231A"/>
              </w:rPr>
              <w:t>Chief Financial Officer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lineRule="atLeast" w:line="200" w:before="0" w:after="0"/>
              <w:jc w:val="both"/>
              <w:rPr>
                <w:spacing w:val="-2"/>
              </w:rPr>
            </w:pPr>
            <w:r>
              <w:rPr>
                <w:spacing w:val="-2"/>
              </w:rPr>
              <w:t xml:space="preserve">Kyle Wismans has led the company’s finance organization since 2023. He joined XPO in 2019 as senior vice president, financial planning and analysis and later served as senior vice president, revenue management and finance. Mr. Wismans has held numerous senior financial positions during his 19-year career with global public companies. Prior to XPO, he was an executive with General Electric Company and Baker Hughes, holding leadership positions as head of global financial planning and analysis for two divisions and chief financial officer for a global GE business. He also held senior roles on GE’s global audit staff. He holds a degree in business administration from the University of Michigan, Stephen M. Ross School of Business. </w:t>
            </w:r>
          </w:p>
        </w:tc>
        <w:tc>
          <w:tcPr>
            <w:tcW w:w="155" w:type="dxa"/>
            <w:tcBorders/>
            <w:vAlign w:val="center"/>
          </w:tcPr>
          <w:p>
            <w:pPr>
              <w:pStyle w:val="TableContents"/>
              <w:bidi w:val="0"/>
              <w:spacing w:before="0" w:after="283"/>
              <w:jc w:val="left"/>
              <w:rPr/>
            </w:pPr>
            <w:r>
              <w:rPr/>
              <w:t>​</w:t>
            </w:r>
          </w:p>
        </w:tc>
      </w:tr>
    </w:tbl>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26</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0" w:type="dxa"/>
          <w:right w:w="0" w:type="dxa"/>
        </w:tblCellMar>
      </w:tblPr>
      <w:tblGrid>
        <w:gridCol w:w="124"/>
        <w:gridCol w:w="1556"/>
        <w:gridCol w:w="109"/>
        <w:gridCol w:w="109"/>
        <w:gridCol w:w="7232"/>
        <w:gridCol w:w="155"/>
      </w:tblGrid>
      <w:tr>
        <w:trPr/>
        <w:tc>
          <w:tcPr>
            <w:tcW w:w="124" w:type="dxa"/>
            <w:tcBorders/>
            <w:vAlign w:val="center"/>
          </w:tcPr>
          <w:p>
            <w:pPr>
              <w:pStyle w:val="TableContents"/>
              <w:bidi w:val="0"/>
              <w:spacing w:before="0" w:after="283"/>
              <w:jc w:val="left"/>
              <w:rPr/>
            </w:pPr>
            <w:r>
              <w:rPr/>
              <w:t>​</w:t>
            </w:r>
          </w:p>
        </w:tc>
        <w:tc>
          <w:tcPr>
            <w:tcW w:w="1556" w:type="dxa"/>
            <w:tcBorders/>
            <w:vAlign w:val="center"/>
          </w:tcPr>
          <w:p>
            <w:pPr>
              <w:pStyle w:val="TableContents"/>
              <w:bidi w:val="0"/>
              <w:spacing w:before="0" w:after="0"/>
              <w:jc w:val="center"/>
              <w:rPr/>
            </w:pPr>
            <w:r>
              <w:rPr/>
              <w:drawing>
                <wp:inline distT="0" distB="0" distL="0" distR="0">
                  <wp:extent cx="904875" cy="904875"/>
                  <wp:effectExtent l="0" t="0" r="0" b="0"/>
                  <wp:docPr id="23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98" descr=""/>
                          <pic:cNvPicPr>
                            <a:picLocks noChangeAspect="1" noChangeArrowheads="1"/>
                          </pic:cNvPicPr>
                        </pic:nvPicPr>
                        <pic:blipFill>
                          <a:blip r:embed="rId99"/>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199" w:before="60" w:after="283"/>
              <w:jc w:val="center"/>
              <w:rPr>
                <w:b/>
                <w:i/>
                <w:color w:val="E2231A"/>
              </w:rPr>
            </w:pPr>
            <w:r>
              <w:rPr>
                <w:b/>
                <w:i/>
                <w:color w:val="E2231A"/>
              </w:rPr>
              <w:t>Dave Bates</w:t>
            </w:r>
            <w:r>
              <w:rPr>
                <w:b/>
                <w:i/>
                <w:caps w:val="false"/>
                <w:smallCaps w:val="false"/>
                <w:color w:val="000000"/>
                <w:spacing w:val="-2"/>
              </w:rPr>
              <w:t xml:space="preserve"> </w:t>
            </w:r>
            <w:r>
              <w:rPr>
                <w:b/>
                <w:i/>
                <w:color w:val="E2231A"/>
              </w:rPr>
              <w:br/>
            </w:r>
            <w:r>
              <w:rPr>
                <w:b w:val="false"/>
                <w:i/>
                <w:color w:val="E2231A"/>
                <w:sz w:val="19"/>
              </w:rPr>
              <w:t>Chief Operating Officer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2" w:type="dxa"/>
            <w:tcBorders/>
            <w:vAlign w:val="center"/>
          </w:tcPr>
          <w:p>
            <w:pPr>
              <w:pStyle w:val="TableContents"/>
              <w:bidi w:val="0"/>
              <w:spacing w:lineRule="atLeast" w:line="200" w:before="0" w:after="0"/>
              <w:jc w:val="both"/>
              <w:rPr>
                <w:spacing w:val="-2"/>
              </w:rPr>
            </w:pPr>
            <w:r>
              <w:rPr>
                <w:spacing w:val="-2"/>
              </w:rPr>
              <w:t xml:space="preserve">Dave Bates is responsible for all day-to-day operations in XPO’s LTL business in North America, including quality of service and the customer experience, network optimization, workforce productivity and sales. Additionally, he leads the execution of initiatives specific to XPO’s growth strategy, such as capital deployments and the company’s in-house driver school operations. Mr. Bates joined XPO in 2023 following 27 years with Old Dominion Freight Line, Inc., including 12 years as senior vice president, operations, with responsibility for all operations in North America. He started his career with roles at Carolina Freight Carriers and Roadway Express.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56" w:type="dxa"/>
            <w:tcBorders/>
            <w:vAlign w:val="center"/>
          </w:tcPr>
          <w:p>
            <w:pPr>
              <w:pStyle w:val="TableContents"/>
              <w:bidi w:val="0"/>
              <w:spacing w:before="0" w:after="0"/>
              <w:jc w:val="center"/>
              <w:rPr/>
            </w:pPr>
            <w:r>
              <w:rPr/>
              <w:drawing>
                <wp:inline distT="0" distB="0" distL="0" distR="0">
                  <wp:extent cx="904875" cy="904875"/>
                  <wp:effectExtent l="0" t="0" r="0" b="0"/>
                  <wp:docPr id="23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99" descr=""/>
                          <pic:cNvPicPr>
                            <a:picLocks noChangeAspect="1" noChangeArrowheads="1"/>
                          </pic:cNvPicPr>
                        </pic:nvPicPr>
                        <pic:blipFill>
                          <a:blip r:embed="rId100"/>
                          <a:stretch>
                            <a:fillRect/>
                          </a:stretch>
                        </pic:blipFill>
                        <pic:spPr bwMode="auto">
                          <a:xfrm>
                            <a:off x="0" y="0"/>
                            <a:ext cx="904875" cy="904875"/>
                          </a:xfrm>
                          <a:prstGeom prst="rect">
                            <a:avLst/>
                          </a:prstGeom>
                        </pic:spPr>
                      </pic:pic>
                    </a:graphicData>
                  </a:graphic>
                </wp:inline>
              </w:drawing>
            </w:r>
            <w:r>
              <w:rPr/>
              <w:t xml:space="preserve"> </w:t>
            </w:r>
          </w:p>
          <w:p>
            <w:pPr>
              <w:pStyle w:val="TableContents"/>
              <w:bidi w:val="0"/>
              <w:spacing w:lineRule="atLeast" w:line="200" w:before="58" w:after="283"/>
              <w:jc w:val="center"/>
              <w:rPr>
                <w:i/>
                <w:color w:val="E2231A"/>
                <w:sz w:val="19"/>
              </w:rPr>
            </w:pPr>
            <w:r>
              <w:rPr>
                <w:b/>
                <w:i/>
                <w:color w:val="E2231A"/>
                <w:sz w:val="18"/>
              </w:rPr>
              <w:t>Wendy Cassity</w:t>
            </w:r>
            <w:r>
              <w:rPr>
                <w:i/>
                <w:caps w:val="false"/>
                <w:smallCaps w:val="false"/>
                <w:color w:val="000000"/>
                <w:sz w:val="19"/>
              </w:rPr>
              <w:t>​</w:t>
            </w:r>
            <w:r>
              <w:rPr>
                <w:i/>
                <w:color w:val="E2231A"/>
                <w:sz w:val="19"/>
              </w:rPr>
              <w:t xml:space="preserve"> </w:t>
              <w:br/>
              <w:t xml:space="preserve">Chief Legal Officer and </w:t>
              <w:br/>
              <w:t>Corporate Secretary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2" w:type="dxa"/>
            <w:tcBorders/>
            <w:vAlign w:val="center"/>
          </w:tcPr>
          <w:p>
            <w:pPr>
              <w:pStyle w:val="TableContents"/>
              <w:bidi w:val="0"/>
              <w:spacing w:lineRule="atLeast" w:line="200" w:before="0" w:after="0"/>
              <w:jc w:val="both"/>
              <w:rPr/>
            </w:pPr>
            <w:r>
              <w:rPr>
                <w:spacing w:val="-2"/>
              </w:rPr>
              <w:t>Wendy Cassity leads XPO’s legal and compliance functions, including corporate governance, litigation and commercial matters. Prior to joining the company in March 2023, Ms. Cassity served as chief legal officer with Nuance Communications, Inc., and previously held general counsel positions at Zaya Group, a publicly traded communications infrastructure company, and at Thompson Creek Metals, a publicly traded natural resources company. Ms. Cassity has also served in private practice as a corporate transactional attorney with McDermott Will &amp; Emery, LLP, and with Cravath Swaine &amp; Moore, LLP. She holds a bachelor’s degree in English and history from the University of Arizona, and a juris doctorate degree from Columbia Law School.</w:t>
            </w:r>
            <w:r>
              <w:rPr/>
              <w:t xml:space="preserve"> </w:t>
            </w:r>
          </w:p>
        </w:tc>
        <w:tc>
          <w:tcPr>
            <w:tcW w:w="155" w:type="dxa"/>
            <w:tcBorders/>
            <w:vAlign w:val="center"/>
          </w:tcPr>
          <w:p>
            <w:pPr>
              <w:pStyle w:val="TableContents"/>
              <w:bidi w:val="0"/>
              <w:spacing w:before="0" w:after="283"/>
              <w:jc w:val="left"/>
              <w:rPr/>
            </w:pPr>
            <w:r>
              <w:rPr/>
              <w:t>​</w:t>
            </w:r>
          </w:p>
        </w:tc>
      </w:tr>
    </w:tbl>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27</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EXECUTIVE SUMMARY</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2024 Company Performance Highlights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2024, our NEOs were instrumental in driving XPO’s achievement of numerous strategic, financial and operational goals through the execution of our strategy and LTL growth plan. Despite a soft industry freight environment, the strong leadership of our NEOs delivered financial results that outpaced expectations, enhanced service quality, realized record levels of customer satisfaction and employee engagement, and positioned the business to generate sustainable long-term stockholder value:</w:t>
      </w:r>
      <w:r>
        <w:rPr>
          <w:rFonts w:ascii="Helvetica;Arial Narrow;sans-serif" w:hAnsi="Helvetica;Arial Narrow;sans-serif"/>
          <w:b w:val="false"/>
          <w:i w:val="false"/>
          <w:caps w:val="false"/>
          <w:smallCaps w:val="false"/>
          <w:color w:val="000000"/>
          <w:spacing w:val="4"/>
          <w:sz w:val="18"/>
        </w:rPr>
        <w:t xml:space="preserve"> </w:t>
      </w:r>
    </w:p>
    <w:tbl>
      <w:tblPr>
        <w:tblW w:w="9186" w:type="dxa"/>
        <w:jc w:val="left"/>
        <w:tblInd w:w="920" w:type="dxa"/>
        <w:tblLayout w:type="fixed"/>
        <w:tblCellMar>
          <w:top w:w="0" w:type="dxa"/>
          <w:left w:w="0" w:type="dxa"/>
          <w:bottom w:w="0" w:type="dxa"/>
          <w:right w:w="0" w:type="dxa"/>
        </w:tblCellMar>
      </w:tblPr>
      <w:tblGrid>
        <w:gridCol w:w="124"/>
        <w:gridCol w:w="109"/>
        <w:gridCol w:w="1852"/>
        <w:gridCol w:w="109"/>
        <w:gridCol w:w="109"/>
        <w:gridCol w:w="109"/>
        <w:gridCol w:w="1852"/>
        <w:gridCol w:w="109"/>
        <w:gridCol w:w="109"/>
        <w:gridCol w:w="109"/>
        <w:gridCol w:w="2260"/>
        <w:gridCol w:w="109"/>
        <w:gridCol w:w="109"/>
        <w:gridCol w:w="109"/>
        <w:gridCol w:w="1745"/>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28" w:type="dxa"/>
            </w:tcMar>
            <w:vAlign w:val="center"/>
          </w:tcPr>
          <w:p>
            <w:pPr>
              <w:pStyle w:val="TableContents"/>
              <w:bidi w:val="0"/>
              <w:spacing w:before="0" w:after="283"/>
              <w:jc w:val="left"/>
              <w:rPr/>
            </w:pPr>
            <w:r>
              <w:rPr/>
              <w:t>​</w:t>
            </w:r>
          </w:p>
        </w:tc>
        <w:tc>
          <w:tcPr>
            <w:tcW w:w="8690" w:type="dxa"/>
            <w:gridSpan w:val="13"/>
            <w:tcBorders>
              <w:bottom w:val="single" w:sz="2" w:space="0" w:color="7F7F7F"/>
            </w:tcBorders>
            <w:shd w:fill="D8D8D8" w:val="clear"/>
            <w:tcMar>
              <w:bottom w:w="28" w:type="dxa"/>
            </w:tcMar>
            <w:vAlign w:val="center"/>
          </w:tcPr>
          <w:p>
            <w:pPr>
              <w:pStyle w:val="TableContents"/>
              <w:bidi w:val="0"/>
              <w:spacing w:lineRule="atLeast" w:line="216" w:before="0" w:after="0"/>
              <w:jc w:val="left"/>
              <w:rPr/>
            </w:pPr>
            <w:r>
              <w:rPr>
                <w:spacing w:val="-2"/>
              </w:rPr>
              <w:t>Generated robust, year-over-year growth in 2024 financial results company-wide:</w:t>
            </w:r>
            <w:r>
              <w:rPr/>
              <w:t xml:space="preserve"> </w:t>
            </w:r>
          </w:p>
        </w:tc>
        <w:tc>
          <w:tcPr>
            <w:tcW w:w="109" w:type="dxa"/>
            <w:tcBorders>
              <w:bottom w:val="single" w:sz="2" w:space="0" w:color="7F7F7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852" w:type="dxa"/>
            <w:tcBorders>
              <w:bottom w:val="single" w:sz="6" w:space="0" w:color="7F7F7F"/>
            </w:tcBorders>
            <w:tcMar>
              <w:bottom w:w="28" w:type="dxa"/>
            </w:tcMar>
            <w:vAlign w:val="center"/>
          </w:tcPr>
          <w:p>
            <w:pPr>
              <w:pStyle w:val="TableContents"/>
              <w:bidi w:val="0"/>
              <w:spacing w:lineRule="atLeast" w:line="215" w:before="0" w:after="0"/>
              <w:jc w:val="center"/>
              <w:rPr/>
            </w:pPr>
            <w:r>
              <w:rPr>
                <w:spacing w:val="-2"/>
              </w:rPr>
              <w:t xml:space="preserve">Operating </w:t>
              <w:br/>
              <w:t>Income</w:t>
            </w:r>
            <w:r>
              <w:rPr/>
              <w:t xml:space="preserve"> </w:t>
            </w:r>
          </w:p>
          <w:p>
            <w:pPr>
              <w:pStyle w:val="TableContents"/>
              <w:bidi w:val="0"/>
              <w:spacing w:before="120" w:after="283"/>
              <w:jc w:val="center"/>
              <w:rPr>
                <w:color w:val="000000"/>
                <w:sz w:val="56"/>
              </w:rPr>
            </w:pPr>
            <w:r>
              <w:rPr>
                <w:color w:val="000000"/>
                <w:spacing w:val="-6"/>
                <w:sz w:val="56"/>
              </w:rPr>
              <w:t>$660M</w:t>
            </w:r>
            <w:r>
              <w:rPr>
                <w:color w:val="000000"/>
                <w:sz w:val="56"/>
              </w:rPr>
              <w:t xml:space="preserve"> </w:t>
            </w:r>
          </w:p>
          <w:p>
            <w:pPr>
              <w:pStyle w:val="TableContents"/>
              <w:bidi w:val="0"/>
              <w:spacing w:lineRule="atLeast" w:line="216" w:before="36" w:after="283"/>
              <w:jc w:val="center"/>
              <w:rPr/>
            </w:pPr>
            <w:r>
              <w:rPr>
                <w:spacing w:val="-2"/>
              </w:rPr>
              <w:t>up 51%</w:t>
            </w:r>
            <w:r>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852" w:type="dxa"/>
            <w:tcBorders>
              <w:bottom w:val="single" w:sz="6" w:space="0" w:color="7F7F7F"/>
            </w:tcBorders>
            <w:tcMar>
              <w:bottom w:w="70" w:type="dxa"/>
            </w:tcMar>
            <w:vAlign w:val="center"/>
          </w:tcPr>
          <w:p>
            <w:pPr>
              <w:pStyle w:val="TableContents"/>
              <w:bidi w:val="0"/>
              <w:spacing w:lineRule="atLeast" w:line="215" w:before="0" w:after="0"/>
              <w:jc w:val="center"/>
              <w:rPr/>
            </w:pPr>
            <w:r>
              <w:rPr>
                <w:spacing w:val="-2"/>
              </w:rPr>
              <w:t xml:space="preserve">Net </w:t>
              <w:br/>
              <w:t>Income</w:t>
            </w:r>
            <w:r>
              <w:rPr/>
              <w:t xml:space="preserve"> </w:t>
            </w:r>
          </w:p>
          <w:p>
            <w:pPr>
              <w:pStyle w:val="TableContents"/>
              <w:bidi w:val="0"/>
              <w:spacing w:before="120" w:after="283"/>
              <w:jc w:val="center"/>
              <w:rPr>
                <w:color w:val="000000"/>
                <w:sz w:val="56"/>
              </w:rPr>
            </w:pPr>
            <w:r>
              <w:rPr>
                <w:color w:val="000000"/>
                <w:spacing w:val="-6"/>
                <w:sz w:val="56"/>
              </w:rPr>
              <w:t>$387M</w:t>
            </w:r>
            <w:r>
              <w:rPr>
                <w:color w:val="000000"/>
                <w:sz w:val="56"/>
              </w:rPr>
              <w:t xml:space="preserve"> </w:t>
            </w:r>
          </w:p>
          <w:p>
            <w:pPr>
              <w:pStyle w:val="TableContents"/>
              <w:bidi w:val="0"/>
              <w:spacing w:lineRule="atLeast" w:line="216" w:before="36" w:after="283"/>
              <w:jc w:val="center"/>
              <w:rPr/>
            </w:pPr>
            <w:r>
              <w:rPr>
                <w:spacing w:val="-2"/>
              </w:rPr>
              <w:t>up 105%</w:t>
            </w:r>
            <w:r>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2260" w:type="dxa"/>
            <w:tcBorders>
              <w:bottom w:val="single" w:sz="6" w:space="0" w:color="7F7F7F"/>
            </w:tcBorders>
            <w:tcMar>
              <w:bottom w:w="70" w:type="dxa"/>
            </w:tcMar>
            <w:vAlign w:val="center"/>
          </w:tcPr>
          <w:p>
            <w:pPr>
              <w:pStyle w:val="TableContents"/>
              <w:bidi w:val="0"/>
              <w:spacing w:lineRule="atLeast" w:line="215" w:before="0" w:after="0"/>
              <w:jc w:val="center"/>
              <w:rPr/>
            </w:pPr>
            <w:r>
              <w:rPr>
                <w:spacing w:val="-2"/>
              </w:rPr>
              <w:t xml:space="preserve">Adjusted </w:t>
              <w:br/>
              <w:t>EBITDA</w:t>
            </w:r>
            <w:r>
              <w:rPr>
                <w:spacing w:val="-1"/>
                <w:sz w:val="11"/>
              </w:rPr>
              <w:t>(1)</w:t>
            </w:r>
            <w:r>
              <w:rPr/>
              <w:t xml:space="preserve"> </w:t>
            </w:r>
          </w:p>
          <w:p>
            <w:pPr>
              <w:pStyle w:val="TableContents"/>
              <w:bidi w:val="0"/>
              <w:spacing w:before="120" w:after="283"/>
              <w:jc w:val="center"/>
              <w:rPr>
                <w:color w:val="000000"/>
                <w:sz w:val="56"/>
              </w:rPr>
            </w:pPr>
            <w:r>
              <w:rPr>
                <w:color w:val="000000"/>
                <w:spacing w:val="-6"/>
                <w:sz w:val="56"/>
              </w:rPr>
              <w:t>$1,266M</w:t>
            </w:r>
            <w:r>
              <w:rPr>
                <w:color w:val="000000"/>
                <w:sz w:val="56"/>
              </w:rPr>
              <w:t xml:space="preserve"> </w:t>
            </w:r>
          </w:p>
          <w:p>
            <w:pPr>
              <w:pStyle w:val="TableContents"/>
              <w:bidi w:val="0"/>
              <w:spacing w:lineRule="atLeast" w:line="216" w:before="36" w:after="283"/>
              <w:jc w:val="center"/>
              <w:rPr/>
            </w:pPr>
            <w:r>
              <w:rPr>
                <w:spacing w:val="-2"/>
              </w:rPr>
              <w:t>up 27%</w:t>
            </w:r>
            <w:r>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745" w:type="dxa"/>
            <w:tcBorders>
              <w:bottom w:val="single" w:sz="6" w:space="0" w:color="7F7F7F"/>
            </w:tcBorders>
            <w:tcMar>
              <w:bottom w:w="70" w:type="dxa"/>
            </w:tcMar>
            <w:vAlign w:val="center"/>
          </w:tcPr>
          <w:p>
            <w:pPr>
              <w:pStyle w:val="TableContents"/>
              <w:bidi w:val="0"/>
              <w:spacing w:lineRule="atLeast" w:line="215" w:before="0" w:after="0"/>
              <w:jc w:val="center"/>
              <w:rPr/>
            </w:pPr>
            <w:r>
              <w:rPr>
                <w:spacing w:val="-2"/>
              </w:rPr>
              <w:t xml:space="preserve">Diluted Earnings </w:t>
              <w:br/>
              <w:t>Per Share</w:t>
            </w:r>
            <w:r>
              <w:rPr/>
              <w:t xml:space="preserve"> </w:t>
            </w:r>
          </w:p>
          <w:p>
            <w:pPr>
              <w:pStyle w:val="TableContents"/>
              <w:bidi w:val="0"/>
              <w:spacing w:before="120" w:after="283"/>
              <w:jc w:val="center"/>
              <w:rPr>
                <w:color w:val="000000"/>
                <w:sz w:val="56"/>
              </w:rPr>
            </w:pPr>
            <w:r>
              <w:rPr>
                <w:color w:val="000000"/>
                <w:spacing w:val="-6"/>
                <w:sz w:val="56"/>
              </w:rPr>
              <w:t>$3.23</w:t>
            </w:r>
            <w:r>
              <w:rPr>
                <w:color w:val="000000"/>
                <w:sz w:val="56"/>
              </w:rPr>
              <w:t xml:space="preserve"> </w:t>
            </w:r>
          </w:p>
          <w:p>
            <w:pPr>
              <w:pStyle w:val="TableContents"/>
              <w:bidi w:val="0"/>
              <w:spacing w:lineRule="atLeast" w:line="216" w:before="36" w:after="283"/>
              <w:jc w:val="center"/>
              <w:rPr/>
            </w:pPr>
            <w:r>
              <w:rPr>
                <w:spacing w:val="-2"/>
              </w:rPr>
              <w:t>up 102%</w:t>
            </w:r>
            <w:r>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09"/>
        <w:gridCol w:w="2071"/>
        <w:gridCol w:w="109"/>
        <w:gridCol w:w="109"/>
        <w:gridCol w:w="109"/>
        <w:gridCol w:w="1684"/>
        <w:gridCol w:w="109"/>
        <w:gridCol w:w="109"/>
        <w:gridCol w:w="109"/>
        <w:gridCol w:w="2049"/>
        <w:gridCol w:w="109"/>
        <w:gridCol w:w="109"/>
        <w:gridCol w:w="109"/>
        <w:gridCol w:w="2002"/>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8787" w:type="dxa"/>
            <w:gridSpan w:val="13"/>
            <w:tcBorders>
              <w:bottom w:val="single" w:sz="2" w:space="0" w:color="7F7F7F"/>
            </w:tcBorders>
            <w:shd w:fill="CCCCCC" w:val="clear"/>
            <w:tcMar>
              <w:bottom w:w="28" w:type="dxa"/>
            </w:tcMar>
            <w:vAlign w:val="center"/>
          </w:tcPr>
          <w:p>
            <w:pPr>
              <w:pStyle w:val="TableContents"/>
              <w:bidi w:val="0"/>
              <w:spacing w:lineRule="atLeast" w:line="216" w:before="0" w:after="0"/>
              <w:jc w:val="left"/>
              <w:rPr/>
            </w:pPr>
            <w:r>
              <w:rPr>
                <w:spacing w:val="-2"/>
              </w:rPr>
              <w:t>Achieved major progress on all four levers of our LTL growth plan in 2024:</w:t>
            </w:r>
            <w:r>
              <w:rPr/>
              <w:t xml:space="preserve">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56"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lineRule="atLeast" w:line="216" w:before="0" w:after="0"/>
              <w:jc w:val="center"/>
              <w:rPr/>
            </w:pPr>
            <w:r>
              <w:rPr>
                <w:spacing w:val="-2"/>
              </w:rPr>
              <w:t xml:space="preserve">PROVIDE BEST-IN-CLASS </w:t>
              <w:br/>
              <w:t>SERVICE</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lineRule="atLeast" w:line="216" w:before="0" w:after="0"/>
              <w:jc w:val="center"/>
              <w:rPr/>
            </w:pPr>
            <w:r>
              <w:rPr>
                <w:spacing w:val="-2"/>
              </w:rPr>
              <w:t xml:space="preserve">INVEST IN NETWORK </w:t>
            </w:r>
            <w:r>
              <w:rPr/>
              <w:br/>
            </w:r>
            <w:r>
              <w:rPr>
                <w:spacing w:val="-2"/>
              </w:rPr>
              <w:t xml:space="preserve">GROWTH FOR </w:t>
            </w:r>
            <w:r>
              <w:rPr/>
              <w:br/>
            </w:r>
            <w:r>
              <w:rPr>
                <w:spacing w:val="-2"/>
              </w:rPr>
              <w:t>THE LONG TERM</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9" w:type="dxa"/>
            <w:tcBorders/>
            <w:vAlign w:val="center"/>
          </w:tcPr>
          <w:p>
            <w:pPr>
              <w:pStyle w:val="TableContents"/>
              <w:bidi w:val="0"/>
              <w:spacing w:lineRule="atLeast" w:line="216" w:before="0" w:after="0"/>
              <w:jc w:val="center"/>
              <w:rPr/>
            </w:pPr>
            <w:r>
              <w:rPr>
                <w:spacing w:val="-2"/>
              </w:rPr>
              <w:t xml:space="preserve">ACCELERATE YIELD </w:t>
              <w:br/>
              <w:t>GROWTH</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2" w:type="dxa"/>
            <w:tcBorders/>
            <w:vAlign w:val="center"/>
          </w:tcPr>
          <w:p>
            <w:pPr>
              <w:pStyle w:val="TableContents"/>
              <w:bidi w:val="0"/>
              <w:spacing w:lineRule="atLeast" w:line="216" w:before="0" w:after="0"/>
              <w:jc w:val="center"/>
              <w:rPr/>
            </w:pPr>
            <w:r>
              <w:rPr>
                <w:spacing w:val="-2"/>
              </w:rPr>
              <w:t xml:space="preserve">DRIVE COST </w:t>
              <w:br/>
              <w:t>EFFICIENCIES</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2071" w:type="dxa"/>
            <w:tcBorders>
              <w:bottom w:val="single" w:sz="2" w:space="0" w:color="7F7F7F"/>
            </w:tcBorders>
            <w:tcMar>
              <w:bottom w:w="54" w:type="dxa"/>
            </w:tcMar>
            <w:vAlign w:val="center"/>
          </w:tcPr>
          <w:p>
            <w:pPr>
              <w:pStyle w:val="TableContents"/>
              <w:bidi w:val="0"/>
              <w:spacing w:lineRule="atLeast" w:line="216" w:before="0" w:after="0"/>
              <w:ind w:left="180" w:right="0" w:hanging="0"/>
              <w:jc w:val="left"/>
              <w:rPr>
                <w:spacing w:val="-2"/>
              </w:rPr>
            </w:pPr>
            <w:r>
              <w:rPr>
                <w:spacing w:val="-2"/>
              </w:rPr>
              <w:t xml:space="preserve">Damage claims ratio of 0.2% in Q4, compared with 1.2% at year-end 2021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114300" cy="525780"/>
                      <wp:effectExtent l="0" t="0" r="0" b="0"/>
                      <wp:wrapSquare wrapText="right"/>
                      <wp:docPr id="238" name="Frame13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Improved on-time performance from 2023</w:t>
            </w:r>
            <w:r>
              <w:rPr/>
              <w:t xml:space="preserve"> </w:t>
            </w:r>
            <w:r>
              <mc:AlternateContent>
                <mc:Choice Requires="wps">
                  <w:drawing>
                    <wp:anchor behindDoc="0" distT="99060" distB="0" distL="0" distR="0" simplePos="0" locked="0" layoutInCell="1" allowOverlap="1" relativeHeight="269">
                      <wp:simplePos x="0" y="0"/>
                      <wp:positionH relativeFrom="column">
                        <wp:align>left</wp:align>
                      </wp:positionH>
                      <wp:positionV relativeFrom="line">
                        <wp:align>top</wp:align>
                      </wp:positionV>
                      <wp:extent cx="114300" cy="525780"/>
                      <wp:effectExtent l="0" t="0" r="0" b="0"/>
                      <wp:wrapSquare wrapText="right"/>
                      <wp:docPr id="239" name="Frame14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360" w:right="0" w:hanging="0"/>
              <w:jc w:val="left"/>
              <w:rPr>
                <w:spacing w:val="-2"/>
              </w:rPr>
            </w:pPr>
            <w:r>
              <w:rPr>
                <w:spacing w:val="-2"/>
              </w:rPr>
              <w:t xml:space="preserve">Q4 was the eleventh consecutive quarter of year-over-year improvement </w:t>
            </w:r>
            <w:r>
              <mc:AlternateContent>
                <mc:Choice Requires="wps">
                  <w:drawing>
                    <wp:anchor behindDoc="0" distT="99060" distB="0" distL="114300" distR="0" simplePos="0" locked="0" layoutInCell="1" allowOverlap="1" relativeHeight="270">
                      <wp:simplePos x="0" y="0"/>
                      <wp:positionH relativeFrom="column">
                        <wp:align>left</wp:align>
                      </wp:positionH>
                      <wp:positionV relativeFrom="line">
                        <wp:align>top</wp:align>
                      </wp:positionV>
                      <wp:extent cx="114300" cy="350520"/>
                      <wp:effectExtent l="0" t="0" r="0" b="0"/>
                      <wp:wrapSquare wrapText="right"/>
                      <wp:docPr id="240" name="Frame1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6"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216"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684" w:type="dxa"/>
            <w:tcBorders>
              <w:bottom w:val="single" w:sz="2" w:space="0" w:color="7F7F7F"/>
            </w:tcBorders>
            <w:tcMar>
              <w:bottom w:w="54" w:type="dxa"/>
            </w:tcMar>
            <w:vAlign w:val="center"/>
          </w:tcPr>
          <w:p>
            <w:pPr>
              <w:pStyle w:val="TableContents"/>
              <w:bidi w:val="0"/>
              <w:spacing w:lineRule="atLeast" w:line="216" w:before="0" w:after="0"/>
              <w:ind w:left="180" w:right="0" w:hanging="0"/>
              <w:jc w:val="left"/>
              <w:rPr/>
            </w:pPr>
            <w:r>
              <w:rPr>
                <w:spacing w:val="-2"/>
              </w:rPr>
              <w:t>Added 2,300+ tractors and 4,400+ trailers</w:t>
            </w:r>
            <w:r>
              <w:rPr/>
              <w:t xml:space="preserve"> </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114300" cy="525780"/>
                      <wp:effectExtent l="0" t="0" r="0" b="0"/>
                      <wp:wrapSquare wrapText="right"/>
                      <wp:docPr id="241" name="Frame14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360" w:right="0" w:hanging="0"/>
              <w:jc w:val="left"/>
              <w:rPr/>
            </w:pPr>
            <w:r>
              <w:rPr>
                <w:spacing w:val="-2"/>
              </w:rPr>
              <w:t>Reduced tractor age to 4.1 years at year-end 2024, compared with 5.9 years at year-end 2022</w:t>
            </w:r>
            <w:r>
              <w:rPr/>
              <w:t xml:space="preserve"> </w:t>
            </w:r>
            <w:r>
              <mc:AlternateContent>
                <mc:Choice Requires="wps">
                  <w:drawing>
                    <wp:anchor behindDoc="0" distT="99060" distB="0" distL="114300" distR="0" simplePos="0" locked="0" layoutInCell="1" allowOverlap="1" relativeHeight="272">
                      <wp:simplePos x="0" y="0"/>
                      <wp:positionH relativeFrom="column">
                        <wp:align>left</wp:align>
                      </wp:positionH>
                      <wp:positionV relativeFrom="line">
                        <wp:align>top</wp:align>
                      </wp:positionV>
                      <wp:extent cx="114300" cy="350520"/>
                      <wp:effectExtent l="0" t="0" r="0" b="0"/>
                      <wp:wrapSquare wrapText="right"/>
                      <wp:docPr id="242" name="Frame1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6"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216"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spacing w:val="-2"/>
              </w:rPr>
            </w:pPr>
            <w:r>
              <w:rPr>
                <w:spacing w:val="-2"/>
              </w:rPr>
              <w:t xml:space="preserve">Seamlessly integrated 25 new service centers into our network, bringing our footprint to 303 service centers </w:t>
            </w:r>
            <w:r>
              <mc:AlternateContent>
                <mc:Choice Requires="wps">
                  <w:drawing>
                    <wp:anchor behindDoc="0" distT="99060" distB="0" distL="0" distR="0" simplePos="0" locked="0" layoutInCell="1" allowOverlap="1" relativeHeight="273">
                      <wp:simplePos x="0" y="0"/>
                      <wp:positionH relativeFrom="column">
                        <wp:align>left</wp:align>
                      </wp:positionH>
                      <wp:positionV relativeFrom="line">
                        <wp:align>top</wp:align>
                      </wp:positionV>
                      <wp:extent cx="114300" cy="525780"/>
                      <wp:effectExtent l="0" t="0" r="0" b="0"/>
                      <wp:wrapSquare wrapText="right"/>
                      <wp:docPr id="243" name="Frame14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2049" w:type="dxa"/>
            <w:tcBorders>
              <w:bottom w:val="single" w:sz="2" w:space="0" w:color="7F7F7F"/>
            </w:tcBorders>
            <w:tcMar>
              <w:bottom w:w="54" w:type="dxa"/>
            </w:tcMar>
            <w:vAlign w:val="center"/>
          </w:tcPr>
          <w:p>
            <w:pPr>
              <w:pStyle w:val="TableContents"/>
              <w:bidi w:val="0"/>
              <w:spacing w:lineRule="atLeast" w:line="216" w:before="0" w:after="0"/>
              <w:ind w:left="180" w:right="0" w:hanging="0"/>
              <w:jc w:val="left"/>
              <w:rPr/>
            </w:pPr>
            <w:r>
              <w:rPr>
                <w:spacing w:val="-2"/>
              </w:rPr>
              <w:t>Grew yield ex-fuel by 7.8% from 2023</w:t>
            </w:r>
            <w:r>
              <w:rPr/>
              <w:t xml:space="preserve"> </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114300" cy="525780"/>
                      <wp:effectExtent l="0" t="0" r="0" b="0"/>
                      <wp:wrapSquare wrapText="right"/>
                      <wp:docPr id="244" name="Frame14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360" w:right="0" w:hanging="0"/>
              <w:jc w:val="left"/>
              <w:rPr>
                <w:spacing w:val="-2"/>
              </w:rPr>
            </w:pPr>
            <w:r>
              <w:rPr>
                <w:spacing w:val="-2"/>
              </w:rPr>
              <w:t xml:space="preserve">Driven by enhanced service quality, expansion of accessorial services and sales growth with local customers </w:t>
            </w:r>
            <w:r>
              <mc:AlternateContent>
                <mc:Choice Requires="wps">
                  <w:drawing>
                    <wp:anchor behindDoc="0" distT="99060" distB="0" distL="114300" distR="0" simplePos="0" locked="0" layoutInCell="1" allowOverlap="1" relativeHeight="275">
                      <wp:simplePos x="0" y="0"/>
                      <wp:positionH relativeFrom="column">
                        <wp:align>left</wp:align>
                      </wp:positionH>
                      <wp:positionV relativeFrom="line">
                        <wp:align>top</wp:align>
                      </wp:positionV>
                      <wp:extent cx="114300" cy="350520"/>
                      <wp:effectExtent l="0" t="0" r="0" b="0"/>
                      <wp:wrapSquare wrapText="right"/>
                      <wp:docPr id="245" name="Frame1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6"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216"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2002" w:type="dxa"/>
            <w:tcBorders>
              <w:bottom w:val="single" w:sz="2" w:space="0" w:color="7F7F7F"/>
            </w:tcBorders>
            <w:tcMar>
              <w:bottom w:w="54" w:type="dxa"/>
            </w:tcMar>
            <w:vAlign w:val="center"/>
          </w:tcPr>
          <w:p>
            <w:pPr>
              <w:pStyle w:val="TableContents"/>
              <w:bidi w:val="0"/>
              <w:spacing w:lineRule="atLeast" w:line="216" w:before="0" w:after="0"/>
              <w:ind w:left="180" w:right="0" w:hanging="0"/>
              <w:jc w:val="left"/>
              <w:rPr/>
            </w:pPr>
            <w:r>
              <w:rPr>
                <w:spacing w:val="-2"/>
              </w:rPr>
              <w:t>Reduced purchased transportation expense by 32% from 2023</w:t>
            </w:r>
            <w:r>
              <w:rPr/>
              <w:t xml:space="preserve">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114300" cy="525780"/>
                      <wp:effectExtent l="0" t="0" r="0" b="0"/>
                      <wp:wrapSquare wrapText="right"/>
                      <wp:docPr id="246" name="Frame14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Reduced linehaul miles outsourced to third parties by 890 basis points to 14.7% of total miles</w:t>
            </w:r>
            <w:r>
              <w:rPr/>
              <w:t xml:space="preserve"> </w:t>
            </w:r>
            <w:r>
              <mc:AlternateContent>
                <mc:Choice Requires="wps">
                  <w:drawing>
                    <wp:anchor behindDoc="0" distT="99060" distB="0" distL="0" distR="0" simplePos="0" locked="0" layoutInCell="1" allowOverlap="1" relativeHeight="277">
                      <wp:simplePos x="0" y="0"/>
                      <wp:positionH relativeFrom="column">
                        <wp:align>left</wp:align>
                      </wp:positionH>
                      <wp:positionV relativeFrom="line">
                        <wp:align>top</wp:align>
                      </wp:positionV>
                      <wp:extent cx="114300" cy="525780"/>
                      <wp:effectExtent l="0" t="0" r="0" b="0"/>
                      <wp:wrapSquare wrapText="right"/>
                      <wp:docPr id="247" name="Frame14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Exited the year at 10.7% linehaul miles outsourced to third parties in Q4, best level in company history</w:t>
            </w:r>
            <w:r>
              <w:rPr/>
              <w:t xml:space="preserve"> </w:t>
            </w:r>
            <w:r>
              <mc:AlternateContent>
                <mc:Choice Requires="wps">
                  <w:drawing>
                    <wp:anchor behindDoc="0" distT="99060" distB="0" distL="0" distR="0" simplePos="0" locked="0" layoutInCell="1" allowOverlap="1" relativeHeight="278">
                      <wp:simplePos x="0" y="0"/>
                      <wp:positionH relativeFrom="column">
                        <wp:align>left</wp:align>
                      </wp:positionH>
                      <wp:positionV relativeFrom="line">
                        <wp:align>top</wp:align>
                      </wp:positionV>
                      <wp:extent cx="114300" cy="525780"/>
                      <wp:effectExtent l="0" t="0" r="0" b="0"/>
                      <wp:wrapSquare wrapText="right"/>
                      <wp:docPr id="248" name="Frame14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Leveraged proprietary technology to drive productivity gains</w:t>
            </w:r>
            <w:r>
              <w:rPr/>
              <w:t xml:space="preserve"> </w:t>
            </w:r>
            <w:r>
              <mc:AlternateContent>
                <mc:Choice Requires="wps">
                  <w:drawing>
                    <wp:anchor behindDoc="0" distT="99060" distB="0" distL="0" distR="0" simplePos="0" locked="0" layoutInCell="1" allowOverlap="1" relativeHeight="279">
                      <wp:simplePos x="0" y="0"/>
                      <wp:positionH relativeFrom="column">
                        <wp:align>left</wp:align>
                      </wp:positionH>
                      <wp:positionV relativeFrom="line">
                        <wp:align>top</wp:align>
                      </wp:positionV>
                      <wp:extent cx="114300" cy="525780"/>
                      <wp:effectExtent l="0" t="0" r="0" b="0"/>
                      <wp:wrapSquare wrapText="right"/>
                      <wp:docPr id="249" name="Frame15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7" w:type="dxa"/>
            <w:gridSpan w:val="13"/>
            <w:tcBorders/>
            <w:vAlign w:val="center"/>
          </w:tcPr>
          <w:p>
            <w:pPr>
              <w:pStyle w:val="TableContents"/>
              <w:bidi w:val="0"/>
              <w:spacing w:before="0" w:after="283"/>
              <w:jc w:val="left"/>
              <w:rPr/>
            </w:pPr>
            <w:r>
              <w:rPr>
                <w:spacing w:val="-2"/>
              </w:rPr>
              <w:t>Delivered above-market LTL growth and profitability:</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87" w:type="dxa"/>
            <w:gridSpan w:val="13"/>
            <w:tcBorders/>
            <w:vAlign w:val="center"/>
          </w:tcPr>
          <w:p>
            <w:pPr>
              <w:pStyle w:val="TableContents"/>
              <w:bidi w:val="0"/>
              <w:spacing w:lineRule="atLeast" w:line="180" w:before="0" w:after="0"/>
              <w:ind w:left="180" w:right="0" w:hanging="0"/>
              <w:jc w:val="left"/>
              <w:rPr>
                <w:spacing w:val="-2"/>
                <w:sz w:val="18"/>
              </w:rPr>
            </w:pPr>
            <w:r>
              <w:rPr>
                <w:spacing w:val="-2"/>
                <w:sz w:val="18"/>
              </w:rPr>
              <w:t xml:space="preserve">Generated 2024 segment revenue (excluding fuel surcharge revenue) of $4.1 billion, up 7.9% year-over-year </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114300" cy="464820"/>
                      <wp:effectExtent l="0" t="0" r="0" b="0"/>
                      <wp:wrapSquare wrapText="right"/>
                      <wp:docPr id="250" name="Frame151"/>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Grew operating income to $735 million, up 36% year-over-year </w:t>
            </w:r>
            <w:r>
              <mc:AlternateContent>
                <mc:Choice Requires="wps">
                  <w:drawing>
                    <wp:anchor behindDoc="0" distT="99060" distB="0" distL="0" distR="0" simplePos="0" locked="0" layoutInCell="1" allowOverlap="1" relativeHeight="281">
                      <wp:simplePos x="0" y="0"/>
                      <wp:positionH relativeFrom="column">
                        <wp:align>left</wp:align>
                      </wp:positionH>
                      <wp:positionV relativeFrom="line">
                        <wp:align>top</wp:align>
                      </wp:positionV>
                      <wp:extent cx="114300" cy="464820"/>
                      <wp:effectExtent l="0" t="0" r="0" b="0"/>
                      <wp:wrapSquare wrapText="right"/>
                      <wp:docPr id="251" name="Frame152"/>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pPr>
            <w:r>
              <w:rPr>
                <w:spacing w:val="-2"/>
              </w:rPr>
              <w:t>Improved adjusted operating ratio</w:t>
            </w:r>
            <w:r>
              <w:rPr>
                <w:color w:val="404040"/>
                <w:spacing w:val="-1"/>
                <w:sz w:val="11"/>
              </w:rPr>
              <w:t>(1)</w:t>
            </w:r>
            <w:r>
              <w:rPr>
                <w:spacing w:val="-2"/>
              </w:rPr>
              <w:t xml:space="preserve"> by 260 basis points year-over-year to 84.8%, ahead of our target range </w:t>
            </w:r>
            <w:r>
              <mc:AlternateContent>
                <mc:Choice Requires="wps">
                  <w:drawing>
                    <wp:anchor behindDoc="0" distT="99060" distB="0" distL="0" distR="0" simplePos="0" locked="0" layoutInCell="1" allowOverlap="1" relativeHeight="282">
                      <wp:simplePos x="0" y="0"/>
                      <wp:positionH relativeFrom="column">
                        <wp:align>left</wp:align>
                      </wp:positionH>
                      <wp:positionV relativeFrom="line">
                        <wp:align>top</wp:align>
                      </wp:positionV>
                      <wp:extent cx="114300" cy="525780"/>
                      <wp:effectExtent l="0" t="0" r="0" b="0"/>
                      <wp:wrapSquare wrapText="right"/>
                      <wp:docPr id="252" name="Frame15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Grew adjusted EBITDA to $1.1 billion, up 29% year-over-year </w:t>
            </w:r>
            <w:r>
              <mc:AlternateContent>
                <mc:Choice Requires="wps">
                  <w:drawing>
                    <wp:anchor behindDoc="0" distT="99060" distB="0" distL="0" distR="0" simplePos="0" locked="0" layoutInCell="1" allowOverlap="1" relativeHeight="283">
                      <wp:simplePos x="0" y="0"/>
                      <wp:positionH relativeFrom="column">
                        <wp:align>left</wp:align>
                      </wp:positionH>
                      <wp:positionV relativeFrom="line">
                        <wp:align>top</wp:align>
                      </wp:positionV>
                      <wp:extent cx="114300" cy="464820"/>
                      <wp:effectExtent l="0" t="0" r="0" b="0"/>
                      <wp:wrapSquare wrapText="right"/>
                      <wp:docPr id="253" name="Frame154"/>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Improved adjusted EBITDA margin by 430 basis points year-over-year to 22.8% </w:t>
            </w:r>
            <w:r>
              <mc:AlternateContent>
                <mc:Choice Requires="wps">
                  <w:drawing>
                    <wp:anchor behindDoc="0" distT="99060" distB="0" distL="0" distR="0" simplePos="0" locked="0" layoutInCell="1" allowOverlap="1" relativeHeight="284">
                      <wp:simplePos x="0" y="0"/>
                      <wp:positionH relativeFrom="column">
                        <wp:align>left</wp:align>
                      </wp:positionH>
                      <wp:positionV relativeFrom="line">
                        <wp:align>top</wp:align>
                      </wp:positionV>
                      <wp:extent cx="114300" cy="464820"/>
                      <wp:effectExtent l="0" t="0" r="0" b="0"/>
                      <wp:wrapSquare wrapText="right"/>
                      <wp:docPr id="254" name="Frame155"/>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8787" w:type="dxa"/>
            <w:gridSpan w:val="13"/>
            <w:tcBorders>
              <w:bottom w:val="single" w:sz="6" w:space="0" w:color="7F7F7F"/>
            </w:tcBorders>
            <w:tcMar>
              <w:bottom w:w="28" w:type="dxa"/>
            </w:tcMar>
            <w:vAlign w:val="center"/>
          </w:tcPr>
          <w:p>
            <w:pPr>
              <w:pStyle w:val="TableContents"/>
              <w:bidi w:val="0"/>
              <w:spacing w:before="0" w:after="0"/>
              <w:jc w:val="left"/>
              <w:rPr>
                <w:color w:val="404040"/>
              </w:rPr>
            </w:pPr>
            <w:r>
              <w:rPr>
                <w:color w:val="404040"/>
                <w:spacing w:val="-1"/>
                <w:sz w:val="11"/>
              </w:rPr>
              <w:t>(1)</w:t>
            </w:r>
            <w:r>
              <w:rPr>
                <w:color w:val="404040"/>
                <w:spacing w:val="-2"/>
              </w:rPr>
              <w:t xml:space="preserve"> </w:t>
            </w:r>
            <w:r>
              <w:rPr>
                <w:color w:val="404040"/>
                <w:spacing w:val="-2"/>
                <w:sz w:val="18"/>
              </w:rPr>
              <w:t>See Annex A for reconciliations of non-GAAP measures.</w:t>
            </w:r>
            <w:r>
              <w:rPr>
                <w:color w:val="404040"/>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09"/>
        <w:gridCol w:w="878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8789" w:type="dxa"/>
            <w:tcBorders>
              <w:bottom w:val="single" w:sz="2" w:space="0" w:color="7F7F7F"/>
            </w:tcBorders>
            <w:shd w:fill="CCCCCC" w:val="clear"/>
            <w:tcMar>
              <w:bottom w:w="40" w:type="dxa"/>
            </w:tcMar>
            <w:vAlign w:val="center"/>
          </w:tcPr>
          <w:p>
            <w:pPr>
              <w:pStyle w:val="TableContents"/>
              <w:bidi w:val="0"/>
              <w:spacing w:lineRule="atLeast" w:line="216" w:before="0" w:after="0"/>
              <w:jc w:val="left"/>
              <w:rPr/>
            </w:pPr>
            <w:r>
              <w:rPr>
                <w:spacing w:val="-2"/>
              </w:rPr>
              <w:t>Attained all-time-high employee engagement:</w:t>
            </w:r>
            <w:r>
              <w:rPr/>
              <w:t xml:space="preserve">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8789" w:type="dxa"/>
            <w:tcBorders>
              <w:bottom w:val="single" w:sz="6" w:space="0" w:color="7F7F7F"/>
            </w:tcBorders>
            <w:tcMar>
              <w:bottom w:w="80" w:type="dxa"/>
            </w:tcMar>
            <w:vAlign w:val="center"/>
          </w:tcPr>
          <w:p>
            <w:pPr>
              <w:pStyle w:val="TableContents"/>
              <w:bidi w:val="0"/>
              <w:spacing w:lineRule="atLeast" w:line="216" w:before="0" w:after="0"/>
              <w:ind w:left="180" w:right="0" w:hanging="0"/>
              <w:jc w:val="left"/>
              <w:rPr>
                <w:spacing w:val="-2"/>
              </w:rPr>
            </w:pPr>
            <w:r>
              <w:rPr>
                <w:spacing w:val="-2"/>
              </w:rPr>
              <w:t xml:space="preserve">Globally, overall satisfaction rose for another year, showing sequential year-over-year improvement among the company’s total wired employee population; Q1 2024 was a new company record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114300" cy="525780"/>
                      <wp:effectExtent l="0" t="0" r="0" b="0"/>
                      <wp:wrapSquare wrapText="right"/>
                      <wp:docPr id="255" name="Frame15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 xml:space="preserve">Most recent </w:t>
            </w:r>
            <w:r>
              <w:rPr>
                <w:i/>
              </w:rPr>
              <w:t>North American Dockworker, Driver and Manufacturing Survey</w:t>
            </w:r>
            <w:r>
              <w:rPr>
                <w:spacing w:val="-2"/>
              </w:rPr>
              <w:t xml:space="preserve"> response rate was 86.7%, with over 13,000 LTL employees participating </w:t>
            </w:r>
            <w:r>
              <mc:AlternateContent>
                <mc:Choice Requires="wps">
                  <w:drawing>
                    <wp:anchor behindDoc="0" distT="99060" distB="0" distL="0" distR="0" simplePos="0" locked="0" layoutInCell="1" allowOverlap="1" relativeHeight="286">
                      <wp:simplePos x="0" y="0"/>
                      <wp:positionH relativeFrom="column">
                        <wp:align>left</wp:align>
                      </wp:positionH>
                      <wp:positionV relativeFrom="line">
                        <wp:align>top</wp:align>
                      </wp:positionV>
                      <wp:extent cx="114300" cy="525780"/>
                      <wp:effectExtent l="0" t="0" r="0" b="0"/>
                      <wp:wrapSquare wrapText="right"/>
                      <wp:docPr id="256" name="Frame15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Increased 2024 job satisfaction to the highest score in the company’s recorded history for LTL </w:t>
            </w:r>
            <w:r>
              <mc:AlternateContent>
                <mc:Choice Requires="wps">
                  <w:drawing>
                    <wp:anchor behindDoc="0" distT="99060" distB="0" distL="0" distR="0" simplePos="0" locked="0" layoutInCell="1" allowOverlap="1" relativeHeight="287">
                      <wp:simplePos x="0" y="0"/>
                      <wp:positionH relativeFrom="column">
                        <wp:align>left</wp:align>
                      </wp:positionH>
                      <wp:positionV relativeFrom="line">
                        <wp:align>top</wp:align>
                      </wp:positionV>
                      <wp:extent cx="114300" cy="464820"/>
                      <wp:effectExtent l="0" t="0" r="0" b="0"/>
                      <wp:wrapSquare wrapText="right"/>
                      <wp:docPr id="257" name="Frame158"/>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left"/>
              <w:rPr/>
            </w:pPr>
            <w:r>
              <w:rPr>
                <w:spacing w:val="-2"/>
              </w:rPr>
              <w:t>Reduced voluntary turnover in three key LTL employee groups by year-end 2024: a 7% decrease in dockworker turnover, and a 3% decrease in turnover for both driver sales representatives and freight operations supervisors</w:t>
            </w:r>
            <w:r>
              <w:rPr/>
              <w:t xml:space="preserve"> </w:t>
            </w:r>
            <w:r>
              <mc:AlternateContent>
                <mc:Choice Requires="wps">
                  <w:drawing>
                    <wp:anchor behindDoc="0" distT="99060" distB="0" distL="0" distR="0" simplePos="0" locked="0" layoutInCell="1" allowOverlap="1" relativeHeight="288">
                      <wp:simplePos x="0" y="0"/>
                      <wp:positionH relativeFrom="column">
                        <wp:align>left</wp:align>
                      </wp:positionH>
                      <wp:positionV relativeFrom="line">
                        <wp:align>top</wp:align>
                      </wp:positionV>
                      <wp:extent cx="114300" cy="525780"/>
                      <wp:effectExtent l="0" t="0" r="0" b="0"/>
                      <wp:wrapSquare wrapText="right"/>
                      <wp:docPr id="258" name="Frame15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216"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28</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0" w:type="dxa"/>
          <w:right w:w="0" w:type="dxa"/>
        </w:tblCellMar>
      </w:tblPr>
      <w:tblGrid>
        <w:gridCol w:w="124"/>
        <w:gridCol w:w="109"/>
        <w:gridCol w:w="878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8789" w:type="dxa"/>
            <w:tcBorders>
              <w:bottom w:val="single" w:sz="2" w:space="0" w:color="7F7F7F"/>
            </w:tcBorders>
            <w:shd w:fill="CCCCCC" w:val="clear"/>
            <w:tcMar>
              <w:bottom w:w="40" w:type="dxa"/>
            </w:tcMar>
            <w:vAlign w:val="center"/>
          </w:tcPr>
          <w:p>
            <w:pPr>
              <w:pStyle w:val="TableContents"/>
              <w:bidi w:val="0"/>
              <w:spacing w:lineRule="atLeast" w:line="216" w:before="0" w:after="0"/>
              <w:jc w:val="left"/>
              <w:rPr/>
            </w:pPr>
            <w:r>
              <w:rPr>
                <w:spacing w:val="-2"/>
              </w:rPr>
              <w:t>Enhanced brand reputation with external recognitions</w:t>
            </w:r>
            <w:r>
              <w:rPr/>
              <w:t xml:space="preserve">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8789" w:type="dxa"/>
            <w:tcBorders>
              <w:bottom w:val="single" w:sz="6" w:space="0" w:color="7F7F7F"/>
            </w:tcBorders>
            <w:tcMar>
              <w:bottom w:w="80" w:type="dxa"/>
            </w:tcMar>
            <w:vAlign w:val="center"/>
          </w:tcPr>
          <w:p>
            <w:pPr>
              <w:pStyle w:val="TableContents"/>
              <w:bidi w:val="0"/>
              <w:spacing w:lineRule="atLeast" w:line="180" w:before="0" w:after="0"/>
              <w:ind w:left="180" w:right="0" w:hanging="0"/>
              <w:jc w:val="left"/>
              <w:rPr>
                <w:spacing w:val="-2"/>
                <w:sz w:val="18"/>
              </w:rPr>
            </w:pPr>
            <w:r>
              <w:rPr>
                <w:spacing w:val="-2"/>
                <w:sz w:val="18"/>
              </w:rPr>
              <w:t xml:space="preserve">Newsweek named XPO one of America’s Most Reliable Companies for 2025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114300" cy="464820"/>
                      <wp:effectExtent l="0" t="0" r="0" b="0"/>
                      <wp:wrapSquare wrapText="right"/>
                      <wp:docPr id="259" name="Frame160"/>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pPr>
            <w:r>
              <w:rPr>
                <w:spacing w:val="-2"/>
              </w:rPr>
              <w:t>Viqtory designated XPO as a Military Friendly</w:t>
            </w:r>
            <w:r>
              <w:rPr>
                <w:color w:val="404040"/>
                <w:spacing w:val="-1"/>
                <w:sz w:val="11"/>
              </w:rPr>
              <w:t>®</w:t>
            </w:r>
            <w:r>
              <w:rPr>
                <w:spacing w:val="-2"/>
              </w:rPr>
              <w:t xml:space="preserve"> Gold Employer for 2025 </w:t>
            </w:r>
            <w:r>
              <mc:AlternateContent>
                <mc:Choice Requires="wps">
                  <w:drawing>
                    <wp:anchor behindDoc="0" distT="99060" distB="0" distL="0" distR="0" simplePos="0" locked="0" layoutInCell="1" allowOverlap="1" relativeHeight="290">
                      <wp:simplePos x="0" y="0"/>
                      <wp:positionH relativeFrom="column">
                        <wp:align>left</wp:align>
                      </wp:positionH>
                      <wp:positionV relativeFrom="line">
                        <wp:align>top</wp:align>
                      </wp:positionV>
                      <wp:extent cx="114300" cy="525780"/>
                      <wp:effectExtent l="0" t="0" r="0" b="0"/>
                      <wp:wrapSquare wrapText="right"/>
                      <wp:docPr id="260" name="Frame16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VETS Indexes recognized XPO as a 2024 4-Star Employer for hiring and supporting veterans </w:t>
            </w:r>
            <w:r>
              <mc:AlternateContent>
                <mc:Choice Requires="wps">
                  <w:drawing>
                    <wp:anchor behindDoc="0" distT="99060" distB="0" distL="0" distR="0" simplePos="0" locked="0" layoutInCell="1" allowOverlap="1" relativeHeight="291">
                      <wp:simplePos x="0" y="0"/>
                      <wp:positionH relativeFrom="column">
                        <wp:align>left</wp:align>
                      </wp:positionH>
                      <wp:positionV relativeFrom="line">
                        <wp:align>top</wp:align>
                      </wp:positionV>
                      <wp:extent cx="114300" cy="464820"/>
                      <wp:effectExtent l="0" t="0" r="0" b="0"/>
                      <wp:wrapSquare wrapText="right"/>
                      <wp:docPr id="261" name="Frame162"/>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156" w:after="0"/>
              <w:ind w:left="180" w:right="0" w:hanging="0"/>
              <w:jc w:val="both"/>
              <w:rPr>
                <w:spacing w:val="-2"/>
              </w:rPr>
            </w:pPr>
            <w:r>
              <w:rPr>
                <w:spacing w:val="-2"/>
              </w:rPr>
              <w:t xml:space="preserve">The Women in Trucking Association named XPO one of the Top Companies For Women to Work For in Transportation for the fourth year in a row </w:t>
            </w:r>
            <w:r>
              <mc:AlternateContent>
                <mc:Choice Requires="wps">
                  <w:drawing>
                    <wp:anchor behindDoc="0" distT="99060" distB="0" distL="0" distR="0" simplePos="0" locked="0" layoutInCell="1" allowOverlap="1" relativeHeight="292">
                      <wp:simplePos x="0" y="0"/>
                      <wp:positionH relativeFrom="column">
                        <wp:align>left</wp:align>
                      </wp:positionH>
                      <wp:positionV relativeFrom="line">
                        <wp:align>top</wp:align>
                      </wp:positionV>
                      <wp:extent cx="114300" cy="525780"/>
                      <wp:effectExtent l="0" t="0" r="0" b="0"/>
                      <wp:wrapSquare wrapText="right"/>
                      <wp:docPr id="262" name="Frame16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8pt;mso-wrap-distance-bottom:0pt;margin-top:7.8pt;mso-position-vertical:top;mso-position-vertical-relative:text;margin-left:18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FreightWaves named XPO a 2025 FreightTech 25 Company for innovation in freight technology </w:t>
            </w:r>
            <w:r>
              <mc:AlternateContent>
                <mc:Choice Requires="wps">
                  <w:drawing>
                    <wp:anchor behindDoc="0" distT="99060" distB="0" distL="0" distR="0" simplePos="0" locked="0" layoutInCell="1" allowOverlap="1" relativeHeight="293">
                      <wp:simplePos x="0" y="0"/>
                      <wp:positionH relativeFrom="column">
                        <wp:align>left</wp:align>
                      </wp:positionH>
                      <wp:positionV relativeFrom="line">
                        <wp:align>top</wp:align>
                      </wp:positionV>
                      <wp:extent cx="114300" cy="464820"/>
                      <wp:effectExtent l="0" t="0" r="0" b="0"/>
                      <wp:wrapSquare wrapText="right"/>
                      <wp:docPr id="263" name="Frame164"/>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z w:val="14"/>
              </w:rPr>
            </w:pPr>
            <w:r>
              <w:rPr>
                <w:spacing w:val="-2"/>
                <w:sz w:val="18"/>
              </w:rPr>
              <w:t>The American Opportunity Index named XPO a 2024 Employer of Choice</w:t>
            </w:r>
            <w:r>
              <w:rPr>
                <w:sz w:val="14"/>
              </w:rPr>
              <w:t xml:space="preserve"> </w:t>
            </w:r>
            <w:r>
              <mc:AlternateContent>
                <mc:Choice Requires="wps">
                  <w:drawing>
                    <wp:anchor behindDoc="0" distT="99060" distB="0" distL="0" distR="0" simplePos="0" locked="0" layoutInCell="1" allowOverlap="1" relativeHeight="294">
                      <wp:simplePos x="0" y="0"/>
                      <wp:positionH relativeFrom="column">
                        <wp:align>left</wp:align>
                      </wp:positionH>
                      <wp:positionV relativeFrom="line">
                        <wp:align>top</wp:align>
                      </wp:positionV>
                      <wp:extent cx="114300" cy="464820"/>
                      <wp:effectExtent l="0" t="0" r="0" b="0"/>
                      <wp:wrapSquare wrapText="right"/>
                      <wp:docPr id="264" name="Frame165"/>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09"/>
        <w:gridCol w:w="878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8789" w:type="dxa"/>
            <w:tcBorders>
              <w:bottom w:val="single" w:sz="2" w:space="0" w:color="7F7F7F"/>
            </w:tcBorders>
            <w:shd w:fill="CCCCCC" w:val="clear"/>
            <w:tcMar>
              <w:bottom w:w="40" w:type="dxa"/>
            </w:tcMar>
            <w:vAlign w:val="center"/>
          </w:tcPr>
          <w:p>
            <w:pPr>
              <w:pStyle w:val="TableContents"/>
              <w:bidi w:val="0"/>
              <w:spacing w:lineRule="atLeast" w:line="216" w:before="0" w:after="0"/>
              <w:jc w:val="left"/>
              <w:rPr/>
            </w:pPr>
            <w:r>
              <w:rPr>
                <w:spacing w:val="-2"/>
              </w:rPr>
              <w:t>Delivered a 50% increase in total shareholder return (TSR) for 2024</w:t>
            </w:r>
            <w:r>
              <w:rPr/>
              <w:t xml:space="preserve">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8789" w:type="dxa"/>
            <w:tcBorders>
              <w:bottom w:val="single" w:sz="6" w:space="0" w:color="7F7F7F"/>
            </w:tcBorders>
            <w:tcMar>
              <w:bottom w:w="80" w:type="dxa"/>
            </w:tcMar>
            <w:vAlign w:val="center"/>
          </w:tcPr>
          <w:p>
            <w:pPr>
              <w:pStyle w:val="TableContents"/>
              <w:bidi w:val="0"/>
              <w:spacing w:lineRule="atLeast" w:line="216" w:before="0" w:after="0"/>
              <w:ind w:left="180" w:right="0" w:hanging="0"/>
              <w:jc w:val="both"/>
              <w:rPr>
                <w:spacing w:val="-2"/>
              </w:rPr>
            </w:pPr>
            <w:r>
              <w:rPr>
                <w:spacing w:val="-2"/>
              </w:rPr>
              <w:t xml:space="preserve">XPO’s stock price significantly outperformed the transportation sector and the broader market, generating more than $5.2 billion in stockholder value creation during the year. </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114300" cy="525780"/>
                      <wp:effectExtent l="0" t="0" r="0" b="0"/>
                      <wp:wrapSquare wrapText="right"/>
                      <wp:docPr id="265" name="Frame16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16"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both"/>
                              <w:rPr/>
                            </w:pPr>
                            <w:r>
                              <w:rPr>
                                <w:color w:val="E2231A"/>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pacing w:val="-2"/>
                <w:sz w:val="18"/>
              </w:rPr>
            </w:pPr>
            <w:r>
              <w:rPr>
                <w:spacing w:val="-2"/>
                <w:sz w:val="18"/>
              </w:rPr>
              <w:t xml:space="preserve">XPO was the top-performing surface transportation stock in the S&amp;P Transportation Select Index in both 2023 and 2024 </w:t>
            </w:r>
            <w:r>
              <mc:AlternateContent>
                <mc:Choice Requires="wps">
                  <w:drawing>
                    <wp:anchor behindDoc="0" distT="99060" distB="0" distL="0" distR="0" simplePos="0" locked="0" layoutInCell="1" allowOverlap="1" relativeHeight="296">
                      <wp:simplePos x="0" y="0"/>
                      <wp:positionH relativeFrom="column">
                        <wp:align>left</wp:align>
                      </wp:positionH>
                      <wp:positionV relativeFrom="line">
                        <wp:align>top</wp:align>
                      </wp:positionV>
                      <wp:extent cx="114300" cy="464820"/>
                      <wp:effectExtent l="0" t="0" r="0" b="0"/>
                      <wp:wrapSquare wrapText="right"/>
                      <wp:docPr id="266" name="Frame167"/>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0"/>
              <w:ind w:left="180" w:right="0" w:hanging="0"/>
              <w:jc w:val="left"/>
              <w:rPr>
                <w:sz w:val="14"/>
              </w:rPr>
            </w:pPr>
            <w:r>
              <w:rPr>
                <w:spacing w:val="-2"/>
                <w:sz w:val="18"/>
              </w:rPr>
              <w:t>TSR was driven by a robust combination of financial results and operational improvements</w:t>
            </w:r>
            <w:r>
              <w:rPr>
                <w:sz w:val="14"/>
              </w:rPr>
              <w:t xml:space="preserve"> </w:t>
            </w:r>
            <w:r>
              <mc:AlternateContent>
                <mc:Choice Requires="wps">
                  <w:drawing>
                    <wp:anchor behindDoc="0" distT="99060" distB="0" distL="0" distR="0" simplePos="0" locked="0" layoutInCell="1" allowOverlap="1" relativeHeight="297">
                      <wp:simplePos x="0" y="0"/>
                      <wp:positionH relativeFrom="column">
                        <wp:align>left</wp:align>
                      </wp:positionH>
                      <wp:positionV relativeFrom="line">
                        <wp:align>top</wp:align>
                      </wp:positionV>
                      <wp:extent cx="114300" cy="464820"/>
                      <wp:effectExtent l="0" t="0" r="0" b="0"/>
                      <wp:wrapSquare wrapText="right"/>
                      <wp:docPr id="267" name="Frame168"/>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7.8pt;mso-wrap-distance-bottom:0pt;margin-top:7.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E2231A"/>
                                <w:spacing w:val="-1"/>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50" w:after="283"/>
        <w:ind w:left="920" w:right="0" w:hanging="0"/>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The chart below illustrates XPO’s Total Shareholder Return (TSR), as compared to the S&amp;P 500 and S&amp;P Transportation Select Index: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105525" cy="2362200"/>
            <wp:effectExtent l="0" t="0" r="0" b="0"/>
            <wp:docPr id="26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00" descr=""/>
                    <pic:cNvPicPr>
                      <a:picLocks noChangeAspect="1" noChangeArrowheads="1"/>
                    </pic:cNvPicPr>
                  </pic:nvPicPr>
                  <pic:blipFill>
                    <a:blip r:embed="rId101"/>
                    <a:stretch>
                      <a:fillRect/>
                    </a:stretch>
                  </pic:blipFill>
                  <pic:spPr bwMode="auto">
                    <a:xfrm>
                      <a:off x="0" y="0"/>
                      <a:ext cx="6105525" cy="23622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Our NEOs are moving XPO forward from a position of strength as one of the largest LTL networks in North America, with approximately 9% share of the $52 billion LTL market, based on 2023 industry revenue. We are making significant progress in executing our plan for profitable growth and margin expansion, and we see a long runway ahead to continue to deliver outsized stockholder value.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29</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Stockholder Engagement and Responsiveness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Compensation and Human Capital Committee considers engagement with stockholders to be a critical component in formulating XPO’s executive compensation philosophy and structure. We have a robust, year-round stockholder engagement program, in which Committee members play an active role. During these engagements, we seek stockholder input through dialogue on a broad range of topics, including our executive compensation program, which informs the Committee’s decisions regarding the program and related disclosures.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At our 2024 Annual Meeting of stockholders, our directors received 99% support on average, and our say-on-pay proposal, received 97% support. These results reflect strong support for the Board and for XPO’s executive compensation program, which we designed in direct response to stockholder feedback. The Board is appreciative of our stockholders’ support and remains committed to ongoing engagement.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a part of XPO’s annual engagement efforts, in the autumn of 2024, we reached out to stockholders representing 69% of our common stock, as well as to the leading proxy advisory firms. We met with each stockholder and proxy advisor who accepted our request for engagement, representing 37% of our common stock.</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E2231A"/>
          <w:sz w:val="18"/>
        </w:rPr>
      </w:pPr>
      <w:r>
        <w:rPr>
          <w:rFonts w:ascii="Helvetica;Arial Narrow;sans-serif" w:hAnsi="Helvetica;Arial Narrow;sans-serif"/>
          <w:b/>
          <w:i w:val="false"/>
          <w:caps w:val="false"/>
          <w:smallCaps w:val="false"/>
          <w:color w:val="E2231A"/>
          <w:spacing w:val="-2"/>
          <w:sz w:val="18"/>
        </w:rPr>
        <w:t>Scope of Autumn 2024 Stockholder Outreach</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Aggregate Stockholders Holding % of Shares Outstanding</w:t>
      </w:r>
      <w:r>
        <w:rPr>
          <w:rFonts w:ascii="Helvetica;Arial Narrow;sans-serif" w:hAnsi="Helvetica;Arial Narrow;sans-serif"/>
          <w:b/>
          <w:i w:val="false"/>
          <w:caps w:val="false"/>
          <w:smallCaps w:val="false"/>
          <w:color w:val="000000"/>
          <w:spacing w:val="-1"/>
          <w:sz w:val="14"/>
        </w:rPr>
        <w:t>(1)</w:t>
      </w:r>
      <w:r>
        <w:rPr>
          <w:rFonts w:ascii="Helvetica;Arial Narrow;sans-serif" w:hAnsi="Helvetica;Arial Narrow;sans-serif"/>
          <w:b/>
          <w:i w:val="false"/>
          <w:caps w:val="false"/>
          <w:smallCaps w:val="false"/>
          <w:color w:val="000000"/>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114800" cy="1524000"/>
            <wp:effectExtent l="0" t="0" r="0" b="0"/>
            <wp:docPr id="26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01" descr=""/>
                    <pic:cNvPicPr>
                      <a:picLocks noChangeAspect="1" noChangeArrowheads="1"/>
                    </pic:cNvPicPr>
                  </pic:nvPicPr>
                  <pic:blipFill>
                    <a:blip r:embed="rId102"/>
                    <a:stretch>
                      <a:fillRect/>
                    </a:stretch>
                  </pic:blipFill>
                  <pic:spPr bwMode="auto">
                    <a:xfrm>
                      <a:off x="0" y="0"/>
                      <a:ext cx="4114800" cy="1524000"/>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22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Calculated based on stockholder positions and shares outstanding as of September 6, 2024, representing time of outreach and engagement.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139700" distB="0" distL="0" distR="0" simplePos="0" locked="0" layoutInCell="1" allowOverlap="1" relativeHeight="298">
                <wp:simplePos x="0" y="0"/>
                <wp:positionH relativeFrom="column">
                  <wp:align>left</wp:align>
                </wp:positionH>
                <wp:positionV relativeFrom="line">
                  <wp:align>top</wp:align>
                </wp:positionV>
                <wp:extent cx="254000" cy="241300"/>
                <wp:effectExtent l="0" t="0" r="0" b="0"/>
                <wp:wrapSquare wrapText="right"/>
                <wp:docPr id="270" name="Frame169"/>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5"/>
                              </w:rPr>
                              <w:t>(1)</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5"/>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During these engagements, stockholders voiced their appreciation for XPO’s responsiveness to prior feedback in designing an executive compensation program with a formulaic short-term incentive structure based on key operational metrics and an annual long-term incentive award with multi-year performance and vesting periods. Stockholders also appreciated the robust CD&amp;A disclosures that were further enhanced in last year’s CD&amp;A in response to feedback, including the Committee’s approach to establishing executive pay levels based on market pay practices and individual qualifications. Overall, stockholders expressed support for our compensation program, its strong alignment of pay with performance, its ability to drive long-term stockholder value, and its effectiveness in retaining key executive talent.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After considering the 2024 say-on-pay result and the feedback received during our engagement with stockholders, the Compensation and Human Capital Committee determined that our current executive compensation program design continues to best serve XPO and its stockholders. This year’s CD&amp;A continues to provide robust disclosures on our program’s alignment of pay with performance.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30</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OUR EXECUTIVE COMPENSATION PHILOSOPHY AND OBJECTIVES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Compensation Philosophy</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executive compensation program is designed to incent and reward outstanding performance and retain exceptional leadership talent. The Compensation and Human Capital Committee’s pay-for-performance philosophy is focused on rewarding our NEOs for performance that creates substantial, long-term value for our stockholders. Awards are designed to tie closely to the company’s strategic operating plans, as communicated broadly to our investor community, and to ensure alignment with public expectations. The Committee’s goal is to ensure our executives remain focused on executing to exceptional operational standards, are incentivized to outperform industry competitors, and are motivated to drive long-term stockholder value creation.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42"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guiding principles and sound compensation practices align the compensation of our NEOs with company performance, taking into consideration the size, scope and success of the business as follows:</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0" w:type="dxa"/>
          <w:right w:w="0" w:type="dxa"/>
        </w:tblCellMar>
      </w:tblPr>
      <w:tblGrid>
        <w:gridCol w:w="124"/>
        <w:gridCol w:w="109"/>
        <w:gridCol w:w="2299"/>
        <w:gridCol w:w="109"/>
        <w:gridCol w:w="109"/>
        <w:gridCol w:w="109"/>
        <w:gridCol w:w="6162"/>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2299" w:type="dxa"/>
            <w:tcBorders>
              <w:bottom w:val="single" w:sz="4" w:space="0" w:color="7F7F7F"/>
            </w:tcBorders>
            <w:tcMar>
              <w:bottom w:w="41" w:type="dxa"/>
            </w:tcMar>
            <w:vAlign w:val="center"/>
          </w:tcPr>
          <w:p>
            <w:pPr>
              <w:pStyle w:val="TableContents"/>
              <w:bidi w:val="0"/>
              <w:spacing w:before="0" w:after="0"/>
              <w:jc w:val="left"/>
              <w:rPr>
                <w:b/>
              </w:rPr>
            </w:pPr>
            <w:r>
              <w:rPr>
                <w:b/>
                <w:spacing w:val="-2"/>
              </w:rPr>
              <w:t>Pay-for-Performance</w:t>
            </w:r>
            <w:r>
              <w:rPr>
                <w:b/>
              </w:rPr>
              <w:t xml:space="preserve">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6162" w:type="dxa"/>
            <w:tcBorders>
              <w:bottom w:val="single" w:sz="4" w:space="0" w:color="7F7F7F"/>
            </w:tcBorders>
            <w:tcMar>
              <w:bottom w:w="41" w:type="dxa"/>
            </w:tcMar>
            <w:vAlign w:val="center"/>
          </w:tcPr>
          <w:p>
            <w:pPr>
              <w:pStyle w:val="TableContents"/>
              <w:bidi w:val="0"/>
              <w:spacing w:lineRule="atLeast" w:line="216" w:before="0" w:after="0"/>
              <w:jc w:val="both"/>
              <w:rPr>
                <w:spacing w:val="-2"/>
              </w:rPr>
            </w:pPr>
            <w:r>
              <w:rPr>
                <w:spacing w:val="-2"/>
              </w:rPr>
              <w:t xml:space="preserve">A significant portion of our NEOs’ total compensation should be at risk and performance-based, with metrics aligned to the company’s short-term and long-term financial performance. Performance-related compensation should align to our culture of goal achievement, accountability and continuous improvement.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2299" w:type="dxa"/>
            <w:tcBorders>
              <w:bottom w:val="single" w:sz="2" w:space="0" w:color="7F7F7F"/>
            </w:tcBorders>
            <w:shd w:fill="CCCCCC" w:val="clear"/>
            <w:tcMar>
              <w:bottom w:w="131" w:type="dxa"/>
            </w:tcMar>
            <w:vAlign w:val="center"/>
          </w:tcPr>
          <w:p>
            <w:pPr>
              <w:pStyle w:val="TableContents"/>
              <w:bidi w:val="0"/>
              <w:spacing w:before="0" w:after="0"/>
              <w:jc w:val="left"/>
              <w:rPr>
                <w:b/>
              </w:rPr>
            </w:pPr>
            <w:r>
              <w:rPr>
                <w:b/>
                <w:spacing w:val="-2"/>
              </w:rPr>
              <w:t>Stockholder Alignment</w:t>
            </w:r>
            <w:r>
              <w:rPr>
                <w:b/>
              </w:rPr>
              <w:t xml:space="preserve">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6162" w:type="dxa"/>
            <w:tcBorders>
              <w:bottom w:val="single" w:sz="2" w:space="0" w:color="7F7F7F"/>
            </w:tcBorders>
            <w:shd w:fill="CCCCCC" w:val="clear"/>
            <w:tcMar>
              <w:bottom w:w="131" w:type="dxa"/>
            </w:tcMar>
            <w:vAlign w:val="center"/>
          </w:tcPr>
          <w:p>
            <w:pPr>
              <w:pStyle w:val="TableContents"/>
              <w:bidi w:val="0"/>
              <w:spacing w:lineRule="atLeast" w:line="216" w:before="0" w:after="0"/>
              <w:jc w:val="both"/>
              <w:rPr>
                <w:spacing w:val="-2"/>
              </w:rPr>
            </w:pPr>
            <w:r>
              <w:rPr>
                <w:spacing w:val="-2"/>
              </w:rPr>
              <w:t xml:space="preserve">The pay elements of our NEOs’ compensation should align directly with the long-term interests of our stockholders and cultivate the NEOs’ ownership of, and accountability for, executing the company’s vision and strategy.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2299" w:type="dxa"/>
            <w:tcBorders>
              <w:bottom w:val="single" w:sz="4" w:space="0" w:color="7F7F7F"/>
            </w:tcBorders>
            <w:tcMar>
              <w:bottom w:w="131" w:type="dxa"/>
            </w:tcMar>
            <w:vAlign w:val="center"/>
          </w:tcPr>
          <w:p>
            <w:pPr>
              <w:pStyle w:val="TableContents"/>
              <w:bidi w:val="0"/>
              <w:spacing w:before="0" w:after="0"/>
              <w:jc w:val="left"/>
              <w:rPr>
                <w:b/>
              </w:rPr>
            </w:pPr>
            <w:r>
              <w:rPr>
                <w:b/>
                <w:spacing w:val="-2"/>
              </w:rPr>
              <w:t>Attraction and Retention</w:t>
            </w:r>
            <w:r>
              <w:rPr>
                <w:b/>
              </w:rPr>
              <w:t xml:space="preserve">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6162" w:type="dxa"/>
            <w:tcBorders>
              <w:bottom w:val="single" w:sz="4" w:space="0" w:color="7F7F7F"/>
            </w:tcBorders>
            <w:tcMar>
              <w:bottom w:w="131" w:type="dxa"/>
            </w:tcMar>
            <w:vAlign w:val="center"/>
          </w:tcPr>
          <w:p>
            <w:pPr>
              <w:pStyle w:val="TableContents"/>
              <w:bidi w:val="0"/>
              <w:spacing w:lineRule="atLeast" w:line="216" w:before="0" w:after="0"/>
              <w:jc w:val="both"/>
              <w:rPr>
                <w:spacing w:val="-2"/>
              </w:rPr>
            </w:pPr>
            <w:r>
              <w:rPr>
                <w:spacing w:val="-2"/>
              </w:rPr>
              <w:t xml:space="preserve">Our executive compensation program should provide overall target compensation that is market-competitive and enables the company to attract and retain top talent from a diversity of industries.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2299" w:type="dxa"/>
            <w:tcBorders>
              <w:bottom w:val="single" w:sz="2" w:space="0" w:color="7F7F7F"/>
            </w:tcBorders>
            <w:shd w:fill="CCCCCC" w:val="clear"/>
            <w:tcMar>
              <w:bottom w:w="131" w:type="dxa"/>
            </w:tcMar>
            <w:vAlign w:val="center"/>
          </w:tcPr>
          <w:p>
            <w:pPr>
              <w:pStyle w:val="TableContents"/>
              <w:bidi w:val="0"/>
              <w:spacing w:before="0" w:after="0"/>
              <w:jc w:val="left"/>
              <w:rPr>
                <w:b/>
              </w:rPr>
            </w:pPr>
            <w:r>
              <w:rPr>
                <w:b/>
                <w:spacing w:val="-2"/>
              </w:rPr>
              <w:t>Simplified Approach</w:t>
            </w:r>
            <w:r>
              <w:rPr>
                <w:b/>
              </w:rPr>
              <w:t xml:space="preserve">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6162" w:type="dxa"/>
            <w:tcBorders>
              <w:bottom w:val="single" w:sz="2" w:space="0" w:color="7F7F7F"/>
            </w:tcBorders>
            <w:shd w:fill="CCCCCC" w:val="clear"/>
            <w:tcMar>
              <w:bottom w:w="131" w:type="dxa"/>
            </w:tcMar>
            <w:vAlign w:val="center"/>
          </w:tcPr>
          <w:p>
            <w:pPr>
              <w:pStyle w:val="TableContents"/>
              <w:bidi w:val="0"/>
              <w:spacing w:before="0" w:after="0"/>
              <w:jc w:val="left"/>
              <w:rPr/>
            </w:pPr>
            <w:r>
              <w:rPr>
                <w:spacing w:val="-2"/>
              </w:rPr>
              <w:t>Our executive compensation program should be straightforward, transparent and consistent.</w:t>
            </w:r>
            <w:r>
              <w:rPr/>
              <w:t xml:space="preserve"> </w:t>
            </w:r>
          </w:p>
        </w:tc>
        <w:tc>
          <w:tcPr>
            <w:tcW w:w="109" w:type="dxa"/>
            <w:tcBorders>
              <w:bottom w:val="single" w:sz="2" w:space="0" w:color="7F7F7F"/>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229"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Compensation Policies and Practices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Compensation and Human Capital Committee is committed to sound executive compensation policies and practices, to incentivize a high caliber of performance as highlighted in the following table.</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106" w:type="dxa"/>
          <w:right w:w="0" w:type="dxa"/>
        </w:tblCellMar>
      </w:tblPr>
      <w:tblGrid>
        <w:gridCol w:w="4640"/>
        <w:gridCol w:w="109"/>
        <w:gridCol w:w="109"/>
        <w:gridCol w:w="4272"/>
        <w:gridCol w:w="155"/>
      </w:tblGrid>
      <w:tr>
        <w:trPr/>
        <w:tc>
          <w:tcPr>
            <w:tcW w:w="4640" w:type="dxa"/>
            <w:tcBorders>
              <w:bottom w:val="single" w:sz="8" w:space="0" w:color="7F7F7F"/>
            </w:tcBorders>
            <w:vAlign w:val="center"/>
          </w:tcPr>
          <w:p>
            <w:pPr>
              <w:pStyle w:val="TableContents"/>
              <w:bidi w:val="0"/>
              <w:spacing w:before="0" w:after="0"/>
              <w:jc w:val="left"/>
              <w:rPr>
                <w:spacing w:val="-2"/>
              </w:rPr>
            </w:pPr>
            <w:r>
              <w:rPr>
                <w:spacing w:val="-2"/>
              </w:rPr>
              <w:t xml:space="preserve">WHAT WE DO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4272" w:type="dxa"/>
            <w:tcBorders>
              <w:bottom w:val="single" w:sz="8" w:space="0" w:color="7F7F7F"/>
            </w:tcBorders>
            <w:vAlign w:val="center"/>
          </w:tcPr>
          <w:p>
            <w:pPr>
              <w:pStyle w:val="TableContents"/>
              <w:bidi w:val="0"/>
              <w:spacing w:before="0" w:after="0"/>
              <w:jc w:val="left"/>
              <w:rPr>
                <w:spacing w:val="-2"/>
              </w:rPr>
            </w:pPr>
            <w:r>
              <w:rPr>
                <w:spacing w:val="-2"/>
              </w:rPr>
              <w:t xml:space="preserve">WHAT WE DON’T DO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r>
        <w:trPr/>
        <w:tc>
          <w:tcPr>
            <w:tcW w:w="4640" w:type="dxa"/>
            <w:tcBorders>
              <w:bottom w:val="single" w:sz="8"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7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02" descr=""/>
                          <pic:cNvPicPr>
                            <a:picLocks noChangeAspect="1" noChangeArrowheads="1"/>
                          </pic:cNvPicPr>
                        </pic:nvPicPr>
                        <pic:blipFill>
                          <a:blip r:embed="rId103"/>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Significant emphasis on variable, at-risk compensation.</w:t>
            </w:r>
            <w:r>
              <w:rPr>
                <w:spacing w:val="-2"/>
              </w:rPr>
              <w:t xml:space="preserve"> XPO’s compensation program is heavily weighted toward variable compensation through short-term incentives and long-term incentives. This allows the Committee to closely align total compensation values with company performance on an annual and long-term basis.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4272" w:type="dxa"/>
            <w:tcBorders>
              <w:bottom w:val="single" w:sz="8"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7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03" descr=""/>
                          <pic:cNvPicPr>
                            <a:picLocks noChangeAspect="1" noChangeArrowheads="1"/>
                          </pic:cNvPicPr>
                        </pic:nvPicPr>
                        <pic:blipFill>
                          <a:blip r:embed="rId104"/>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No exceptional perquisites.</w:t>
            </w:r>
            <w:r>
              <w:rPr>
                <w:spacing w:val="-2"/>
              </w:rPr>
              <w:t xml:space="preserve"> Our NEOs have no relocation benefits, supplemental pension or retirement savings or financial planning services beyond what is provided broadly to all XPO employees.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r>
        <w:trPr/>
        <w:tc>
          <w:tcPr>
            <w:tcW w:w="4640" w:type="dxa"/>
            <w:tcBorders>
              <w:bottom w:val="single" w:sz="8"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7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04" descr=""/>
                          <pic:cNvPicPr>
                            <a:picLocks noChangeAspect="1" noChangeArrowheads="1"/>
                          </pic:cNvPicPr>
                        </pic:nvPicPr>
                        <pic:blipFill>
                          <a:blip r:embed="rId105"/>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Substantial portion of compensation linked to creation of stockholder value.</w:t>
            </w:r>
            <w:r>
              <w:rPr>
                <w:spacing w:val="-2"/>
              </w:rPr>
              <w:t xml:space="preserve"> Performance-based awards are, and have been, subject to meaningful stock price and/or earnings-related performance goals measured over service-based vesting periods. In addition, the Committee regularly reviews the full portfolio of XPO stockholdings for each NEO to ensure there is a sufficient amount of compensation at risk if objectives are not met, further aligning compensation with stockholder returns and value creation.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4272" w:type="dxa"/>
            <w:tcBorders>
              <w:bottom w:val="single" w:sz="8"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7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05" descr=""/>
                          <pic:cNvPicPr>
                            <a:picLocks noChangeAspect="1" noChangeArrowheads="1"/>
                          </pic:cNvPicPr>
                        </pic:nvPicPr>
                        <pic:blipFill>
                          <a:blip r:embed="rId106"/>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No pledging or hedging of company stock.</w:t>
            </w:r>
            <w:r>
              <w:rPr>
                <w:spacing w:val="-2"/>
              </w:rPr>
              <w:t xml:space="preserve"> Under our insider trading policy, our company’s directors and executive officers, including the NEOs, are prohibited from pledging or holding company securities in a margin account. In addition, they are prohibited from engaging in hedging transactions, such as prepaid variable forwards, equity swaps, collars and exchange funds or any other transactions that are designed to or have the effect of hedging or offsetting any decrease in the market value of company equity securities.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r>
        <w:trPr/>
        <w:tc>
          <w:tcPr>
            <w:tcW w:w="4640" w:type="dxa"/>
            <w:tcBorders>
              <w:bottom w:val="single" w:sz="8"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7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06" descr=""/>
                          <pic:cNvPicPr>
                            <a:picLocks noChangeAspect="1" noChangeArrowheads="1"/>
                          </pic:cNvPicPr>
                        </pic:nvPicPr>
                        <pic:blipFill>
                          <a:blip r:embed="rId107"/>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Stock ownership policies.</w:t>
            </w:r>
            <w:r>
              <w:rPr>
                <w:spacing w:val="-2"/>
              </w:rPr>
              <w:t xml:space="preserve"> The Board has established meaningful stock ownership guidelines and stock retention requirements that encourage a strong ownership mindset among our NEOs. Our ownership guidelines specify 6x annual base salary for our CEO and 3x annual base salary for our other NEOs.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4272" w:type="dxa"/>
            <w:tcBorders>
              <w:bottom w:val="single" w:sz="8"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7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07" descr=""/>
                          <pic:cNvPicPr>
                            <a:picLocks noChangeAspect="1" noChangeArrowheads="1"/>
                          </pic:cNvPicPr>
                        </pic:nvPicPr>
                        <pic:blipFill>
                          <a:blip r:embed="rId108"/>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No guaranteed annual salary increases.</w:t>
            </w:r>
            <w:r>
              <w:rPr>
                <w:spacing w:val="-2"/>
              </w:rPr>
              <w:t xml:space="preserve"> Salary increases are not guaranteed annually and are instead determined based on review of our peer group, market survey data, an executive’s experience, tenure, company and individual performance, scope and scale of responsibility, unique skills, internal equity, and stockholder feedback.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r>
        <w:trPr/>
        <w:tc>
          <w:tcPr>
            <w:tcW w:w="4640" w:type="dxa"/>
            <w:tcBorders>
              <w:bottom w:val="single" w:sz="8"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7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08" descr=""/>
                          <pic:cNvPicPr>
                            <a:picLocks noChangeAspect="1" noChangeArrowheads="1"/>
                          </pic:cNvPicPr>
                        </pic:nvPicPr>
                        <pic:blipFill>
                          <a:blip r:embed="rId109"/>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Clawback policy.</w:t>
            </w:r>
            <w:r>
              <w:rPr>
                <w:spacing w:val="-2"/>
              </w:rPr>
              <w:t xml:space="preserve"> Our NEOs are subject to clawback restrictions with respect to incentive compensation that is compliant with and exceeds NYSE listing standards.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4272" w:type="dxa"/>
            <w:tcBorders>
              <w:bottom w:val="single" w:sz="8"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7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09" descr=""/>
                          <pic:cNvPicPr>
                            <a:picLocks noChangeAspect="1" noChangeArrowheads="1"/>
                          </pic:cNvPicPr>
                        </pic:nvPicPr>
                        <pic:blipFill>
                          <a:blip r:embed="rId110"/>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No stock option repricing or discounted exercise price.</w:t>
            </w:r>
            <w:r>
              <w:rPr>
                <w:spacing w:val="-2"/>
              </w:rPr>
              <w:t xml:space="preserve"> XPO’s equity incentive plan does not permit either stock option repricing without stockholder approval or stock option awards with an exercise price below fair market value.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r>
        <w:trPr/>
        <w:tc>
          <w:tcPr>
            <w:tcW w:w="4640" w:type="dxa"/>
            <w:tcBorders>
              <w:bottom w:val="single" w:sz="6"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7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10" descr=""/>
                          <pic:cNvPicPr>
                            <a:picLocks noChangeAspect="1" noChangeArrowheads="1"/>
                          </pic:cNvPicPr>
                        </pic:nvPicPr>
                        <pic:blipFill>
                          <a:blip r:embed="rId111"/>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Restrictive covenants.</w:t>
            </w:r>
            <w:r>
              <w:rPr>
                <w:spacing w:val="-2"/>
              </w:rPr>
              <w:t xml:space="preserve"> Our NEOs are subject to comprehensive non-competition and other restrictive covenants.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4272" w:type="dxa"/>
            <w:tcBorders>
              <w:bottom w:val="single" w:sz="6" w:space="0" w:color="7F7F7F"/>
            </w:tcBorders>
            <w:tcMar>
              <w:bottom w:w="136" w:type="dxa"/>
            </w:tcMar>
            <w:vAlign w:val="center"/>
          </w:tcPr>
          <w:p>
            <w:pPr>
              <w:pStyle w:val="TableContents"/>
              <w:bidi w:val="0"/>
              <w:spacing w:lineRule="atLeast" w:line="192" w:before="0" w:after="0"/>
              <w:jc w:val="both"/>
              <w:rPr/>
            </w:pPr>
            <w:r>
              <w:rPr/>
              <w:drawing>
                <wp:inline distT="0" distB="0" distL="0" distR="0">
                  <wp:extent cx="123825" cy="127000"/>
                  <wp:effectExtent l="0" t="0" r="0" b="0"/>
                  <wp:docPr id="28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11" descr=""/>
                          <pic:cNvPicPr>
                            <a:picLocks noChangeAspect="1" noChangeArrowheads="1"/>
                          </pic:cNvPicPr>
                        </pic:nvPicPr>
                        <pic:blipFill>
                          <a:blip r:embed="rId112"/>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No golden parachute excise tax gross-ups.</w:t>
            </w:r>
            <w:r>
              <w:rPr>
                <w:spacing w:val="-2"/>
              </w:rPr>
              <w:t xml:space="preserve"> XPO does not provide golden parachute excise tax gross-ups. </w:t>
            </w:r>
          </w:p>
        </w:tc>
        <w:tc>
          <w:tcPr>
            <w:tcW w:w="155" w:type="dxa"/>
            <w:tcBorders>
              <w:bottom w:val="single" w:sz="6" w:space="0" w:color="7F7F7F"/>
            </w:tcBorders>
            <w:tcMar>
              <w:bottom w:w="28" w:type="dxa"/>
            </w:tcMar>
            <w:vAlign w:val="center"/>
          </w:tcPr>
          <w:p>
            <w:pPr>
              <w:pStyle w:val="TableContents"/>
              <w:bidi w:val="0"/>
              <w:spacing w:before="0" w:after="283"/>
              <w:jc w:val="left"/>
              <w:rPr/>
            </w:pPr>
            <w:r>
              <w:rPr/>
              <w:t>​</w:t>
            </w:r>
          </w:p>
        </w:tc>
      </w:tr>
    </w:tbl>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31</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106" w:type="dxa"/>
          <w:right w:w="0" w:type="dxa"/>
        </w:tblCellMar>
      </w:tblPr>
      <w:tblGrid>
        <w:gridCol w:w="4188"/>
        <w:gridCol w:w="109"/>
        <w:gridCol w:w="109"/>
        <w:gridCol w:w="4724"/>
        <w:gridCol w:w="155"/>
      </w:tblGrid>
      <w:tr>
        <w:trPr/>
        <w:tc>
          <w:tcPr>
            <w:tcW w:w="4188" w:type="dxa"/>
            <w:tcBorders>
              <w:bottom w:val="single" w:sz="8" w:space="0" w:color="7F7F7F"/>
            </w:tcBorders>
            <w:vAlign w:val="center"/>
          </w:tcPr>
          <w:p>
            <w:pPr>
              <w:pStyle w:val="TableContents"/>
              <w:bidi w:val="0"/>
              <w:spacing w:before="0" w:after="0"/>
              <w:jc w:val="left"/>
              <w:rPr>
                <w:spacing w:val="-2"/>
              </w:rPr>
            </w:pPr>
            <w:r>
              <w:rPr>
                <w:spacing w:val="-2"/>
              </w:rPr>
              <w:t xml:space="preserve">WHAT WE DO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4724" w:type="dxa"/>
            <w:tcBorders>
              <w:bottom w:val="single" w:sz="8" w:space="0" w:color="7F7F7F"/>
            </w:tcBorders>
            <w:vAlign w:val="center"/>
          </w:tcPr>
          <w:p>
            <w:pPr>
              <w:pStyle w:val="TableContents"/>
              <w:bidi w:val="0"/>
              <w:spacing w:before="0" w:after="0"/>
              <w:jc w:val="left"/>
              <w:rPr>
                <w:spacing w:val="-2"/>
              </w:rPr>
            </w:pPr>
            <w:r>
              <w:rPr>
                <w:spacing w:val="-2"/>
              </w:rPr>
              <w:t xml:space="preserve">WHAT WE DON’T DO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r>
        <w:trPr/>
        <w:tc>
          <w:tcPr>
            <w:tcW w:w="4188" w:type="dxa"/>
            <w:tcBorders>
              <w:bottom w:val="single" w:sz="6" w:space="0" w:color="7F7F7F"/>
            </w:tcBorders>
            <w:vAlign w:val="center"/>
          </w:tcPr>
          <w:p>
            <w:pPr>
              <w:pStyle w:val="TableContents"/>
              <w:bidi w:val="0"/>
              <w:spacing w:lineRule="atLeast" w:line="192" w:before="0" w:after="0"/>
              <w:jc w:val="both"/>
              <w:rPr/>
            </w:pPr>
            <w:r>
              <w:rPr/>
              <w:drawing>
                <wp:inline distT="0" distB="0" distL="0" distR="0">
                  <wp:extent cx="123825" cy="127000"/>
                  <wp:effectExtent l="0" t="0" r="0" b="0"/>
                  <wp:docPr id="28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12" descr=""/>
                          <pic:cNvPicPr>
                            <a:picLocks noChangeAspect="1" noChangeArrowheads="1"/>
                          </pic:cNvPicPr>
                        </pic:nvPicPr>
                        <pic:blipFill>
                          <a:blip r:embed="rId113"/>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Engage with stockholders.</w:t>
            </w:r>
            <w:r>
              <w:rPr>
                <w:spacing w:val="-2"/>
              </w:rPr>
              <w:t xml:space="preserve"> Our Board values stockholder feedback and carefully considers investor perspectives in its decision-making processes for governance, compensation and sustainability practices.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4724" w:type="dxa"/>
            <w:tcBorders>
              <w:bottom w:val="single" w:sz="6" w:space="0" w:color="7F7F7F"/>
            </w:tcBorders>
            <w:vAlign w:val="center"/>
          </w:tcPr>
          <w:p>
            <w:pPr>
              <w:pStyle w:val="TableContents"/>
              <w:bidi w:val="0"/>
              <w:spacing w:lineRule="atLeast" w:line="192" w:before="0" w:after="0"/>
              <w:jc w:val="both"/>
              <w:rPr/>
            </w:pPr>
            <w:r>
              <w:rPr/>
              <w:drawing>
                <wp:inline distT="0" distB="0" distL="0" distR="0">
                  <wp:extent cx="123825" cy="127000"/>
                  <wp:effectExtent l="0" t="0" r="0" b="0"/>
                  <wp:docPr id="28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13" descr=""/>
                          <pic:cNvPicPr>
                            <a:picLocks noChangeAspect="1" noChangeArrowheads="1"/>
                          </pic:cNvPicPr>
                        </pic:nvPicPr>
                        <pic:blipFill>
                          <a:blip r:embed="rId114"/>
                          <a:stretch>
                            <a:fillRect/>
                          </a:stretch>
                        </pic:blipFill>
                        <pic:spPr bwMode="auto">
                          <a:xfrm>
                            <a:off x="0" y="0"/>
                            <a:ext cx="123825" cy="127000"/>
                          </a:xfrm>
                          <a:prstGeom prst="rect">
                            <a:avLst/>
                          </a:prstGeom>
                        </pic:spPr>
                      </pic:pic>
                    </a:graphicData>
                  </a:graphic>
                </wp:inline>
              </w:drawing>
            </w:r>
            <w:r>
              <w:rPr>
                <w:spacing w:val="-2"/>
              </w:rPr>
              <w:t> </w:t>
            </w:r>
            <w:r>
              <w:rPr>
                <w:color w:val="E2231A"/>
                <w:spacing w:val="-2"/>
              </w:rPr>
              <w:t xml:space="preserve"> </w:t>
            </w:r>
            <w:r>
              <w:rPr>
                <w:color w:val="E2231A"/>
                <w:spacing w:val="-2"/>
              </w:rPr>
              <w:t>No consultant conflicts.</w:t>
            </w:r>
            <w:r>
              <w:rPr>
                <w:spacing w:val="-2"/>
              </w:rPr>
              <w:t xml:space="preserve"> The Committee retains an independent compensation consultant who performs services only for the Committee, as described in more detail below under the heading </w:t>
            </w:r>
            <w:r>
              <w:rPr>
                <w:i/>
              </w:rPr>
              <w:t>Role of the Committee’s Independent Compensation Consultant</w:t>
            </w:r>
            <w:r>
              <w:rPr>
                <w:spacing w:val="-2"/>
              </w:rPr>
              <w:t>.</w:t>
            </w:r>
            <w:r>
              <w:rPr/>
              <w:t xml:space="preserve"> </w:t>
            </w:r>
          </w:p>
        </w:tc>
        <w:tc>
          <w:tcPr>
            <w:tcW w:w="155" w:type="dxa"/>
            <w:tcBorders>
              <w:bottom w:val="single" w:sz="6"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3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Components of NEO Compensation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The compensation design for our NEOs has three components: annual base salary, short-term cash incentive and long-term incentive: </w:t>
      </w:r>
    </w:p>
    <w:p>
      <w:pPr>
        <w:pStyle w:val="TextBody"/>
        <w:bidi w:val="0"/>
        <w:spacing w:lineRule="atLeast" w:line="220" w:before="120"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Annual base salary is a fixed form of competitive pay that corresponds to an executive’s experience and job scope.</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299">
                <wp:simplePos x="0" y="0"/>
                <wp:positionH relativeFrom="column">
                  <wp:align>left</wp:align>
                </wp:positionH>
                <wp:positionV relativeFrom="line">
                  <wp:align>top</wp:align>
                </wp:positionV>
                <wp:extent cx="127000" cy="525780"/>
                <wp:effectExtent l="0" t="0" r="0" b="0"/>
                <wp:wrapSquare wrapText="right"/>
                <wp:docPr id="283" name="Frame17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Short-term cash incentive is a performance-based, at-risk component that offers competitive incentive pay designed to motivate and recognize performance in a given year.</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00">
                <wp:simplePos x="0" y="0"/>
                <wp:positionH relativeFrom="column">
                  <wp:align>left</wp:align>
                </wp:positionH>
                <wp:positionV relativeFrom="line">
                  <wp:align>top</wp:align>
                </wp:positionV>
                <wp:extent cx="127000" cy="525780"/>
                <wp:effectExtent l="0" t="0" r="0" b="0"/>
                <wp:wrapSquare wrapText="right"/>
                <wp:docPr id="284" name="Frame17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Long-term incentive is an at-risk component that offers a combination of performance-based and time-based restricted stock units and is designed to motivate sustained performance over time. It is granted in equity to reinforce long-term stockholder value creation. The long-term incentive component also strives to increase the retention of top talent over time.</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01">
                <wp:simplePos x="0" y="0"/>
                <wp:positionH relativeFrom="column">
                  <wp:align>left</wp:align>
                </wp:positionH>
                <wp:positionV relativeFrom="line">
                  <wp:align>top</wp:align>
                </wp:positionV>
                <wp:extent cx="127000" cy="525780"/>
                <wp:effectExtent l="0" t="0" r="0" b="0"/>
                <wp:wrapSquare wrapText="right"/>
                <wp:docPr id="285" name="Frame17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Pay Mix and At-Risk Compensation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Compensation and Human Capital Committee believes that the majority of compensation for the NEOs should be performance-based, at-risk compensation designed specifically to incent both short-term and long-term company performance. This is delivered through a short-term annual cash incentive award and a long-term performance-based equity award. The amount the NEOs eventually earn from their at-risk compensation should align with stockholders’ returns over similar time periods.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 may utilize a different mix of these at-risk compensation elements for NEOs depending on the unique aspects of their roles or depending on the circumstances of their hire or promotion. The Committee commits to aligning executive pay with performance.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The charts below show the mix of 2024 target total annual compensation for our NEOs, including the portions at-risk versus fixed compensation. As noted below, approximately 77% of the CEO’s total compensation is at-risk, and an average of approximately 67% of other NEOs’ compensation is at-risk. This compensation allocation ensures alignment of executive pay to company performance.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248275" cy="3076575"/>
            <wp:effectExtent l="0" t="0" r="0" b="0"/>
            <wp:docPr id="28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14" descr=""/>
                    <pic:cNvPicPr>
                      <a:picLocks noChangeAspect="1" noChangeArrowheads="1"/>
                    </pic:cNvPicPr>
                  </pic:nvPicPr>
                  <pic:blipFill>
                    <a:blip r:embed="rId115"/>
                    <a:stretch>
                      <a:fillRect/>
                    </a:stretch>
                  </pic:blipFill>
                  <pic:spPr bwMode="auto">
                    <a:xfrm>
                      <a:off x="0" y="0"/>
                      <a:ext cx="5248275" cy="3076575"/>
                    </a:xfrm>
                    <a:prstGeom prst="rect">
                      <a:avLst/>
                    </a:prstGeom>
                  </pic:spPr>
                </pic:pic>
              </a:graphicData>
            </a:graphic>
          </wp:inline>
        </w:drawing>
      </w:r>
      <w:r>
        <w:rPr>
          <w:caps w:val="false"/>
          <w:smallCaps w:val="false"/>
          <w:color w:val="000000"/>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32</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2024 EXECUTIVE COMPENSATION OVERVIEW</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executive compensation program emphasizes performance-based compensation and is designed to incent and retain our key executives. The 2024 compensation program design is shown below:</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0" w:type="dxa"/>
          <w:right w:w="0" w:type="dxa"/>
        </w:tblCellMar>
      </w:tblPr>
      <w:tblGrid>
        <w:gridCol w:w="124"/>
        <w:gridCol w:w="109"/>
        <w:gridCol w:w="1790"/>
        <w:gridCol w:w="109"/>
        <w:gridCol w:w="109"/>
        <w:gridCol w:w="109"/>
        <w:gridCol w:w="2905"/>
        <w:gridCol w:w="109"/>
        <w:gridCol w:w="109"/>
        <w:gridCol w:w="109"/>
        <w:gridCol w:w="343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790" w:type="dxa"/>
            <w:tcBorders>
              <w:bottom w:val="single" w:sz="2" w:space="0" w:color="000000"/>
            </w:tcBorders>
            <w:shd w:fill="CCCCCC" w:val="clear"/>
            <w:tcMar>
              <w:bottom w:w="40" w:type="dxa"/>
            </w:tcMar>
            <w:vAlign w:val="center"/>
          </w:tcPr>
          <w:p>
            <w:pPr>
              <w:pStyle w:val="TableContents"/>
              <w:bidi w:val="0"/>
              <w:spacing w:lineRule="atLeast" w:line="216" w:before="0" w:after="0"/>
              <w:jc w:val="center"/>
              <w:rPr/>
            </w:pPr>
            <w:r>
              <w:rPr>
                <w:spacing w:val="-2"/>
              </w:rPr>
              <w:t>ELEMENT</w:t>
            </w:r>
            <w:r>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671" w:type="dxa"/>
            <w:gridSpan w:val="5"/>
            <w:tcBorders>
              <w:bottom w:val="single" w:sz="2" w:space="0" w:color="000000"/>
            </w:tcBorders>
            <w:shd w:fill="CCCCCC" w:val="clear"/>
            <w:tcMar>
              <w:bottom w:w="40" w:type="dxa"/>
            </w:tcMar>
            <w:vAlign w:val="center"/>
          </w:tcPr>
          <w:p>
            <w:pPr>
              <w:pStyle w:val="TableContents"/>
              <w:bidi w:val="0"/>
              <w:spacing w:lineRule="atLeast" w:line="216" w:before="0" w:after="0"/>
              <w:jc w:val="center"/>
              <w:rPr/>
            </w:pPr>
            <w:r>
              <w:rPr>
                <w:spacing w:val="-2"/>
              </w:rPr>
              <w:t>HIGHLIGHTS OF 2024 COMPENSATION DESIGN</w:t>
            </w:r>
            <w:r>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790" w:type="dxa"/>
            <w:tcBorders>
              <w:bottom w:val="single" w:sz="4" w:space="0" w:color="7F7F7F"/>
            </w:tcBorders>
            <w:tcMar>
              <w:bottom w:w="41" w:type="dxa"/>
            </w:tcMar>
            <w:vAlign w:val="center"/>
          </w:tcPr>
          <w:p>
            <w:pPr>
              <w:pStyle w:val="TableContents"/>
              <w:bidi w:val="0"/>
              <w:spacing w:lineRule="atLeast" w:line="216" w:before="0" w:after="0"/>
              <w:jc w:val="left"/>
              <w:rPr>
                <w:b/>
              </w:rPr>
            </w:pPr>
            <w:r>
              <w:rPr>
                <w:b/>
                <w:spacing w:val="-2"/>
              </w:rPr>
              <w:t>BASE SALARY</w:t>
            </w:r>
            <w:r>
              <w:rPr>
                <w:b/>
              </w:rPr>
              <w:t xml:space="preserve">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6671" w:type="dxa"/>
            <w:gridSpan w:val="5"/>
            <w:tcBorders>
              <w:bottom w:val="single" w:sz="4" w:space="0" w:color="7F7F7F"/>
            </w:tcBorders>
            <w:tcMar>
              <w:bottom w:w="41" w:type="dxa"/>
            </w:tcMar>
            <w:vAlign w:val="center"/>
          </w:tcPr>
          <w:p>
            <w:pPr>
              <w:pStyle w:val="TableContents"/>
              <w:bidi w:val="0"/>
              <w:spacing w:lineRule="atLeast" w:line="216" w:before="0" w:after="0"/>
              <w:ind w:left="360" w:right="0" w:hanging="0"/>
              <w:jc w:val="both"/>
              <w:rPr>
                <w:spacing w:val="-2"/>
              </w:rPr>
            </w:pPr>
            <w:r>
              <w:rPr>
                <w:spacing w:val="-2"/>
              </w:rPr>
              <w:t xml:space="preserve">Fixed cash compensation corresponds to experience and job scope, and is aligned with market levels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228600" cy="175260"/>
                      <wp:effectExtent l="0" t="0" r="0" b="0"/>
                      <wp:wrapSquare wrapText="right"/>
                      <wp:docPr id="287" name="Frame1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16" w:before="0" w:after="283"/>
                                    <w:jc w:val="both"/>
                                    <w:rPr/>
                                  </w:pPr>
                                  <w:r>
                                    <w:rPr/>
                                    <w:drawing>
                                      <wp:inline distT="0" distB="0" distL="0" distR="0">
                                        <wp:extent cx="76200" cy="76200"/>
                                        <wp:effectExtent l="0" t="0" r="0" b="0"/>
                                        <wp:docPr id="28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15" descr=""/>
                                                <pic:cNvPicPr>
                                                  <a:picLocks noChangeAspect="1" noChangeArrowheads="1"/>
                                                </pic:cNvPicPr>
                                              </pic:nvPicPr>
                                              <pic:blipFill>
                                                <a:blip r:embed="rId116"/>
                                                <a:stretch>
                                                  <a:fillRect/>
                                                </a:stretch>
                                              </pic:blipFill>
                                              <pic:spPr bwMode="auto">
                                                <a:xfrm>
                                                  <a:off x="0" y="0"/>
                                                  <a:ext cx="76200"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both"/>
                              <w:rPr/>
                            </w:pPr>
                            <w:r>
                              <w:rPr/>
                              <w:drawing>
                                <wp:inline distT="0" distB="0" distL="0" distR="0">
                                  <wp:extent cx="76200" cy="76200"/>
                                  <wp:effectExtent l="0" t="0" r="0" b="0"/>
                                  <wp:docPr id="28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15" descr=""/>
                                          <pic:cNvPicPr>
                                            <a:picLocks noChangeAspect="1" noChangeArrowheads="1"/>
                                          </pic:cNvPicPr>
                                        </pic:nvPicPr>
                                        <pic:blipFill>
                                          <a:blip r:embed="rId117"/>
                                          <a:stretch>
                                            <a:fillRect/>
                                          </a:stretch>
                                        </pic:blipFill>
                                        <pic:spPr bwMode="auto">
                                          <a:xfrm>
                                            <a:off x="0" y="0"/>
                                            <a:ext cx="76200"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4" w:space="0" w:color="7F7F7F"/>
            </w:tcBorders>
            <w:tcMar>
              <w:bottom w:w="28" w:type="dxa"/>
            </w:tcMar>
            <w:vAlign w:val="center"/>
          </w:tcPr>
          <w:p>
            <w:pPr>
              <w:pStyle w:val="TableContents"/>
              <w:bidi w:val="0"/>
              <w:spacing w:before="0" w:after="283"/>
              <w:jc w:val="left"/>
              <w:rPr/>
            </w:pPr>
            <w:r>
              <w:rPr/>
              <w:t>​</w:t>
            </w:r>
          </w:p>
        </w:tc>
        <w:tc>
          <w:tcPr>
            <w:tcW w:w="1790" w:type="dxa"/>
            <w:vMerge w:val="restart"/>
            <w:tcBorders>
              <w:bottom w:val="single" w:sz="4" w:space="0" w:color="7F7F7F"/>
            </w:tcBorders>
            <w:tcMar>
              <w:bottom w:w="28" w:type="dxa"/>
            </w:tcMar>
            <w:vAlign w:val="center"/>
          </w:tcPr>
          <w:p>
            <w:pPr>
              <w:pStyle w:val="TableContents"/>
              <w:bidi w:val="0"/>
              <w:spacing w:lineRule="atLeast" w:line="215" w:before="0" w:after="0"/>
              <w:jc w:val="center"/>
              <w:rPr/>
            </w:pPr>
            <w:r>
              <w:rPr>
                <w:spacing w:val="-2"/>
              </w:rPr>
              <w:t xml:space="preserve">SHORT-TERM </w:t>
              <w:br/>
              <w:t>INCENTIVE</w:t>
            </w:r>
            <w:r>
              <w:rPr/>
              <w:t xml:space="preserve"> </w:t>
            </w:r>
          </w:p>
        </w:tc>
        <w:tc>
          <w:tcPr>
            <w:tcW w:w="109" w:type="dxa"/>
            <w:vMerge w:val="restart"/>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shd w:fill="F2F2F2" w:val="clear"/>
            <w:tcMar>
              <w:bottom w:w="28" w:type="dxa"/>
            </w:tcMar>
            <w:vAlign w:val="center"/>
          </w:tcPr>
          <w:p>
            <w:pPr>
              <w:pStyle w:val="TableContents"/>
              <w:bidi w:val="0"/>
              <w:spacing w:before="0" w:after="283"/>
              <w:jc w:val="left"/>
              <w:rPr/>
            </w:pPr>
            <w:r>
              <w:rPr/>
              <w:t>​</w:t>
            </w:r>
          </w:p>
        </w:tc>
        <w:tc>
          <w:tcPr>
            <w:tcW w:w="2905" w:type="dxa"/>
            <w:tcBorders>
              <w:bottom w:val="single" w:sz="4" w:space="0" w:color="7F7F7F"/>
            </w:tcBorders>
            <w:shd w:fill="F2F2F2" w:val="clear"/>
            <w:tcMar>
              <w:bottom w:w="28" w:type="dxa"/>
            </w:tcMar>
            <w:vAlign w:val="center"/>
          </w:tcPr>
          <w:p>
            <w:pPr>
              <w:pStyle w:val="TableContents"/>
              <w:bidi w:val="0"/>
              <w:spacing w:lineRule="atLeast" w:line="216" w:before="0" w:after="0"/>
              <w:jc w:val="center"/>
              <w:rPr/>
            </w:pPr>
            <w:r>
              <w:rPr>
                <w:spacing w:val="-2"/>
              </w:rPr>
              <w:t>EC, CEO, CFO and CLO</w:t>
            </w:r>
            <w:r>
              <w:rPr/>
              <w:t xml:space="preserve"> </w:t>
            </w:r>
          </w:p>
        </w:tc>
        <w:tc>
          <w:tcPr>
            <w:tcW w:w="109" w:type="dxa"/>
            <w:tcBorders>
              <w:bottom w:val="single" w:sz="4" w:space="0" w:color="7F7F7F"/>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shd w:fill="F2F2F2" w:val="clear"/>
            <w:tcMar>
              <w:bottom w:w="28" w:type="dxa"/>
            </w:tcMar>
            <w:vAlign w:val="center"/>
          </w:tcPr>
          <w:p>
            <w:pPr>
              <w:pStyle w:val="TableContents"/>
              <w:bidi w:val="0"/>
              <w:spacing w:before="0" w:after="283"/>
              <w:jc w:val="left"/>
              <w:rPr/>
            </w:pPr>
            <w:r>
              <w:rPr/>
              <w:t>​</w:t>
            </w:r>
          </w:p>
        </w:tc>
        <w:tc>
          <w:tcPr>
            <w:tcW w:w="3439" w:type="dxa"/>
            <w:tcBorders>
              <w:bottom w:val="single" w:sz="4" w:space="0" w:color="7F7F7F"/>
            </w:tcBorders>
            <w:shd w:fill="F2F2F2" w:val="clear"/>
            <w:tcMar>
              <w:bottom w:w="28" w:type="dxa"/>
            </w:tcMar>
            <w:vAlign w:val="center"/>
          </w:tcPr>
          <w:p>
            <w:pPr>
              <w:pStyle w:val="TableContents"/>
              <w:bidi w:val="0"/>
              <w:spacing w:lineRule="atLeast" w:line="216" w:before="0" w:after="0"/>
              <w:jc w:val="center"/>
              <w:rPr>
                <w:sz w:val="14"/>
              </w:rPr>
            </w:pPr>
            <w:r>
              <w:rPr>
                <w:spacing w:val="-2"/>
                <w:sz w:val="18"/>
              </w:rPr>
              <w:t>COO</w:t>
            </w:r>
            <w:r>
              <w:rPr>
                <w:spacing w:val="-1"/>
                <w:sz w:val="11"/>
              </w:rPr>
              <w:t>(1)</w:t>
            </w:r>
            <w:r>
              <w:rPr>
                <w:sz w:val="14"/>
              </w:rPr>
              <w:t xml:space="preserve">​ </w:t>
            </w:r>
          </w:p>
        </w:tc>
        <w:tc>
          <w:tcPr>
            <w:tcW w:w="109" w:type="dxa"/>
            <w:tcBorders>
              <w:bottom w:val="single" w:sz="4" w:space="0" w:color="7F7F7F"/>
            </w:tcBorders>
            <w:shd w:fill="F2F2F2" w:val="clear"/>
            <w:tcMar>
              <w:bottom w:w="28" w:type="dxa"/>
            </w:tcMar>
            <w:vAlign w:val="center"/>
          </w:tcPr>
          <w:p>
            <w:pPr>
              <w:pStyle w:val="TableContents"/>
              <w:bidi w:val="0"/>
              <w:spacing w:before="0" w:after="283"/>
              <w:jc w:val="left"/>
              <w:rPr/>
            </w:pPr>
            <w:r>
              <w:rPr/>
              <w:t>​</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4" w:space="0" w:color="7F7F7F"/>
            </w:tcBorders>
            <w:tcMar>
              <w:bottom w:w="28" w:type="dxa"/>
            </w:tcMar>
            <w:vAlign w:val="center"/>
          </w:tcPr>
          <w:p>
            <w:pPr>
              <w:pStyle w:val="Normal"/>
              <w:bidi w:val="0"/>
              <w:jc w:val="left"/>
              <w:rPr/>
            </w:pPr>
            <w:r>
              <w:rPr/>
            </w:r>
          </w:p>
        </w:tc>
        <w:tc>
          <w:tcPr>
            <w:tcW w:w="1790" w:type="dxa"/>
            <w:vMerge w:val="continue"/>
            <w:tcBorders>
              <w:bottom w:val="single" w:sz="4" w:space="0" w:color="7F7F7F"/>
            </w:tcBorders>
            <w:tcMar>
              <w:bottom w:w="28" w:type="dxa"/>
            </w:tcMar>
            <w:vAlign w:val="center"/>
          </w:tcPr>
          <w:p>
            <w:pPr>
              <w:pStyle w:val="Normal"/>
              <w:bidi w:val="0"/>
              <w:jc w:val="left"/>
              <w:rPr/>
            </w:pPr>
            <w:r>
              <w:rPr/>
            </w:r>
          </w:p>
        </w:tc>
        <w:tc>
          <w:tcPr>
            <w:tcW w:w="109" w:type="dxa"/>
            <w:vMerge w:val="continue"/>
            <w:tcBorders>
              <w:bottom w:val="single" w:sz="4" w:space="0" w:color="7F7F7F"/>
            </w:tcBorders>
            <w:tcMar>
              <w:bottom w:w="28" w:type="dxa"/>
            </w:tcMar>
            <w:vAlign w:val="center"/>
          </w:tcPr>
          <w:p>
            <w:pPr>
              <w:pStyle w:val="Normal"/>
              <w:bidi w:val="0"/>
              <w:jc w:val="left"/>
              <w:rPr/>
            </w:pPr>
            <w:r>
              <w:rPr/>
            </w:r>
          </w:p>
        </w:tc>
        <w:tc>
          <w:tcPr>
            <w:tcW w:w="109" w:type="dxa"/>
            <w:vMerge w:val="continue"/>
            <w:tcBorders>
              <w:bottom w:val="single" w:sz="2" w:space="0" w:color="7F7F7F"/>
            </w:tcBorders>
            <w:shd w:fill="7F7F7F" w:val="clear"/>
            <w:tcMar>
              <w:bottom w:w="28" w:type="dxa"/>
            </w:tcMar>
            <w:vAlign w:val="center"/>
          </w:tcPr>
          <w:p>
            <w:pPr>
              <w:pStyle w:val="Normal"/>
              <w:bidi w:val="0"/>
              <w:jc w:val="left"/>
              <w:rPr/>
            </w:pPr>
            <w:r>
              <w:rPr/>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2905" w:type="dxa"/>
            <w:tcBorders>
              <w:bottom w:val="single" w:sz="4" w:space="0" w:color="7F7F7F"/>
            </w:tcBorders>
            <w:tcMar>
              <w:bottom w:w="41" w:type="dxa"/>
            </w:tcMar>
            <w:vAlign w:val="center"/>
          </w:tcPr>
          <w:p>
            <w:pPr>
              <w:pStyle w:val="TableContents"/>
              <w:bidi w:val="0"/>
              <w:spacing w:lineRule="atLeast" w:line="216" w:before="0" w:after="0"/>
              <w:ind w:left="360" w:right="0" w:hanging="0"/>
              <w:jc w:val="both"/>
              <w:rPr/>
            </w:pPr>
            <w:r>
              <w:rPr>
                <w:spacing w:val="-2"/>
              </w:rPr>
              <w:t>100% based on performance against the company’s annual adjusted EBITDA target</w:t>
            </w:r>
            <w:r>
              <w:rPr/>
              <w:t xml:space="preserve">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228600" cy="175260"/>
                      <wp:effectExtent l="0" t="0" r="0" b="0"/>
                      <wp:wrapSquare wrapText="right"/>
                      <wp:docPr id="290" name="Frame1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16" w:before="0" w:after="283"/>
                                    <w:jc w:val="both"/>
                                    <w:rPr/>
                                  </w:pPr>
                                  <w:r>
                                    <w:rPr/>
                                    <w:drawing>
                                      <wp:inline distT="0" distB="0" distL="0" distR="0">
                                        <wp:extent cx="76200" cy="76200"/>
                                        <wp:effectExtent l="0" t="0" r="0" b="0"/>
                                        <wp:docPr id="29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16" descr=""/>
                                                <pic:cNvPicPr>
                                                  <a:picLocks noChangeAspect="1" noChangeArrowheads="1"/>
                                                </pic:cNvPicPr>
                                              </pic:nvPicPr>
                                              <pic:blipFill>
                                                <a:blip r:embed="rId118"/>
                                                <a:stretch>
                                                  <a:fillRect/>
                                                </a:stretch>
                                              </pic:blipFill>
                                              <pic:spPr bwMode="auto">
                                                <a:xfrm>
                                                  <a:off x="0" y="0"/>
                                                  <a:ext cx="76200"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both"/>
                              <w:rPr/>
                            </w:pPr>
                            <w:r>
                              <w:rPr/>
                              <w:drawing>
                                <wp:inline distT="0" distB="0" distL="0" distR="0">
                                  <wp:extent cx="76200" cy="76200"/>
                                  <wp:effectExtent l="0" t="0" r="0" b="0"/>
                                  <wp:docPr id="29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16" descr=""/>
                                          <pic:cNvPicPr>
                                            <a:picLocks noChangeAspect="1" noChangeArrowheads="1"/>
                                          </pic:cNvPicPr>
                                        </pic:nvPicPr>
                                        <pic:blipFill>
                                          <a:blip r:embed="rId119"/>
                                          <a:stretch>
                                            <a:fillRect/>
                                          </a:stretch>
                                        </pic:blipFill>
                                        <pic:spPr bwMode="auto">
                                          <a:xfrm>
                                            <a:off x="0" y="0"/>
                                            <a:ext cx="76200"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96" w:after="0"/>
              <w:ind w:left="720" w:right="0" w:hanging="0"/>
              <w:jc w:val="both"/>
              <w:rPr>
                <w:spacing w:val="-2"/>
              </w:rPr>
            </w:pPr>
            <w:r>
              <w:rPr>
                <w:spacing w:val="-2"/>
              </w:rPr>
              <w:t xml:space="preserve">Adjusted EBITDA is a mainstay financial performance metric in each of XPO’s reportable segments </w:t>
            </w:r>
            <w:r>
              <mc:AlternateContent>
                <mc:Choice Requires="wps">
                  <w:drawing>
                    <wp:anchor behindDoc="0" distT="60960" distB="0" distL="228600" distR="0" simplePos="0" locked="0" layoutInCell="1" allowOverlap="1" relativeHeight="302">
                      <wp:simplePos x="0" y="0"/>
                      <wp:positionH relativeFrom="column">
                        <wp:align>left</wp:align>
                      </wp:positionH>
                      <wp:positionV relativeFrom="line">
                        <wp:align>top</wp:align>
                      </wp:positionV>
                      <wp:extent cx="228600" cy="350520"/>
                      <wp:effectExtent l="0" t="0" r="0" b="0"/>
                      <wp:wrapSquare wrapText="right"/>
                      <wp:docPr id="293" name="Frame1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6" w:before="0" w:after="283"/>
                                    <w:jc w:val="both"/>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8pt;mso-wrap-distance-bottom:0pt;margin-top:4.8pt;mso-position-vertical:top;mso-position-vertical-relative:text;margin-left:18pt;mso-position-horizontal:left;mso-position-horizontal-relative:text">
                      <v:textbox>
                        <w:txbxContent>
                          <w:p>
                            <w:pPr>
                              <w:pStyle w:val="TextBody"/>
                              <w:bidi w:val="0"/>
                              <w:spacing w:lineRule="atLeast" w:line="216" w:before="0" w:after="283"/>
                              <w:jc w:val="both"/>
                              <w:rPr/>
                            </w:pPr>
                            <w:r>
                              <w:rPr>
                                <w:spacing w:val="-2"/>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3439" w:type="dxa"/>
            <w:tcBorders>
              <w:bottom w:val="single" w:sz="4" w:space="0" w:color="7F7F7F"/>
            </w:tcBorders>
            <w:tcMar>
              <w:bottom w:w="41" w:type="dxa"/>
            </w:tcMar>
            <w:vAlign w:val="center"/>
          </w:tcPr>
          <w:p>
            <w:pPr>
              <w:pStyle w:val="TableContents"/>
              <w:bidi w:val="0"/>
              <w:spacing w:lineRule="atLeast" w:line="216" w:before="0" w:after="0"/>
              <w:ind w:left="360" w:right="0" w:hanging="0"/>
              <w:jc w:val="both"/>
              <w:rPr/>
            </w:pPr>
            <w:r>
              <w:rPr>
                <w:spacing w:val="-2"/>
              </w:rPr>
              <w:t>Profit-sharing cash incentive program with 0.56% participation factor of LTL adjusted operating income</w:t>
            </w:r>
            <w:r>
              <w:rPr/>
              <w:t xml:space="preserve">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228600" cy="175260"/>
                      <wp:effectExtent l="0" t="0" r="0" b="0"/>
                      <wp:wrapSquare wrapText="right"/>
                      <wp:docPr id="294" name="Frame1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16" w:before="0" w:after="283"/>
                                    <w:jc w:val="both"/>
                                    <w:rPr/>
                                  </w:pPr>
                                  <w:r>
                                    <w:rPr/>
                                    <w:drawing>
                                      <wp:inline distT="0" distB="0" distL="0" distR="0">
                                        <wp:extent cx="76200" cy="76200"/>
                                        <wp:effectExtent l="0" t="0" r="0" b="0"/>
                                        <wp:docPr id="29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17" descr=""/>
                                                <pic:cNvPicPr>
                                                  <a:picLocks noChangeAspect="1" noChangeArrowheads="1"/>
                                                </pic:cNvPicPr>
                                              </pic:nvPicPr>
                                              <pic:blipFill>
                                                <a:blip r:embed="rId120"/>
                                                <a:stretch>
                                                  <a:fillRect/>
                                                </a:stretch>
                                              </pic:blipFill>
                                              <pic:spPr bwMode="auto">
                                                <a:xfrm>
                                                  <a:off x="0" y="0"/>
                                                  <a:ext cx="76200"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both"/>
                              <w:rPr/>
                            </w:pPr>
                            <w:r>
                              <w:rPr/>
                              <w:drawing>
                                <wp:inline distT="0" distB="0" distL="0" distR="0">
                                  <wp:extent cx="76200" cy="76200"/>
                                  <wp:effectExtent l="0" t="0" r="0" b="0"/>
                                  <wp:docPr id="29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17" descr=""/>
                                          <pic:cNvPicPr>
                                            <a:picLocks noChangeAspect="1" noChangeArrowheads="1"/>
                                          </pic:cNvPicPr>
                                        </pic:nvPicPr>
                                        <pic:blipFill>
                                          <a:blip r:embed="rId121"/>
                                          <a:stretch>
                                            <a:fillRect/>
                                          </a:stretch>
                                        </pic:blipFill>
                                        <pic:spPr bwMode="auto">
                                          <a:xfrm>
                                            <a:off x="0" y="0"/>
                                            <a:ext cx="76200"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6" w:before="96" w:after="0"/>
              <w:ind w:left="720" w:right="0" w:hanging="0"/>
              <w:jc w:val="both"/>
              <w:rPr>
                <w:spacing w:val="-2"/>
              </w:rPr>
            </w:pPr>
            <w:r>
              <w:rPr>
                <w:spacing w:val="-2"/>
              </w:rPr>
              <w:t xml:space="preserve">Adjusted operating income incentivizes improving profitability </w:t>
            </w:r>
            <w:r>
              <mc:AlternateContent>
                <mc:Choice Requires="wps">
                  <w:drawing>
                    <wp:anchor behindDoc="0" distT="60960" distB="0" distL="228600" distR="0" simplePos="0" locked="0" layoutInCell="1" allowOverlap="1" relativeHeight="303">
                      <wp:simplePos x="0" y="0"/>
                      <wp:positionH relativeFrom="column">
                        <wp:align>left</wp:align>
                      </wp:positionH>
                      <wp:positionV relativeFrom="line">
                        <wp:align>top</wp:align>
                      </wp:positionV>
                      <wp:extent cx="228600" cy="350520"/>
                      <wp:effectExtent l="0" t="0" r="0" b="0"/>
                      <wp:wrapSquare wrapText="right"/>
                      <wp:docPr id="297" name="Frame1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6" w:before="0" w:after="283"/>
                                    <w:jc w:val="both"/>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8pt;mso-wrap-distance-bottom:0pt;margin-top:4.8pt;mso-position-vertical:top;mso-position-vertical-relative:text;margin-left:18pt;mso-position-horizontal:left;mso-position-horizontal-relative:text">
                      <v:textbox>
                        <w:txbxContent>
                          <w:p>
                            <w:pPr>
                              <w:pStyle w:val="TextBody"/>
                              <w:bidi w:val="0"/>
                              <w:spacing w:lineRule="atLeast" w:line="216" w:before="0" w:after="283"/>
                              <w:jc w:val="both"/>
                              <w:rPr/>
                            </w:pPr>
                            <w:r>
                              <w:rPr>
                                <w:spacing w:val="-2"/>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90" w:type="dxa"/>
            <w:tcBorders>
              <w:bottom w:val="single" w:sz="6" w:space="0" w:color="000000"/>
            </w:tcBorders>
            <w:tcMar>
              <w:bottom w:w="28" w:type="dxa"/>
            </w:tcMar>
            <w:vAlign w:val="center"/>
          </w:tcPr>
          <w:p>
            <w:pPr>
              <w:pStyle w:val="TableContents"/>
              <w:bidi w:val="0"/>
              <w:spacing w:lineRule="atLeast" w:line="216" w:before="0" w:after="0"/>
              <w:jc w:val="center"/>
              <w:rPr>
                <w:b/>
              </w:rPr>
            </w:pPr>
            <w:r>
              <w:rPr>
                <w:b/>
                <w:spacing w:val="-2"/>
              </w:rPr>
              <w:t xml:space="preserve">LONG-TERM </w:t>
              <w:br/>
              <w:t>INCENTIVES</w:t>
            </w:r>
            <w:r>
              <w:rPr>
                <w:b/>
              </w:rPr>
              <w:t xml:space="preserve"> </w:t>
            </w:r>
          </w:p>
          <w:p>
            <w:pPr>
              <w:pStyle w:val="TableContents"/>
              <w:bidi w:val="0"/>
              <w:spacing w:lineRule="atLeast" w:line="216" w:before="120" w:after="283"/>
              <w:jc w:val="center"/>
              <w:rPr>
                <w:b/>
              </w:rPr>
            </w:pPr>
            <w:r>
              <w:rPr>
                <w:b/>
                <w:spacing w:val="-2"/>
              </w:rPr>
              <w:t>EC and CEO:</w:t>
            </w:r>
            <w:r>
              <w:rPr>
                <w:b/>
              </w:rPr>
              <w:t xml:space="preserve"> </w:t>
              <w:br/>
            </w:r>
            <w:r>
              <w:rPr>
                <w:b/>
                <w:color w:val="E2231A"/>
                <w:spacing w:val="-2"/>
              </w:rPr>
              <w:t>80% PSU</w:t>
            </w:r>
            <w:r>
              <w:rPr>
                <w:b/>
              </w:rPr>
              <w:t xml:space="preserve"> </w:t>
              <w:br/>
            </w:r>
            <w:r>
              <w:rPr>
                <w:b/>
                <w:color w:val="998B86"/>
                <w:spacing w:val="-2"/>
              </w:rPr>
              <w:t>20% RSU</w:t>
            </w:r>
            <w:r>
              <w:rPr>
                <w:b/>
              </w:rPr>
              <w:t xml:space="preserve"> </w:t>
            </w:r>
          </w:p>
          <w:p>
            <w:pPr>
              <w:pStyle w:val="TableContents"/>
              <w:bidi w:val="0"/>
              <w:spacing w:lineRule="atLeast" w:line="216" w:before="120" w:after="283"/>
              <w:jc w:val="center"/>
              <w:rPr>
                <w:b/>
              </w:rPr>
            </w:pPr>
            <w:r>
              <w:rPr>
                <w:b/>
                <w:spacing w:val="-2"/>
              </w:rPr>
              <w:t>CFO, COO and CLO:</w:t>
            </w:r>
            <w:r>
              <w:rPr>
                <w:b/>
              </w:rPr>
              <w:t xml:space="preserve"> </w:t>
              <w:br/>
            </w:r>
            <w:r>
              <w:rPr>
                <w:b/>
                <w:color w:val="E2231A"/>
                <w:spacing w:val="-2"/>
              </w:rPr>
              <w:t>65% PSU</w:t>
            </w:r>
            <w:r>
              <w:rPr>
                <w:b/>
              </w:rPr>
              <w:t xml:space="preserve"> </w:t>
              <w:br/>
            </w:r>
            <w:r>
              <w:rPr>
                <w:b/>
                <w:color w:val="998B86"/>
                <w:spacing w:val="-2"/>
              </w:rPr>
              <w:t>35% RSU</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shd w:fill="7F7F7F" w:val="cle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71" w:type="dxa"/>
            <w:gridSpan w:val="5"/>
            <w:tcBorders>
              <w:bottom w:val="single" w:sz="6" w:space="0" w:color="000000"/>
            </w:tcBorders>
            <w:tcMar>
              <w:bottom w:w="28" w:type="dxa"/>
            </w:tcMar>
            <w:vAlign w:val="center"/>
          </w:tcPr>
          <w:p>
            <w:pPr>
              <w:pStyle w:val="TableContents"/>
              <w:bidi w:val="0"/>
              <w:spacing w:lineRule="atLeast" w:line="180" w:before="0" w:after="0"/>
              <w:ind w:left="360" w:right="0" w:hanging="0"/>
              <w:jc w:val="both"/>
              <w:rPr>
                <w:b/>
              </w:rPr>
            </w:pPr>
            <w:r>
              <w:rPr>
                <w:b/>
                <w:spacing w:val="-2"/>
              </w:rPr>
              <w:t xml:space="preserve">Performance-Based Restricted Stock Units (PSUs) </w:t>
            </w:r>
            <w:r>
              <w:rPr>
                <w:b w:val="false"/>
                <w:spacing w:val="-2"/>
              </w:rPr>
              <w:t>based on three-year performance period</w:t>
            </w:r>
            <w:r>
              <w:rPr>
                <w:b/>
              </w:rPr>
              <w:t xml:space="preserve">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28600" cy="175260"/>
                      <wp:effectExtent l="0" t="0" r="0" b="0"/>
                      <wp:wrapSquare wrapText="right"/>
                      <wp:docPr id="298" name="Frame1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180" w:before="0" w:after="283"/>
                                    <w:jc w:val="both"/>
                                    <w:rPr/>
                                  </w:pPr>
                                  <w:r>
                                    <w:rPr/>
                                    <w:drawing>
                                      <wp:inline distT="0" distB="0" distL="0" distR="0">
                                        <wp:extent cx="76200" cy="76200"/>
                                        <wp:effectExtent l="0" t="0" r="0" b="0"/>
                                        <wp:docPr id="29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18" descr=""/>
                                                <pic:cNvPicPr>
                                                  <a:picLocks noChangeAspect="1" noChangeArrowheads="1"/>
                                                </pic:cNvPicPr>
                                              </pic:nvPicPr>
                                              <pic:blipFill>
                                                <a:blip r:embed="rId122"/>
                                                <a:stretch>
                                                  <a:fillRect/>
                                                </a:stretch>
                                              </pic:blipFill>
                                              <pic:spPr bwMode="auto">
                                                <a:xfrm>
                                                  <a:off x="0" y="0"/>
                                                  <a:ext cx="76200"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both"/>
                              <w:rPr/>
                            </w:pPr>
                            <w:r>
                              <w:rPr/>
                              <w:drawing>
                                <wp:inline distT="0" distB="0" distL="0" distR="0">
                                  <wp:extent cx="76200" cy="76200"/>
                                  <wp:effectExtent l="0" t="0" r="0" b="0"/>
                                  <wp:docPr id="30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18" descr=""/>
                                          <pic:cNvPicPr>
                                            <a:picLocks noChangeAspect="1" noChangeArrowheads="1"/>
                                          </pic:cNvPicPr>
                                        </pic:nvPicPr>
                                        <pic:blipFill>
                                          <a:blip r:embed="rId123"/>
                                          <a:stretch>
                                            <a:fillRect/>
                                          </a:stretch>
                                        </pic:blipFill>
                                        <pic:spPr bwMode="auto">
                                          <a:xfrm>
                                            <a:off x="0" y="0"/>
                                            <a:ext cx="76200"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720" w:right="0" w:hanging="0"/>
              <w:jc w:val="left"/>
              <w:rPr/>
            </w:pPr>
            <w:r>
              <w:rPr>
                <w:spacing w:val="-2"/>
              </w:rPr>
              <w:t>35% LTL adjusted EBITDA growth</w:t>
            </w:r>
            <w:r>
              <w:rPr/>
              <w:t xml:space="preserve"> </w:t>
            </w:r>
            <w:r>
              <mc:AlternateContent>
                <mc:Choice Requires="wps">
                  <w:drawing>
                    <wp:anchor behindDoc="0" distT="60960" distB="0" distL="228600" distR="0" simplePos="0" locked="0" layoutInCell="1" allowOverlap="1" relativeHeight="304">
                      <wp:simplePos x="0" y="0"/>
                      <wp:positionH relativeFrom="column">
                        <wp:align>left</wp:align>
                      </wp:positionH>
                      <wp:positionV relativeFrom="line">
                        <wp:align>top</wp:align>
                      </wp:positionV>
                      <wp:extent cx="228600" cy="350520"/>
                      <wp:effectExtent l="0" t="0" r="0" b="0"/>
                      <wp:wrapSquare wrapText="right"/>
                      <wp:docPr id="301" name="Frame1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8pt;mso-wrap-distance-bottom:0pt;margin-top:4.8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2"/>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720" w:right="0" w:hanging="0"/>
              <w:jc w:val="left"/>
              <w:rPr/>
            </w:pPr>
            <w:r>
              <w:rPr>
                <w:spacing w:val="-2"/>
              </w:rPr>
              <w:t>40% LTL adjusted operating ratio Improvement</w:t>
            </w:r>
            <w:r>
              <w:rPr/>
              <w:t xml:space="preserve"> </w:t>
            </w:r>
            <w:r>
              <mc:AlternateContent>
                <mc:Choice Requires="wps">
                  <w:drawing>
                    <wp:anchor behindDoc="0" distT="60960" distB="0" distL="228600" distR="0" simplePos="0" locked="0" layoutInCell="1" allowOverlap="1" relativeHeight="305">
                      <wp:simplePos x="0" y="0"/>
                      <wp:positionH relativeFrom="column">
                        <wp:align>left</wp:align>
                      </wp:positionH>
                      <wp:positionV relativeFrom="line">
                        <wp:align>top</wp:align>
                      </wp:positionV>
                      <wp:extent cx="228600" cy="350520"/>
                      <wp:effectExtent l="0" t="0" r="0" b="0"/>
                      <wp:wrapSquare wrapText="right"/>
                      <wp:docPr id="302" name="Frame1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8pt;mso-wrap-distance-bottom:0pt;margin-top:4.8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2"/>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720" w:right="0" w:hanging="0"/>
              <w:jc w:val="left"/>
              <w:rPr/>
            </w:pPr>
            <w:r>
              <w:rPr>
                <w:spacing w:val="-2"/>
              </w:rPr>
              <w:t>25% relative TSR vs. S&amp;P Transportation Select Index TSR</w:t>
            </w:r>
            <w:r>
              <w:rPr/>
              <w:t xml:space="preserve"> </w:t>
            </w:r>
            <w:r>
              <mc:AlternateContent>
                <mc:Choice Requires="wps">
                  <w:drawing>
                    <wp:anchor behindDoc="0" distT="60960" distB="0" distL="228600" distR="0" simplePos="0" locked="0" layoutInCell="1" allowOverlap="1" relativeHeight="306">
                      <wp:simplePos x="0" y="0"/>
                      <wp:positionH relativeFrom="column">
                        <wp:align>left</wp:align>
                      </wp:positionH>
                      <wp:positionV relativeFrom="line">
                        <wp:align>top</wp:align>
                      </wp:positionV>
                      <wp:extent cx="228600" cy="350520"/>
                      <wp:effectExtent l="0" t="0" r="0" b="0"/>
                      <wp:wrapSquare wrapText="right"/>
                      <wp:docPr id="303" name="Frame1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8pt;mso-wrap-distance-bottom:0pt;margin-top:4.8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2"/>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283"/>
              <w:jc w:val="left"/>
              <w:rPr/>
            </w:pPr>
            <w:r>
              <w:rPr>
                <w:spacing w:val="-2"/>
              </w:rPr>
              <w:t>PSU cliff vesting performance target hurdles include:</w:t>
            </w:r>
            <w:r>
              <w:rPr/>
              <w:t xml:space="preserve"> </w:t>
            </w:r>
          </w:p>
          <w:p>
            <w:pPr>
              <w:pStyle w:val="TableContents"/>
              <w:bidi w:val="0"/>
              <w:spacing w:lineRule="atLeast" w:line="180" w:before="96" w:after="0"/>
              <w:ind w:left="720" w:right="0" w:hanging="0"/>
              <w:jc w:val="left"/>
              <w:rPr/>
            </w:pPr>
            <w:r>
              <w:rPr>
                <w:spacing w:val="-2"/>
              </w:rPr>
              <w:t>LTL adjusted EBITDA growth of at least 12%</w:t>
            </w:r>
            <w:r>
              <w:rPr/>
              <w:t xml:space="preserve"> </w:t>
            </w:r>
            <w:r>
              <mc:AlternateContent>
                <mc:Choice Requires="wps">
                  <w:drawing>
                    <wp:anchor behindDoc="0" distT="60960" distB="0" distL="228600" distR="0" simplePos="0" locked="0" layoutInCell="1" allowOverlap="1" relativeHeight="307">
                      <wp:simplePos x="0" y="0"/>
                      <wp:positionH relativeFrom="column">
                        <wp:align>left</wp:align>
                      </wp:positionH>
                      <wp:positionV relativeFrom="line">
                        <wp:align>top</wp:align>
                      </wp:positionV>
                      <wp:extent cx="228600" cy="350520"/>
                      <wp:effectExtent l="0" t="0" r="0" b="0"/>
                      <wp:wrapSquare wrapText="right"/>
                      <wp:docPr id="304" name="Frame1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8pt;mso-wrap-distance-bottom:0pt;margin-top:4.8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2"/>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720" w:right="0" w:hanging="0"/>
              <w:jc w:val="left"/>
              <w:rPr/>
            </w:pPr>
            <w:r>
              <w:rPr>
                <w:spacing w:val="-2"/>
              </w:rPr>
              <w:t>LTL adjusted operating ratio Improvement of at least 450 basis points</w:t>
            </w:r>
            <w:r>
              <w:rPr/>
              <w:t xml:space="preserve"> </w:t>
            </w:r>
            <w:r>
              <mc:AlternateContent>
                <mc:Choice Requires="wps">
                  <w:drawing>
                    <wp:anchor behindDoc="0" distT="60960" distB="0" distL="228600" distR="0" simplePos="0" locked="0" layoutInCell="1" allowOverlap="1" relativeHeight="308">
                      <wp:simplePos x="0" y="0"/>
                      <wp:positionH relativeFrom="column">
                        <wp:align>left</wp:align>
                      </wp:positionH>
                      <wp:positionV relativeFrom="line">
                        <wp:align>top</wp:align>
                      </wp:positionV>
                      <wp:extent cx="228600" cy="350520"/>
                      <wp:effectExtent l="0" t="0" r="0" b="0"/>
                      <wp:wrapSquare wrapText="right"/>
                      <wp:docPr id="305" name="Frame1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8pt;mso-wrap-distance-bottom:0pt;margin-top:4.8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2"/>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5" w:before="96" w:after="0"/>
              <w:ind w:left="720" w:right="0" w:hanging="0"/>
              <w:jc w:val="both"/>
              <w:rPr/>
            </w:pPr>
            <w:r>
              <w:rPr>
                <w:spacing w:val="-2"/>
              </w:rPr>
              <w:t>TSR ranking at or above the 55th percentile relative to S&amp;P Transportation Select Industry Index TSR</w:t>
            </w:r>
            <w:r>
              <w:rPr/>
              <w:t xml:space="preserve"> </w:t>
            </w:r>
            <w:r>
              <mc:AlternateContent>
                <mc:Choice Requires="wps">
                  <w:drawing>
                    <wp:anchor behindDoc="0" distT="60960" distB="0" distL="228600" distR="0" simplePos="0" locked="0" layoutInCell="1" allowOverlap="1" relativeHeight="309">
                      <wp:simplePos x="0" y="0"/>
                      <wp:positionH relativeFrom="column">
                        <wp:align>left</wp:align>
                      </wp:positionH>
                      <wp:positionV relativeFrom="line">
                        <wp:align>top</wp:align>
                      </wp:positionV>
                      <wp:extent cx="228600" cy="350520"/>
                      <wp:effectExtent l="0" t="0" r="0" b="0"/>
                      <wp:wrapSquare wrapText="right"/>
                      <wp:docPr id="306" name="Frame1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5" w:before="0" w:after="283"/>
                                    <w:jc w:val="both"/>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8pt;mso-wrap-distance-bottom:0pt;margin-top:4.8pt;mso-position-vertical:top;mso-position-vertical-relative:text;margin-left:18pt;mso-position-horizontal:left;mso-position-horizontal-relative:text">
                      <v:textbox>
                        <w:txbxContent>
                          <w:p>
                            <w:pPr>
                              <w:pStyle w:val="TextBody"/>
                              <w:bidi w:val="0"/>
                              <w:spacing w:lineRule="atLeast" w:line="215" w:before="0" w:after="283"/>
                              <w:jc w:val="both"/>
                              <w:rPr/>
                            </w:pPr>
                            <w:r>
                              <w:rPr>
                                <w:spacing w:val="-2"/>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56" w:after="283"/>
              <w:jc w:val="left"/>
              <w:rPr>
                <w:b/>
              </w:rPr>
            </w:pPr>
            <w:r>
              <w:rPr>
                <w:b/>
                <w:color w:val="998B86"/>
                <w:spacing w:val="-2"/>
              </w:rPr>
              <w:t>Restricted Stock Units (RSUs)</w:t>
            </w:r>
            <w:r>
              <w:rPr>
                <w:b/>
                <w:spacing w:val="-2"/>
              </w:rPr>
              <w:t xml:space="preserve"> </w:t>
            </w:r>
            <w:r>
              <w:rPr>
                <w:b w:val="false"/>
                <w:spacing w:val="-2"/>
              </w:rPr>
              <w:t>that vest annually over three years</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Chief operating officer profit-sharing cash incentive program paid out quarterly and subject to: (i) Mr. Bates’ continuing employment through the date on which the quarterly earnings are publicly announced; and (ii) the terms and conditions of the company’s profit-sharing cash incentive program approved by the Compensation and Human Capital Committee. </w:t>
      </w:r>
      <w:r>
        <mc:AlternateContent>
          <mc:Choice Requires="wps">
            <w:drawing>
              <wp:anchor behindDoc="0" distT="44450" distB="0" distL="0" distR="0" simplePos="0" locked="0" layoutInCell="1" allowOverlap="1" relativeHeight="310">
                <wp:simplePos x="0" y="0"/>
                <wp:positionH relativeFrom="column">
                  <wp:align>left</wp:align>
                </wp:positionH>
                <wp:positionV relativeFrom="line">
                  <wp:align>top</wp:align>
                </wp:positionV>
                <wp:extent cx="254000" cy="241300"/>
                <wp:effectExtent l="0" t="0" r="0" b="0"/>
                <wp:wrapSquare wrapText="right"/>
                <wp:docPr id="307" name="Frame185"/>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(1)</w:t>
                            </w:r>
                            <w:r>
                              <w:rPr>
                                <w:rFonts w:ascii="Arial Narrow;Helvetica;sans-serif" w:hAnsi="Arial Narrow;Helvetica;sans-serif"/>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(1)</w:t>
                      </w:r>
                      <w:r>
                        <w:rPr>
                          <w:rFonts w:ascii="Arial Narrow;Helvetica;sans-serif" w:hAnsi="Arial Narrow;Helvetica;sans-serif"/>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33</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Target Pay Levels for Current NEOs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In setting total target pay levels for our NEOs, the Committee considers several factors, including competitive market compensation, company and individual performance, scope and scale of responsibility, unique skills, tenure, internal equity and stockholder feedback. The Committee reviews the competitiveness of the total target pay level and practices relative to the established peer group and published survey data provided by its independent compensation consultant (see </w:t>
      </w:r>
      <w:r>
        <w:rPr>
          <w:rFonts w:ascii="Helvetica;Arial Narrow;sans-serif" w:hAnsi="Helvetica;Arial Narrow;sans-serif"/>
          <w:b w:val="false"/>
          <w:i/>
          <w:caps w:val="false"/>
          <w:smallCaps w:val="false"/>
          <w:color w:val="000000"/>
          <w:sz w:val="18"/>
        </w:rPr>
        <w:t>Peer Group and Market Analysis</w:t>
      </w:r>
      <w:r>
        <w:rPr>
          <w:rFonts w:ascii="Helvetica;Arial Narrow;sans-serif" w:hAnsi="Helvetica;Arial Narrow;sans-serif"/>
          <w:b w:val="false"/>
          <w:i w:val="false"/>
          <w:caps w:val="false"/>
          <w:smallCaps w:val="false"/>
          <w:color w:val="000000"/>
          <w:spacing w:val="-2"/>
          <w:sz w:val="18"/>
        </w:rPr>
        <w:t xml:space="preserve"> on page 37).</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 determined not to increase the 2024 total target direct compensation for each of Messrs. Jacobs, Harik, and Bates or Ms. Cassity, including base salary, the STI target or the LTI target, which is a combination of PSUs and RSUs. For Ms. Cassity, the Committee determined to adjust her LTI mix to 65% PSUs and 35% RSUs (previously 50% PSUs and 50% RSUs in 2023) to align the mix of her equity award with the broader NEO team.</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 approved an increase in Mr. Wismans’ total target direct compensation for 2024 as supported by competitive market practices data provided by our independent compensation consultant and in recognition of outstanding performance driving key strategic objectives, including his pivotal role in financing and overseeing the implementation of the real estate acquired through the Yellow Corporation bankruptcy. The following table provides an overview of the year-over-year changes the Committee approved for Mr. Wismans’ target compensation:</w:t>
      </w:r>
      <w:r>
        <w:rPr>
          <w:rFonts w:ascii="Helvetica;Arial Narrow;sans-serif" w:hAnsi="Helvetica;Arial Narrow;sans-serif"/>
          <w:b w:val="false"/>
          <w:i w:val="false"/>
          <w:caps w:val="false"/>
          <w:smallCaps w:val="false"/>
          <w:color w:val="000000"/>
          <w:spacing w:val="4"/>
          <w:sz w:val="18"/>
        </w:rPr>
        <w:t xml:space="preserve"> </w:t>
      </w:r>
    </w:p>
    <w:tbl>
      <w:tblPr>
        <w:tblW w:w="12456" w:type="dxa"/>
        <w:jc w:val="left"/>
        <w:tblInd w:w="920" w:type="dxa"/>
        <w:tblLayout w:type="fixed"/>
        <w:tblCellMar>
          <w:top w:w="0" w:type="dxa"/>
          <w:left w:w="0" w:type="dxa"/>
          <w:bottom w:w="28" w:type="dxa"/>
          <w:right w:w="0" w:type="dxa"/>
        </w:tblCellMar>
      </w:tblPr>
      <w:tblGrid>
        <w:gridCol w:w="124"/>
        <w:gridCol w:w="1036"/>
        <w:gridCol w:w="109"/>
        <w:gridCol w:w="109"/>
        <w:gridCol w:w="109"/>
        <w:gridCol w:w="886"/>
        <w:gridCol w:w="109"/>
        <w:gridCol w:w="109"/>
        <w:gridCol w:w="109"/>
        <w:gridCol w:w="886"/>
        <w:gridCol w:w="109"/>
        <w:gridCol w:w="109"/>
        <w:gridCol w:w="109"/>
        <w:gridCol w:w="841"/>
        <w:gridCol w:w="109"/>
        <w:gridCol w:w="109"/>
        <w:gridCol w:w="109"/>
        <w:gridCol w:w="886"/>
        <w:gridCol w:w="109"/>
        <w:gridCol w:w="109"/>
        <w:gridCol w:w="109"/>
        <w:gridCol w:w="886"/>
        <w:gridCol w:w="109"/>
        <w:gridCol w:w="109"/>
        <w:gridCol w:w="109"/>
        <w:gridCol w:w="841"/>
        <w:gridCol w:w="109"/>
        <w:gridCol w:w="109"/>
        <w:gridCol w:w="109"/>
        <w:gridCol w:w="1066"/>
        <w:gridCol w:w="109"/>
        <w:gridCol w:w="109"/>
        <w:gridCol w:w="109"/>
        <w:gridCol w:w="1066"/>
        <w:gridCol w:w="109"/>
        <w:gridCol w:w="109"/>
        <w:gridCol w:w="109"/>
        <w:gridCol w:w="841"/>
        <w:gridCol w:w="154"/>
      </w:tblGrid>
      <w:tr>
        <w:trPr/>
        <w:tc>
          <w:tcPr>
            <w:tcW w:w="124" w:type="dxa"/>
            <w:tcBorders>
              <w:bottom w:val="single" w:sz="2" w:space="0" w:color="7F7F7F"/>
            </w:tcBorders>
            <w:vAlign w:val="center"/>
          </w:tcPr>
          <w:p>
            <w:pPr>
              <w:pStyle w:val="TableContents"/>
              <w:bidi w:val="0"/>
              <w:spacing w:before="0" w:after="283"/>
              <w:jc w:val="left"/>
              <w:rPr/>
            </w:pPr>
            <w:r>
              <w:rPr/>
              <w:t>​</w:t>
            </w:r>
          </w:p>
        </w:tc>
        <w:tc>
          <w:tcPr>
            <w:tcW w:w="1036" w:type="dxa"/>
            <w:tcBorders>
              <w:bottom w:val="single" w:sz="2" w:space="0" w:color="7F7F7F"/>
            </w:tcBorders>
            <w:tcMar>
              <w:bottom w:w="43" w:type="dxa"/>
            </w:tcMar>
            <w:vAlign w:val="center"/>
          </w:tcPr>
          <w:p>
            <w:pPr>
              <w:pStyle w:val="TableContents"/>
              <w:bidi w:val="0"/>
              <w:spacing w:before="0" w:after="0"/>
              <w:jc w:val="left"/>
              <w:rPr/>
            </w:pPr>
            <w:r>
              <w:rPr/>
              <w:t xml:space="preserve">NEO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tcMar>
              <w:bottom w:w="43" w:type="dxa"/>
            </w:tcMar>
            <w:vAlign w:val="center"/>
          </w:tcPr>
          <w:p>
            <w:pPr>
              <w:pStyle w:val="TableContents"/>
              <w:bidi w:val="0"/>
              <w:spacing w:before="0" w:after="0"/>
              <w:jc w:val="center"/>
              <w:rPr/>
            </w:pPr>
            <w:r>
              <w:rPr/>
              <w:t>2023 Base</w:t>
              <w:br/>
              <w:t xml:space="preserve">Salary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tcMar>
              <w:bottom w:w="43" w:type="dxa"/>
            </w:tcMar>
            <w:vAlign w:val="center"/>
          </w:tcPr>
          <w:p>
            <w:pPr>
              <w:pStyle w:val="TableContents"/>
              <w:bidi w:val="0"/>
              <w:spacing w:before="0" w:after="0"/>
              <w:jc w:val="center"/>
              <w:rPr/>
            </w:pPr>
            <w:r>
              <w:rPr/>
              <w:t>2024 Base</w:t>
              <w:br/>
              <w:t xml:space="preserve">Salary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shd w:fill="E5E5E5" w:val="clear"/>
            <w:vAlign w:val="center"/>
          </w:tcPr>
          <w:p>
            <w:pPr>
              <w:pStyle w:val="TableContents"/>
              <w:bidi w:val="0"/>
              <w:spacing w:before="0" w:after="283"/>
              <w:jc w:val="left"/>
              <w:rPr/>
            </w:pPr>
            <w:r>
              <w:rPr/>
              <w:t>​</w:t>
            </w:r>
          </w:p>
        </w:tc>
        <w:tc>
          <w:tcPr>
            <w:tcW w:w="841" w:type="dxa"/>
            <w:tcBorders>
              <w:bottom w:val="single" w:sz="2" w:space="0" w:color="7F7F7F"/>
            </w:tcBorders>
            <w:shd w:fill="E5E5E5" w:val="clear"/>
            <w:tcMar>
              <w:bottom w:w="43" w:type="dxa"/>
            </w:tcMar>
            <w:vAlign w:val="center"/>
          </w:tcPr>
          <w:p>
            <w:pPr>
              <w:pStyle w:val="TableContents"/>
              <w:bidi w:val="0"/>
              <w:spacing w:before="0" w:after="0"/>
              <w:jc w:val="center"/>
              <w:rPr/>
            </w:pPr>
            <w:r>
              <w:rPr/>
              <w:t xml:space="preserve">Change </w:t>
              <w:br/>
              <w:t xml:space="preserve">YoY </w:t>
              <w:br/>
              <w:t xml:space="preserve">(%) </w:t>
            </w:r>
          </w:p>
        </w:tc>
        <w:tc>
          <w:tcPr>
            <w:tcW w:w="109" w:type="dxa"/>
            <w:tcBorders>
              <w:bottom w:val="single" w:sz="2" w:space="0" w:color="7F7F7F"/>
            </w:tcBorders>
            <w:shd w:fill="E5E5E5" w:val="cle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tcMar>
              <w:bottom w:w="43" w:type="dxa"/>
            </w:tcMar>
            <w:vAlign w:val="center"/>
          </w:tcPr>
          <w:p>
            <w:pPr>
              <w:pStyle w:val="TableContents"/>
              <w:bidi w:val="0"/>
              <w:spacing w:before="0" w:after="0"/>
              <w:jc w:val="center"/>
              <w:rPr/>
            </w:pPr>
            <w:r>
              <w:rPr/>
              <w:t xml:space="preserve">2023 </w:t>
              <w:br/>
              <w:t xml:space="preserve">Target STI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6" w:type="dxa"/>
            <w:tcBorders>
              <w:bottom w:val="single" w:sz="2" w:space="0" w:color="7F7F7F"/>
            </w:tcBorders>
            <w:tcMar>
              <w:bottom w:w="43" w:type="dxa"/>
            </w:tcMar>
            <w:vAlign w:val="center"/>
          </w:tcPr>
          <w:p>
            <w:pPr>
              <w:pStyle w:val="TableContents"/>
              <w:bidi w:val="0"/>
              <w:spacing w:before="0" w:after="0"/>
              <w:jc w:val="center"/>
              <w:rPr/>
            </w:pPr>
            <w:r>
              <w:rPr/>
              <w:t xml:space="preserve">2024 </w:t>
              <w:br/>
              <w:t xml:space="preserve">Target STI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shd w:fill="E5E5E5" w:val="clear"/>
            <w:vAlign w:val="center"/>
          </w:tcPr>
          <w:p>
            <w:pPr>
              <w:pStyle w:val="TableContents"/>
              <w:bidi w:val="0"/>
              <w:spacing w:before="0" w:after="283"/>
              <w:jc w:val="left"/>
              <w:rPr/>
            </w:pPr>
            <w:r>
              <w:rPr/>
              <w:t>​</w:t>
            </w:r>
          </w:p>
        </w:tc>
        <w:tc>
          <w:tcPr>
            <w:tcW w:w="841" w:type="dxa"/>
            <w:tcBorders>
              <w:bottom w:val="single" w:sz="2" w:space="0" w:color="7F7F7F"/>
            </w:tcBorders>
            <w:shd w:fill="E5E5E5" w:val="clear"/>
            <w:tcMar>
              <w:bottom w:w="43" w:type="dxa"/>
            </w:tcMar>
            <w:vAlign w:val="center"/>
          </w:tcPr>
          <w:p>
            <w:pPr>
              <w:pStyle w:val="TableContents"/>
              <w:bidi w:val="0"/>
              <w:spacing w:before="0" w:after="0"/>
              <w:jc w:val="center"/>
              <w:rPr/>
            </w:pPr>
            <w:r>
              <w:rPr/>
              <w:t xml:space="preserve">Change </w:t>
              <w:br/>
              <w:t xml:space="preserve">YoY </w:t>
              <w:br/>
              <w:t xml:space="preserve">(%) </w:t>
            </w:r>
          </w:p>
        </w:tc>
        <w:tc>
          <w:tcPr>
            <w:tcW w:w="109" w:type="dxa"/>
            <w:tcBorders>
              <w:bottom w:val="single" w:sz="2" w:space="0" w:color="7F7F7F"/>
            </w:tcBorders>
            <w:shd w:fill="E5E5E5" w:val="cle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66" w:type="dxa"/>
            <w:tcBorders>
              <w:bottom w:val="single" w:sz="2" w:space="0" w:color="7F7F7F"/>
            </w:tcBorders>
            <w:tcMar>
              <w:bottom w:w="43" w:type="dxa"/>
            </w:tcMar>
            <w:vAlign w:val="center"/>
          </w:tcPr>
          <w:p>
            <w:pPr>
              <w:pStyle w:val="TableContents"/>
              <w:bidi w:val="0"/>
              <w:spacing w:before="0" w:after="0"/>
              <w:jc w:val="center"/>
              <w:rPr/>
            </w:pPr>
            <w:r>
              <w:rPr/>
              <w:t xml:space="preserve">2023 </w:t>
              <w:br/>
              <w:t xml:space="preserve">Target LTI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66" w:type="dxa"/>
            <w:tcBorders>
              <w:bottom w:val="single" w:sz="2" w:space="0" w:color="7F7F7F"/>
            </w:tcBorders>
            <w:tcMar>
              <w:bottom w:w="43" w:type="dxa"/>
            </w:tcMar>
            <w:vAlign w:val="center"/>
          </w:tcPr>
          <w:p>
            <w:pPr>
              <w:pStyle w:val="TableContents"/>
              <w:bidi w:val="0"/>
              <w:spacing w:before="0" w:after="0"/>
              <w:jc w:val="center"/>
              <w:rPr/>
            </w:pPr>
            <w:r>
              <w:rPr/>
              <w:t xml:space="preserve">2024 </w:t>
              <w:br/>
              <w:t xml:space="preserve">Target LTI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shd w:fill="E5E5E5" w:val="clear"/>
            <w:vAlign w:val="center"/>
          </w:tcPr>
          <w:p>
            <w:pPr>
              <w:pStyle w:val="TableContents"/>
              <w:bidi w:val="0"/>
              <w:spacing w:before="0" w:after="283"/>
              <w:jc w:val="left"/>
              <w:rPr/>
            </w:pPr>
            <w:r>
              <w:rPr/>
              <w:t>​</w:t>
            </w:r>
          </w:p>
        </w:tc>
        <w:tc>
          <w:tcPr>
            <w:tcW w:w="841" w:type="dxa"/>
            <w:tcBorders>
              <w:bottom w:val="single" w:sz="2" w:space="0" w:color="7F7F7F"/>
            </w:tcBorders>
            <w:shd w:fill="E5E5E5" w:val="clear"/>
            <w:tcMar>
              <w:bottom w:w="43" w:type="dxa"/>
            </w:tcMar>
            <w:vAlign w:val="center"/>
          </w:tcPr>
          <w:p>
            <w:pPr>
              <w:pStyle w:val="TableContents"/>
              <w:bidi w:val="0"/>
              <w:spacing w:before="0" w:after="0"/>
              <w:jc w:val="center"/>
              <w:rPr/>
            </w:pPr>
            <w:r>
              <w:rPr/>
              <w:t xml:space="preserve">Change </w:t>
              <w:br/>
              <w:t xml:space="preserve">YoY </w:t>
              <w:br/>
              <w:t xml:space="preserve">(%) </w:t>
            </w:r>
          </w:p>
        </w:tc>
        <w:tc>
          <w:tcPr>
            <w:tcW w:w="154" w:type="dxa"/>
            <w:tcBorders>
              <w:bottom w:val="single" w:sz="2" w:space="0" w:color="7F7F7F"/>
            </w:tcBorders>
            <w:shd w:fill="E5E5E5"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6" w:type="dxa"/>
            <w:tcBorders/>
            <w:tcMar>
              <w:bottom w:w="0" w:type="dxa"/>
            </w:tcMar>
            <w:vAlign w:val="center"/>
          </w:tcPr>
          <w:p>
            <w:pPr>
              <w:pStyle w:val="TableContents"/>
              <w:bidi w:val="0"/>
              <w:spacing w:before="0" w:after="0"/>
              <w:jc w:val="left"/>
              <w:rPr>
                <w:b/>
              </w:rPr>
            </w:pPr>
            <w:r>
              <w:rPr>
                <w:b/>
              </w:rPr>
              <w:t>Kyle Wismans</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pPr>
            <w:r>
              <w:rPr/>
              <w:t xml:space="preserve">550,000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pPr>
            <w:r>
              <w:rPr/>
              <w:t xml:space="preserve">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41" w:type="dxa"/>
            <w:tcBorders/>
            <w:shd w:fill="E5E5E5" w:val="clear"/>
            <w:tcMar>
              <w:bottom w:w="0" w:type="dxa"/>
            </w:tcMar>
            <w:vAlign w:val="center"/>
          </w:tcPr>
          <w:p>
            <w:pPr>
              <w:pStyle w:val="TableContents"/>
              <w:bidi w:val="0"/>
              <w:spacing w:before="0" w:after="0"/>
              <w:jc w:val="center"/>
              <w:rPr/>
            </w:pPr>
            <w:r>
              <w:rPr/>
              <w:t xml:space="preserve">9%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pPr>
            <w:r>
              <w:rPr/>
              <w:t xml:space="preserve">550,000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pPr>
            <w:r>
              <w:rPr/>
              <w:t xml:space="preserve">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41" w:type="dxa"/>
            <w:tcBorders/>
            <w:shd w:fill="E5E5E5" w:val="clear"/>
            <w:tcMar>
              <w:bottom w:w="0" w:type="dxa"/>
            </w:tcMar>
            <w:vAlign w:val="center"/>
          </w:tcPr>
          <w:p>
            <w:pPr>
              <w:pStyle w:val="TableContents"/>
              <w:bidi w:val="0"/>
              <w:spacing w:before="0" w:after="0"/>
              <w:jc w:val="center"/>
              <w:rPr/>
            </w:pPr>
            <w:r>
              <w:rPr/>
              <w:t xml:space="preserve">9%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center"/>
              <w:rPr/>
            </w:pPr>
            <w:r>
              <w:rPr/>
              <w:t xml:space="preserve">1,300,000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center"/>
              <w:rPr/>
            </w:pPr>
            <w:r>
              <w:rPr/>
              <w:t xml:space="preserve">1,800,000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41" w:type="dxa"/>
            <w:tcBorders/>
            <w:shd w:fill="E5E5E5" w:val="clear"/>
            <w:tcMar>
              <w:bottom w:w="0" w:type="dxa"/>
            </w:tcMar>
            <w:vAlign w:val="center"/>
          </w:tcPr>
          <w:p>
            <w:pPr>
              <w:pStyle w:val="TableContents"/>
              <w:bidi w:val="0"/>
              <w:spacing w:before="0" w:after="0"/>
              <w:jc w:val="center"/>
              <w:rPr/>
            </w:pPr>
            <w:r>
              <w:rPr/>
              <w:t>38%</w:t>
            </w:r>
          </w:p>
        </w:tc>
        <w:tc>
          <w:tcPr>
            <w:tcW w:w="154"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lineRule="atLeast" w:line="220" w:before="16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provides 2024 annual target compensation components for the current NEOs included in this Proxy Statement:</w:t>
      </w:r>
      <w:r>
        <w:rPr>
          <w:rFonts w:ascii="Helvetica;Arial Narrow;sans-serif" w:hAnsi="Helvetica;Arial Narrow;sans-serif"/>
          <w:b w:val="false"/>
          <w:i w:val="false"/>
          <w:caps w:val="false"/>
          <w:smallCaps w:val="false"/>
          <w:color w:val="000000"/>
          <w:spacing w:val="4"/>
          <w:sz w:val="18"/>
        </w:rPr>
        <w:t xml:space="preserve"> </w:t>
      </w:r>
    </w:p>
    <w:tbl>
      <w:tblPr>
        <w:tblW w:w="11434" w:type="dxa"/>
        <w:jc w:val="left"/>
        <w:tblInd w:w="920" w:type="dxa"/>
        <w:tblLayout w:type="fixed"/>
        <w:tblCellMar>
          <w:top w:w="0" w:type="dxa"/>
          <w:left w:w="0" w:type="dxa"/>
          <w:bottom w:w="28" w:type="dxa"/>
          <w:right w:w="0" w:type="dxa"/>
        </w:tblCellMar>
      </w:tblPr>
      <w:tblGrid>
        <w:gridCol w:w="124"/>
        <w:gridCol w:w="1036"/>
        <w:gridCol w:w="109"/>
        <w:gridCol w:w="109"/>
        <w:gridCol w:w="109"/>
        <w:gridCol w:w="109"/>
        <w:gridCol w:w="109"/>
        <w:gridCol w:w="886"/>
        <w:gridCol w:w="109"/>
        <w:gridCol w:w="109"/>
        <w:gridCol w:w="109"/>
        <w:gridCol w:w="109"/>
        <w:gridCol w:w="109"/>
        <w:gridCol w:w="1066"/>
        <w:gridCol w:w="109"/>
        <w:gridCol w:w="109"/>
        <w:gridCol w:w="109"/>
        <w:gridCol w:w="109"/>
        <w:gridCol w:w="115"/>
        <w:gridCol w:w="115"/>
        <w:gridCol w:w="1125"/>
        <w:gridCol w:w="116"/>
        <w:gridCol w:w="109"/>
        <w:gridCol w:w="109"/>
        <w:gridCol w:w="109"/>
        <w:gridCol w:w="109"/>
        <w:gridCol w:w="109"/>
        <w:gridCol w:w="1066"/>
        <w:gridCol w:w="109"/>
        <w:gridCol w:w="109"/>
        <w:gridCol w:w="109"/>
        <w:gridCol w:w="109"/>
        <w:gridCol w:w="109"/>
        <w:gridCol w:w="1066"/>
        <w:gridCol w:w="109"/>
        <w:gridCol w:w="109"/>
        <w:gridCol w:w="109"/>
        <w:gridCol w:w="109"/>
        <w:gridCol w:w="109"/>
        <w:gridCol w:w="109"/>
        <w:gridCol w:w="1186"/>
        <w:gridCol w:w="109"/>
        <w:gridCol w:w="154"/>
      </w:tblGrid>
      <w:tr>
        <w:trPr/>
        <w:tc>
          <w:tcPr>
            <w:tcW w:w="124" w:type="dxa"/>
            <w:tcBorders>
              <w:bottom w:val="single" w:sz="2" w:space="0" w:color="7F7F7F"/>
            </w:tcBorders>
            <w:vAlign w:val="center"/>
          </w:tcPr>
          <w:p>
            <w:pPr>
              <w:pStyle w:val="TableContents"/>
              <w:bidi w:val="0"/>
              <w:spacing w:before="0" w:after="283"/>
              <w:jc w:val="left"/>
              <w:rPr/>
            </w:pPr>
            <w:r>
              <w:rPr/>
              <w:t>​</w:t>
            </w:r>
          </w:p>
        </w:tc>
        <w:tc>
          <w:tcPr>
            <w:tcW w:w="1036" w:type="dxa"/>
            <w:tcBorders>
              <w:bottom w:val="single" w:sz="2" w:space="0" w:color="7F7F7F"/>
            </w:tcBorders>
            <w:vAlign w:val="center"/>
          </w:tcPr>
          <w:p>
            <w:pPr>
              <w:pStyle w:val="TableContents"/>
              <w:bidi w:val="0"/>
              <w:spacing w:before="0" w:after="0"/>
              <w:jc w:val="left"/>
              <w:rPr/>
            </w:pPr>
            <w:r>
              <w:rPr/>
              <w:t xml:space="preserve">NEO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213" w:type="dxa"/>
            <w:gridSpan w:val="4"/>
            <w:tcBorders>
              <w:bottom w:val="single" w:sz="2" w:space="0" w:color="7F7F7F"/>
            </w:tcBorders>
            <w:vAlign w:val="center"/>
          </w:tcPr>
          <w:p>
            <w:pPr>
              <w:pStyle w:val="TableContents"/>
              <w:bidi w:val="0"/>
              <w:spacing w:before="0" w:after="0"/>
              <w:jc w:val="center"/>
              <w:rPr/>
            </w:pPr>
            <w:r>
              <w:rPr/>
              <w:t>Base</w:t>
              <w:br/>
              <w:t xml:space="preserve">Salary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93" w:type="dxa"/>
            <w:gridSpan w:val="4"/>
            <w:tcBorders>
              <w:bottom w:val="single" w:sz="2" w:space="0" w:color="7F7F7F"/>
            </w:tcBorders>
            <w:vAlign w:val="center"/>
          </w:tcPr>
          <w:p>
            <w:pPr>
              <w:pStyle w:val="TableContents"/>
              <w:bidi w:val="0"/>
              <w:spacing w:before="0" w:after="0"/>
              <w:jc w:val="center"/>
              <w:rPr/>
            </w:pPr>
            <w:r>
              <w:rPr/>
              <w:t>Target</w:t>
              <w:br/>
              <w:t xml:space="preserve">STI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471" w:type="dxa"/>
            <w:gridSpan w:val="4"/>
            <w:tcBorders>
              <w:bottom w:val="single" w:sz="2" w:space="0" w:color="7F7F7F"/>
            </w:tcBorders>
            <w:vAlign w:val="center"/>
          </w:tcPr>
          <w:p>
            <w:pPr>
              <w:pStyle w:val="TableContents"/>
              <w:bidi w:val="0"/>
              <w:spacing w:before="0" w:after="0"/>
              <w:jc w:val="center"/>
              <w:rPr/>
            </w:pPr>
            <w:r>
              <w:rPr/>
              <w:t xml:space="preserve">Total Target </w:t>
              <w:br/>
              <w:t>Cash</w:t>
              <w:br/>
              <w:t xml:space="preserve">Compensation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93" w:type="dxa"/>
            <w:gridSpan w:val="4"/>
            <w:tcBorders>
              <w:bottom w:val="single" w:sz="2" w:space="0" w:color="7F7F7F"/>
            </w:tcBorders>
            <w:vAlign w:val="center"/>
          </w:tcPr>
          <w:p>
            <w:pPr>
              <w:pStyle w:val="TableContents"/>
              <w:bidi w:val="0"/>
              <w:spacing w:before="0" w:after="0"/>
              <w:jc w:val="center"/>
              <w:rPr/>
            </w:pPr>
            <w:r>
              <w:rPr/>
              <w:t>Target</w:t>
              <w:br/>
              <w:t xml:space="preserve">PSUs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93" w:type="dxa"/>
            <w:gridSpan w:val="4"/>
            <w:tcBorders>
              <w:bottom w:val="single" w:sz="2" w:space="0" w:color="7F7F7F"/>
            </w:tcBorders>
            <w:vAlign w:val="center"/>
          </w:tcPr>
          <w:p>
            <w:pPr>
              <w:pStyle w:val="TableContents"/>
              <w:bidi w:val="0"/>
              <w:spacing w:before="0" w:after="0"/>
              <w:jc w:val="center"/>
              <w:rPr/>
            </w:pPr>
            <w:r>
              <w:rPr/>
              <w:t>Target</w:t>
              <w:br/>
              <w:t xml:space="preserve">RSUs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vAlign w:val="center"/>
          </w:tcPr>
          <w:p>
            <w:pPr>
              <w:pStyle w:val="TableContents"/>
              <w:bidi w:val="0"/>
              <w:spacing w:before="0" w:after="0"/>
              <w:jc w:val="center"/>
              <w:rPr/>
            </w:pPr>
            <w:r>
              <w:rPr/>
              <w:t xml:space="preserve">Total Target </w:t>
              <w:br/>
              <w:t>Direct</w:t>
              <w:br/>
              <w:t xml:space="preserve">Compensation ($)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036" w:type="dxa"/>
            <w:tcBorders/>
            <w:shd w:fill="D8D8D8" w:val="clear"/>
            <w:tcMar>
              <w:bottom w:w="0" w:type="dxa"/>
            </w:tcMar>
            <w:vAlign w:val="center"/>
          </w:tcPr>
          <w:p>
            <w:pPr>
              <w:pStyle w:val="TableContents"/>
              <w:bidi w:val="0"/>
              <w:spacing w:before="0" w:after="0"/>
              <w:jc w:val="left"/>
              <w:rPr>
                <w:b/>
              </w:rPr>
            </w:pPr>
            <w:r>
              <w:rPr>
                <w:b/>
              </w:rPr>
              <w:t>Brad Jacobs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600,000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900,000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5" w:type="dxa"/>
            <w:tcBorders/>
            <w:shd w:fill="D8D8D8" w:val="clear"/>
            <w:tcMar>
              <w:bottom w:w="0" w:type="dxa"/>
            </w:tcMar>
            <w:vAlign w:val="center"/>
          </w:tcPr>
          <w:p>
            <w:pPr>
              <w:pStyle w:val="TableContents"/>
              <w:bidi w:val="0"/>
              <w:spacing w:before="0" w:after="283"/>
              <w:jc w:val="left"/>
              <w:rPr/>
            </w:pPr>
            <w:r>
              <w:rPr/>
              <w:t>​</w:t>
            </w:r>
          </w:p>
        </w:tc>
        <w:tc>
          <w:tcPr>
            <w:tcW w:w="115" w:type="dxa"/>
            <w:tcBorders/>
            <w:shd w:fill="D8D8D8" w:val="clear"/>
            <w:tcMar>
              <w:bottom w:w="0" w:type="dxa"/>
            </w:tcMar>
            <w:vAlign w:val="center"/>
          </w:tcPr>
          <w:p>
            <w:pPr>
              <w:pStyle w:val="TableContents"/>
              <w:bidi w:val="0"/>
              <w:spacing w:before="0" w:after="283"/>
              <w:jc w:val="right"/>
              <w:rPr/>
            </w:pPr>
            <w:r>
              <w:rPr/>
              <w:t>​</w:t>
            </w:r>
          </w:p>
        </w:tc>
        <w:tc>
          <w:tcPr>
            <w:tcW w:w="1125" w:type="dxa"/>
            <w:tcBorders/>
            <w:shd w:fill="D8D8D8" w:val="clear"/>
            <w:tcMar>
              <w:bottom w:w="0" w:type="dxa"/>
            </w:tcMar>
            <w:vAlign w:val="center"/>
          </w:tcPr>
          <w:p>
            <w:pPr>
              <w:pStyle w:val="TableContents"/>
              <w:bidi w:val="0"/>
              <w:spacing w:before="0" w:after="283"/>
              <w:jc w:val="right"/>
              <w:rPr/>
            </w:pPr>
            <w:r>
              <w:rPr/>
              <w:t>1,500,000</w:t>
            </w:r>
          </w:p>
        </w:tc>
        <w:tc>
          <w:tcPr>
            <w:tcW w:w="116"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4,000,000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1,000,000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6,500,000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6" w:type="dxa"/>
            <w:tcBorders/>
            <w:tcMar>
              <w:bottom w:w="0" w:type="dxa"/>
            </w:tcMar>
            <w:vAlign w:val="center"/>
          </w:tcPr>
          <w:p>
            <w:pPr>
              <w:pStyle w:val="TableContents"/>
              <w:bidi w:val="0"/>
              <w:spacing w:before="0" w:after="0"/>
              <w:jc w:val="left"/>
              <w:rPr>
                <w:b/>
              </w:rPr>
            </w:pPr>
            <w:r>
              <w:rPr>
                <w:b/>
              </w:rPr>
              <w:t>Mario Harik</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2,550,000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036" w:type="dxa"/>
            <w:tcBorders/>
            <w:shd w:fill="D8D8D8" w:val="clear"/>
            <w:tcMar>
              <w:bottom w:w="0" w:type="dxa"/>
            </w:tcMar>
            <w:vAlign w:val="center"/>
          </w:tcPr>
          <w:p>
            <w:pPr>
              <w:pStyle w:val="TableContents"/>
              <w:bidi w:val="0"/>
              <w:spacing w:before="0" w:after="0"/>
              <w:jc w:val="left"/>
              <w:rPr>
                <w:b/>
              </w:rPr>
            </w:pPr>
            <w:r>
              <w:rPr>
                <w:b/>
              </w:rPr>
              <w:t>Kyle Wismans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600,000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600,000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5" w:type="dxa"/>
            <w:tcBorders/>
            <w:shd w:fill="D8D8D8" w:val="clear"/>
            <w:tcMar>
              <w:bottom w:w="0" w:type="dxa"/>
            </w:tcMar>
            <w:vAlign w:val="center"/>
          </w:tcPr>
          <w:p>
            <w:pPr>
              <w:pStyle w:val="TableContents"/>
              <w:bidi w:val="0"/>
              <w:spacing w:before="0" w:after="283"/>
              <w:jc w:val="left"/>
              <w:rPr/>
            </w:pPr>
            <w:r>
              <w:rPr/>
              <w:t>​</w:t>
            </w:r>
          </w:p>
        </w:tc>
        <w:tc>
          <w:tcPr>
            <w:tcW w:w="115" w:type="dxa"/>
            <w:tcBorders/>
            <w:shd w:fill="D8D8D8" w:val="clear"/>
            <w:tcMar>
              <w:bottom w:w="0" w:type="dxa"/>
            </w:tcMar>
            <w:vAlign w:val="center"/>
          </w:tcPr>
          <w:p>
            <w:pPr>
              <w:pStyle w:val="TableContents"/>
              <w:bidi w:val="0"/>
              <w:spacing w:before="0" w:after="283"/>
              <w:jc w:val="right"/>
              <w:rPr/>
            </w:pPr>
            <w:r>
              <w:rPr/>
              <w:t>​</w:t>
            </w:r>
          </w:p>
        </w:tc>
        <w:tc>
          <w:tcPr>
            <w:tcW w:w="1125" w:type="dxa"/>
            <w:tcBorders/>
            <w:shd w:fill="D8D8D8" w:val="clear"/>
            <w:tcMar>
              <w:bottom w:w="0" w:type="dxa"/>
            </w:tcMar>
            <w:vAlign w:val="center"/>
          </w:tcPr>
          <w:p>
            <w:pPr>
              <w:pStyle w:val="TableContents"/>
              <w:bidi w:val="0"/>
              <w:spacing w:before="0" w:after="283"/>
              <w:jc w:val="right"/>
              <w:rPr/>
            </w:pPr>
            <w:r>
              <w:rPr/>
              <w:t>1,200,000</w:t>
            </w:r>
          </w:p>
        </w:tc>
        <w:tc>
          <w:tcPr>
            <w:tcW w:w="116"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1,170,000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630,000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3,000,000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6" w:type="dxa"/>
            <w:tcBorders/>
            <w:tcMar>
              <w:bottom w:w="0" w:type="dxa"/>
            </w:tcMar>
            <w:vAlign w:val="center"/>
          </w:tcPr>
          <w:p>
            <w:pPr>
              <w:pStyle w:val="TableContents"/>
              <w:bidi w:val="0"/>
              <w:spacing w:before="0" w:after="0"/>
              <w:jc w:val="left"/>
              <w:rPr>
                <w:b/>
              </w:rPr>
            </w:pPr>
            <w:r>
              <w:rPr>
                <w:b/>
              </w:rPr>
              <w:t>Dave Bates</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4,170,000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5,670,000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036" w:type="dxa"/>
            <w:tcBorders/>
            <w:shd w:fill="D8D8D8" w:val="clear"/>
            <w:tcMar>
              <w:bottom w:w="0" w:type="dxa"/>
            </w:tcMar>
            <w:vAlign w:val="center"/>
          </w:tcPr>
          <w:p>
            <w:pPr>
              <w:pStyle w:val="TableContents"/>
              <w:bidi w:val="0"/>
              <w:spacing w:before="0" w:after="0"/>
              <w:jc w:val="left"/>
              <w:rPr>
                <w:b/>
              </w:rPr>
            </w:pPr>
            <w:r>
              <w:rPr>
                <w:b/>
              </w:rPr>
              <w:t>Wendy Cassity</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575,000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575,000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5" w:type="dxa"/>
            <w:tcBorders/>
            <w:shd w:fill="D8D8D8" w:val="clear"/>
            <w:tcMar>
              <w:bottom w:w="0" w:type="dxa"/>
            </w:tcMar>
            <w:vAlign w:val="center"/>
          </w:tcPr>
          <w:p>
            <w:pPr>
              <w:pStyle w:val="TableContents"/>
              <w:bidi w:val="0"/>
              <w:spacing w:before="0" w:after="283"/>
              <w:jc w:val="left"/>
              <w:rPr/>
            </w:pPr>
            <w:r>
              <w:rPr/>
              <w:t>​</w:t>
            </w:r>
          </w:p>
        </w:tc>
        <w:tc>
          <w:tcPr>
            <w:tcW w:w="115" w:type="dxa"/>
            <w:tcBorders/>
            <w:shd w:fill="D8D8D8" w:val="clear"/>
            <w:tcMar>
              <w:bottom w:w="0" w:type="dxa"/>
            </w:tcMar>
            <w:vAlign w:val="center"/>
          </w:tcPr>
          <w:p>
            <w:pPr>
              <w:pStyle w:val="TableContents"/>
              <w:bidi w:val="0"/>
              <w:spacing w:before="0" w:after="283"/>
              <w:jc w:val="right"/>
              <w:rPr/>
            </w:pPr>
            <w:r>
              <w:rPr/>
              <w:t>​</w:t>
            </w:r>
          </w:p>
        </w:tc>
        <w:tc>
          <w:tcPr>
            <w:tcW w:w="1125" w:type="dxa"/>
            <w:tcBorders/>
            <w:shd w:fill="D8D8D8" w:val="clear"/>
            <w:tcMar>
              <w:bottom w:w="0" w:type="dxa"/>
            </w:tcMar>
            <w:vAlign w:val="center"/>
          </w:tcPr>
          <w:p>
            <w:pPr>
              <w:pStyle w:val="TableContents"/>
              <w:bidi w:val="0"/>
              <w:spacing w:before="0" w:after="283"/>
              <w:jc w:val="right"/>
              <w:rPr/>
            </w:pPr>
            <w:r>
              <w:rPr/>
              <w:t>1,150,000</w:t>
            </w:r>
          </w:p>
        </w:tc>
        <w:tc>
          <w:tcPr>
            <w:tcW w:w="116"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650,000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350,000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2,150,000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bl>
    <w:p>
      <w:pPr>
        <w:pStyle w:val="TextBody"/>
        <w:bidi w:val="0"/>
        <w:spacing w:lineRule="atLeast" w:line="220" w:before="16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All NEOs’ annual LTI awards were granted at the target value shown above in 2024, except for Messrs. Harik and Wismans, whose LTI awards were granted above target, valued at $9.8 million and $4 million, respectively, in recognition of their exceptional leadership in 2024, which drove robust year-over-year growth in financial results across the company and significantly enhanced shareholder value.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Executive Chairman Pay Approach</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Board and the Compensation and Human Capital Committee regularly review the Board’s leadership structure and executive compensation program to determine the most appropriate structure and incentives to benefit XPO and its stockholders. The Board evaluated Mr. Jacobs’ roles, responsibilities and contributions to XPO over 2024, and concluded that he remains instrumental in overseeing the company’s leadership, which has resulted in XPO’s outperformance on critical financial metrics and performance of our stock price. He brings unparalleled knowledge of the company and industry given his service as XPO’s chairman and former CEO since 2011. The extensive foundation of talent and the trust he has established, as well as his collaborative value to management, continue to be instrumental factors in the company’s ongoing success.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 considered Mr. Jacobs’ ongoing role and contributions as executive chairman and determined to maintain his total target compensation of $6.5 million for 2024, which is 65% of Mr. Harik’s target total compensation as CEO for 2024. Mr. Jacobs’ compensation reflects the framework established in 2022 upon his transition from CEO to executive chairman, including the following considerations: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0"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Experience and value he has brought to the company as CEO and continues to bring as executive chairman;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254000" distR="0" simplePos="0" locked="0" layoutInCell="1" allowOverlap="1" relativeHeight="311">
                <wp:simplePos x="0" y="0"/>
                <wp:positionH relativeFrom="column">
                  <wp:align>left</wp:align>
                </wp:positionH>
                <wp:positionV relativeFrom="line">
                  <wp:align>top</wp:align>
                </wp:positionV>
                <wp:extent cx="127000" cy="525780"/>
                <wp:effectExtent l="0" t="0" r="0" b="0"/>
                <wp:wrapSquare wrapText="right"/>
                <wp:docPr id="308" name="Frame18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Compensation practices of S&amp;P 500 companies with a CEO who transitioned to executive chairman;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254000" distR="0" simplePos="0" locked="0" layoutInCell="1" allowOverlap="1" relativeHeight="312">
                <wp:simplePos x="0" y="0"/>
                <wp:positionH relativeFrom="column">
                  <wp:align>left</wp:align>
                </wp:positionH>
                <wp:positionV relativeFrom="line">
                  <wp:align>top</wp:align>
                </wp:positionV>
                <wp:extent cx="127000" cy="525780"/>
                <wp:effectExtent l="0" t="0" r="0" b="0"/>
                <wp:wrapSquare wrapText="right"/>
                <wp:docPr id="309" name="Frame18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Analysis of executive chairman pay relative to the current CEO’s target total compensation across S&amp;P 500 companies, which indicated a ratio ranging from 50% to 80%.</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127000" cy="525780"/>
                <wp:effectExtent l="0" t="0" r="0" b="0"/>
                <wp:wrapSquare wrapText="right"/>
                <wp:docPr id="310" name="Frame18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The Board and the Committee will continue to conduct robust reviews and analyses to ensure the executive chairman structure and pay best serves XPO and its stockholders, considering the company’s evolving needs, circumstances and opportunities, in accordance with the Board’s fiduciary duty.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34</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EXECUTIVE COMPENSATION OUTCOMES FOR 2024</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Annual Short-Term Incentive Awards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company’s annual short-term incentive (“STI”) awards are designed to reward our NEOs for performance against pre-established metrics set by the Compensation and Human Capital Committee at the beginning of the fiscal year. Each NEO (excluding the COO) is assigned an annual short-term incentive target, as a percentage of base salary, based on the NEO’s level of responsibility, scope of role and impact, and market data. Actual annual short-term incentive payouts are based on results achieved against the pre-established performance metrics determined by the Committee and can range from 0% to 200% of target. Short-term incentive payouts are made in cash.</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For fiscal year 2024, achievement of the annual short-term incentive for our NEOs (excluding the COO) was measured using XPO’s adjusted EBITDA target. Adjusted EBITDA was selected because it is a key metric in our financial performance and demonstrates how well the company operates in serving its customers. Adjusted EBITDA focuses on the financial outcome of operating decisions by eliminating the impact of non-operating items, such as income tax provision, interest expense and depreciation and amortization expense. Because it reflects the operating profitability of our business, it can be compared to other companies by our leaders, current and potential investors, and others with an interest in XPO. It is important to assess adjusted EBITDA performance on both a short-term and long-term basis, which is oriented to stockholder expectations. While a version of adjusted EBITDA is utilized in both the annual short-term incentive and long-term plan, adjusted EBITDA in the long-term plan measures LTL adjusted EBITDA growth, thereby ensuring that short-term adjusted EBITDA performance is aligned with long-term growth objectives and stockholder expectations. This performance metric reflects our company’s progress with our strategic objectives of driving profitable growth, deploying capital for superior returns over time, and increasing the value of XPO’s common stock.</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NEO STI Payouts Excluding COO</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For 2024, XPO’s annual adjusted EBITDA* of $1,266 million exceeded the 2024 target of $1,158 million by approximately 9.4%. Based on the linear payout curve below, this yielded an STI payout of 146.8%.</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257925" cy="1533525"/>
            <wp:effectExtent l="0" t="0" r="0" b="0"/>
            <wp:docPr id="31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19" descr=""/>
                    <pic:cNvPicPr>
                      <a:picLocks noChangeAspect="1" noChangeArrowheads="1"/>
                    </pic:cNvPicPr>
                  </pic:nvPicPr>
                  <pic:blipFill>
                    <a:blip r:embed="rId124"/>
                    <a:stretch>
                      <a:fillRect/>
                    </a:stretch>
                  </pic:blipFill>
                  <pic:spPr bwMode="auto">
                    <a:xfrm>
                      <a:off x="0" y="0"/>
                      <a:ext cx="6257925" cy="15335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provides the 2024 short-term incentive targets and actual payouts for our NEOs, excluding our COO.</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28" w:type="dxa"/>
          <w:right w:w="0" w:type="dxa"/>
        </w:tblCellMar>
      </w:tblPr>
      <w:tblGrid>
        <w:gridCol w:w="124"/>
        <w:gridCol w:w="1170"/>
        <w:gridCol w:w="109"/>
        <w:gridCol w:w="109"/>
        <w:gridCol w:w="109"/>
        <w:gridCol w:w="109"/>
        <w:gridCol w:w="109"/>
        <w:gridCol w:w="886"/>
        <w:gridCol w:w="109"/>
        <w:gridCol w:w="109"/>
        <w:gridCol w:w="109"/>
        <w:gridCol w:w="109"/>
        <w:gridCol w:w="109"/>
        <w:gridCol w:w="109"/>
        <w:gridCol w:w="509"/>
        <w:gridCol w:w="109"/>
        <w:gridCol w:w="109"/>
        <w:gridCol w:w="109"/>
        <w:gridCol w:w="109"/>
        <w:gridCol w:w="109"/>
        <w:gridCol w:w="109"/>
        <w:gridCol w:w="1066"/>
        <w:gridCol w:w="109"/>
        <w:gridCol w:w="109"/>
        <w:gridCol w:w="109"/>
        <w:gridCol w:w="109"/>
        <w:gridCol w:w="153"/>
        <w:gridCol w:w="153"/>
        <w:gridCol w:w="906"/>
        <w:gridCol w:w="154"/>
        <w:gridCol w:w="109"/>
        <w:gridCol w:w="109"/>
        <w:gridCol w:w="109"/>
        <w:gridCol w:w="109"/>
        <w:gridCol w:w="109"/>
        <w:gridCol w:w="1066"/>
        <w:gridCol w:w="109"/>
        <w:gridCol w:w="155"/>
      </w:tblGrid>
      <w:tr>
        <w:trPr/>
        <w:tc>
          <w:tcPr>
            <w:tcW w:w="124" w:type="dxa"/>
            <w:vMerge w:val="restart"/>
            <w:tcBorders>
              <w:bottom w:val="single" w:sz="2" w:space="0" w:color="7F7F7F"/>
            </w:tcBorders>
            <w:vAlign w:val="center"/>
          </w:tcPr>
          <w:p>
            <w:pPr>
              <w:pStyle w:val="TableContents"/>
              <w:bidi w:val="0"/>
              <w:spacing w:before="0" w:after="283"/>
              <w:jc w:val="left"/>
              <w:rPr/>
            </w:pPr>
            <w:r>
              <w:rPr/>
              <w:t>​</w:t>
            </w:r>
          </w:p>
        </w:tc>
        <w:tc>
          <w:tcPr>
            <w:tcW w:w="1170" w:type="dxa"/>
            <w:vMerge w:val="restart"/>
            <w:tcBorders>
              <w:bottom w:val="single" w:sz="2" w:space="0" w:color="7F7F7F"/>
            </w:tcBorders>
            <w:tcMar>
              <w:bottom w:w="56" w:type="dxa"/>
            </w:tcMar>
            <w:vAlign w:val="center"/>
          </w:tcPr>
          <w:p>
            <w:pPr>
              <w:pStyle w:val="TableContents"/>
              <w:bidi w:val="0"/>
              <w:spacing w:lineRule="atLeast" w:line="180" w:before="0" w:after="0"/>
              <w:jc w:val="left"/>
              <w:rPr/>
            </w:pPr>
            <w:r>
              <w:rPr/>
              <w:t xml:space="preserve">NEO </w:t>
            </w:r>
          </w:p>
        </w:tc>
        <w:tc>
          <w:tcPr>
            <w:tcW w:w="109" w:type="dxa"/>
            <w:vMerge w:val="restart"/>
            <w:tcBorders>
              <w:bottom w:val="single" w:sz="2" w:space="0" w:color="7F7F7F"/>
            </w:tcBorders>
            <w:vAlign w:val="center"/>
          </w:tcPr>
          <w:p>
            <w:pPr>
              <w:pStyle w:val="TableContents"/>
              <w:bidi w:val="0"/>
              <w:spacing w:before="0" w:after="283"/>
              <w:jc w:val="left"/>
              <w:rPr/>
            </w:pPr>
            <w:r>
              <w:rPr/>
              <w:t>​</w:t>
            </w:r>
          </w:p>
        </w:tc>
        <w:tc>
          <w:tcPr>
            <w:tcW w:w="109" w:type="dxa"/>
            <w:vMerge w:val="restart"/>
            <w:tcBorders>
              <w:bottom w:val="single" w:sz="2" w:space="0" w:color="A5A5A5"/>
            </w:tcBorders>
            <w:shd w:fill="A5A5A5" w:val="clear"/>
            <w:vAlign w:val="center"/>
          </w:tcPr>
          <w:p>
            <w:pPr>
              <w:pStyle w:val="TableContents"/>
              <w:bidi w:val="0"/>
              <w:spacing w:before="0" w:after="283"/>
              <w:jc w:val="left"/>
              <w:rPr/>
            </w:pPr>
            <w:r>
              <w:rPr/>
              <w:t>​</w:t>
            </w:r>
          </w:p>
        </w:tc>
        <w:tc>
          <w:tcPr>
            <w:tcW w:w="109" w:type="dxa"/>
            <w:vMerge w:val="restart"/>
            <w:tcBorders>
              <w:bottom w:val="single" w:sz="2" w:space="0" w:color="7F7F7F"/>
            </w:tcBorders>
            <w:vAlign w:val="center"/>
          </w:tcPr>
          <w:p>
            <w:pPr>
              <w:pStyle w:val="TableContents"/>
              <w:bidi w:val="0"/>
              <w:spacing w:before="0" w:after="283"/>
              <w:jc w:val="left"/>
              <w:rPr/>
            </w:pPr>
            <w:r>
              <w:rPr/>
              <w:t>​</w:t>
            </w:r>
          </w:p>
        </w:tc>
        <w:tc>
          <w:tcPr>
            <w:tcW w:w="1213" w:type="dxa"/>
            <w:gridSpan w:val="4"/>
            <w:vMerge w:val="restart"/>
            <w:tcBorders>
              <w:bottom w:val="single" w:sz="2" w:space="0" w:color="7F7F7F"/>
            </w:tcBorders>
            <w:tcMar>
              <w:bottom w:w="56" w:type="dxa"/>
            </w:tcMar>
            <w:vAlign w:val="center"/>
          </w:tcPr>
          <w:p>
            <w:pPr>
              <w:pStyle w:val="TableContents"/>
              <w:bidi w:val="0"/>
              <w:spacing w:lineRule="atLeast" w:line="180" w:before="0" w:after="0"/>
              <w:jc w:val="center"/>
              <w:rPr/>
            </w:pPr>
            <w:r>
              <w:rPr/>
              <w:t>Base</w:t>
              <w:br/>
              <w:t xml:space="preserve">Salary ($) </w:t>
            </w:r>
          </w:p>
        </w:tc>
        <w:tc>
          <w:tcPr>
            <w:tcW w:w="109" w:type="dxa"/>
            <w:vMerge w:val="restart"/>
            <w:tcBorders>
              <w:bottom w:val="single" w:sz="2" w:space="0" w:color="7F7F7F"/>
            </w:tcBorders>
            <w:vAlign w:val="center"/>
          </w:tcPr>
          <w:p>
            <w:pPr>
              <w:pStyle w:val="TableContents"/>
              <w:bidi w:val="0"/>
              <w:spacing w:before="0" w:after="283"/>
              <w:jc w:val="left"/>
              <w:rPr/>
            </w:pPr>
            <w:r>
              <w:rPr/>
              <w:t>​</w:t>
            </w:r>
          </w:p>
        </w:tc>
        <w:tc>
          <w:tcPr>
            <w:tcW w:w="109" w:type="dxa"/>
            <w:vMerge w:val="restart"/>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4" w:space="0" w:color="E2231A"/>
            </w:tcBorders>
            <w:vAlign w:val="center"/>
          </w:tcPr>
          <w:p>
            <w:pPr>
              <w:pStyle w:val="TableContents"/>
              <w:bidi w:val="0"/>
              <w:spacing w:before="0" w:after="283"/>
              <w:jc w:val="left"/>
              <w:rPr/>
            </w:pPr>
            <w:r>
              <w:rPr/>
              <w:t>​</w:t>
            </w:r>
          </w:p>
        </w:tc>
        <w:tc>
          <w:tcPr>
            <w:tcW w:w="2556" w:type="dxa"/>
            <w:gridSpan w:val="11"/>
            <w:tcBorders>
              <w:bottom w:val="single" w:sz="4" w:space="0" w:color="E2231A"/>
            </w:tcBorders>
            <w:tcMar>
              <w:bottom w:w="56" w:type="dxa"/>
            </w:tcMar>
            <w:vAlign w:val="center"/>
          </w:tcPr>
          <w:p>
            <w:pPr>
              <w:pStyle w:val="TableContents"/>
              <w:bidi w:val="0"/>
              <w:spacing w:before="0" w:after="0"/>
              <w:jc w:val="center"/>
              <w:rPr/>
            </w:pPr>
            <w:r>
              <w:rPr/>
              <w:t xml:space="preserve">Target STI </w:t>
            </w:r>
          </w:p>
        </w:tc>
        <w:tc>
          <w:tcPr>
            <w:tcW w:w="109" w:type="dxa"/>
            <w:tcBorders>
              <w:bottom w:val="single" w:sz="4" w:space="0" w:color="E2231A"/>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vMerge w:val="restart"/>
            <w:tcBorders>
              <w:bottom w:val="single" w:sz="2" w:space="0" w:color="7F7F7F"/>
            </w:tcBorders>
            <w:vAlign w:val="center"/>
          </w:tcPr>
          <w:p>
            <w:pPr>
              <w:pStyle w:val="TableContents"/>
              <w:bidi w:val="0"/>
              <w:spacing w:before="0" w:after="283"/>
              <w:jc w:val="left"/>
              <w:rPr/>
            </w:pPr>
            <w:r>
              <w:rPr/>
              <w:t>​</w:t>
            </w:r>
          </w:p>
        </w:tc>
        <w:tc>
          <w:tcPr>
            <w:tcW w:w="1366" w:type="dxa"/>
            <w:gridSpan w:val="4"/>
            <w:vMerge w:val="restart"/>
            <w:tcBorders>
              <w:bottom w:val="single" w:sz="2" w:space="0" w:color="7F7F7F"/>
            </w:tcBorders>
            <w:tcMar>
              <w:bottom w:w="56" w:type="dxa"/>
            </w:tcMar>
            <w:vAlign w:val="center"/>
          </w:tcPr>
          <w:p>
            <w:pPr>
              <w:pStyle w:val="TableContents"/>
              <w:bidi w:val="0"/>
              <w:spacing w:lineRule="atLeast" w:line="180" w:before="0" w:after="0"/>
              <w:jc w:val="center"/>
              <w:rPr/>
            </w:pPr>
            <w:r>
              <w:rPr/>
              <w:t>Payout</w:t>
              <w:br/>
              <w:t>Achievement</w:t>
            </w:r>
          </w:p>
        </w:tc>
        <w:tc>
          <w:tcPr>
            <w:tcW w:w="109" w:type="dxa"/>
            <w:vMerge w:val="restart"/>
            <w:tcBorders>
              <w:bottom w:val="single" w:sz="2" w:space="0" w:color="7F7F7F"/>
            </w:tcBorders>
            <w:vAlign w:val="center"/>
          </w:tcPr>
          <w:p>
            <w:pPr>
              <w:pStyle w:val="TableContents"/>
              <w:bidi w:val="0"/>
              <w:spacing w:before="0" w:after="283"/>
              <w:jc w:val="left"/>
              <w:rPr/>
            </w:pPr>
            <w:r>
              <w:rPr/>
              <w:t>​</w:t>
            </w:r>
          </w:p>
        </w:tc>
        <w:tc>
          <w:tcPr>
            <w:tcW w:w="109" w:type="dxa"/>
            <w:vMerge w:val="restart"/>
            <w:tcBorders>
              <w:bottom w:val="single" w:sz="2" w:space="0" w:color="A5A5A5"/>
            </w:tcBorders>
            <w:shd w:fill="A5A5A5" w:val="clear"/>
            <w:vAlign w:val="center"/>
          </w:tcPr>
          <w:p>
            <w:pPr>
              <w:pStyle w:val="TableContents"/>
              <w:bidi w:val="0"/>
              <w:spacing w:before="0" w:after="283"/>
              <w:jc w:val="left"/>
              <w:rPr/>
            </w:pPr>
            <w:r>
              <w:rPr/>
              <w:t>​</w:t>
            </w:r>
          </w:p>
        </w:tc>
        <w:tc>
          <w:tcPr>
            <w:tcW w:w="109" w:type="dxa"/>
            <w:vMerge w:val="restart"/>
            <w:tcBorders>
              <w:bottom w:val="single" w:sz="2" w:space="0" w:color="7F7F7F"/>
            </w:tcBorders>
            <w:vAlign w:val="center"/>
          </w:tcPr>
          <w:p>
            <w:pPr>
              <w:pStyle w:val="TableContents"/>
              <w:bidi w:val="0"/>
              <w:spacing w:before="0" w:after="283"/>
              <w:jc w:val="left"/>
              <w:rPr/>
            </w:pPr>
            <w:r>
              <w:rPr/>
              <w:t>​</w:t>
            </w:r>
          </w:p>
        </w:tc>
        <w:tc>
          <w:tcPr>
            <w:tcW w:w="1393" w:type="dxa"/>
            <w:gridSpan w:val="4"/>
            <w:vMerge w:val="restart"/>
            <w:tcBorders>
              <w:bottom w:val="single" w:sz="2" w:space="0" w:color="7F7F7F"/>
            </w:tcBorders>
            <w:tcMar>
              <w:bottom w:w="56" w:type="dxa"/>
            </w:tcMar>
            <w:vAlign w:val="center"/>
          </w:tcPr>
          <w:p>
            <w:pPr>
              <w:pStyle w:val="TableContents"/>
              <w:bidi w:val="0"/>
              <w:spacing w:lineRule="atLeast" w:line="180" w:before="0" w:after="0"/>
              <w:jc w:val="center"/>
              <w:rPr/>
            </w:pPr>
            <w:r>
              <w:rPr/>
              <w:t>Final</w:t>
              <w:br/>
              <w:t xml:space="preserve">Payout ($) </w:t>
            </w:r>
          </w:p>
        </w:tc>
        <w:tc>
          <w:tcPr>
            <w:tcW w:w="155" w:type="dxa"/>
            <w:vMerge w:val="restart"/>
            <w:tcBorders>
              <w:bottom w:val="single" w:sz="2" w:space="0" w:color="7F7F7F"/>
            </w:tcBorders>
            <w:vAlign w:val="center"/>
          </w:tcPr>
          <w:p>
            <w:pPr>
              <w:pStyle w:val="TableContents"/>
              <w:bidi w:val="0"/>
              <w:spacing w:before="0" w:after="283"/>
              <w:jc w:val="left"/>
              <w:rPr/>
            </w:pPr>
            <w:r>
              <w:rPr/>
              <w:t>​</w:t>
            </w:r>
          </w:p>
        </w:tc>
      </w:tr>
      <w:tr>
        <w:trPr/>
        <w:tc>
          <w:tcPr>
            <w:tcW w:w="124" w:type="dxa"/>
            <w:vMerge w:val="continue"/>
            <w:tcBorders>
              <w:bottom w:val="single" w:sz="2" w:space="0" w:color="7F7F7F"/>
            </w:tcBorders>
            <w:vAlign w:val="center"/>
          </w:tcPr>
          <w:p>
            <w:pPr>
              <w:pStyle w:val="Normal"/>
              <w:bidi w:val="0"/>
              <w:jc w:val="left"/>
              <w:rPr/>
            </w:pPr>
            <w:r>
              <w:rPr/>
            </w:r>
          </w:p>
        </w:tc>
        <w:tc>
          <w:tcPr>
            <w:tcW w:w="1170" w:type="dxa"/>
            <w:vMerge w:val="continue"/>
            <w:tcBorders>
              <w:bottom w:val="single" w:sz="2" w:space="0" w:color="7F7F7F"/>
            </w:tcBorders>
            <w:tcMar>
              <w:bottom w:w="56" w:type="dxa"/>
            </w:tcMar>
            <w:vAlign w:val="center"/>
          </w:tcPr>
          <w:p>
            <w:pPr>
              <w:pStyle w:val="Normal"/>
              <w:bidi w:val="0"/>
              <w:jc w:val="left"/>
              <w:rPr/>
            </w:pPr>
            <w:r>
              <w:rPr/>
            </w:r>
          </w:p>
        </w:tc>
        <w:tc>
          <w:tcPr>
            <w:tcW w:w="109" w:type="dxa"/>
            <w:vMerge w:val="continue"/>
            <w:tcBorders>
              <w:bottom w:val="single" w:sz="2" w:space="0" w:color="7F7F7F"/>
            </w:tcBorders>
            <w:vAlign w:val="center"/>
          </w:tcPr>
          <w:p>
            <w:pPr>
              <w:pStyle w:val="Normal"/>
              <w:bidi w:val="0"/>
              <w:jc w:val="left"/>
              <w:rPr/>
            </w:pPr>
            <w:r>
              <w:rPr/>
            </w:r>
          </w:p>
        </w:tc>
        <w:tc>
          <w:tcPr>
            <w:tcW w:w="109" w:type="dxa"/>
            <w:vMerge w:val="continue"/>
            <w:tcBorders>
              <w:bottom w:val="single" w:sz="2" w:space="0" w:color="A5A5A5"/>
            </w:tcBorders>
            <w:shd w:fill="A5A5A5" w:val="clear"/>
            <w:vAlign w:val="center"/>
          </w:tcPr>
          <w:p>
            <w:pPr>
              <w:pStyle w:val="Normal"/>
              <w:bidi w:val="0"/>
              <w:jc w:val="left"/>
              <w:rPr/>
            </w:pPr>
            <w:r>
              <w:rPr/>
            </w:r>
          </w:p>
        </w:tc>
        <w:tc>
          <w:tcPr>
            <w:tcW w:w="109" w:type="dxa"/>
            <w:vMerge w:val="continue"/>
            <w:tcBorders>
              <w:bottom w:val="single" w:sz="2" w:space="0" w:color="7F7F7F"/>
            </w:tcBorders>
            <w:vAlign w:val="center"/>
          </w:tcPr>
          <w:p>
            <w:pPr>
              <w:pStyle w:val="Normal"/>
              <w:bidi w:val="0"/>
              <w:jc w:val="left"/>
              <w:rPr/>
            </w:pPr>
            <w:r>
              <w:rPr/>
            </w:r>
          </w:p>
        </w:tc>
        <w:tc>
          <w:tcPr>
            <w:tcW w:w="1213" w:type="dxa"/>
            <w:gridSpan w:val="4"/>
            <w:vMerge w:val="continue"/>
            <w:tcBorders>
              <w:bottom w:val="single" w:sz="2" w:space="0" w:color="7F7F7F"/>
            </w:tcBorders>
            <w:tcMar>
              <w:bottom w:w="56" w:type="dxa"/>
            </w:tcMar>
            <w:vAlign w:val="center"/>
          </w:tcPr>
          <w:p>
            <w:pPr>
              <w:pStyle w:val="Normal"/>
              <w:bidi w:val="0"/>
              <w:jc w:val="left"/>
              <w:rPr/>
            </w:pPr>
            <w:r>
              <w:rPr/>
            </w:r>
          </w:p>
        </w:tc>
        <w:tc>
          <w:tcPr>
            <w:tcW w:w="109" w:type="dxa"/>
            <w:vMerge w:val="continue"/>
            <w:tcBorders>
              <w:bottom w:val="single" w:sz="2" w:space="0" w:color="7F7F7F"/>
            </w:tcBorders>
            <w:vAlign w:val="center"/>
          </w:tcPr>
          <w:p>
            <w:pPr>
              <w:pStyle w:val="Normal"/>
              <w:bidi w:val="0"/>
              <w:jc w:val="left"/>
              <w:rPr/>
            </w:pPr>
            <w:r>
              <w:rPr/>
            </w:r>
          </w:p>
        </w:tc>
        <w:tc>
          <w:tcPr>
            <w:tcW w:w="109" w:type="dxa"/>
            <w:vMerge w:val="continue"/>
            <w:tcBorders>
              <w:bottom w:val="single" w:sz="2" w:space="0" w:color="A5A5A5"/>
            </w:tcBorders>
            <w:shd w:fill="A5A5A5" w:val="clear"/>
            <w:vAlign w:val="center"/>
          </w:tcPr>
          <w:p>
            <w:pPr>
              <w:pStyle w:val="Normal"/>
              <w:bidi w:val="0"/>
              <w:jc w:val="left"/>
              <w:rPr/>
            </w:pPr>
            <w:r>
              <w:rPr/>
            </w:r>
          </w:p>
        </w:tc>
        <w:tc>
          <w:tcPr>
            <w:tcW w:w="109" w:type="dxa"/>
            <w:tcBorders>
              <w:bottom w:val="single" w:sz="2" w:space="0" w:color="7F7F7F"/>
            </w:tcBorders>
            <w:vAlign w:val="center"/>
          </w:tcPr>
          <w:p>
            <w:pPr>
              <w:pStyle w:val="TableContents"/>
              <w:bidi w:val="0"/>
              <w:spacing w:before="0" w:after="283"/>
              <w:jc w:val="left"/>
              <w:rPr/>
            </w:pPr>
            <w:r>
              <w:rPr/>
              <w:t>​</w:t>
            </w:r>
          </w:p>
        </w:tc>
        <w:tc>
          <w:tcPr>
            <w:tcW w:w="836" w:type="dxa"/>
            <w:gridSpan w:val="4"/>
            <w:tcBorders>
              <w:bottom w:val="single" w:sz="2" w:space="0" w:color="7F7F7F"/>
            </w:tcBorders>
            <w:tcMar>
              <w:bottom w:w="56" w:type="dxa"/>
            </w:tcMar>
            <w:vAlign w:val="center"/>
          </w:tcPr>
          <w:p>
            <w:pPr>
              <w:pStyle w:val="TableContents"/>
              <w:bidi w:val="0"/>
              <w:spacing w:before="0" w:after="0"/>
              <w:jc w:val="center"/>
              <w:rPr/>
            </w:pP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93" w:type="dxa"/>
            <w:gridSpan w:val="4"/>
            <w:tcBorders>
              <w:bottom w:val="single" w:sz="2" w:space="0" w:color="7F7F7F"/>
            </w:tcBorders>
            <w:tcMar>
              <w:bottom w:w="56" w:type="dxa"/>
            </w:tcMar>
            <w:vAlign w:val="center"/>
          </w:tcPr>
          <w:p>
            <w:pPr>
              <w:pStyle w:val="TableContents"/>
              <w:bidi w:val="0"/>
              <w:spacing w:before="0" w:after="0"/>
              <w:jc w:val="center"/>
              <w:rPr/>
            </w:pP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vMerge w:val="continue"/>
            <w:tcBorders>
              <w:bottom w:val="single" w:sz="2" w:space="0" w:color="7F7F7F"/>
            </w:tcBorders>
            <w:vAlign w:val="center"/>
          </w:tcPr>
          <w:p>
            <w:pPr>
              <w:pStyle w:val="Normal"/>
              <w:bidi w:val="0"/>
              <w:jc w:val="left"/>
              <w:rPr/>
            </w:pPr>
            <w:r>
              <w:rPr/>
            </w:r>
          </w:p>
        </w:tc>
        <w:tc>
          <w:tcPr>
            <w:tcW w:w="1366" w:type="dxa"/>
            <w:gridSpan w:val="4"/>
            <w:vMerge w:val="continue"/>
            <w:tcBorders>
              <w:bottom w:val="single" w:sz="2" w:space="0" w:color="7F7F7F"/>
            </w:tcBorders>
            <w:tcMar>
              <w:bottom w:w="56" w:type="dxa"/>
            </w:tcMar>
            <w:vAlign w:val="center"/>
          </w:tcPr>
          <w:p>
            <w:pPr>
              <w:pStyle w:val="Normal"/>
              <w:bidi w:val="0"/>
              <w:jc w:val="left"/>
              <w:rPr/>
            </w:pPr>
            <w:r>
              <w:rPr/>
            </w:r>
          </w:p>
        </w:tc>
        <w:tc>
          <w:tcPr>
            <w:tcW w:w="109" w:type="dxa"/>
            <w:vMerge w:val="continue"/>
            <w:tcBorders>
              <w:bottom w:val="single" w:sz="2" w:space="0" w:color="7F7F7F"/>
            </w:tcBorders>
            <w:tcMar>
              <w:bottom w:w="56" w:type="dxa"/>
            </w:tcMar>
            <w:vAlign w:val="center"/>
          </w:tcPr>
          <w:p>
            <w:pPr>
              <w:pStyle w:val="Normal"/>
              <w:bidi w:val="0"/>
              <w:jc w:val="left"/>
              <w:rPr/>
            </w:pPr>
            <w:r>
              <w:rPr/>
            </w:r>
          </w:p>
        </w:tc>
        <w:tc>
          <w:tcPr>
            <w:tcW w:w="109" w:type="dxa"/>
            <w:vMerge w:val="continue"/>
            <w:tcBorders>
              <w:bottom w:val="single" w:sz="2" w:space="0" w:color="7F7F7F"/>
            </w:tcBorders>
            <w:vAlign w:val="center"/>
          </w:tcPr>
          <w:p>
            <w:pPr>
              <w:pStyle w:val="Normal"/>
              <w:bidi w:val="0"/>
              <w:jc w:val="left"/>
              <w:rPr/>
            </w:pPr>
            <w:r>
              <w:rPr/>
            </w:r>
          </w:p>
        </w:tc>
        <w:tc>
          <w:tcPr>
            <w:tcW w:w="109" w:type="dxa"/>
            <w:vMerge w:val="continue"/>
            <w:tcBorders>
              <w:bottom w:val="single" w:sz="2" w:space="0" w:color="7F7F7F"/>
            </w:tcBorders>
            <w:vAlign w:val="center"/>
          </w:tcPr>
          <w:p>
            <w:pPr>
              <w:pStyle w:val="Normal"/>
              <w:bidi w:val="0"/>
              <w:jc w:val="left"/>
              <w:rPr/>
            </w:pPr>
            <w:r>
              <w:rPr/>
            </w:r>
          </w:p>
        </w:tc>
        <w:tc>
          <w:tcPr>
            <w:tcW w:w="1393" w:type="dxa"/>
            <w:gridSpan w:val="4"/>
            <w:vMerge w:val="continue"/>
            <w:tcBorders>
              <w:bottom w:val="single" w:sz="2" w:space="0" w:color="7F7F7F"/>
            </w:tcBorders>
            <w:tcMar>
              <w:bottom w:w="56" w:type="dxa"/>
            </w:tcMar>
            <w:vAlign w:val="center"/>
          </w:tcPr>
          <w:p>
            <w:pPr>
              <w:pStyle w:val="Normal"/>
              <w:bidi w:val="0"/>
              <w:jc w:val="left"/>
              <w:rPr/>
            </w:pPr>
            <w:r>
              <w:rPr/>
            </w:r>
          </w:p>
        </w:tc>
        <w:tc>
          <w:tcPr>
            <w:tcW w:w="155" w:type="dxa"/>
            <w:vMerge w:val="continue"/>
            <w:tcBorders>
              <w:bottom w:val="single" w:sz="2" w:space="0" w:color="7F7F7F"/>
            </w:tcBorders>
            <w:vAlign w:val="center"/>
          </w:tcPr>
          <w:p>
            <w:pPr>
              <w:pStyle w:val="Normal"/>
              <w:bidi w:val="0"/>
              <w:jc w:val="left"/>
              <w:rPr/>
            </w:pPr>
            <w:r>
              <w:rPr/>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170" w:type="dxa"/>
            <w:tcBorders/>
            <w:shd w:fill="D8D8D8" w:val="clear"/>
            <w:tcMar>
              <w:bottom w:w="0" w:type="dxa"/>
            </w:tcMar>
            <w:vAlign w:val="center"/>
          </w:tcPr>
          <w:p>
            <w:pPr>
              <w:pStyle w:val="TableContents"/>
              <w:bidi w:val="0"/>
              <w:spacing w:before="0" w:after="0"/>
              <w:jc w:val="left"/>
              <w:rPr>
                <w:b/>
              </w:rPr>
            </w:pPr>
            <w:r>
              <w:rPr>
                <w:b/>
              </w:rPr>
              <w:t>Brad Jacobs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600,000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09" w:type="dxa"/>
            <w:tcBorders/>
            <w:shd w:fill="D8D8D8" w:val="clear"/>
            <w:tcMar>
              <w:bottom w:w="0" w:type="dxa"/>
            </w:tcMar>
            <w:vAlign w:val="center"/>
          </w:tcPr>
          <w:p>
            <w:pPr>
              <w:pStyle w:val="TableContents"/>
              <w:bidi w:val="0"/>
              <w:spacing w:before="0" w:after="283"/>
              <w:jc w:val="right"/>
              <w:rPr/>
            </w:pPr>
            <w:r>
              <w:rPr/>
              <w:t>150%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900,000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3" w:type="dxa"/>
            <w:tcBorders/>
            <w:shd w:fill="D8D8D8" w:val="clear"/>
            <w:tcMar>
              <w:bottom w:w="0" w:type="dxa"/>
            </w:tcMar>
            <w:vAlign w:val="center"/>
          </w:tcPr>
          <w:p>
            <w:pPr>
              <w:pStyle w:val="TableContents"/>
              <w:bidi w:val="0"/>
              <w:spacing w:before="0" w:after="283"/>
              <w:jc w:val="left"/>
              <w:rPr/>
            </w:pPr>
            <w:r>
              <w:rPr/>
              <w:t>​</w:t>
            </w:r>
          </w:p>
        </w:tc>
        <w:tc>
          <w:tcPr>
            <w:tcW w:w="153" w:type="dxa"/>
            <w:tcBorders/>
            <w:shd w:fill="D8D8D8" w:val="clear"/>
            <w:tcMar>
              <w:bottom w:w="0" w:type="dxa"/>
            </w:tcMar>
            <w:vAlign w:val="center"/>
          </w:tcPr>
          <w:p>
            <w:pPr>
              <w:pStyle w:val="TableContents"/>
              <w:bidi w:val="0"/>
              <w:spacing w:before="0" w:after="283"/>
              <w:jc w:val="right"/>
              <w:rPr/>
            </w:pPr>
            <w:r>
              <w:rPr/>
              <w:t>​</w:t>
            </w:r>
          </w:p>
        </w:tc>
        <w:tc>
          <w:tcPr>
            <w:tcW w:w="906" w:type="dxa"/>
            <w:tcBorders/>
            <w:shd w:fill="D8D8D8" w:val="clear"/>
            <w:tcMar>
              <w:bottom w:w="0" w:type="dxa"/>
            </w:tcMar>
            <w:vAlign w:val="center"/>
          </w:tcPr>
          <w:p>
            <w:pPr>
              <w:pStyle w:val="TableContents"/>
              <w:bidi w:val="0"/>
              <w:spacing w:before="0" w:after="283"/>
              <w:jc w:val="right"/>
              <w:rPr/>
            </w:pPr>
            <w:r>
              <w:rPr/>
              <w:t>146.8%</w:t>
            </w:r>
          </w:p>
        </w:tc>
        <w:tc>
          <w:tcPr>
            <w:tcW w:w="15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1,321,110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5"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0" w:type="dxa"/>
            <w:tcBorders/>
            <w:tcMar>
              <w:bottom w:w="0" w:type="dxa"/>
            </w:tcMar>
            <w:vAlign w:val="center"/>
          </w:tcPr>
          <w:p>
            <w:pPr>
              <w:pStyle w:val="TableContents"/>
              <w:bidi w:val="0"/>
              <w:spacing w:before="0" w:after="0"/>
              <w:jc w:val="left"/>
              <w:rPr>
                <w:b/>
              </w:rPr>
            </w:pPr>
            <w:r>
              <w:rPr>
                <w:b/>
              </w:rPr>
              <w:t>Mario Harik</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9" w:type="dxa"/>
            <w:tcBorders/>
            <w:tcMar>
              <w:bottom w:w="0" w:type="dxa"/>
            </w:tcMar>
            <w:vAlign w:val="center"/>
          </w:tcPr>
          <w:p>
            <w:pPr>
              <w:pStyle w:val="TableContents"/>
              <w:bidi w:val="0"/>
              <w:spacing w:before="0" w:after="283"/>
              <w:jc w:val="right"/>
              <w:rPr/>
            </w:pPr>
            <w:r>
              <w:rPr/>
              <w:t>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146.8%</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2,495,430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170" w:type="dxa"/>
            <w:tcBorders/>
            <w:shd w:fill="D8D8D8" w:val="clear"/>
            <w:tcMar>
              <w:bottom w:w="0" w:type="dxa"/>
            </w:tcMar>
            <w:vAlign w:val="center"/>
          </w:tcPr>
          <w:p>
            <w:pPr>
              <w:pStyle w:val="TableContents"/>
              <w:bidi w:val="0"/>
              <w:spacing w:before="0" w:after="0"/>
              <w:jc w:val="left"/>
              <w:rPr>
                <w:b/>
              </w:rPr>
            </w:pPr>
            <w:r>
              <w:rPr>
                <w:b/>
              </w:rPr>
              <w:t>Kyle Wismans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600,000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09" w:type="dxa"/>
            <w:tcBorders/>
            <w:shd w:fill="D8D8D8" w:val="clear"/>
            <w:tcMar>
              <w:bottom w:w="0" w:type="dxa"/>
            </w:tcMar>
            <w:vAlign w:val="center"/>
          </w:tcPr>
          <w:p>
            <w:pPr>
              <w:pStyle w:val="TableContents"/>
              <w:bidi w:val="0"/>
              <w:spacing w:before="0" w:after="283"/>
              <w:jc w:val="right"/>
              <w:rPr/>
            </w:pPr>
            <w:r>
              <w:rPr/>
              <w:t>100%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600,000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3" w:type="dxa"/>
            <w:tcBorders/>
            <w:shd w:fill="D8D8D8" w:val="clear"/>
            <w:tcMar>
              <w:bottom w:w="0" w:type="dxa"/>
            </w:tcMar>
            <w:vAlign w:val="center"/>
          </w:tcPr>
          <w:p>
            <w:pPr>
              <w:pStyle w:val="TableContents"/>
              <w:bidi w:val="0"/>
              <w:spacing w:before="0" w:after="283"/>
              <w:jc w:val="left"/>
              <w:rPr/>
            </w:pPr>
            <w:r>
              <w:rPr/>
              <w:t>​</w:t>
            </w:r>
          </w:p>
        </w:tc>
        <w:tc>
          <w:tcPr>
            <w:tcW w:w="153" w:type="dxa"/>
            <w:tcBorders/>
            <w:shd w:fill="D8D8D8" w:val="clear"/>
            <w:tcMar>
              <w:bottom w:w="0" w:type="dxa"/>
            </w:tcMar>
            <w:vAlign w:val="center"/>
          </w:tcPr>
          <w:p>
            <w:pPr>
              <w:pStyle w:val="TableContents"/>
              <w:bidi w:val="0"/>
              <w:spacing w:before="0" w:after="283"/>
              <w:jc w:val="right"/>
              <w:rPr/>
            </w:pPr>
            <w:r>
              <w:rPr/>
              <w:t>​</w:t>
            </w:r>
          </w:p>
        </w:tc>
        <w:tc>
          <w:tcPr>
            <w:tcW w:w="906" w:type="dxa"/>
            <w:tcBorders/>
            <w:shd w:fill="D8D8D8" w:val="clear"/>
            <w:tcMar>
              <w:bottom w:w="0" w:type="dxa"/>
            </w:tcMar>
            <w:vAlign w:val="center"/>
          </w:tcPr>
          <w:p>
            <w:pPr>
              <w:pStyle w:val="TableContents"/>
              <w:bidi w:val="0"/>
              <w:spacing w:before="0" w:after="283"/>
              <w:jc w:val="right"/>
              <w:rPr/>
            </w:pPr>
            <w:r>
              <w:rPr/>
              <w:t>146.8%</w:t>
            </w:r>
          </w:p>
        </w:tc>
        <w:tc>
          <w:tcPr>
            <w:tcW w:w="15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880,740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5"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0" w:type="dxa"/>
            <w:tcBorders/>
            <w:tcMar>
              <w:bottom w:w="0" w:type="dxa"/>
            </w:tcMar>
            <w:vAlign w:val="center"/>
          </w:tcPr>
          <w:p>
            <w:pPr>
              <w:pStyle w:val="TableContents"/>
              <w:bidi w:val="0"/>
              <w:spacing w:before="0" w:after="0"/>
              <w:jc w:val="left"/>
              <w:rPr>
                <w:b/>
              </w:rPr>
            </w:pPr>
            <w:r>
              <w:rPr>
                <w:b/>
              </w:rPr>
              <w:t>Wendy Cassity</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9"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146.8%</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844,043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24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See Annex A for reconciliations of non-GAAP financial measures. </w:t>
      </w:r>
      <w:r>
        <mc:AlternateContent>
          <mc:Choice Requires="wps">
            <w:drawing>
              <wp:anchor behindDoc="0" distT="152400" distB="0" distL="0" distR="0" simplePos="0" locked="0" layoutInCell="1" allowOverlap="1" relativeHeight="314">
                <wp:simplePos x="0" y="0"/>
                <wp:positionH relativeFrom="column">
                  <wp:align>left</wp:align>
                </wp:positionH>
                <wp:positionV relativeFrom="line">
                  <wp:align>top</wp:align>
                </wp:positionV>
                <wp:extent cx="254000" cy="241300"/>
                <wp:effectExtent l="0" t="0" r="0" b="0"/>
                <wp:wrapSquare wrapText="right"/>
                <wp:docPr id="312" name="Frame189"/>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5"/>
                              </w:rPr>
                              <w:t>*</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5"/>
                        </w:rPr>
                        <w:t>*</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35</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120"/>
        <w:ind w:left="920" w:right="0" w:hanging="0"/>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COO STI Payouts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order to secure Mr. Bates’ commitment to join XPO in 2023 from a top-tier competitor, the Compensation and Human Capital Committee designed a short-term incentive program based on the program provided to him by his previous employer. Under XPO’s program, Mr. Bates receives 0.56% of the company’s North American LTL adjusted operating income on a quarterly basis. This metric was specifically chosen because it fully aligns with Mr. Bates’ responsibilities as COO; that is, to deliver best-in-class customer service, improve network efficiency, and increase yield performance. North American LTL adjusted operating income is also a key comparative measure against industry peers, and improvements to the metric are expected to correlate to increased stockholder value.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company’s 2024 North American LTL adjusted operating income* was $746 million, which resulted in a short-term incentive cash payout for Mr. Bates of $4,177,600. This payout is directly reflective of Mr. Bates’ leadership throughout the year to improve cost efficiency through operational discipline, including increases in labor productivity and linehaul transportation insourcing from third-party carriers. In 2024, Mr. Bates helped to deliver record service levels, including a company-best damage claims ratio of 0.2%, driving a 7.8% increase in yield, excluding fuel, and a 6.8% increase in revenue per shipment. In addition, Mr. Bates continued to leverage XPO’s proprietary technology to improve labor productivity and reduced outsourced linehaul miles to the best level in XPO’s history, while leading the integration of 25 new service centers into our network. These efficiencies improved our cost structure and service quality, driving year-over-year outperformance against full-year expectations for our North American LTL business, with adjusted operating income* growth of 27% and adjusted operating ratio improvement of 260 basis points.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Long-Term Incentive Awards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company’s long-term incentive (“LTI”) awards are designed to provide individuals with equity compensation tied to long-term performance and stockholder alignment through a combination of performance awards and restricted stock. Performance awards are tied to performance against pre-established long-term targets set by the Compensation and Human Capital Committee at the beginning of each three-year performance period in alignment with the company’s long-term strategic plan. The key objective of the plan is to encourage performance that drives stockholder value higher over the long term, align interests of executives with stockholders, and reward and retain executives.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2024 Annual LTI Award Design</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For 2024, the Committee determined to maintain the same metrics used in 2023, given their continued link to XPO’s business strategy, with the weighting of the metrics adjusted to more accurately reflect XPO’s pure-play LTL business. Specifically, the Committee increased the weight of LTL adjusted operating ratio improvement from 20% to 40% for 2024, given the increased importance of this metric to the company’s business model and long-term value creation, with a modest decrease in LTL adjusted EBITDA growth from 40% to 35% and a decrease in relative TSR from 40% to 25%. These changes in weighting align with stockholder feedback regarding preference for increased use of operating metrics in XPO’s compensation plan.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provides an overview of equity awards and performance metrics. In 2024, our NEOs received a majority of LTI awards as PSUs, with the executive chairman and CEO receiving 80% in PSUs and 20% in RSUs. All other NEOs received 65% PSUs and 35% RSUs.</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0" w:type="dxa"/>
          <w:right w:w="0" w:type="dxa"/>
        </w:tblCellMar>
      </w:tblPr>
      <w:tblGrid>
        <w:gridCol w:w="124"/>
        <w:gridCol w:w="109"/>
        <w:gridCol w:w="1432"/>
        <w:gridCol w:w="109"/>
        <w:gridCol w:w="109"/>
        <w:gridCol w:w="109"/>
        <w:gridCol w:w="2211"/>
        <w:gridCol w:w="109"/>
        <w:gridCol w:w="109"/>
        <w:gridCol w:w="109"/>
        <w:gridCol w:w="789"/>
        <w:gridCol w:w="109"/>
        <w:gridCol w:w="109"/>
        <w:gridCol w:w="109"/>
        <w:gridCol w:w="3374"/>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323232"/>
            </w:tcBorders>
            <w:shd w:fill="323232" w:val="clear"/>
            <w:tcMar>
              <w:bottom w:w="28" w:type="dxa"/>
            </w:tcMar>
            <w:vAlign w:val="center"/>
          </w:tcPr>
          <w:p>
            <w:pPr>
              <w:pStyle w:val="TableContents"/>
              <w:bidi w:val="0"/>
              <w:spacing w:before="0" w:after="283"/>
              <w:jc w:val="left"/>
              <w:rPr/>
            </w:pPr>
            <w:r>
              <w:rPr/>
              <w:t>​</w:t>
            </w:r>
          </w:p>
        </w:tc>
        <w:tc>
          <w:tcPr>
            <w:tcW w:w="1432" w:type="dxa"/>
            <w:tcBorders>
              <w:bottom w:val="single" w:sz="2" w:space="0" w:color="323232"/>
            </w:tcBorders>
            <w:shd w:fill="323232" w:val="clear"/>
            <w:tcMar>
              <w:bottom w:w="28" w:type="dxa"/>
            </w:tcMar>
            <w:vAlign w:val="center"/>
          </w:tcPr>
          <w:p>
            <w:pPr>
              <w:pStyle w:val="TableContents"/>
              <w:bidi w:val="0"/>
              <w:spacing w:lineRule="atLeast" w:line="180" w:before="0" w:after="0"/>
              <w:jc w:val="center"/>
              <w:rPr>
                <w:color w:val="FFFFFF"/>
              </w:rPr>
            </w:pPr>
            <w:r>
              <w:rPr>
                <w:color w:val="FFFFFF"/>
                <w:spacing w:val="-2"/>
              </w:rPr>
              <w:t>Pay Element</w:t>
            </w:r>
            <w:r>
              <w:rPr>
                <w:color w:val="FFFFFF"/>
              </w:rPr>
              <w:t xml:space="preserve"> </w:t>
            </w:r>
          </w:p>
        </w:tc>
        <w:tc>
          <w:tcPr>
            <w:tcW w:w="109" w:type="dxa"/>
            <w:tcBorders>
              <w:bottom w:val="single" w:sz="2" w:space="0" w:color="323232"/>
            </w:tcBorders>
            <w:shd w:fill="323232"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323232" w:val="clear"/>
            <w:tcMar>
              <w:bottom w:w="28" w:type="dxa"/>
            </w:tcMar>
            <w:vAlign w:val="center"/>
          </w:tcPr>
          <w:p>
            <w:pPr>
              <w:pStyle w:val="TableContents"/>
              <w:bidi w:val="0"/>
              <w:spacing w:before="0" w:after="283"/>
              <w:jc w:val="left"/>
              <w:rPr/>
            </w:pPr>
            <w:r>
              <w:rPr/>
              <w:t>​</w:t>
            </w:r>
          </w:p>
        </w:tc>
        <w:tc>
          <w:tcPr>
            <w:tcW w:w="2211" w:type="dxa"/>
            <w:tcBorders>
              <w:bottom w:val="single" w:sz="2" w:space="0" w:color="FEFEFE"/>
            </w:tcBorders>
            <w:shd w:fill="323232" w:val="clear"/>
            <w:tcMar>
              <w:bottom w:w="28" w:type="dxa"/>
            </w:tcMar>
            <w:vAlign w:val="center"/>
          </w:tcPr>
          <w:p>
            <w:pPr>
              <w:pStyle w:val="TableContents"/>
              <w:bidi w:val="0"/>
              <w:spacing w:lineRule="atLeast" w:line="180" w:before="0" w:after="0"/>
              <w:jc w:val="both"/>
              <w:rPr>
                <w:spacing w:val="-2"/>
              </w:rPr>
            </w:pPr>
            <w:r>
              <w:rPr>
                <w:spacing w:val="-2"/>
              </w:rPr>
              <w:t xml:space="preserve">Performance Measures / Details </w:t>
            </w:r>
          </w:p>
        </w:tc>
        <w:tc>
          <w:tcPr>
            <w:tcW w:w="109" w:type="dxa"/>
            <w:tcBorders>
              <w:bottom w:val="single" w:sz="2" w:space="0" w:color="FEFEFE"/>
            </w:tcBorders>
            <w:shd w:fill="323232"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323232" w:val="clear"/>
            <w:tcMar>
              <w:bottom w:w="28" w:type="dxa"/>
            </w:tcMar>
            <w:vAlign w:val="center"/>
          </w:tcPr>
          <w:p>
            <w:pPr>
              <w:pStyle w:val="TableContents"/>
              <w:bidi w:val="0"/>
              <w:spacing w:before="0" w:after="283"/>
              <w:jc w:val="left"/>
              <w:rPr/>
            </w:pPr>
            <w:r>
              <w:rPr/>
              <w:t>​</w:t>
            </w:r>
          </w:p>
        </w:tc>
        <w:tc>
          <w:tcPr>
            <w:tcW w:w="789" w:type="dxa"/>
            <w:tcBorders>
              <w:bottom w:val="single" w:sz="2" w:space="0" w:color="FEFEFE"/>
            </w:tcBorders>
            <w:shd w:fill="323232" w:val="clear"/>
            <w:tcMar>
              <w:bottom w:w="28" w:type="dxa"/>
            </w:tcMar>
            <w:vAlign w:val="center"/>
          </w:tcPr>
          <w:p>
            <w:pPr>
              <w:pStyle w:val="TableContents"/>
              <w:bidi w:val="0"/>
              <w:spacing w:lineRule="atLeast" w:line="180" w:before="0" w:after="0"/>
              <w:jc w:val="center"/>
              <w:rPr>
                <w:spacing w:val="-2"/>
              </w:rPr>
            </w:pPr>
            <w:r>
              <w:rPr>
                <w:spacing w:val="-2"/>
              </w:rPr>
              <w:t xml:space="preserve">Weight </w:t>
            </w:r>
          </w:p>
        </w:tc>
        <w:tc>
          <w:tcPr>
            <w:tcW w:w="109" w:type="dxa"/>
            <w:tcBorders>
              <w:bottom w:val="single" w:sz="2" w:space="0" w:color="FEFEFE"/>
            </w:tcBorders>
            <w:shd w:fill="323232"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FEFEFE"/>
            </w:tcBorders>
            <w:shd w:fill="323232" w:val="clear"/>
            <w:tcMar>
              <w:bottom w:w="28" w:type="dxa"/>
            </w:tcMar>
            <w:vAlign w:val="center"/>
          </w:tcPr>
          <w:p>
            <w:pPr>
              <w:pStyle w:val="TableContents"/>
              <w:bidi w:val="0"/>
              <w:spacing w:before="0" w:after="283"/>
              <w:jc w:val="left"/>
              <w:rPr/>
            </w:pPr>
            <w:r>
              <w:rPr/>
              <w:t>​</w:t>
            </w:r>
          </w:p>
        </w:tc>
        <w:tc>
          <w:tcPr>
            <w:tcW w:w="3374" w:type="dxa"/>
            <w:tcBorders>
              <w:bottom w:val="single" w:sz="2" w:space="0" w:color="FEFEFE"/>
            </w:tcBorders>
            <w:shd w:fill="323232" w:val="clear"/>
            <w:tcMar>
              <w:bottom w:w="28" w:type="dxa"/>
            </w:tcMar>
            <w:vAlign w:val="center"/>
          </w:tcPr>
          <w:p>
            <w:pPr>
              <w:pStyle w:val="TableContents"/>
              <w:bidi w:val="0"/>
              <w:spacing w:lineRule="atLeast" w:line="180" w:before="0" w:after="0"/>
              <w:jc w:val="center"/>
              <w:rPr>
                <w:spacing w:val="-2"/>
              </w:rPr>
            </w:pPr>
            <w:r>
              <w:rPr>
                <w:spacing w:val="-2"/>
              </w:rPr>
              <w:t xml:space="preserve">Metric Rationale </w:t>
            </w:r>
          </w:p>
        </w:tc>
        <w:tc>
          <w:tcPr>
            <w:tcW w:w="109" w:type="dxa"/>
            <w:tcBorders>
              <w:bottom w:val="single" w:sz="2" w:space="0" w:color="FEFEFE"/>
            </w:tcBorders>
            <w:shd w:fill="323232" w:val="clear"/>
            <w:tcMar>
              <w:bottom w:w="28" w:type="dxa"/>
            </w:tcMar>
            <w:vAlign w:val="center"/>
          </w:tcPr>
          <w:p>
            <w:pPr>
              <w:pStyle w:val="TableContents"/>
              <w:bidi w:val="0"/>
              <w:spacing w:before="0" w:after="283"/>
              <w:jc w:val="left"/>
              <w:rPr/>
            </w:pPr>
            <w:r>
              <w:rPr/>
              <w:t>​</w:t>
            </w:r>
          </w:p>
        </w:tc>
        <w:tc>
          <w:tcPr>
            <w:tcW w:w="156" w:type="dxa"/>
            <w:tcBorders/>
            <w:shd w:fill="323232"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4" w:space="0" w:color="7F7F7F"/>
            </w:tcBorders>
            <w:shd w:fill="E5E5E5" w:val="clear"/>
            <w:tcMar>
              <w:bottom w:w="28" w:type="dxa"/>
            </w:tcMar>
            <w:vAlign w:val="center"/>
          </w:tcPr>
          <w:p>
            <w:pPr>
              <w:pStyle w:val="TableContents"/>
              <w:bidi w:val="0"/>
              <w:spacing w:before="0" w:after="283"/>
              <w:jc w:val="left"/>
              <w:rPr/>
            </w:pPr>
            <w:r>
              <w:rPr/>
              <w:t>​</w:t>
            </w:r>
          </w:p>
        </w:tc>
        <w:tc>
          <w:tcPr>
            <w:tcW w:w="1432" w:type="dxa"/>
            <w:vMerge w:val="restart"/>
            <w:tcBorders>
              <w:bottom w:val="single" w:sz="4" w:space="0" w:color="7F7F7F"/>
            </w:tcBorders>
            <w:shd w:fill="E5E5E5" w:val="clear"/>
            <w:tcMar>
              <w:bottom w:w="28" w:type="dxa"/>
            </w:tcMar>
            <w:vAlign w:val="center"/>
          </w:tcPr>
          <w:p>
            <w:pPr>
              <w:pStyle w:val="TableContents"/>
              <w:bidi w:val="0"/>
              <w:spacing w:lineRule="atLeast" w:line="216" w:before="0" w:after="0"/>
              <w:jc w:val="center"/>
              <w:rPr/>
            </w:pPr>
            <w:r>
              <w:rPr>
                <w:b/>
                <w:spacing w:val="-2"/>
              </w:rPr>
              <w:t xml:space="preserve">Performance </w:t>
              <w:br/>
              <w:t xml:space="preserve">Restricted Stock </w:t>
              <w:br/>
              <w:t>Units (PSUs)</w:t>
            </w:r>
            <w:r>
              <w:rPr>
                <w:bCs/>
                <w:spacing w:val="-1"/>
                <w:szCs w:val="11"/>
              </w:rPr>
              <w:t>﻿</w:t>
            </w:r>
            <w:r>
              <w:rPr>
                <w:b/>
                <w:spacing w:val="-1"/>
                <w:sz w:val="11"/>
              </w:rPr>
              <w:t>(1)</w:t>
            </w:r>
            <w:r>
              <w:rPr>
                <w:b/>
              </w:rPr>
              <w:t xml:space="preserve"> </w:t>
            </w:r>
          </w:p>
        </w:tc>
        <w:tc>
          <w:tcPr>
            <w:tcW w:w="109" w:type="dxa"/>
            <w:vMerge w:val="restart"/>
            <w:tcBorders>
              <w:bottom w:val="single" w:sz="4" w:space="0" w:color="7F7F7F"/>
            </w:tcBorders>
            <w:shd w:fill="E5E5E5"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2211" w:type="dxa"/>
            <w:tcBorders>
              <w:bottom w:val="single" w:sz="4" w:space="0" w:color="7F7F7F"/>
            </w:tcBorders>
            <w:tcMar>
              <w:bottom w:w="28" w:type="dxa"/>
            </w:tcMar>
            <w:vAlign w:val="center"/>
          </w:tcPr>
          <w:p>
            <w:pPr>
              <w:pStyle w:val="TableContents"/>
              <w:bidi w:val="0"/>
              <w:spacing w:lineRule="atLeast" w:line="216" w:before="0" w:after="0"/>
              <w:jc w:val="both"/>
              <w:rPr>
                <w:spacing w:val="-2"/>
              </w:rPr>
            </w:pPr>
            <w:r>
              <w:rPr>
                <w:spacing w:val="-2"/>
              </w:rPr>
              <w:t xml:space="preserve">LTL adjusted EBITDA growth over three-year performance period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789" w:type="dxa"/>
            <w:tcBorders>
              <w:bottom w:val="single" w:sz="4" w:space="0" w:color="7F7F7F"/>
            </w:tcBorders>
            <w:tcMar>
              <w:bottom w:w="28" w:type="dxa"/>
            </w:tcMar>
            <w:vAlign w:val="center"/>
          </w:tcPr>
          <w:p>
            <w:pPr>
              <w:pStyle w:val="TableContents"/>
              <w:bidi w:val="0"/>
              <w:spacing w:lineRule="atLeast" w:line="216" w:before="0" w:after="0"/>
              <w:jc w:val="center"/>
              <w:rPr>
                <w:spacing w:val="-2"/>
              </w:rPr>
            </w:pPr>
            <w:r>
              <w:rPr>
                <w:spacing w:val="-2"/>
              </w:rPr>
              <w:t xml:space="preserve">35%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3374" w:type="dxa"/>
            <w:tcBorders>
              <w:bottom w:val="single" w:sz="4" w:space="0" w:color="7F7F7F"/>
            </w:tcBorders>
            <w:tcMar>
              <w:bottom w:w="28" w:type="dxa"/>
            </w:tcMar>
            <w:vAlign w:val="center"/>
          </w:tcPr>
          <w:p>
            <w:pPr>
              <w:pStyle w:val="TableContents"/>
              <w:bidi w:val="0"/>
              <w:spacing w:lineRule="atLeast" w:line="216" w:before="0" w:after="0"/>
              <w:jc w:val="both"/>
              <w:rPr>
                <w:spacing w:val="-2"/>
              </w:rPr>
            </w:pPr>
            <w:r>
              <w:rPr>
                <w:spacing w:val="-2"/>
              </w:rPr>
              <w:t xml:space="preserve">LTL adjusted EBITDA growth is a critical operating performance measure that reflects the profitability of the LTL business.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4" w:space="0" w:color="7F7F7F"/>
            </w:tcBorders>
            <w:shd w:fill="E5E5E5" w:val="clear"/>
            <w:tcMar>
              <w:bottom w:w="28" w:type="dxa"/>
            </w:tcMar>
            <w:vAlign w:val="center"/>
          </w:tcPr>
          <w:p>
            <w:pPr>
              <w:pStyle w:val="Normal"/>
              <w:bidi w:val="0"/>
              <w:jc w:val="left"/>
              <w:rPr/>
            </w:pPr>
            <w:r>
              <w:rPr/>
            </w:r>
          </w:p>
        </w:tc>
        <w:tc>
          <w:tcPr>
            <w:tcW w:w="1432" w:type="dxa"/>
            <w:vMerge w:val="continue"/>
            <w:tcBorders>
              <w:bottom w:val="single" w:sz="4"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4"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2" w:space="0" w:color="7F7F7F"/>
            </w:tcBorders>
            <w:shd w:fill="7F7F7F" w:val="clear"/>
            <w:tcMar>
              <w:bottom w:w="28" w:type="dxa"/>
            </w:tcMar>
            <w:vAlign w:val="center"/>
          </w:tcPr>
          <w:p>
            <w:pPr>
              <w:pStyle w:val="Normal"/>
              <w:bidi w:val="0"/>
              <w:jc w:val="left"/>
              <w:rPr/>
            </w:pPr>
            <w:r>
              <w:rPr/>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2211" w:type="dxa"/>
            <w:tcBorders>
              <w:bottom w:val="single" w:sz="4" w:space="0" w:color="7F7F7F"/>
            </w:tcBorders>
            <w:tcMar>
              <w:bottom w:w="41" w:type="dxa"/>
            </w:tcMar>
            <w:vAlign w:val="center"/>
          </w:tcPr>
          <w:p>
            <w:pPr>
              <w:pStyle w:val="TableContents"/>
              <w:bidi w:val="0"/>
              <w:spacing w:lineRule="atLeast" w:line="216" w:before="0" w:after="0"/>
              <w:jc w:val="both"/>
              <w:rPr>
                <w:spacing w:val="-2"/>
              </w:rPr>
            </w:pPr>
            <w:r>
              <w:rPr>
                <w:spacing w:val="-2"/>
              </w:rPr>
              <w:t xml:space="preserve">LTL adjusted operating ratio improvement over three-year performance period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789" w:type="dxa"/>
            <w:tcBorders>
              <w:bottom w:val="single" w:sz="4" w:space="0" w:color="7F7F7F"/>
            </w:tcBorders>
            <w:tcMar>
              <w:bottom w:w="28" w:type="dxa"/>
            </w:tcMar>
            <w:vAlign w:val="center"/>
          </w:tcPr>
          <w:p>
            <w:pPr>
              <w:pStyle w:val="TableContents"/>
              <w:bidi w:val="0"/>
              <w:spacing w:before="0" w:after="0"/>
              <w:jc w:val="center"/>
              <w:rPr>
                <w:spacing w:val="-2"/>
              </w:rPr>
            </w:pPr>
            <w:r>
              <w:rPr>
                <w:spacing w:val="-2"/>
              </w:rPr>
              <w:t xml:space="preserve">40%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3374" w:type="dxa"/>
            <w:tcBorders>
              <w:bottom w:val="single" w:sz="4" w:space="0" w:color="7F7F7F"/>
            </w:tcBorders>
            <w:tcMar>
              <w:bottom w:w="28" w:type="dxa"/>
            </w:tcMar>
            <w:vAlign w:val="center"/>
          </w:tcPr>
          <w:p>
            <w:pPr>
              <w:pStyle w:val="TableContents"/>
              <w:bidi w:val="0"/>
              <w:spacing w:lineRule="atLeast" w:line="216" w:before="0" w:after="0"/>
              <w:jc w:val="both"/>
              <w:rPr>
                <w:spacing w:val="-2"/>
              </w:rPr>
            </w:pPr>
            <w:r>
              <w:rPr>
                <w:spacing w:val="-2"/>
              </w:rPr>
              <w:t xml:space="preserve">LTL adjusted operating ratio measures the cost-efficiency and profitability of our LTL network operations and informs our disciplined investments in long-term growth.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4" w:space="0" w:color="7F7F7F"/>
            </w:tcBorders>
            <w:shd w:fill="E5E5E5" w:val="clear"/>
            <w:tcMar>
              <w:bottom w:w="28" w:type="dxa"/>
            </w:tcMar>
            <w:vAlign w:val="center"/>
          </w:tcPr>
          <w:p>
            <w:pPr>
              <w:pStyle w:val="Normal"/>
              <w:bidi w:val="0"/>
              <w:jc w:val="left"/>
              <w:rPr/>
            </w:pPr>
            <w:r>
              <w:rPr/>
            </w:r>
          </w:p>
        </w:tc>
        <w:tc>
          <w:tcPr>
            <w:tcW w:w="1432" w:type="dxa"/>
            <w:vMerge w:val="continue"/>
            <w:tcBorders>
              <w:bottom w:val="single" w:sz="4"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4"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2" w:space="0" w:color="7F7F7F"/>
            </w:tcBorders>
            <w:shd w:fill="7F7F7F" w:val="clear"/>
            <w:tcMar>
              <w:bottom w:w="28" w:type="dxa"/>
            </w:tcMar>
            <w:vAlign w:val="center"/>
          </w:tcPr>
          <w:p>
            <w:pPr>
              <w:pStyle w:val="Normal"/>
              <w:bidi w:val="0"/>
              <w:jc w:val="left"/>
              <w:rPr/>
            </w:pPr>
            <w:r>
              <w:rPr/>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2211" w:type="dxa"/>
            <w:tcBorders>
              <w:bottom w:val="single" w:sz="4" w:space="0" w:color="7F7F7F"/>
            </w:tcBorders>
            <w:tcMar>
              <w:bottom w:w="41" w:type="dxa"/>
            </w:tcMar>
            <w:vAlign w:val="center"/>
          </w:tcPr>
          <w:p>
            <w:pPr>
              <w:pStyle w:val="TableContents"/>
              <w:bidi w:val="0"/>
              <w:spacing w:lineRule="atLeast" w:line="216" w:before="0" w:after="0"/>
              <w:jc w:val="both"/>
              <w:rPr>
                <w:spacing w:val="-2"/>
              </w:rPr>
            </w:pPr>
            <w:r>
              <w:rPr>
                <w:spacing w:val="-2"/>
              </w:rPr>
              <w:t xml:space="preserve">Relative total shareholder return (TSR) performance vs. S&amp;P Transportation Select Index, measured over a three-year performance period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789" w:type="dxa"/>
            <w:tcBorders>
              <w:bottom w:val="single" w:sz="4" w:space="0" w:color="7F7F7F"/>
            </w:tcBorders>
            <w:tcMar>
              <w:bottom w:w="28" w:type="dxa"/>
            </w:tcMar>
            <w:vAlign w:val="center"/>
          </w:tcPr>
          <w:p>
            <w:pPr>
              <w:pStyle w:val="TableContents"/>
              <w:bidi w:val="0"/>
              <w:spacing w:before="0" w:after="0"/>
              <w:jc w:val="center"/>
              <w:rPr>
                <w:spacing w:val="-2"/>
              </w:rPr>
            </w:pPr>
            <w:r>
              <w:rPr>
                <w:spacing w:val="-2"/>
              </w:rPr>
              <w:t xml:space="preserve">25%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3374" w:type="dxa"/>
            <w:tcBorders>
              <w:bottom w:val="single" w:sz="4" w:space="0" w:color="7F7F7F"/>
            </w:tcBorders>
            <w:tcMar>
              <w:bottom w:w="28" w:type="dxa"/>
            </w:tcMar>
            <w:vAlign w:val="center"/>
          </w:tcPr>
          <w:p>
            <w:pPr>
              <w:pStyle w:val="TableContents"/>
              <w:bidi w:val="0"/>
              <w:spacing w:lineRule="atLeast" w:line="216" w:before="0" w:after="0"/>
              <w:jc w:val="both"/>
              <w:rPr>
                <w:spacing w:val="-2"/>
              </w:rPr>
            </w:pPr>
            <w:r>
              <w:rPr>
                <w:spacing w:val="-2"/>
              </w:rPr>
              <w:t xml:space="preserve">TSR targets incentivize a strong focus on XPO’s growth in market position versus core competitors, while directly aligning executive compensation with stockholder value creation. Measurement over a three-year performance period ensures that the company is delivering increasing stockholder value over time relative to its peers. </w:t>
            </w:r>
          </w:p>
        </w:tc>
        <w:tc>
          <w:tcPr>
            <w:tcW w:w="109" w:type="dxa"/>
            <w:tcBorders>
              <w:bottom w:val="single" w:sz="4"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shd w:fill="E5E5E5" w:val="clear"/>
            <w:tcMar>
              <w:bottom w:w="28" w:type="dxa"/>
            </w:tcMar>
            <w:vAlign w:val="center"/>
          </w:tcPr>
          <w:p>
            <w:pPr>
              <w:pStyle w:val="TableContents"/>
              <w:bidi w:val="0"/>
              <w:spacing w:before="0" w:after="283"/>
              <w:jc w:val="left"/>
              <w:rPr/>
            </w:pPr>
            <w:r>
              <w:rPr/>
              <w:t>​</w:t>
            </w:r>
          </w:p>
        </w:tc>
        <w:tc>
          <w:tcPr>
            <w:tcW w:w="1432" w:type="dxa"/>
            <w:tcBorders>
              <w:bottom w:val="single" w:sz="6" w:space="0" w:color="7F7F7F"/>
            </w:tcBorders>
            <w:shd w:fill="E5E5E5" w:val="clear"/>
            <w:tcMar>
              <w:bottom w:w="28" w:type="dxa"/>
            </w:tcMar>
            <w:vAlign w:val="center"/>
          </w:tcPr>
          <w:p>
            <w:pPr>
              <w:pStyle w:val="TableContents"/>
              <w:bidi w:val="0"/>
              <w:spacing w:lineRule="atLeast" w:line="216" w:before="0" w:after="0"/>
              <w:jc w:val="center"/>
              <w:rPr>
                <w:b/>
              </w:rPr>
            </w:pPr>
            <w:r>
              <w:rPr>
                <w:b/>
                <w:spacing w:val="-2"/>
              </w:rPr>
              <w:t xml:space="preserve">Restricted </w:t>
              <w:br/>
              <w:t xml:space="preserve">Stock Units </w:t>
              <w:br/>
              <w:t>(RSUs)</w:t>
            </w:r>
            <w:r>
              <w:rPr>
                <w:b/>
              </w:rPr>
              <w:t xml:space="preserve"> </w:t>
            </w:r>
          </w:p>
        </w:tc>
        <w:tc>
          <w:tcPr>
            <w:tcW w:w="109" w:type="dxa"/>
            <w:tcBorders>
              <w:bottom w:val="single" w:sz="6"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3327" w:type="dxa"/>
            <w:gridSpan w:val="5"/>
            <w:tcBorders>
              <w:bottom w:val="single" w:sz="6" w:space="0" w:color="7F7F7F"/>
            </w:tcBorders>
            <w:tcMar>
              <w:bottom w:w="28" w:type="dxa"/>
            </w:tcMar>
            <w:vAlign w:val="center"/>
          </w:tcPr>
          <w:p>
            <w:pPr>
              <w:pStyle w:val="TableContents"/>
              <w:bidi w:val="0"/>
              <w:spacing w:before="0" w:after="283"/>
              <w:jc w:val="left"/>
              <w:rPr>
                <w:spacing w:val="-2"/>
              </w:rPr>
            </w:pPr>
            <w:r>
              <w:rPr>
                <w:spacing w:val="-2"/>
              </w:rPr>
              <w:t xml:space="preserve">Ratable vesting annually over three years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3374" w:type="dxa"/>
            <w:tcBorders>
              <w:bottom w:val="single" w:sz="6" w:space="0" w:color="7F7F7F"/>
            </w:tcBorders>
            <w:tcMar>
              <w:bottom w:w="28" w:type="dxa"/>
            </w:tcMar>
            <w:vAlign w:val="center"/>
          </w:tcPr>
          <w:p>
            <w:pPr>
              <w:pStyle w:val="TableContents"/>
              <w:bidi w:val="0"/>
              <w:spacing w:lineRule="atLeast" w:line="216" w:before="0" w:after="0"/>
              <w:jc w:val="both"/>
              <w:rPr/>
            </w:pPr>
            <w:r>
              <w:rPr>
                <w:spacing w:val="-2"/>
              </w:rPr>
              <w:t>Three-year vesting structure supports retention and helps build stock ownership, ensuring strong alignment with stockholder interests.</w:t>
            </w:r>
            <w:r>
              <w:rPr/>
              <w:t xml:space="preserve"> </w:t>
            </w:r>
          </w:p>
        </w:tc>
        <w:tc>
          <w:tcPr>
            <w:tcW w:w="109" w:type="dxa"/>
            <w:tcBorders>
              <w:bottom w:val="single" w:sz="6" w:space="0" w:color="7F7F7F"/>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PSU three-year cliff vesting is contingent upon the following performance target hurdles: (i) LTL adjusted EBITDA growth of at least 12% (35% of award); (ii) LTL adjusted operating ratio improvement of at least 450 basis points (40% of award); and (iii) company TSR ranking at the completion of the performance period relative to each company in the S&amp;P Transportation Select Industry Index TSR (in the order of lowest to highest TSR) at a minimum of the 55th percentile (25% of award).</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4450" distB="0" distL="0" distR="0" simplePos="0" locked="0" layoutInCell="1" allowOverlap="1" relativeHeight="315">
                <wp:simplePos x="0" y="0"/>
                <wp:positionH relativeFrom="column">
                  <wp:align>left</wp:align>
                </wp:positionH>
                <wp:positionV relativeFrom="line">
                  <wp:align>top</wp:align>
                </wp:positionV>
                <wp:extent cx="254000" cy="241300"/>
                <wp:effectExtent l="0" t="0" r="0" b="0"/>
                <wp:wrapSquare wrapText="right"/>
                <wp:docPr id="313" name="Frame190"/>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(1)</w:t>
                            </w:r>
                            <w:r>
                              <w:rPr>
                                <w:rFonts w:ascii="Arial Narrow;Helvetica;sans-serif" w:hAnsi="Arial Narrow;Helvetica;sans-serif"/>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(1)</w:t>
                      </w:r>
                      <w:r>
                        <w:rPr>
                          <w:rFonts w:ascii="Arial Narrow;Helvetica;sans-serif" w:hAnsi="Arial Narrow;Helvetica;sans-serif"/>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See Annex A for reconciliations of non-GAAP financial measures.</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254000" cy="241300"/>
                <wp:effectExtent l="0" t="0" r="0" b="0"/>
                <wp:wrapSquare wrapText="right"/>
                <wp:docPr id="314" name="Frame191"/>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5"/>
                              </w:rPr>
                              <w:t>*</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5"/>
                        </w:rPr>
                        <w:t>*</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36</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2024 NEO Annual LTI Awards Granted</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 approved the annual LTI awards for each of our NEOs in 2024. The following table shows the economic value of the approved annual long-term equity grants for each NEO:</w:t>
      </w:r>
      <w:r>
        <w:rPr>
          <w:rFonts w:ascii="Helvetica;Arial Narrow;sans-serif" w:hAnsi="Helvetica;Arial Narrow;sans-serif"/>
          <w:b w:val="false"/>
          <w:i w:val="false"/>
          <w:caps w:val="false"/>
          <w:smallCaps w:val="false"/>
          <w:color w:val="000000"/>
          <w:spacing w:val="4"/>
          <w:sz w:val="18"/>
        </w:rPr>
        <w:t xml:space="preserve"> </w:t>
      </w:r>
    </w:p>
    <w:tbl>
      <w:tblPr>
        <w:tblW w:w="7359" w:type="dxa"/>
        <w:jc w:val="left"/>
        <w:tblInd w:w="920" w:type="dxa"/>
        <w:tblLayout w:type="fixed"/>
        <w:tblCellMar>
          <w:top w:w="0" w:type="dxa"/>
          <w:left w:w="0" w:type="dxa"/>
          <w:bottom w:w="28" w:type="dxa"/>
          <w:right w:w="0" w:type="dxa"/>
        </w:tblCellMar>
      </w:tblPr>
      <w:tblGrid>
        <w:gridCol w:w="124"/>
        <w:gridCol w:w="1606"/>
        <w:gridCol w:w="109"/>
        <w:gridCol w:w="109"/>
        <w:gridCol w:w="109"/>
        <w:gridCol w:w="133"/>
        <w:gridCol w:w="133"/>
        <w:gridCol w:w="1309"/>
        <w:gridCol w:w="133"/>
        <w:gridCol w:w="109"/>
        <w:gridCol w:w="109"/>
        <w:gridCol w:w="109"/>
        <w:gridCol w:w="109"/>
        <w:gridCol w:w="109"/>
        <w:gridCol w:w="1066"/>
        <w:gridCol w:w="109"/>
        <w:gridCol w:w="109"/>
        <w:gridCol w:w="109"/>
        <w:gridCol w:w="109"/>
        <w:gridCol w:w="109"/>
        <w:gridCol w:w="109"/>
        <w:gridCol w:w="1066"/>
        <w:gridCol w:w="109"/>
        <w:gridCol w:w="154"/>
      </w:tblGrid>
      <w:tr>
        <w:trPr/>
        <w:tc>
          <w:tcPr>
            <w:tcW w:w="124" w:type="dxa"/>
            <w:tcBorders>
              <w:bottom w:val="single" w:sz="2" w:space="0" w:color="7F7F7F"/>
            </w:tcBorders>
            <w:vAlign w:val="center"/>
          </w:tcPr>
          <w:p>
            <w:pPr>
              <w:pStyle w:val="TableContents"/>
              <w:bidi w:val="0"/>
              <w:spacing w:before="0" w:after="283"/>
              <w:jc w:val="left"/>
              <w:rPr/>
            </w:pPr>
            <w:r>
              <w:rPr/>
              <w:t>​</w:t>
            </w:r>
          </w:p>
        </w:tc>
        <w:tc>
          <w:tcPr>
            <w:tcW w:w="1606" w:type="dxa"/>
            <w:tcBorders>
              <w:bottom w:val="single" w:sz="2" w:space="0" w:color="7F7F7F"/>
            </w:tcBorders>
            <w:tcMar>
              <w:bottom w:w="50" w:type="dxa"/>
            </w:tcMar>
            <w:vAlign w:val="center"/>
          </w:tcPr>
          <w:p>
            <w:pPr>
              <w:pStyle w:val="TableContents"/>
              <w:bidi w:val="0"/>
              <w:spacing w:before="0" w:after="0"/>
              <w:jc w:val="left"/>
              <w:rPr/>
            </w:pPr>
            <w:r>
              <w:rPr/>
              <w:t xml:space="preserve">NEO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708" w:type="dxa"/>
            <w:gridSpan w:val="4"/>
            <w:tcBorders>
              <w:bottom w:val="single" w:sz="2" w:space="0" w:color="7F7F7F"/>
            </w:tcBorders>
            <w:tcMar>
              <w:bottom w:w="50" w:type="dxa"/>
            </w:tcMar>
            <w:vAlign w:val="center"/>
          </w:tcPr>
          <w:p>
            <w:pPr>
              <w:pStyle w:val="TableContents"/>
              <w:bidi w:val="0"/>
              <w:spacing w:before="0" w:after="0"/>
              <w:jc w:val="center"/>
              <w:rPr/>
            </w:pPr>
            <w:r>
              <w:rPr/>
              <w:t xml:space="preserve">Target PSUs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93" w:type="dxa"/>
            <w:gridSpan w:val="4"/>
            <w:tcBorders>
              <w:bottom w:val="single" w:sz="2" w:space="0" w:color="7F7F7F"/>
            </w:tcBorders>
            <w:tcMar>
              <w:bottom w:w="50" w:type="dxa"/>
            </w:tcMar>
            <w:vAlign w:val="center"/>
          </w:tcPr>
          <w:p>
            <w:pPr>
              <w:pStyle w:val="TableContents"/>
              <w:bidi w:val="0"/>
              <w:spacing w:before="0" w:after="0"/>
              <w:jc w:val="center"/>
              <w:rPr/>
            </w:pPr>
            <w:r>
              <w:rPr/>
              <w:t xml:space="preserve">RSUs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93" w:type="dxa"/>
            <w:gridSpan w:val="4"/>
            <w:tcBorders>
              <w:bottom w:val="single" w:sz="2" w:space="0" w:color="7F7F7F"/>
            </w:tcBorders>
            <w:tcMar>
              <w:bottom w:w="50" w:type="dxa"/>
            </w:tcMar>
            <w:vAlign w:val="center"/>
          </w:tcPr>
          <w:p>
            <w:pPr>
              <w:pStyle w:val="TableContents"/>
              <w:bidi w:val="0"/>
              <w:spacing w:before="0" w:after="0"/>
              <w:jc w:val="center"/>
              <w:rPr/>
            </w:pPr>
            <w:r>
              <w:rPr/>
              <w:t xml:space="preserve">Total ($)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06" w:type="dxa"/>
            <w:tcBorders/>
            <w:shd w:fill="D8D8D8" w:val="clear"/>
            <w:tcMar>
              <w:bottom w:w="0" w:type="dxa"/>
            </w:tcMar>
            <w:vAlign w:val="center"/>
          </w:tcPr>
          <w:p>
            <w:pPr>
              <w:pStyle w:val="TableContents"/>
              <w:bidi w:val="0"/>
              <w:spacing w:before="0" w:after="283"/>
              <w:jc w:val="left"/>
              <w:rPr/>
            </w:pPr>
            <w:r>
              <w:rPr/>
              <w:t xml:space="preserve">Brad Jacobs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3" w:type="dxa"/>
            <w:tcBorders/>
            <w:shd w:fill="D8D8D8" w:val="clear"/>
            <w:tcMar>
              <w:bottom w:w="0" w:type="dxa"/>
            </w:tcMar>
            <w:vAlign w:val="center"/>
          </w:tcPr>
          <w:p>
            <w:pPr>
              <w:pStyle w:val="TableContents"/>
              <w:bidi w:val="0"/>
              <w:spacing w:before="0" w:after="283"/>
              <w:jc w:val="left"/>
              <w:rPr/>
            </w:pPr>
            <w:r>
              <w:rPr/>
              <w:t>​</w:t>
            </w:r>
          </w:p>
        </w:tc>
        <w:tc>
          <w:tcPr>
            <w:tcW w:w="133" w:type="dxa"/>
            <w:tcBorders/>
            <w:shd w:fill="D8D8D8" w:val="clear"/>
            <w:tcMar>
              <w:bottom w:w="0" w:type="dxa"/>
            </w:tcMar>
            <w:vAlign w:val="center"/>
          </w:tcPr>
          <w:p>
            <w:pPr>
              <w:pStyle w:val="TableContents"/>
              <w:bidi w:val="0"/>
              <w:spacing w:before="0" w:after="283"/>
              <w:jc w:val="right"/>
              <w:rPr/>
            </w:pPr>
            <w:r>
              <w:rPr/>
              <w:t>​</w:t>
            </w:r>
          </w:p>
        </w:tc>
        <w:tc>
          <w:tcPr>
            <w:tcW w:w="1309" w:type="dxa"/>
            <w:tcBorders/>
            <w:shd w:fill="D8D8D8" w:val="clear"/>
            <w:tcMar>
              <w:bottom w:w="0" w:type="dxa"/>
            </w:tcMar>
            <w:vAlign w:val="center"/>
          </w:tcPr>
          <w:p>
            <w:pPr>
              <w:pStyle w:val="TableContents"/>
              <w:bidi w:val="0"/>
              <w:spacing w:before="0" w:after="283"/>
              <w:jc w:val="right"/>
              <w:rPr/>
            </w:pPr>
            <w:r>
              <w:rPr/>
              <w:t>4,000,000</w:t>
            </w:r>
          </w:p>
        </w:tc>
        <w:tc>
          <w:tcPr>
            <w:tcW w:w="13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1,000,000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5,000,000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left"/>
              <w:rPr/>
            </w:pPr>
            <w:r>
              <w:rPr/>
              <w:t xml:space="preserve">Mario Harik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309" w:type="dxa"/>
            <w:tcBorders/>
            <w:tcMar>
              <w:bottom w:w="0" w:type="dxa"/>
            </w:tcMar>
            <w:vAlign w:val="center"/>
          </w:tcPr>
          <w:p>
            <w:pPr>
              <w:pStyle w:val="TableContents"/>
              <w:bidi w:val="0"/>
              <w:spacing w:before="0" w:after="283"/>
              <w:jc w:val="right"/>
              <w:rPr/>
            </w:pPr>
            <w:r>
              <w:rPr/>
              <w:t>7,840,000</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1,960,000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9,800,000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06" w:type="dxa"/>
            <w:tcBorders/>
            <w:shd w:fill="D8D8D8" w:val="clear"/>
            <w:tcMar>
              <w:bottom w:w="0" w:type="dxa"/>
            </w:tcMar>
            <w:vAlign w:val="center"/>
          </w:tcPr>
          <w:p>
            <w:pPr>
              <w:pStyle w:val="TableContents"/>
              <w:bidi w:val="0"/>
              <w:spacing w:before="0" w:after="283"/>
              <w:jc w:val="left"/>
              <w:rPr/>
            </w:pPr>
            <w:r>
              <w:rPr/>
              <w:t xml:space="preserve">Kyle Wismans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3" w:type="dxa"/>
            <w:tcBorders/>
            <w:shd w:fill="D8D8D8" w:val="clear"/>
            <w:tcMar>
              <w:bottom w:w="0" w:type="dxa"/>
            </w:tcMar>
            <w:vAlign w:val="center"/>
          </w:tcPr>
          <w:p>
            <w:pPr>
              <w:pStyle w:val="TableContents"/>
              <w:bidi w:val="0"/>
              <w:spacing w:before="0" w:after="283"/>
              <w:jc w:val="left"/>
              <w:rPr/>
            </w:pPr>
            <w:r>
              <w:rPr/>
              <w:t>​</w:t>
            </w:r>
          </w:p>
        </w:tc>
        <w:tc>
          <w:tcPr>
            <w:tcW w:w="133" w:type="dxa"/>
            <w:tcBorders/>
            <w:shd w:fill="D8D8D8" w:val="clear"/>
            <w:tcMar>
              <w:bottom w:w="0" w:type="dxa"/>
            </w:tcMar>
            <w:vAlign w:val="center"/>
          </w:tcPr>
          <w:p>
            <w:pPr>
              <w:pStyle w:val="TableContents"/>
              <w:bidi w:val="0"/>
              <w:spacing w:before="0" w:after="283"/>
              <w:jc w:val="right"/>
              <w:rPr/>
            </w:pPr>
            <w:r>
              <w:rPr/>
              <w:t>​</w:t>
            </w:r>
          </w:p>
        </w:tc>
        <w:tc>
          <w:tcPr>
            <w:tcW w:w="1309" w:type="dxa"/>
            <w:tcBorders/>
            <w:shd w:fill="D8D8D8" w:val="clear"/>
            <w:tcMar>
              <w:bottom w:w="0" w:type="dxa"/>
            </w:tcMar>
            <w:vAlign w:val="center"/>
          </w:tcPr>
          <w:p>
            <w:pPr>
              <w:pStyle w:val="TableContents"/>
              <w:bidi w:val="0"/>
              <w:spacing w:before="0" w:after="283"/>
              <w:jc w:val="right"/>
              <w:rPr/>
            </w:pPr>
            <w:r>
              <w:rPr/>
              <w:t>2,600,000</w:t>
            </w:r>
          </w:p>
        </w:tc>
        <w:tc>
          <w:tcPr>
            <w:tcW w:w="13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1,400,000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4,000,000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left"/>
              <w:rPr/>
            </w:pPr>
            <w:r>
              <w:rPr/>
              <w:t xml:space="preserve">Dave Bates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309" w:type="dxa"/>
            <w:tcBorders/>
            <w:tcMar>
              <w:bottom w:w="0" w:type="dxa"/>
            </w:tcMar>
            <w:vAlign w:val="center"/>
          </w:tcPr>
          <w:p>
            <w:pPr>
              <w:pStyle w:val="TableContents"/>
              <w:bidi w:val="0"/>
              <w:spacing w:before="0" w:after="283"/>
              <w:jc w:val="right"/>
              <w:rPr/>
            </w:pPr>
            <w:r>
              <w:rPr/>
              <w:t>975,000</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06" w:type="dxa"/>
            <w:tcBorders/>
            <w:shd w:fill="D8D8D8" w:val="clear"/>
            <w:tcMar>
              <w:bottom w:w="0" w:type="dxa"/>
            </w:tcMar>
            <w:vAlign w:val="center"/>
          </w:tcPr>
          <w:p>
            <w:pPr>
              <w:pStyle w:val="TableContents"/>
              <w:bidi w:val="0"/>
              <w:spacing w:before="0" w:after="283"/>
              <w:jc w:val="left"/>
              <w:rPr/>
            </w:pPr>
            <w:r>
              <w:rPr/>
              <w:t xml:space="preserve">Wendy Cassity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3" w:type="dxa"/>
            <w:tcBorders/>
            <w:shd w:fill="D8D8D8" w:val="clear"/>
            <w:tcMar>
              <w:bottom w:w="0" w:type="dxa"/>
            </w:tcMar>
            <w:vAlign w:val="center"/>
          </w:tcPr>
          <w:p>
            <w:pPr>
              <w:pStyle w:val="TableContents"/>
              <w:bidi w:val="0"/>
              <w:spacing w:before="0" w:after="283"/>
              <w:jc w:val="left"/>
              <w:rPr/>
            </w:pPr>
            <w:r>
              <w:rPr/>
              <w:t>​</w:t>
            </w:r>
          </w:p>
        </w:tc>
        <w:tc>
          <w:tcPr>
            <w:tcW w:w="133" w:type="dxa"/>
            <w:tcBorders/>
            <w:shd w:fill="D8D8D8" w:val="clear"/>
            <w:tcMar>
              <w:bottom w:w="0" w:type="dxa"/>
            </w:tcMar>
            <w:vAlign w:val="center"/>
          </w:tcPr>
          <w:p>
            <w:pPr>
              <w:pStyle w:val="TableContents"/>
              <w:bidi w:val="0"/>
              <w:spacing w:before="0" w:after="283"/>
              <w:jc w:val="right"/>
              <w:rPr/>
            </w:pPr>
            <w:r>
              <w:rPr/>
              <w:t>​</w:t>
            </w:r>
          </w:p>
        </w:tc>
        <w:tc>
          <w:tcPr>
            <w:tcW w:w="1309" w:type="dxa"/>
            <w:tcBorders/>
            <w:shd w:fill="D8D8D8" w:val="clear"/>
            <w:tcMar>
              <w:bottom w:w="0" w:type="dxa"/>
            </w:tcMar>
            <w:vAlign w:val="center"/>
          </w:tcPr>
          <w:p>
            <w:pPr>
              <w:pStyle w:val="TableContents"/>
              <w:bidi w:val="0"/>
              <w:spacing w:before="0" w:after="283"/>
              <w:jc w:val="right"/>
              <w:rPr/>
            </w:pPr>
            <w:r>
              <w:rPr/>
              <w:t>650,000</w:t>
            </w:r>
          </w:p>
        </w:tc>
        <w:tc>
          <w:tcPr>
            <w:tcW w:w="13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350,000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A5A5A5"/>
            </w:tcBorders>
            <w:shd w:fill="A5A5A5"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1,000,000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THE COMPENSATION AND HUMAN CAPITAL COMMITTEE’S DECISION-MAKING PROCESS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Role of the Compensation and Human Capital Committee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 is responsible for approving our compensation practices and overseeing our executive compensation program in a manner consistent with XPO’s compensation philosophy. The Committee is tasked with: (i) reviewing the annual and long-term performance goals for our NEOs; (ii) approving awards under incentive compensation and equity-based plans; and (iii) approving all other compensation and benefits for our NEOs. The Committee acts independently but works closely with the full Board and executive management in making many of its decisions. To assist it in discharging its responsibilities, the Committee has retained the services of an independent compensation consultant, as discussed below.</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Role of Management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Executive management provides input to the Committee, including with respect to the Committee’s evaluation of executive compensation practices. In particular, our CEO, Mr. Harik, provides recommendations for proposed compensation actions with respect to our executive team, but not with respect to his own or Mr. Jacobs’ compensation. The Committee carefully and independently reviews the recommendations of management without members of management present and consults its independent compensation consultant before making final determinations. We believe this process ensures that our executive compensation program effectively aligns with XPO’s compensation philosophy and stockholder interests.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Role of the Committee’s Independent Compensation Consultant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 directly retained Exequity LLP as its independent compensation consultant for 2024. In addition to compensation, Exequity advises on governance matters, monitors trends and evolving market practices in executive compensation, and provides general advice and support to the Committee and the Committee’s chair. Exequity’s support of the Committee in 2024 included reviewing LTI award grant proposals providing guidance with the design of the annual STI program and reviewing the content of this CD&amp;A. Exequity did not provide any other services to the company.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 considered the independence of Exequity in light of applicable SEC rules and NYSE listing standards. After taking into account the absence of any relationships with management and members of the Committee, as well as Exequity’s internal policies and other information provided to the Committee, the Committee determined that no conflicts of interest existed that would prevent Exequity from serving as an independent compensation consultant to the Committee.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Peer Group and Market Analysis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XPO competes for the best talent within the transportation industry and across industries within the broader economic landscape. In order to attract and retain high-performing talent, the Committee references prevailing pay rates when establishing target compensation opportunities; specifically, by reviewing executive pay levels and practices across the peer group, as well as survey data. The peer group serves as the principal reference group for evaluating our NEOs’ compensation. Survey data serves as a secondary reference to ensure reasonableness by incorporating general industry companies with revenues between $5 billion and $10 billion in annual revenue, which is comparable to XPO’s revenue. The Committee evaluates a range of information regarding market pay practices, considering XPO has a longstanding history of sourcing executives from industries outside the transportation and logistics sectors, and the number of pure-play public transportation carriers of a size similar to XPO is extremely limited.</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At the end of 2023, the Committee, with support from Exequity, conducted a comprehensive annual review of the peer group. Based on its evaluation, the Committee determined that no changes were needed to the peer group for 2024 given continued comparability to XPO in terms of industry, revenue, market capitalization and labor market:</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37</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0" w:type="dxa"/>
          <w:right w:w="0" w:type="dxa"/>
        </w:tblCellMar>
      </w:tblPr>
      <w:tblGrid>
        <w:gridCol w:w="124"/>
        <w:gridCol w:w="109"/>
        <w:gridCol w:w="2617"/>
        <w:gridCol w:w="109"/>
        <w:gridCol w:w="109"/>
        <w:gridCol w:w="109"/>
        <w:gridCol w:w="3089"/>
        <w:gridCol w:w="109"/>
        <w:gridCol w:w="109"/>
        <w:gridCol w:w="109"/>
        <w:gridCol w:w="2427"/>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787" w:type="dxa"/>
            <w:gridSpan w:val="9"/>
            <w:tcBorders/>
            <w:shd w:fill="000000" w:val="clear"/>
            <w:vAlign w:val="center"/>
          </w:tcPr>
          <w:p>
            <w:pPr>
              <w:pStyle w:val="TableContents"/>
              <w:bidi w:val="0"/>
              <w:spacing w:lineRule="atLeast" w:line="180" w:before="0" w:after="0"/>
              <w:jc w:val="center"/>
              <w:rPr/>
            </w:pPr>
            <w:r>
              <w:rPr>
                <w:spacing w:val="-2"/>
              </w:rPr>
              <w:t>2024 Peer Group</w:t>
            </w:r>
            <w:r>
              <w:rPr/>
              <w:t xml:space="preserve"> </w:t>
            </w:r>
          </w:p>
        </w:tc>
        <w:tc>
          <w:tcPr>
            <w:tcW w:w="109" w:type="dxa"/>
            <w:tcBorders/>
            <w:shd w:fill="000000"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17" w:type="dxa"/>
            <w:tcBorders>
              <w:bottom w:val="single" w:sz="2" w:space="0" w:color="000000"/>
            </w:tcBorders>
            <w:tcMar>
              <w:bottom w:w="93" w:type="dxa"/>
            </w:tcMar>
            <w:vAlign w:val="center"/>
          </w:tcPr>
          <w:p>
            <w:pPr>
              <w:pStyle w:val="TableContents"/>
              <w:bidi w:val="0"/>
              <w:spacing w:before="0" w:after="0"/>
              <w:jc w:val="center"/>
              <w:rPr>
                <w:spacing w:val="-2"/>
              </w:rPr>
            </w:pPr>
            <w:r>
              <w:rPr>
                <w:spacing w:val="-2"/>
              </w:rPr>
              <w:t xml:space="preserve">ArcBest Corporation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9" w:type="dxa"/>
            <w:tcBorders>
              <w:bottom w:val="single" w:sz="2" w:space="0" w:color="000000"/>
            </w:tcBorders>
            <w:tcMar>
              <w:bottom w:w="93" w:type="dxa"/>
            </w:tcMar>
            <w:vAlign w:val="center"/>
          </w:tcPr>
          <w:p>
            <w:pPr>
              <w:pStyle w:val="TableContents"/>
              <w:bidi w:val="0"/>
              <w:spacing w:before="0" w:after="0"/>
              <w:jc w:val="center"/>
              <w:rPr>
                <w:spacing w:val="-2"/>
              </w:rPr>
            </w:pPr>
            <w:r>
              <w:rPr>
                <w:spacing w:val="-2"/>
              </w:rPr>
              <w:t xml:space="preserve">Hub Group,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27" w:type="dxa"/>
            <w:tcBorders>
              <w:bottom w:val="single" w:sz="2" w:space="0" w:color="000000"/>
            </w:tcBorders>
            <w:tcMar>
              <w:bottom w:w="93" w:type="dxa"/>
            </w:tcMar>
            <w:vAlign w:val="center"/>
          </w:tcPr>
          <w:p>
            <w:pPr>
              <w:pStyle w:val="TableContents"/>
              <w:bidi w:val="0"/>
              <w:spacing w:before="0" w:after="0"/>
              <w:jc w:val="center"/>
              <w:rPr>
                <w:spacing w:val="-2"/>
              </w:rPr>
            </w:pPr>
            <w:r>
              <w:rPr>
                <w:spacing w:val="-2"/>
              </w:rPr>
              <w:t xml:space="preserve">Old Dominion Freight Line,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2617" w:type="dxa"/>
            <w:tcBorders>
              <w:bottom w:val="single" w:sz="2" w:space="0" w:color="000000"/>
            </w:tcBorders>
            <w:shd w:fill="D8D8D8" w:val="clear"/>
            <w:tcMar>
              <w:bottom w:w="93" w:type="dxa"/>
            </w:tcMar>
            <w:vAlign w:val="center"/>
          </w:tcPr>
          <w:p>
            <w:pPr>
              <w:pStyle w:val="TableContents"/>
              <w:bidi w:val="0"/>
              <w:spacing w:before="0" w:after="0"/>
              <w:jc w:val="center"/>
              <w:rPr>
                <w:spacing w:val="-2"/>
              </w:rPr>
            </w:pPr>
            <w:r>
              <w:rPr>
                <w:spacing w:val="-2"/>
              </w:rPr>
              <w:t xml:space="preserve">Avis Budget Group, Inc.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3089" w:type="dxa"/>
            <w:tcBorders>
              <w:bottom w:val="single" w:sz="2" w:space="0" w:color="000000"/>
            </w:tcBorders>
            <w:shd w:fill="D8D8D8" w:val="clear"/>
            <w:tcMar>
              <w:bottom w:w="93" w:type="dxa"/>
            </w:tcMar>
            <w:vAlign w:val="center"/>
          </w:tcPr>
          <w:p>
            <w:pPr>
              <w:pStyle w:val="TableContents"/>
              <w:bidi w:val="0"/>
              <w:spacing w:before="0" w:after="0"/>
              <w:jc w:val="center"/>
              <w:rPr>
                <w:spacing w:val="-2"/>
              </w:rPr>
            </w:pPr>
            <w:r>
              <w:rPr>
                <w:spacing w:val="-2"/>
              </w:rPr>
              <w:t xml:space="preserve">J.B. Hunt Transport Services, Inc.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2427" w:type="dxa"/>
            <w:tcBorders>
              <w:bottom w:val="single" w:sz="2" w:space="0" w:color="000000"/>
            </w:tcBorders>
            <w:shd w:fill="D8D8D8" w:val="clear"/>
            <w:tcMar>
              <w:bottom w:w="93" w:type="dxa"/>
            </w:tcMar>
            <w:vAlign w:val="center"/>
          </w:tcPr>
          <w:p>
            <w:pPr>
              <w:pStyle w:val="TableContents"/>
              <w:bidi w:val="0"/>
              <w:spacing w:before="0" w:after="0"/>
              <w:jc w:val="center"/>
              <w:rPr>
                <w:spacing w:val="-2"/>
              </w:rPr>
            </w:pPr>
            <w:r>
              <w:rPr>
                <w:spacing w:val="-2"/>
              </w:rPr>
              <w:t xml:space="preserve">Ryder System, Inc.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17" w:type="dxa"/>
            <w:tcBorders>
              <w:bottom w:val="single" w:sz="2" w:space="0" w:color="000000"/>
            </w:tcBorders>
            <w:tcMar>
              <w:bottom w:w="93" w:type="dxa"/>
            </w:tcMar>
            <w:vAlign w:val="center"/>
          </w:tcPr>
          <w:p>
            <w:pPr>
              <w:pStyle w:val="TableContents"/>
              <w:bidi w:val="0"/>
              <w:spacing w:before="0" w:after="0"/>
              <w:jc w:val="center"/>
              <w:rPr>
                <w:spacing w:val="-2"/>
              </w:rPr>
            </w:pPr>
            <w:r>
              <w:rPr>
                <w:spacing w:val="-2"/>
              </w:rPr>
              <w:t xml:space="preserve">C.H. Robinson Worldwide,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9" w:type="dxa"/>
            <w:tcBorders>
              <w:bottom w:val="single" w:sz="2" w:space="0" w:color="000000"/>
            </w:tcBorders>
            <w:tcMar>
              <w:bottom w:w="93" w:type="dxa"/>
            </w:tcMar>
            <w:vAlign w:val="center"/>
          </w:tcPr>
          <w:p>
            <w:pPr>
              <w:pStyle w:val="TableContents"/>
              <w:bidi w:val="0"/>
              <w:spacing w:before="0" w:after="0"/>
              <w:jc w:val="center"/>
              <w:rPr>
                <w:spacing w:val="-2"/>
              </w:rPr>
            </w:pPr>
            <w:r>
              <w:rPr>
                <w:spacing w:val="-2"/>
              </w:rPr>
              <w:t xml:space="preserve">Knight-Swift Transportation Holdings,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27" w:type="dxa"/>
            <w:tcBorders>
              <w:bottom w:val="single" w:sz="2" w:space="0" w:color="000000"/>
            </w:tcBorders>
            <w:tcMar>
              <w:bottom w:w="93" w:type="dxa"/>
            </w:tcMar>
            <w:vAlign w:val="center"/>
          </w:tcPr>
          <w:p>
            <w:pPr>
              <w:pStyle w:val="TableContents"/>
              <w:bidi w:val="0"/>
              <w:spacing w:before="0" w:after="0"/>
              <w:jc w:val="center"/>
              <w:rPr>
                <w:spacing w:val="-2"/>
              </w:rPr>
            </w:pPr>
            <w:r>
              <w:rPr>
                <w:spacing w:val="-2"/>
              </w:rPr>
              <w:t xml:space="preserve">Schneider National,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2617" w:type="dxa"/>
            <w:tcBorders>
              <w:bottom w:val="single" w:sz="2" w:space="0" w:color="000000"/>
            </w:tcBorders>
            <w:shd w:fill="D8D8D8" w:val="clear"/>
            <w:tcMar>
              <w:bottom w:w="93" w:type="dxa"/>
            </w:tcMar>
            <w:vAlign w:val="center"/>
          </w:tcPr>
          <w:p>
            <w:pPr>
              <w:pStyle w:val="TableContents"/>
              <w:bidi w:val="0"/>
              <w:spacing w:before="0" w:after="0"/>
              <w:jc w:val="center"/>
              <w:rPr>
                <w:spacing w:val="-2"/>
              </w:rPr>
            </w:pPr>
            <w:r>
              <w:rPr>
                <w:spacing w:val="-2"/>
              </w:rPr>
              <w:t xml:space="preserve">CSX Corporation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3089" w:type="dxa"/>
            <w:tcBorders>
              <w:bottom w:val="single" w:sz="2" w:space="0" w:color="000000"/>
            </w:tcBorders>
            <w:shd w:fill="D8D8D8" w:val="clear"/>
            <w:tcMar>
              <w:bottom w:w="93" w:type="dxa"/>
            </w:tcMar>
            <w:vAlign w:val="center"/>
          </w:tcPr>
          <w:p>
            <w:pPr>
              <w:pStyle w:val="TableContents"/>
              <w:bidi w:val="0"/>
              <w:spacing w:before="0" w:after="0"/>
              <w:jc w:val="center"/>
              <w:rPr>
                <w:spacing w:val="-2"/>
              </w:rPr>
            </w:pPr>
            <w:r>
              <w:rPr>
                <w:spacing w:val="-2"/>
              </w:rPr>
              <w:t xml:space="preserve">Landstar System, Inc.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2427" w:type="dxa"/>
            <w:tcBorders>
              <w:bottom w:val="single" w:sz="2" w:space="0" w:color="000000"/>
            </w:tcBorders>
            <w:shd w:fill="D8D8D8" w:val="clear"/>
            <w:tcMar>
              <w:bottom w:w="93" w:type="dxa"/>
            </w:tcMar>
            <w:vAlign w:val="center"/>
          </w:tcPr>
          <w:p>
            <w:pPr>
              <w:pStyle w:val="TableContents"/>
              <w:bidi w:val="0"/>
              <w:spacing w:before="0" w:after="0"/>
              <w:jc w:val="center"/>
              <w:rPr>
                <w:spacing w:val="-2"/>
              </w:rPr>
            </w:pPr>
            <w:r>
              <w:rPr>
                <w:spacing w:val="-2"/>
              </w:rPr>
              <w:t xml:space="preserve">TFI International Inc.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17" w:type="dxa"/>
            <w:tcBorders>
              <w:bottom w:val="single" w:sz="2" w:space="0" w:color="000000"/>
            </w:tcBorders>
            <w:tcMar>
              <w:bottom w:w="93" w:type="dxa"/>
            </w:tcMar>
            <w:vAlign w:val="center"/>
          </w:tcPr>
          <w:p>
            <w:pPr>
              <w:pStyle w:val="TableContents"/>
              <w:bidi w:val="0"/>
              <w:spacing w:before="0" w:after="0"/>
              <w:jc w:val="center"/>
              <w:rPr>
                <w:spacing w:val="-2"/>
              </w:rPr>
            </w:pPr>
            <w:r>
              <w:rPr>
                <w:spacing w:val="-2"/>
              </w:rPr>
              <w:t xml:space="preserve">Expeditors Int’l of Washington,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9" w:type="dxa"/>
            <w:tcBorders>
              <w:bottom w:val="single" w:sz="2" w:space="0" w:color="000000"/>
            </w:tcBorders>
            <w:tcMar>
              <w:bottom w:w="93" w:type="dxa"/>
            </w:tcMar>
            <w:vAlign w:val="center"/>
          </w:tcPr>
          <w:p>
            <w:pPr>
              <w:pStyle w:val="TableContents"/>
              <w:bidi w:val="0"/>
              <w:spacing w:before="0" w:after="0"/>
              <w:jc w:val="center"/>
              <w:rPr>
                <w:spacing w:val="-2"/>
              </w:rPr>
            </w:pPr>
            <w:r>
              <w:rPr>
                <w:spacing w:val="-2"/>
              </w:rPr>
              <w:t xml:space="preserve">Matson,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27" w:type="dxa"/>
            <w:tcBorders>
              <w:bottom w:val="single" w:sz="2" w:space="0" w:color="000000"/>
            </w:tcBorders>
            <w:tcMar>
              <w:bottom w:w="93" w:type="dxa"/>
            </w:tcMar>
            <w:vAlign w:val="center"/>
          </w:tcPr>
          <w:p>
            <w:pPr>
              <w:pStyle w:val="TableContents"/>
              <w:bidi w:val="0"/>
              <w:spacing w:before="0" w:after="0"/>
              <w:jc w:val="center"/>
              <w:rPr>
                <w:spacing w:val="-2"/>
              </w:rPr>
            </w:pPr>
            <w:r>
              <w:rPr>
                <w:spacing w:val="-2"/>
              </w:rPr>
              <w:t xml:space="preserve">Union Pacific Corporation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shd w:fill="D8D8D8" w:val="clear"/>
            <w:tcMar>
              <w:bottom w:w="28" w:type="dxa"/>
            </w:tcMar>
            <w:vAlign w:val="center"/>
          </w:tcPr>
          <w:p>
            <w:pPr>
              <w:pStyle w:val="TableContents"/>
              <w:bidi w:val="0"/>
              <w:spacing w:before="0" w:after="283"/>
              <w:jc w:val="left"/>
              <w:rPr/>
            </w:pPr>
            <w:r>
              <w:rPr/>
              <w:t>​</w:t>
            </w:r>
          </w:p>
        </w:tc>
        <w:tc>
          <w:tcPr>
            <w:tcW w:w="2617" w:type="dxa"/>
            <w:tcBorders>
              <w:bottom w:val="single" w:sz="6" w:space="0" w:color="7F7F7F"/>
            </w:tcBorders>
            <w:shd w:fill="D8D8D8" w:val="clear"/>
            <w:tcMar>
              <w:bottom w:w="93" w:type="dxa"/>
            </w:tcMar>
            <w:vAlign w:val="center"/>
          </w:tcPr>
          <w:p>
            <w:pPr>
              <w:pStyle w:val="TableContents"/>
              <w:bidi w:val="0"/>
              <w:spacing w:before="0" w:after="0"/>
              <w:jc w:val="center"/>
              <w:rPr>
                <w:spacing w:val="-2"/>
              </w:rPr>
            </w:pPr>
            <w:r>
              <w:rPr>
                <w:spacing w:val="-2"/>
              </w:rPr>
              <w:t xml:space="preserve">Hertz Global Holdings, Inc. </w:t>
            </w:r>
          </w:p>
        </w:tc>
        <w:tc>
          <w:tcPr>
            <w:tcW w:w="109" w:type="dxa"/>
            <w:tcBorders>
              <w:bottom w:val="single" w:sz="6" w:space="0" w:color="7F7F7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D8D8D8" w:val="clear"/>
            <w:tcMar>
              <w:bottom w:w="28" w:type="dxa"/>
            </w:tcMar>
            <w:vAlign w:val="center"/>
          </w:tcPr>
          <w:p>
            <w:pPr>
              <w:pStyle w:val="TableContents"/>
              <w:bidi w:val="0"/>
              <w:spacing w:before="0" w:after="283"/>
              <w:jc w:val="left"/>
              <w:rPr/>
            </w:pPr>
            <w:r>
              <w:rPr/>
              <w:t>​</w:t>
            </w:r>
          </w:p>
        </w:tc>
        <w:tc>
          <w:tcPr>
            <w:tcW w:w="3089" w:type="dxa"/>
            <w:tcBorders>
              <w:bottom w:val="single" w:sz="6" w:space="0" w:color="7F7F7F"/>
            </w:tcBorders>
            <w:shd w:fill="D8D8D8" w:val="clear"/>
            <w:tcMar>
              <w:bottom w:w="93" w:type="dxa"/>
            </w:tcMar>
            <w:vAlign w:val="center"/>
          </w:tcPr>
          <w:p>
            <w:pPr>
              <w:pStyle w:val="TableContents"/>
              <w:bidi w:val="0"/>
              <w:spacing w:before="0" w:after="0"/>
              <w:jc w:val="center"/>
              <w:rPr>
                <w:spacing w:val="-2"/>
              </w:rPr>
            </w:pPr>
            <w:r>
              <w:rPr>
                <w:spacing w:val="-2"/>
              </w:rPr>
              <w:t xml:space="preserve">Norfolk Southern Corporation </w:t>
            </w:r>
          </w:p>
        </w:tc>
        <w:tc>
          <w:tcPr>
            <w:tcW w:w="109" w:type="dxa"/>
            <w:tcBorders>
              <w:bottom w:val="single" w:sz="6" w:space="0" w:color="7F7F7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6" w:space="0" w:color="7F7F7F"/>
            </w:tcBorders>
            <w:shd w:fill="D8D8D8" w:val="clear"/>
            <w:tcMar>
              <w:bottom w:w="28" w:type="dxa"/>
            </w:tcMar>
            <w:vAlign w:val="center"/>
          </w:tcPr>
          <w:p>
            <w:pPr>
              <w:pStyle w:val="TableContents"/>
              <w:bidi w:val="0"/>
              <w:spacing w:before="0" w:after="283"/>
              <w:jc w:val="left"/>
              <w:rPr/>
            </w:pPr>
            <w:r>
              <w:rPr/>
              <w:t>​</w:t>
            </w:r>
          </w:p>
        </w:tc>
        <w:tc>
          <w:tcPr>
            <w:tcW w:w="2427" w:type="dxa"/>
            <w:tcBorders>
              <w:bottom w:val="single" w:sz="6" w:space="0" w:color="7F7F7F"/>
            </w:tcBorders>
            <w:shd w:fill="D8D8D8" w:val="clear"/>
            <w:tcMar>
              <w:bottom w:w="93" w:type="dxa"/>
            </w:tcMar>
            <w:vAlign w:val="center"/>
          </w:tcPr>
          <w:p>
            <w:pPr>
              <w:pStyle w:val="TableContents"/>
              <w:bidi w:val="0"/>
              <w:spacing w:before="0" w:after="0"/>
              <w:jc w:val="center"/>
              <w:rPr/>
            </w:pPr>
            <w:r>
              <w:rPr>
                <w:spacing w:val="-2"/>
              </w:rPr>
              <w:t>Werner Enterprises, Inc.</w:t>
            </w:r>
            <w:r>
              <w:rPr/>
              <w:t xml:space="preserve"> </w:t>
            </w:r>
          </w:p>
        </w:tc>
        <w:tc>
          <w:tcPr>
            <w:tcW w:w="109" w:type="dxa"/>
            <w:tcBorders>
              <w:bottom w:val="single" w:sz="6" w:space="0" w:color="7F7F7F"/>
            </w:tcBorders>
            <w:shd w:fill="D8D8D8" w:val="clear"/>
            <w:tcMar>
              <w:bottom w:w="28" w:type="dxa"/>
            </w:tcMar>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bl>
    <w:p>
      <w:pPr>
        <w:pStyle w:val="TextBody"/>
        <w:bidi w:val="0"/>
        <w:spacing w:lineRule="atLeast" w:line="220" w:before="156"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peer group and survey data were utilized in the benchmarking analysis conducted at the end of 2023 for evaluating 2024 total compensation targets. In addition to reviewing peer group and survey data, the Committee considered other internal and external factors in recommending compensation for our NEOs, including an executive’s experience and tenure, retention and succession plan objectives, and company performance.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OTHER COMPENSATION-RELATED ITEMS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Stock Ownership Policies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believe that executive equity ownership in the company ensures alignment with stockholders and mitigates potential risks in the near-term at the expense of long-term value creation.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Guidelines</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Stock ownership guidelines are expressed as a multiple of each NEO’s annual base salary: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6"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CEO: 6x annual base salary</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317">
                <wp:simplePos x="0" y="0"/>
                <wp:positionH relativeFrom="column">
                  <wp:align>left</wp:align>
                </wp:positionH>
                <wp:positionV relativeFrom="line">
                  <wp:align>top</wp:align>
                </wp:positionV>
                <wp:extent cx="127000" cy="525780"/>
                <wp:effectExtent l="0" t="0" r="0" b="0"/>
                <wp:wrapSquare wrapText="right"/>
                <wp:docPr id="315" name="Frame19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6"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Other NEOs: 3x annual base salary</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318">
                <wp:simplePos x="0" y="0"/>
                <wp:positionH relativeFrom="column">
                  <wp:align>left</wp:align>
                </wp:positionH>
                <wp:positionV relativeFrom="line">
                  <wp:align>top</wp:align>
                </wp:positionV>
                <wp:extent cx="127000" cy="525780"/>
                <wp:effectExtent l="0" t="0" r="0" b="0"/>
                <wp:wrapSquare wrapText="right"/>
                <wp:docPr id="316" name="Frame19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3pt;mso-wrap-distance-bottom:0pt;margin-top:6.3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Compliance with our stock ownership guidelines is generally determined using the aggregate count of shares of common stock held directly or indirectly by the NEO, plus unvested restricted stock units subject solely to time-based vesting. Stock options, whether vested or unvested, and equity-based awards subject to performance-based vesting conditions, are not counted toward meeting stock ownership guidelines until they have settled or been exercised, as applicable.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Until the stock ownership guidelines are met, an executive is required to retain 70% of the net shares (after tax withholding) received upon settlement of equity-based awards. A newly appointed executive is required to reach his or her stock ownership guideline no later than five years from the date of appointment.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of the Record Date, all NEOs were in compliance with our stock ownership guidelines.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Clawback Policy</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As described below under the heading </w:t>
      </w:r>
      <w:r>
        <w:rPr>
          <w:rFonts w:ascii="Helvetica;Arial Narrow;sans-serif" w:hAnsi="Helvetica;Arial Narrow;sans-serif"/>
          <w:b w:val="false"/>
          <w:i/>
          <w:caps w:val="false"/>
          <w:smallCaps w:val="false"/>
          <w:color w:val="000000"/>
          <w:sz w:val="18"/>
        </w:rPr>
        <w:t>Employment Agreements with NEOs — Clawbacks,</w:t>
      </w:r>
      <w:r>
        <w:rPr>
          <w:rFonts w:ascii="Helvetica;Arial Narrow;sans-serif" w:hAnsi="Helvetica;Arial Narrow;sans-serif"/>
          <w:b w:val="false"/>
          <w:i w:val="false"/>
          <w:caps w:val="false"/>
          <w:smallCaps w:val="false"/>
          <w:color w:val="000000"/>
          <w:spacing w:val="-2"/>
          <w:sz w:val="18"/>
        </w:rPr>
        <w:t xml:space="preserve"> Mr. Jacobs and Mr. Harik are party to agreements in connection with their employment, which include clawback restrictions with respect to LTI and STI compensation. Mr. Wismans, Mr. Bates and Ms. Cassity are subject to agreements in connection with their LTI compensation, which include clawback restrictions. The Committee is focused on mitigating the company’s risk associated with its compensation program for NEOs and believes that clawback provisions are an important tool to achieve this. In 2023, the Board adopted a clawback policy (the “Clawback Policy”), which complies with the SEC rules and NYSE listing standards and is also more comprehensive.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Annual STI Compensation</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Beyond the mandated clawback provisions under the SEC rules and NYSE listing standards, the employment agreements for Mr. Jacobs and Mr. Harik provide that if the NEO has engaged in fraud or other willful misconduct that contributes materially to any financial restatement or material loss to the company or any of its affiliates, the company may: (i) require repayment by the NEO of any cash STI or annual STI previously paid, net of any taxes paid by the NEO on such STI; (ii) cancel any earned but unpaid cash STI or annual STI; and/or (iii) adjust the NEO’s future compensation in order to recover an appropriate amount with respect to the restated financial results or the material loss.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Long-Term Incentive Compensation</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Beyond the mandated clawback provisions under the SEC rules and NYSE listing standards, the employment agreements for Mr. Jacobs and Mr. Harik include a clawback provision under which the NEO may be required, upon certain triggering events, to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38</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repay all or a portion of LTI compensation that was previously paid (including proceeds from previously exercised and vested equity-based awards) and to forfeit unvested equity-based awards during the term of the employment agreements. In cases where a cure is possible, the NEO will first be provided with a specified cure period. These clawback provisions are generally triggered if any of the following conditions apply. If the NEO:</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2"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Is terminated for cause, as defined in the employment agreement;</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319">
                <wp:simplePos x="0" y="0"/>
                <wp:positionH relativeFrom="column">
                  <wp:align>left</wp:align>
                </wp:positionH>
                <wp:positionV relativeFrom="line">
                  <wp:align>top</wp:align>
                </wp:positionV>
                <wp:extent cx="127000" cy="525780"/>
                <wp:effectExtent l="0" t="0" r="0" b="0"/>
                <wp:wrapSquare wrapText="right"/>
                <wp:docPr id="317" name="Frame19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Has engaged in fraud or other willful misconduct that contributes materially to any significant financial restatement or material loss to our company or any of our affiliates; and/or</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320">
                <wp:simplePos x="0" y="0"/>
                <wp:positionH relativeFrom="column">
                  <wp:align>left</wp:align>
                </wp:positionH>
                <wp:positionV relativeFrom="line">
                  <wp:align>top</wp:align>
                </wp:positionV>
                <wp:extent cx="127000" cy="525780"/>
                <wp:effectExtent l="0" t="0" r="0" b="0"/>
                <wp:wrapSquare wrapText="right"/>
                <wp:docPr id="318" name="Frame19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Breaches the restrictive covenants that are applicable under the employment agreement.</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321">
                <wp:simplePos x="0" y="0"/>
                <wp:positionH relativeFrom="column">
                  <wp:align>left</wp:align>
                </wp:positionH>
                <wp:positionV relativeFrom="line">
                  <wp:align>top</wp:align>
                </wp:positionV>
                <wp:extent cx="127000" cy="525780"/>
                <wp:effectExtent l="0" t="0" r="0" b="0"/>
                <wp:wrapSquare wrapText="right"/>
                <wp:docPr id="319" name="Frame19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time period for the company to take action under this clawback provision is up to six months from the date of termination for cause and, for all other specified conditions, at any time up to six months after learning of the conduct, but in no event more than two years after the NEO engages in such conduct.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LTI agreements for NEOs provide that if they breach any restrictive covenant contained in any arrangements with the company or engage in fraud or willful misconduct that contributes materially to any financial restatement or material loss to the company or any of its subsidiaries, the company may require the NEO to repay any long-term incentive compensation that was previously paid (including proceeds from vested equity-based awards) and to forfeit unvested equity-based awards. In cases where a cure is possible, the NEO will first be provided with a specified cure period.</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Change in Control and Severance Agreements for our NEOs provide that they will be subject to any legally mandated policy relating to the recovery of compensation, to the extent that the company is required to implement such policy pursuant to applicable law.</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Clawback Policy provides that the company shall promptly recoup any erroneously awarded compensation received by any covered executive in the event of an accounting restatement. The accounting restatements covered include any restatement of the company’s financial statements due to material noncompliance with any financial reporting requirement under the securities laws, including any required accounting restatement to correct an error in previously issued financial statements that is material to such financial statements, or that would result in a material misstatement if the error were corrected in the current period or left uncorrected. The amount of erroneously awarded compensation subject to recovery under the Clawback Policy is the amount of incentive-based compensation received during the three-year period preceding the date of the accounting restatement exceeds the amount that would have been received had it been determined based on the restated amounts.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To the extent that the rules adopted by the NYSE or the SEC under the Dodd-Frank Wall Street Reform and Consumer Protection Act are broader than the clawback provisions contained in our NEO agreements, and to the extent that the company is required to implement any additional clawback provisions pursuant to applicable law, each NEO will be subject to additional clawback provisions pursuant to such rules as described under the heading </w:t>
      </w:r>
      <w:r>
        <w:rPr>
          <w:rFonts w:ascii="Helvetica;Arial Narrow;sans-serif" w:hAnsi="Helvetica;Arial Narrow;sans-serif"/>
          <w:b w:val="false"/>
          <w:i/>
          <w:caps w:val="false"/>
          <w:smallCaps w:val="false"/>
          <w:color w:val="000000"/>
          <w:sz w:val="18"/>
        </w:rPr>
        <w:t>Employment Agreements with NEOs — Clawbacks</w:t>
      </w:r>
      <w:r>
        <w:rPr>
          <w:rFonts w:ascii="Helvetica;Arial Narrow;sans-serif" w:hAnsi="Helvetica;Arial Narrow;sans-serif"/>
          <w:b w:val="false"/>
          <w:i w:val="false"/>
          <w:caps w:val="false"/>
          <w:smallCaps w:val="false"/>
          <w:color w:val="000000"/>
          <w:spacing w:val="-2"/>
          <w:sz w:val="18"/>
        </w:rPr>
        <w: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Equity Granting Policy</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All equity awards to NEOs are approved by the Committee with a grant date determined at the time of approval. We do not currently grant stock options. The Committee did not take material non-public information into account when determining the timing and terms of equity awards in 2024, and we do not time the disclosure of material non-public information for the purpose of affecting the value of executive compensation.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Benefits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NEOs are provided with the same benefits as are generally offered to other eligible employees, including participation in our company’s 401(k) plan and insurance benefit programs. Our NEOs receive minimal perquisites, as shown in the “All Other Compensation” table following the CD&amp;A.</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Employment Agreements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We have entered into multi-year employment agreements with certain of our NEOs to promote long-term retention, while enabling the Committee to exercise discretion in designing incentive compensation programs. The material compensation-related terms of these agreements are described under the heading </w:t>
      </w:r>
      <w:r>
        <w:rPr>
          <w:rFonts w:ascii="Helvetica;Arial Narrow;sans-serif" w:hAnsi="Helvetica;Arial Narrow;sans-serif"/>
          <w:b w:val="false"/>
          <w:i/>
          <w:caps w:val="false"/>
          <w:smallCaps w:val="false"/>
          <w:color w:val="000000"/>
          <w:sz w:val="18"/>
        </w:rPr>
        <w:t>Employment Agreements with NEOs</w:t>
      </w:r>
      <w:r>
        <w:rPr>
          <w:rFonts w:ascii="Helvetica;Arial Narrow;sans-serif" w:hAnsi="Helvetica;Arial Narrow;sans-serif"/>
          <w:b w:val="false"/>
          <w:i w:val="false"/>
          <w:caps w:val="false"/>
          <w:smallCaps w:val="false"/>
          <w:color w:val="000000"/>
          <w:spacing w:val="-2"/>
          <w:sz w:val="18"/>
        </w:rPr>
        <w: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Mr. Jacobs and Mr. Harik each entered into employment agreements in connection with the transition to their new roles in August and September 2022, respectively; these agreements became effective upon the RXO spin-off on November 1, 2022. Mr. Wismans entered into an offer letter agreement, a Confidential Information Protection Agreement, and a Change of Control and Severance Agreement in connection with his promotion to chief financial officer (“CFO”), effective August 11, 2023. Mr. Bates entered into an offer letter agreement, a Confidential Information Protection Agreement, and a Change of Control and Severance Agreement in connection with his hiring as COO, effective April 21, 2023. Ms. Cassity entered into an offer letter agreement, a Confidential Information Protection Agreement, and a Change of Control and Severance Agreement in connection with her hiring as chief legal officer (“CLO”), effective March 13, 2023.</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39</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AHC"/>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The above mentioned agreements for our NEOs (collectively, the “NEO Agreements”) outline the terms and conditions of employment with XPO, including all restrictive covenants that benefit the company, with provisions such as non-competition and non-solicitation of customers and employees, as well as the target compensation opportunity designated by the Committee for base salary, annual STIs, annual LTIs, and other separation benefits that the executives would qualify for under specified circumstances. The material terms of these agreements are described under the heading </w:t>
      </w:r>
      <w:r>
        <w:rPr>
          <w:rFonts w:ascii="Helvetica;Arial Narrow;sans-serif" w:hAnsi="Helvetica;Arial Narrow;sans-serif"/>
          <w:b w:val="false"/>
          <w:i/>
          <w:caps w:val="false"/>
          <w:smallCaps w:val="false"/>
          <w:color w:val="000000"/>
          <w:sz w:val="18"/>
        </w:rPr>
        <w:t>Employment Agreements with NEOs</w:t>
      </w:r>
      <w:r>
        <w:rPr>
          <w:rFonts w:ascii="Helvetica;Arial Narrow;sans-serif" w:hAnsi="Helvetica;Arial Narrow;sans-serif"/>
          <w:b w:val="false"/>
          <w:i w:val="false"/>
          <w:caps w:val="false"/>
          <w:smallCaps w:val="false"/>
          <w:color w:val="000000"/>
          <w:spacing w:val="-2"/>
          <w:sz w:val="18"/>
        </w:rPr>
        <w:t>. There are no multi-year compensation guarantees established in the NEO Agreements. The Committee may adjust compensation levels from year to year based on its annual assessments of performance and market benchmarks. For 2024, the Committee determined that no changes to base salary or target variable compensation levels were warranted, except for Mr. Wismans whose base salary and target STI increased from $550,000 to $600,000 and target LTI increased from $1,300,000 to $1,800,000. These changes were based on assessments of competitive market practices data conducted in late 2023 and early 2024.</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Tax Considerations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Section 162(m) of the Internal Revenue Code of 1986, as amended (the “Code”) disallows a federal income tax deduction to public companies for compensation greater than $1 million paid in any tax year to covered executive officers.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a general matter, while tax deductibility is one of several relevant factors considered by the Committee in determining compensation, our Board believes that the tax deduction limitation imposed by Section 162(m) should not compromise the company’s access to compensation arrangements that will attract and retain a high level of executive talent. Accordingly, the Committee and the Board take into consideration a multitude of factors when making executive compensation decisions and may approve executive compensation that is not tax deductible.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Risk Assessment of Incentive Compensation Programs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Committee’s independent compensation consultant conducts an annual assessment of the Company’s compensation program to determine whether there are material risks that could arise from our compensation plans and programs. Based on this review, the Committee concluded that the company’s 2024 compensation plans and programs are not reasonably likely to have a material adverse effect on the company.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COMPENSATION AND HUMAN CAPITAL COMMITTEE REPORT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The following statement made by the Committee does not constitute soliciting material and should not be deemed filed or incorporated by reference into any filing under the Securities Act of 1933, as amended (the “Securities Act”) or the Exchange Act, except to the extent that we specifically incorporate such statement by reference.</w:t>
      </w:r>
      <w:r>
        <w:rPr>
          <w:rFonts w:ascii="Helvetica;Arial Narrow;sans-serif" w:hAnsi="Helvetica;Arial Narrow;sans-serif"/>
          <w:b w:val="false"/>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Committee reviewed the Compensation Discussion and Analysis with management as required by Item 402(b) of Regulation S-K, as set forth above. Based on this review and the resulting discussions with management, the Committee recommended to our Board of Directors that the Compensation Discussion and Analysis be included in this Proxy Statement and incorporated by reference into XPO’s 2024 Form 10-K.</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COMPENSATION AND HUMAN CAPITAL COMMITTEE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Johnny C. Taylor, Jr., chair </w:t>
        <w:br/>
        <w:t xml:space="preserve">Allison Landry, member </w:t>
        <w:br/>
        <w:t>Irene Moshouris, member</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40</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COTA"/>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COMPENSATION TABLES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Summary Compensation Table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The following table provides information concerning the total compensation awarded to, earned by or paid to our NEOs for the year ended December 31, 2024. We compensate our NEOs pursuant to the terms of their respective employment agreements. The information reported in the table below reflects the terms of such agreements. More information about our NEOs’ employment agreements is provided under the heading </w:t>
      </w:r>
      <w:r>
        <w:rPr>
          <w:rFonts w:ascii="Helvetica;Arial Narrow;sans-serif" w:hAnsi="Helvetica;Arial Narrow;sans-serif"/>
          <w:b w:val="false"/>
          <w:i/>
          <w:caps w:val="false"/>
          <w:smallCaps w:val="false"/>
          <w:color w:val="000000"/>
          <w:sz w:val="18"/>
        </w:rPr>
        <w:t>Employment Agreements with NEOs</w:t>
      </w:r>
      <w:r>
        <w:rPr>
          <w:rFonts w:ascii="Helvetica;Arial Narrow;sans-serif" w:hAnsi="Helvetica;Arial Narrow;sans-serif"/>
          <w:b w:val="false"/>
          <w:i w:val="false"/>
          <w:caps w:val="false"/>
          <w:smallCaps w:val="false"/>
          <w:color w:val="000000"/>
          <w:spacing w:val="-2"/>
          <w:sz w:val="18"/>
        </w:rPr>
        <w:t>.</w:t>
      </w:r>
      <w:r>
        <w:rPr>
          <w:rFonts w:ascii="Helvetica;Arial Narrow;sans-serif" w:hAnsi="Helvetica;Arial Narrow;sans-serif"/>
          <w:b w:val="false"/>
          <w:i w:val="false"/>
          <w:caps w:val="false"/>
          <w:smallCaps w:val="false"/>
          <w:color w:val="000000"/>
          <w:spacing w:val="4"/>
          <w:sz w:val="18"/>
        </w:rPr>
        <w:t xml:space="preserve"> </w:t>
      </w:r>
    </w:p>
    <w:tbl>
      <w:tblPr>
        <w:tblW w:w="13237" w:type="dxa"/>
        <w:jc w:val="left"/>
        <w:tblInd w:w="920" w:type="dxa"/>
        <w:tblLayout w:type="fixed"/>
        <w:tblCellMar>
          <w:top w:w="0" w:type="dxa"/>
          <w:left w:w="0" w:type="dxa"/>
          <w:bottom w:w="28" w:type="dxa"/>
          <w:right w:w="0" w:type="dxa"/>
        </w:tblCellMar>
      </w:tblPr>
      <w:tblGrid>
        <w:gridCol w:w="124"/>
        <w:gridCol w:w="1081"/>
        <w:gridCol w:w="109"/>
        <w:gridCol w:w="109"/>
        <w:gridCol w:w="109"/>
        <w:gridCol w:w="109"/>
        <w:gridCol w:w="109"/>
        <w:gridCol w:w="586"/>
        <w:gridCol w:w="109"/>
        <w:gridCol w:w="109"/>
        <w:gridCol w:w="109"/>
        <w:gridCol w:w="109"/>
        <w:gridCol w:w="109"/>
        <w:gridCol w:w="109"/>
        <w:gridCol w:w="886"/>
        <w:gridCol w:w="109"/>
        <w:gridCol w:w="109"/>
        <w:gridCol w:w="109"/>
        <w:gridCol w:w="109"/>
        <w:gridCol w:w="109"/>
        <w:gridCol w:w="109"/>
        <w:gridCol w:w="1066"/>
        <w:gridCol w:w="109"/>
        <w:gridCol w:w="109"/>
        <w:gridCol w:w="109"/>
        <w:gridCol w:w="109"/>
        <w:gridCol w:w="109"/>
        <w:gridCol w:w="109"/>
        <w:gridCol w:w="1216"/>
        <w:gridCol w:w="109"/>
        <w:gridCol w:w="109"/>
        <w:gridCol w:w="109"/>
        <w:gridCol w:w="109"/>
        <w:gridCol w:w="109"/>
        <w:gridCol w:w="109"/>
        <w:gridCol w:w="1186"/>
        <w:gridCol w:w="109"/>
        <w:gridCol w:w="109"/>
        <w:gridCol w:w="109"/>
        <w:gridCol w:w="109"/>
        <w:gridCol w:w="149"/>
        <w:gridCol w:w="149"/>
        <w:gridCol w:w="1051"/>
        <w:gridCol w:w="152"/>
        <w:gridCol w:w="109"/>
        <w:gridCol w:w="109"/>
        <w:gridCol w:w="109"/>
        <w:gridCol w:w="109"/>
        <w:gridCol w:w="109"/>
        <w:gridCol w:w="1186"/>
        <w:gridCol w:w="109"/>
        <w:gridCol w:w="154"/>
      </w:tblGrid>
      <w:tr>
        <w:trPr/>
        <w:tc>
          <w:tcPr>
            <w:tcW w:w="124" w:type="dxa"/>
            <w:tcBorders>
              <w:bottom w:val="single" w:sz="2" w:space="0" w:color="7F7F7F"/>
            </w:tcBorders>
            <w:vAlign w:val="center"/>
          </w:tcPr>
          <w:p>
            <w:pPr>
              <w:pStyle w:val="TableContents"/>
              <w:bidi w:val="0"/>
              <w:spacing w:before="0" w:after="283"/>
              <w:jc w:val="left"/>
              <w:rPr/>
            </w:pPr>
            <w:r>
              <w:rPr/>
              <w:t>​</w:t>
            </w:r>
          </w:p>
        </w:tc>
        <w:tc>
          <w:tcPr>
            <w:tcW w:w="1081" w:type="dxa"/>
            <w:tcBorders>
              <w:bottom w:val="single" w:sz="2" w:space="0" w:color="7F7F7F"/>
            </w:tcBorders>
            <w:vAlign w:val="center"/>
          </w:tcPr>
          <w:p>
            <w:pPr>
              <w:pStyle w:val="TableContents"/>
              <w:bidi w:val="0"/>
              <w:spacing w:before="0" w:after="0"/>
              <w:jc w:val="left"/>
              <w:rPr/>
            </w:pPr>
            <w:r>
              <w:rPr/>
              <w:t xml:space="preserve">Name and Principal Position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913" w:type="dxa"/>
            <w:gridSpan w:val="4"/>
            <w:tcBorders>
              <w:bottom w:val="single" w:sz="2" w:space="0" w:color="7F7F7F"/>
            </w:tcBorders>
            <w:vAlign w:val="center"/>
          </w:tcPr>
          <w:p>
            <w:pPr>
              <w:pStyle w:val="TableContents"/>
              <w:bidi w:val="0"/>
              <w:spacing w:before="0" w:after="0"/>
              <w:jc w:val="center"/>
              <w:rPr/>
            </w:pPr>
            <w:r>
              <w:rPr/>
              <w:t xml:space="preserve">Year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213" w:type="dxa"/>
            <w:gridSpan w:val="4"/>
            <w:tcBorders>
              <w:bottom w:val="single" w:sz="2" w:space="0" w:color="7F7F7F"/>
            </w:tcBorders>
            <w:vAlign w:val="center"/>
          </w:tcPr>
          <w:p>
            <w:pPr>
              <w:pStyle w:val="TableContents"/>
              <w:bidi w:val="0"/>
              <w:spacing w:before="0" w:after="0"/>
              <w:jc w:val="center"/>
              <w:rPr/>
            </w:pPr>
            <w:r>
              <w:rPr/>
              <w:t xml:space="preserve">Salary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93" w:type="dxa"/>
            <w:gridSpan w:val="4"/>
            <w:tcBorders>
              <w:bottom w:val="single" w:sz="2" w:space="0" w:color="7F7F7F"/>
            </w:tcBorders>
            <w:vAlign w:val="center"/>
          </w:tcPr>
          <w:p>
            <w:pPr>
              <w:pStyle w:val="TableContents"/>
              <w:bidi w:val="0"/>
              <w:spacing w:lineRule="atLeast" w:line="142" w:before="0" w:after="0"/>
              <w:jc w:val="center"/>
              <w:rPr/>
            </w:pPr>
            <w:r>
              <w:rPr/>
              <w:t>Bonus</w:t>
            </w:r>
            <w:r>
              <w:rPr>
                <w:sz w:val="10"/>
              </w:rPr>
              <w:t>(1)</w:t>
            </w:r>
            <w:r>
              <w:rPr/>
              <w:t xml:space="preserve">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3" w:type="dxa"/>
            <w:gridSpan w:val="4"/>
            <w:tcBorders>
              <w:bottom w:val="single" w:sz="2" w:space="0" w:color="7F7F7F"/>
            </w:tcBorders>
            <w:vAlign w:val="center"/>
          </w:tcPr>
          <w:p>
            <w:pPr>
              <w:pStyle w:val="TableContents"/>
              <w:bidi w:val="0"/>
              <w:spacing w:lineRule="atLeast" w:line="142" w:before="0" w:after="0"/>
              <w:jc w:val="center"/>
              <w:rPr/>
            </w:pPr>
            <w:r>
              <w:rPr/>
              <w:t>Stock</w:t>
              <w:br/>
              <w:t>Awards</w:t>
            </w:r>
            <w:r>
              <w:rPr>
                <w:sz w:val="10"/>
              </w:rPr>
              <w:t>(2)(3)</w:t>
            </w:r>
            <w:r>
              <w:rPr/>
              <w:t xml:space="preserve">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vAlign w:val="center"/>
          </w:tcPr>
          <w:p>
            <w:pPr>
              <w:pStyle w:val="TableContents"/>
              <w:bidi w:val="0"/>
              <w:spacing w:lineRule="atLeast" w:line="142" w:before="0" w:after="0"/>
              <w:jc w:val="center"/>
              <w:rPr/>
            </w:pPr>
            <w:r>
              <w:rPr/>
              <w:t>Non-Equity</w:t>
              <w:br/>
              <w:t>Incentive Plan</w:t>
              <w:br/>
              <w:t>Compensation</w:t>
            </w:r>
            <w:r>
              <w:rPr>
                <w:sz w:val="10"/>
              </w:rPr>
              <w:t>(4)</w:t>
            </w:r>
            <w:r>
              <w:rPr/>
              <w:t xml:space="preserve">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01" w:type="dxa"/>
            <w:gridSpan w:val="4"/>
            <w:tcBorders>
              <w:bottom w:val="single" w:sz="2" w:space="0" w:color="7F7F7F"/>
            </w:tcBorders>
            <w:vAlign w:val="center"/>
          </w:tcPr>
          <w:p>
            <w:pPr>
              <w:pStyle w:val="TableContents"/>
              <w:bidi w:val="0"/>
              <w:spacing w:lineRule="atLeast" w:line="142" w:before="0" w:after="0"/>
              <w:jc w:val="center"/>
              <w:rPr/>
            </w:pPr>
            <w:r>
              <w:rPr/>
              <w:t>All Other</w:t>
              <w:br/>
              <w:t>Compensation</w:t>
            </w:r>
            <w:r>
              <w:rPr>
                <w:sz w:val="10"/>
              </w:rPr>
              <w:t>(5)</w:t>
            </w:r>
            <w:r>
              <w:rPr/>
              <w:t xml:space="preserve">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vAlign w:val="center"/>
          </w:tcPr>
          <w:p>
            <w:pPr>
              <w:pStyle w:val="TableContents"/>
              <w:bidi w:val="0"/>
              <w:spacing w:before="0" w:after="0"/>
              <w:jc w:val="center"/>
              <w:rPr/>
            </w:pPr>
            <w:r>
              <w:rPr/>
              <w:t xml:space="preserve">Total ($)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vMerge w:val="restart"/>
            <w:tcBorders/>
            <w:shd w:fill="D8D8D8" w:val="clear"/>
            <w:tcMar>
              <w:bottom w:w="0" w:type="dxa"/>
            </w:tcMar>
            <w:vAlign w:val="center"/>
          </w:tcPr>
          <w:p>
            <w:pPr>
              <w:pStyle w:val="TableContents"/>
              <w:bidi w:val="0"/>
              <w:spacing w:before="0" w:after="283"/>
              <w:jc w:val="left"/>
              <w:rPr/>
            </w:pPr>
            <w:r>
              <w:rPr/>
              <w:t>​</w:t>
            </w:r>
          </w:p>
        </w:tc>
        <w:tc>
          <w:tcPr>
            <w:tcW w:w="1081" w:type="dxa"/>
            <w:vMerge w:val="restart"/>
            <w:tcBorders/>
            <w:shd w:fill="D8D8D8" w:val="clear"/>
            <w:tcMar>
              <w:bottom w:w="0" w:type="dxa"/>
            </w:tcMar>
            <w:vAlign w:val="center"/>
          </w:tcPr>
          <w:p>
            <w:pPr>
              <w:pStyle w:val="TableContents"/>
              <w:bidi w:val="0"/>
              <w:spacing w:lineRule="atLeast" w:line="204" w:before="0" w:after="0"/>
              <w:jc w:val="left"/>
              <w:rPr>
                <w:b/>
              </w:rPr>
            </w:pPr>
            <w:r>
              <w:rPr>
                <w:b/>
              </w:rPr>
              <w:t>Brad Jacobs</w:t>
            </w:r>
            <w:r>
              <w:rPr>
                <w:b/>
                <w:sz w:val="11"/>
              </w:rPr>
              <w:t>(6)</w:t>
            </w:r>
            <w:r>
              <w:rPr>
                <w:b/>
              </w:rPr>
              <w:br/>
            </w:r>
            <w:r>
              <w:rPr>
                <w:b w:val="false"/>
                <w:i/>
              </w:rPr>
              <w:t>Executive Chairman</w:t>
            </w:r>
          </w:p>
        </w:tc>
        <w:tc>
          <w:tcPr>
            <w:tcW w:w="109" w:type="dxa"/>
            <w:vMerge w:val="restart"/>
            <w:tcBorders/>
            <w:shd w:fill="D8D8D8" w:val="clear"/>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586" w:type="dxa"/>
            <w:tcBorders/>
            <w:shd w:fill="D8D8D8" w:val="clear"/>
            <w:tcMar>
              <w:bottom w:w="0" w:type="dxa"/>
            </w:tcMar>
            <w:vAlign w:val="center"/>
          </w:tcPr>
          <w:p>
            <w:pPr>
              <w:pStyle w:val="TableContents"/>
              <w:bidi w:val="0"/>
              <w:spacing w:lineRule="atLeast" w:line="204" w:before="0" w:after="283"/>
              <w:jc w:val="right"/>
              <w:rPr/>
            </w:pPr>
            <w:r>
              <w:rPr/>
              <w:t>2024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886" w:type="dxa"/>
            <w:tcBorders/>
            <w:shd w:fill="D8D8D8" w:val="clear"/>
            <w:tcMar>
              <w:bottom w:w="0" w:type="dxa"/>
            </w:tcMar>
            <w:vAlign w:val="center"/>
          </w:tcPr>
          <w:p>
            <w:pPr>
              <w:pStyle w:val="TableContents"/>
              <w:bidi w:val="0"/>
              <w:spacing w:lineRule="atLeast" w:line="204" w:before="0" w:after="283"/>
              <w:jc w:val="right"/>
              <w:rPr/>
            </w:pPr>
            <w:r>
              <w:rPr/>
              <w:t>600,000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066" w:type="dxa"/>
            <w:tcBorders/>
            <w:shd w:fill="D8D8D8" w:val="clear"/>
            <w:tcMar>
              <w:bottom w:w="0" w:type="dxa"/>
            </w:tcMar>
            <w:vAlign w:val="center"/>
          </w:tcPr>
          <w:p>
            <w:pPr>
              <w:pStyle w:val="TableContents"/>
              <w:bidi w:val="0"/>
              <w:spacing w:lineRule="atLeast" w:line="204"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216" w:type="dxa"/>
            <w:tcBorders/>
            <w:shd w:fill="D8D8D8" w:val="clear"/>
            <w:tcMar>
              <w:bottom w:w="0" w:type="dxa"/>
            </w:tcMar>
            <w:vAlign w:val="center"/>
          </w:tcPr>
          <w:p>
            <w:pPr>
              <w:pStyle w:val="TableContents"/>
              <w:bidi w:val="0"/>
              <w:spacing w:lineRule="atLeast" w:line="204" w:before="0" w:after="283"/>
              <w:jc w:val="right"/>
              <w:rPr/>
            </w:pPr>
            <w:r>
              <w:rPr/>
              <w:t>5,449,879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186" w:type="dxa"/>
            <w:tcBorders/>
            <w:shd w:fill="D8D8D8" w:val="clear"/>
            <w:tcMar>
              <w:bottom w:w="0" w:type="dxa"/>
            </w:tcMar>
            <w:vAlign w:val="center"/>
          </w:tcPr>
          <w:p>
            <w:pPr>
              <w:pStyle w:val="TableContents"/>
              <w:bidi w:val="0"/>
              <w:spacing w:lineRule="atLeast" w:line="204" w:before="0" w:after="283"/>
              <w:jc w:val="right"/>
              <w:rPr/>
            </w:pPr>
            <w:r>
              <w:rPr/>
              <w:t>1,321,110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lineRule="atLeast" w:line="204" w:before="0" w:after="283"/>
              <w:jc w:val="right"/>
              <w:rPr/>
            </w:pPr>
            <w:r>
              <w:rPr/>
              <w:t>​</w:t>
            </w:r>
          </w:p>
        </w:tc>
        <w:tc>
          <w:tcPr>
            <w:tcW w:w="1051" w:type="dxa"/>
            <w:tcBorders/>
            <w:shd w:fill="D8D8D8" w:val="clear"/>
            <w:tcMar>
              <w:bottom w:w="0" w:type="dxa"/>
            </w:tcMar>
            <w:vAlign w:val="center"/>
          </w:tcPr>
          <w:p>
            <w:pPr>
              <w:pStyle w:val="TableContents"/>
              <w:bidi w:val="0"/>
              <w:spacing w:lineRule="atLeast" w:line="204" w:before="0" w:after="283"/>
              <w:jc w:val="right"/>
              <w:rPr/>
            </w:pPr>
            <w:r>
              <w:rPr/>
              <w:t>15,315</w:t>
            </w:r>
          </w:p>
        </w:tc>
        <w:tc>
          <w:tcPr>
            <w:tcW w:w="15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186" w:type="dxa"/>
            <w:tcBorders/>
            <w:shd w:fill="D8D8D8" w:val="clear"/>
            <w:tcMar>
              <w:bottom w:w="0" w:type="dxa"/>
            </w:tcMar>
            <w:vAlign w:val="center"/>
          </w:tcPr>
          <w:p>
            <w:pPr>
              <w:pStyle w:val="TableContents"/>
              <w:bidi w:val="0"/>
              <w:spacing w:lineRule="atLeast" w:line="204" w:before="0" w:after="283"/>
              <w:jc w:val="right"/>
              <w:rPr/>
            </w:pPr>
            <w:r>
              <w:rPr/>
              <w:t>7,386,304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081"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600,000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14,125,046</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1,291,050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right"/>
              <w:rPr/>
            </w:pPr>
            <w:r>
              <w:rPr/>
              <w:t>​</w:t>
            </w:r>
          </w:p>
        </w:tc>
        <w:tc>
          <w:tcPr>
            <w:tcW w:w="1051" w:type="dxa"/>
            <w:tcBorders/>
            <w:shd w:fill="D8D8D8" w:val="clear"/>
            <w:tcMar>
              <w:bottom w:w="0" w:type="dxa"/>
            </w:tcMar>
            <w:vAlign w:val="center"/>
          </w:tcPr>
          <w:p>
            <w:pPr>
              <w:pStyle w:val="TableContents"/>
              <w:bidi w:val="0"/>
              <w:spacing w:before="0" w:after="283"/>
              <w:jc w:val="right"/>
              <w:rPr/>
            </w:pPr>
            <w:r>
              <w:rPr/>
              <w:t>14,880</w:t>
            </w:r>
          </w:p>
        </w:tc>
        <w:tc>
          <w:tcPr>
            <w:tcW w:w="15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16,030,976</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081"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2022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929,561</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34,600,992</w:t>
            </w:r>
            <w:r>
              <w:rPr>
                <w:sz w:val="11"/>
              </w:rPr>
              <w:t>(7)</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11,446,524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right"/>
              <w:rPr/>
            </w:pPr>
            <w:r>
              <w:rPr/>
              <w:t>​</w:t>
            </w:r>
          </w:p>
        </w:tc>
        <w:tc>
          <w:tcPr>
            <w:tcW w:w="1051" w:type="dxa"/>
            <w:tcBorders/>
            <w:shd w:fill="D8D8D8" w:val="clear"/>
            <w:tcMar>
              <w:bottom w:w="0" w:type="dxa"/>
            </w:tcMar>
            <w:vAlign w:val="center"/>
          </w:tcPr>
          <w:p>
            <w:pPr>
              <w:pStyle w:val="TableContents"/>
              <w:bidi w:val="0"/>
              <w:spacing w:before="0" w:after="283"/>
              <w:jc w:val="right"/>
              <w:rPr/>
            </w:pPr>
            <w:r>
              <w:rPr/>
              <w:t>13,880</w:t>
            </w:r>
          </w:p>
        </w:tc>
        <w:tc>
          <w:tcPr>
            <w:tcW w:w="15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46,990,957</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81" w:type="dxa"/>
            <w:vMerge w:val="restart"/>
            <w:tcBorders/>
            <w:tcMar>
              <w:bottom w:w="0" w:type="dxa"/>
            </w:tcMar>
            <w:vAlign w:val="center"/>
          </w:tcPr>
          <w:p>
            <w:pPr>
              <w:pStyle w:val="TableContents"/>
              <w:bidi w:val="0"/>
              <w:spacing w:lineRule="atLeast" w:line="204" w:before="0" w:after="0"/>
              <w:jc w:val="left"/>
              <w:rPr>
                <w:b/>
              </w:rPr>
            </w:pPr>
            <w:r>
              <w:rPr>
                <w:b/>
              </w:rPr>
              <w:t>Mario Harik</w:t>
            </w:r>
            <w:r>
              <w:rPr>
                <w:b/>
                <w:sz w:val="11"/>
              </w:rPr>
              <w:t>(8)</w:t>
            </w:r>
            <w:r>
              <w:rPr>
                <w:b/>
              </w:rPr>
              <w:br/>
            </w:r>
            <w:r>
              <w:rPr>
                <w:b w:val="false"/>
                <w:i/>
              </w:rPr>
              <w:t>Chief Executive Officer</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586" w:type="dxa"/>
            <w:tcBorders/>
            <w:tcMar>
              <w:bottom w:w="0" w:type="dxa"/>
            </w:tcMar>
            <w:vAlign w:val="center"/>
          </w:tcPr>
          <w:p>
            <w:pPr>
              <w:pStyle w:val="TableContents"/>
              <w:bidi w:val="0"/>
              <w:spacing w:lineRule="atLeast" w:line="204"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886" w:type="dxa"/>
            <w:tcBorders/>
            <w:tcMar>
              <w:bottom w:w="0" w:type="dxa"/>
            </w:tcMar>
            <w:vAlign w:val="center"/>
          </w:tcPr>
          <w:p>
            <w:pPr>
              <w:pStyle w:val="TableContents"/>
              <w:bidi w:val="0"/>
              <w:spacing w:lineRule="atLeast" w:line="204" w:before="0" w:after="283"/>
              <w:jc w:val="right"/>
              <w:rPr/>
            </w:pPr>
            <w:r>
              <w:rPr/>
              <w:t>850,000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1216" w:type="dxa"/>
            <w:tcBorders/>
            <w:tcMar>
              <w:bottom w:w="0" w:type="dxa"/>
            </w:tcMar>
            <w:vAlign w:val="center"/>
          </w:tcPr>
          <w:p>
            <w:pPr>
              <w:pStyle w:val="TableContents"/>
              <w:bidi w:val="0"/>
              <w:spacing w:lineRule="atLeast" w:line="204" w:before="0" w:after="283"/>
              <w:jc w:val="right"/>
              <w:rPr/>
            </w:pPr>
            <w:r>
              <w:rPr/>
              <w:t>10,681,790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1186" w:type="dxa"/>
            <w:tcBorders/>
            <w:tcMar>
              <w:bottom w:w="0" w:type="dxa"/>
            </w:tcMar>
            <w:vAlign w:val="center"/>
          </w:tcPr>
          <w:p>
            <w:pPr>
              <w:pStyle w:val="TableContents"/>
              <w:bidi w:val="0"/>
              <w:spacing w:lineRule="atLeast" w:line="204" w:before="0" w:after="283"/>
              <w:jc w:val="right"/>
              <w:rPr/>
            </w:pPr>
            <w:r>
              <w:rPr/>
              <w:t>2,495,430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lineRule="atLeast" w:line="204" w:before="0" w:after="283"/>
              <w:jc w:val="right"/>
              <w:rPr/>
            </w:pPr>
            <w:r>
              <w:rPr/>
              <w:t>​</w:t>
            </w:r>
          </w:p>
        </w:tc>
        <w:tc>
          <w:tcPr>
            <w:tcW w:w="1051" w:type="dxa"/>
            <w:tcBorders/>
            <w:tcMar>
              <w:bottom w:w="0" w:type="dxa"/>
            </w:tcMar>
            <w:vAlign w:val="center"/>
          </w:tcPr>
          <w:p>
            <w:pPr>
              <w:pStyle w:val="TableContents"/>
              <w:bidi w:val="0"/>
              <w:spacing w:lineRule="atLeast" w:line="204" w:before="0" w:after="283"/>
              <w:jc w:val="right"/>
              <w:rPr/>
            </w:pPr>
            <w:r>
              <w:rPr/>
              <w:t>15,480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1186" w:type="dxa"/>
            <w:tcBorders/>
            <w:tcMar>
              <w:bottom w:w="0" w:type="dxa"/>
            </w:tcMar>
            <w:vAlign w:val="center"/>
          </w:tcPr>
          <w:p>
            <w:pPr>
              <w:pStyle w:val="TableContents"/>
              <w:bidi w:val="0"/>
              <w:spacing w:lineRule="atLeast" w:line="204" w:before="0" w:after="283"/>
              <w:jc w:val="right"/>
              <w:rPr/>
            </w:pPr>
            <w:r>
              <w:rPr/>
              <w:t>14,042,700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9,084,498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2,438,650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14,463</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12,387,611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557,857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7,381,069</w:t>
            </w:r>
            <w:r>
              <w:rPr>
                <w:sz w:val="11"/>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1,075,334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13,463</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9,027,723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D8D8D8" w:val="clear"/>
            <w:tcMar>
              <w:bottom w:w="0" w:type="dxa"/>
            </w:tcMar>
            <w:vAlign w:val="center"/>
          </w:tcPr>
          <w:p>
            <w:pPr>
              <w:pStyle w:val="TableContents"/>
              <w:bidi w:val="0"/>
              <w:spacing w:before="0" w:after="283"/>
              <w:jc w:val="left"/>
              <w:rPr/>
            </w:pPr>
            <w:r>
              <w:rPr/>
              <w:t>​</w:t>
            </w:r>
          </w:p>
        </w:tc>
        <w:tc>
          <w:tcPr>
            <w:tcW w:w="1081" w:type="dxa"/>
            <w:vMerge w:val="restart"/>
            <w:tcBorders/>
            <w:shd w:fill="D8D8D8" w:val="clear"/>
            <w:tcMar>
              <w:bottom w:w="0" w:type="dxa"/>
            </w:tcMar>
            <w:vAlign w:val="center"/>
          </w:tcPr>
          <w:p>
            <w:pPr>
              <w:pStyle w:val="TableContents"/>
              <w:bidi w:val="0"/>
              <w:spacing w:lineRule="atLeast" w:line="204" w:before="0" w:after="0"/>
              <w:jc w:val="left"/>
              <w:rPr>
                <w:b/>
              </w:rPr>
            </w:pPr>
            <w:r>
              <w:rPr>
                <w:b/>
              </w:rPr>
              <w:t>Kyle Wismans</w:t>
            </w:r>
            <w:r>
              <w:rPr>
                <w:b/>
                <w:sz w:val="11"/>
              </w:rPr>
              <w:t>(9)</w:t>
            </w:r>
            <w:r>
              <w:rPr>
                <w:b/>
              </w:rPr>
              <w:br/>
            </w:r>
            <w:r>
              <w:rPr>
                <w:b w:val="false"/>
                <w:i/>
              </w:rPr>
              <w:t>Chief Financial Officer</w:t>
            </w:r>
          </w:p>
        </w:tc>
        <w:tc>
          <w:tcPr>
            <w:tcW w:w="109" w:type="dxa"/>
            <w:vMerge w:val="restart"/>
            <w:tcBorders/>
            <w:shd w:fill="D8D8D8" w:val="clear"/>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586" w:type="dxa"/>
            <w:tcBorders/>
            <w:shd w:fill="D8D8D8" w:val="clear"/>
            <w:tcMar>
              <w:bottom w:w="0" w:type="dxa"/>
            </w:tcMar>
            <w:vAlign w:val="center"/>
          </w:tcPr>
          <w:p>
            <w:pPr>
              <w:pStyle w:val="TableContents"/>
              <w:bidi w:val="0"/>
              <w:spacing w:lineRule="atLeast" w:line="204" w:before="0" w:after="283"/>
              <w:jc w:val="right"/>
              <w:rPr/>
            </w:pPr>
            <w:r>
              <w:rPr/>
              <w:t>2024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886" w:type="dxa"/>
            <w:tcBorders/>
            <w:shd w:fill="D8D8D8" w:val="clear"/>
            <w:tcMar>
              <w:bottom w:w="0" w:type="dxa"/>
            </w:tcMar>
            <w:vAlign w:val="center"/>
          </w:tcPr>
          <w:p>
            <w:pPr>
              <w:pStyle w:val="TableContents"/>
              <w:bidi w:val="0"/>
              <w:spacing w:lineRule="atLeast" w:line="204" w:before="0" w:after="283"/>
              <w:jc w:val="right"/>
              <w:rPr/>
            </w:pPr>
            <w:r>
              <w:rPr/>
              <w:t>591,154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066" w:type="dxa"/>
            <w:tcBorders/>
            <w:shd w:fill="D8D8D8" w:val="clear"/>
            <w:tcMar>
              <w:bottom w:w="0" w:type="dxa"/>
            </w:tcMar>
            <w:vAlign w:val="center"/>
          </w:tcPr>
          <w:p>
            <w:pPr>
              <w:pStyle w:val="TableContents"/>
              <w:bidi w:val="0"/>
              <w:spacing w:lineRule="atLeast" w:line="204"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216" w:type="dxa"/>
            <w:tcBorders/>
            <w:shd w:fill="D8D8D8" w:val="clear"/>
            <w:tcMar>
              <w:bottom w:w="0" w:type="dxa"/>
            </w:tcMar>
            <w:vAlign w:val="center"/>
          </w:tcPr>
          <w:p>
            <w:pPr>
              <w:pStyle w:val="TableContents"/>
              <w:bidi w:val="0"/>
              <w:spacing w:lineRule="atLeast" w:line="204" w:before="0" w:after="283"/>
              <w:jc w:val="right"/>
              <w:rPr/>
            </w:pPr>
            <w:r>
              <w:rPr/>
              <w:t>4,292,522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186" w:type="dxa"/>
            <w:tcBorders/>
            <w:shd w:fill="D8D8D8" w:val="clear"/>
            <w:tcMar>
              <w:bottom w:w="0" w:type="dxa"/>
            </w:tcMar>
            <w:vAlign w:val="center"/>
          </w:tcPr>
          <w:p>
            <w:pPr>
              <w:pStyle w:val="TableContents"/>
              <w:bidi w:val="0"/>
              <w:spacing w:lineRule="atLeast" w:line="204" w:before="0" w:after="283"/>
              <w:jc w:val="right"/>
              <w:rPr/>
            </w:pPr>
            <w:r>
              <w:rPr/>
              <w:t>880,740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lineRule="atLeast" w:line="204" w:before="0" w:after="283"/>
              <w:jc w:val="right"/>
              <w:rPr/>
            </w:pPr>
            <w:r>
              <w:rPr/>
              <w:t>​</w:t>
            </w:r>
          </w:p>
        </w:tc>
        <w:tc>
          <w:tcPr>
            <w:tcW w:w="1051" w:type="dxa"/>
            <w:tcBorders/>
            <w:shd w:fill="D8D8D8" w:val="clear"/>
            <w:tcMar>
              <w:bottom w:w="0" w:type="dxa"/>
            </w:tcMar>
            <w:vAlign w:val="center"/>
          </w:tcPr>
          <w:p>
            <w:pPr>
              <w:pStyle w:val="TableContents"/>
              <w:bidi w:val="0"/>
              <w:spacing w:lineRule="atLeast" w:line="204" w:before="0" w:after="283"/>
              <w:jc w:val="right"/>
              <w:rPr/>
            </w:pPr>
            <w:r>
              <w:rPr/>
              <w:t>15,189</w:t>
            </w:r>
          </w:p>
        </w:tc>
        <w:tc>
          <w:tcPr>
            <w:tcW w:w="15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186" w:type="dxa"/>
            <w:tcBorders/>
            <w:shd w:fill="D8D8D8" w:val="clear"/>
            <w:tcMar>
              <w:bottom w:w="0" w:type="dxa"/>
            </w:tcMar>
            <w:vAlign w:val="center"/>
          </w:tcPr>
          <w:p>
            <w:pPr>
              <w:pStyle w:val="TableContents"/>
              <w:bidi w:val="0"/>
              <w:spacing w:lineRule="atLeast" w:line="204" w:before="0" w:after="283"/>
              <w:jc w:val="right"/>
              <w:rPr/>
            </w:pPr>
            <w:r>
              <w:rPr/>
              <w:t>5,779,605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081"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440,913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795,000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1,679,932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788,975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right"/>
              <w:rPr/>
            </w:pPr>
            <w:r>
              <w:rPr/>
              <w:t>​</w:t>
            </w:r>
          </w:p>
        </w:tc>
        <w:tc>
          <w:tcPr>
            <w:tcW w:w="1051" w:type="dxa"/>
            <w:tcBorders/>
            <w:shd w:fill="D8D8D8" w:val="clear"/>
            <w:tcMar>
              <w:bottom w:w="0" w:type="dxa"/>
            </w:tcMar>
            <w:vAlign w:val="center"/>
          </w:tcPr>
          <w:p>
            <w:pPr>
              <w:pStyle w:val="TableContents"/>
              <w:bidi w:val="0"/>
              <w:spacing w:before="0" w:after="283"/>
              <w:jc w:val="right"/>
              <w:rPr/>
            </w:pPr>
            <w:r>
              <w:rPr/>
              <w:t>14,102</w:t>
            </w:r>
          </w:p>
        </w:tc>
        <w:tc>
          <w:tcPr>
            <w:tcW w:w="15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3,718,922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81" w:type="dxa"/>
            <w:vMerge w:val="restart"/>
            <w:tcBorders/>
            <w:tcMar>
              <w:bottom w:w="0" w:type="dxa"/>
            </w:tcMar>
            <w:vAlign w:val="center"/>
          </w:tcPr>
          <w:p>
            <w:pPr>
              <w:pStyle w:val="TableContents"/>
              <w:bidi w:val="0"/>
              <w:spacing w:lineRule="atLeast" w:line="204" w:before="0" w:after="0"/>
              <w:jc w:val="left"/>
              <w:rPr>
                <w:b/>
              </w:rPr>
            </w:pPr>
            <w:r>
              <w:rPr>
                <w:b/>
              </w:rPr>
              <w:t>Dave Bates</w:t>
            </w:r>
            <w:r>
              <w:rPr>
                <w:b/>
                <w:sz w:val="11"/>
              </w:rPr>
              <w:t>(10)</w:t>
            </w:r>
            <w:r>
              <w:rPr>
                <w:b/>
              </w:rPr>
              <w:br/>
            </w:r>
            <w:r>
              <w:rPr>
                <w:b w:val="false"/>
                <w:i/>
              </w:rPr>
              <w:t>Chief Operating Officer</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586" w:type="dxa"/>
            <w:tcBorders/>
            <w:tcMar>
              <w:bottom w:w="0" w:type="dxa"/>
            </w:tcMar>
            <w:vAlign w:val="center"/>
          </w:tcPr>
          <w:p>
            <w:pPr>
              <w:pStyle w:val="TableContents"/>
              <w:bidi w:val="0"/>
              <w:spacing w:lineRule="atLeast" w:line="204"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886" w:type="dxa"/>
            <w:tcBorders/>
            <w:tcMar>
              <w:bottom w:w="0" w:type="dxa"/>
            </w:tcMar>
            <w:vAlign w:val="center"/>
          </w:tcPr>
          <w:p>
            <w:pPr>
              <w:pStyle w:val="TableContents"/>
              <w:bidi w:val="0"/>
              <w:spacing w:lineRule="atLeast" w:line="204" w:before="0" w:after="283"/>
              <w:jc w:val="right"/>
              <w:rPr/>
            </w:pPr>
            <w:r>
              <w:rPr/>
              <w:t>750,000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1216" w:type="dxa"/>
            <w:tcBorders/>
            <w:tcMar>
              <w:bottom w:w="0" w:type="dxa"/>
            </w:tcMar>
            <w:vAlign w:val="center"/>
          </w:tcPr>
          <w:p>
            <w:pPr>
              <w:pStyle w:val="TableContents"/>
              <w:bidi w:val="0"/>
              <w:spacing w:lineRule="atLeast" w:line="204" w:before="0" w:after="283"/>
              <w:jc w:val="right"/>
              <w:rPr/>
            </w:pPr>
            <w:r>
              <w:rPr/>
              <w:t>1,609,682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1186" w:type="dxa"/>
            <w:tcBorders/>
            <w:tcMar>
              <w:bottom w:w="0" w:type="dxa"/>
            </w:tcMar>
            <w:vAlign w:val="center"/>
          </w:tcPr>
          <w:p>
            <w:pPr>
              <w:pStyle w:val="TableContents"/>
              <w:bidi w:val="0"/>
              <w:spacing w:lineRule="atLeast" w:line="204" w:before="0" w:after="283"/>
              <w:jc w:val="right"/>
              <w:rPr/>
            </w:pPr>
            <w:r>
              <w:rPr/>
              <w:t>4,177,600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lineRule="atLeast" w:line="204" w:before="0" w:after="283"/>
              <w:jc w:val="right"/>
              <w:rPr/>
            </w:pPr>
            <w:r>
              <w:rPr/>
              <w:t>​</w:t>
            </w:r>
          </w:p>
        </w:tc>
        <w:tc>
          <w:tcPr>
            <w:tcW w:w="1051" w:type="dxa"/>
            <w:tcBorders/>
            <w:tcMar>
              <w:bottom w:w="0" w:type="dxa"/>
            </w:tcMar>
            <w:vAlign w:val="center"/>
          </w:tcPr>
          <w:p>
            <w:pPr>
              <w:pStyle w:val="TableContents"/>
              <w:bidi w:val="0"/>
              <w:spacing w:lineRule="atLeast" w:line="204" w:before="0" w:after="283"/>
              <w:jc w:val="right"/>
              <w:rPr/>
            </w:pPr>
            <w:r>
              <w:rPr/>
              <w:t>15,480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283"/>
              <w:jc w:val="right"/>
              <w:rPr/>
            </w:pPr>
            <w:r>
              <w:rPr/>
              <w:t>​</w:t>
            </w:r>
          </w:p>
        </w:tc>
        <w:tc>
          <w:tcPr>
            <w:tcW w:w="1186" w:type="dxa"/>
            <w:tcBorders/>
            <w:tcMar>
              <w:bottom w:w="0" w:type="dxa"/>
            </w:tcMar>
            <w:vAlign w:val="center"/>
          </w:tcPr>
          <w:p>
            <w:pPr>
              <w:pStyle w:val="TableContents"/>
              <w:bidi w:val="0"/>
              <w:spacing w:lineRule="atLeast" w:line="204" w:before="0" w:after="283"/>
              <w:jc w:val="right"/>
              <w:rPr/>
            </w:pPr>
            <w:r>
              <w:rPr/>
              <w:t>6,552,762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522,116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11,485,130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2,468,431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1,120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16,201,797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bottom w:val="single" w:sz="6" w:space="0" w:color="7F7F7F"/>
            </w:tcBorders>
            <w:shd w:fill="D8D8D8" w:val="clear"/>
            <w:vAlign w:val="center"/>
          </w:tcPr>
          <w:p>
            <w:pPr>
              <w:pStyle w:val="TableContents"/>
              <w:bidi w:val="0"/>
              <w:spacing w:before="0" w:after="283"/>
              <w:jc w:val="left"/>
              <w:rPr/>
            </w:pPr>
            <w:r>
              <w:rPr/>
              <w:t>​</w:t>
            </w:r>
          </w:p>
        </w:tc>
        <w:tc>
          <w:tcPr>
            <w:tcW w:w="1081" w:type="dxa"/>
            <w:vMerge w:val="restart"/>
            <w:tcBorders>
              <w:bottom w:val="single" w:sz="6" w:space="0" w:color="7F7F7F"/>
            </w:tcBorders>
            <w:shd w:fill="D8D8D8" w:val="clear"/>
            <w:vAlign w:val="center"/>
          </w:tcPr>
          <w:p>
            <w:pPr>
              <w:pStyle w:val="TableContents"/>
              <w:bidi w:val="0"/>
              <w:spacing w:lineRule="atLeast" w:line="204" w:before="0" w:after="0"/>
              <w:jc w:val="left"/>
              <w:rPr>
                <w:b/>
              </w:rPr>
            </w:pPr>
            <w:r>
              <w:rPr>
                <w:b/>
              </w:rPr>
              <w:t>Wendy Cassity</w:t>
            </w:r>
            <w:r>
              <w:rPr>
                <w:b/>
                <w:sz w:val="11"/>
              </w:rPr>
              <w:t>(11)</w:t>
            </w:r>
            <w:r>
              <w:rPr>
                <w:b/>
              </w:rPr>
              <w:br/>
            </w:r>
            <w:r>
              <w:rPr>
                <w:b w:val="false"/>
                <w:i/>
              </w:rPr>
              <w:t>Chief Legal Officer</w:t>
            </w:r>
          </w:p>
        </w:tc>
        <w:tc>
          <w:tcPr>
            <w:tcW w:w="109" w:type="dxa"/>
            <w:vMerge w:val="restart"/>
            <w:tcBorders>
              <w:bottom w:val="single" w:sz="6" w:space="0" w:color="7F7F7F"/>
            </w:tcBorders>
            <w:shd w:fill="D8D8D8" w:val="cle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586" w:type="dxa"/>
            <w:tcBorders/>
            <w:shd w:fill="D8D8D8" w:val="clear"/>
            <w:tcMar>
              <w:bottom w:w="0" w:type="dxa"/>
            </w:tcMar>
            <w:vAlign w:val="center"/>
          </w:tcPr>
          <w:p>
            <w:pPr>
              <w:pStyle w:val="TableContents"/>
              <w:bidi w:val="0"/>
              <w:spacing w:lineRule="atLeast" w:line="204" w:before="0" w:after="283"/>
              <w:jc w:val="right"/>
              <w:rPr/>
            </w:pPr>
            <w:r>
              <w:rPr/>
              <w:t>2024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886" w:type="dxa"/>
            <w:tcBorders/>
            <w:shd w:fill="D8D8D8" w:val="clear"/>
            <w:tcMar>
              <w:bottom w:w="0" w:type="dxa"/>
            </w:tcMar>
            <w:vAlign w:val="center"/>
          </w:tcPr>
          <w:p>
            <w:pPr>
              <w:pStyle w:val="TableContents"/>
              <w:bidi w:val="0"/>
              <w:spacing w:lineRule="atLeast" w:line="204" w:before="0" w:after="283"/>
              <w:jc w:val="right"/>
              <w:rPr/>
            </w:pPr>
            <w:r>
              <w:rPr/>
              <w:t>575,000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066" w:type="dxa"/>
            <w:tcBorders/>
            <w:shd w:fill="D8D8D8" w:val="clear"/>
            <w:tcMar>
              <w:bottom w:w="0" w:type="dxa"/>
            </w:tcMar>
            <w:vAlign w:val="center"/>
          </w:tcPr>
          <w:p>
            <w:pPr>
              <w:pStyle w:val="TableContents"/>
              <w:bidi w:val="0"/>
              <w:spacing w:lineRule="atLeast" w:line="204"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216" w:type="dxa"/>
            <w:tcBorders/>
            <w:shd w:fill="D8D8D8" w:val="clear"/>
            <w:tcMar>
              <w:bottom w:w="0" w:type="dxa"/>
            </w:tcMar>
            <w:vAlign w:val="center"/>
          </w:tcPr>
          <w:p>
            <w:pPr>
              <w:pStyle w:val="TableContents"/>
              <w:bidi w:val="0"/>
              <w:spacing w:lineRule="atLeast" w:line="204" w:before="0" w:after="283"/>
              <w:jc w:val="right"/>
              <w:rPr/>
            </w:pPr>
            <w:r>
              <w:rPr/>
              <w:t>1,073,103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186" w:type="dxa"/>
            <w:tcBorders/>
            <w:shd w:fill="D8D8D8" w:val="clear"/>
            <w:tcMar>
              <w:bottom w:w="0" w:type="dxa"/>
            </w:tcMar>
            <w:vAlign w:val="center"/>
          </w:tcPr>
          <w:p>
            <w:pPr>
              <w:pStyle w:val="TableContents"/>
              <w:bidi w:val="0"/>
              <w:spacing w:lineRule="atLeast" w:line="204" w:before="0" w:after="283"/>
              <w:jc w:val="right"/>
              <w:rPr/>
            </w:pPr>
            <w:r>
              <w:rPr/>
              <w:t>844,043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lineRule="atLeast" w:line="204" w:before="0" w:after="283"/>
              <w:jc w:val="right"/>
              <w:rPr/>
            </w:pPr>
            <w:r>
              <w:rPr/>
              <w:t>​</w:t>
            </w:r>
          </w:p>
        </w:tc>
        <w:tc>
          <w:tcPr>
            <w:tcW w:w="1051" w:type="dxa"/>
            <w:tcBorders/>
            <w:shd w:fill="D8D8D8" w:val="clear"/>
            <w:tcMar>
              <w:bottom w:w="0" w:type="dxa"/>
            </w:tcMar>
            <w:vAlign w:val="center"/>
          </w:tcPr>
          <w:p>
            <w:pPr>
              <w:pStyle w:val="TableContents"/>
              <w:bidi w:val="0"/>
              <w:spacing w:lineRule="atLeast" w:line="204" w:before="0" w:after="283"/>
              <w:jc w:val="right"/>
              <w:rPr/>
            </w:pPr>
            <w:r>
              <w:rPr/>
              <w:t>15,252</w:t>
            </w:r>
          </w:p>
        </w:tc>
        <w:tc>
          <w:tcPr>
            <w:tcW w:w="15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04" w:before="0" w:after="283"/>
              <w:jc w:val="right"/>
              <w:rPr/>
            </w:pPr>
            <w:r>
              <w:rPr/>
              <w:t>​</w:t>
            </w:r>
          </w:p>
        </w:tc>
        <w:tc>
          <w:tcPr>
            <w:tcW w:w="1186" w:type="dxa"/>
            <w:tcBorders/>
            <w:shd w:fill="D8D8D8" w:val="clear"/>
            <w:tcMar>
              <w:bottom w:w="0" w:type="dxa"/>
            </w:tcMar>
            <w:vAlign w:val="center"/>
          </w:tcPr>
          <w:p>
            <w:pPr>
              <w:pStyle w:val="TableContents"/>
              <w:bidi w:val="0"/>
              <w:spacing w:lineRule="atLeast" w:line="204" w:before="0" w:after="283"/>
              <w:jc w:val="right"/>
              <w:rPr/>
            </w:pPr>
            <w:r>
              <w:rPr/>
              <w:t>2,507,398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7F7F7F"/>
            </w:tcBorders>
            <w:shd w:fill="D8D8D8" w:val="clear"/>
            <w:vAlign w:val="center"/>
          </w:tcPr>
          <w:p>
            <w:pPr>
              <w:pStyle w:val="Normal"/>
              <w:bidi w:val="0"/>
              <w:jc w:val="left"/>
              <w:rPr/>
            </w:pPr>
            <w:r>
              <w:rPr/>
            </w:r>
          </w:p>
        </w:tc>
        <w:tc>
          <w:tcPr>
            <w:tcW w:w="1081" w:type="dxa"/>
            <w:vMerge w:val="continue"/>
            <w:tcBorders>
              <w:bottom w:val="single" w:sz="6" w:space="0" w:color="7F7F7F"/>
            </w:tcBorders>
            <w:shd w:fill="D8D8D8" w:val="clear"/>
            <w:vAlign w:val="center"/>
          </w:tcPr>
          <w:p>
            <w:pPr>
              <w:pStyle w:val="Normal"/>
              <w:bidi w:val="0"/>
              <w:jc w:val="left"/>
              <w:rPr/>
            </w:pPr>
            <w:r>
              <w:rPr/>
            </w:r>
          </w:p>
        </w:tc>
        <w:tc>
          <w:tcPr>
            <w:tcW w:w="109" w:type="dxa"/>
            <w:vMerge w:val="continue"/>
            <w:tcBorders>
              <w:bottom w:val="single" w:sz="6" w:space="0" w:color="7F7F7F"/>
            </w:tcBorders>
            <w:shd w:fill="D8D8D8" w:val="cle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464,423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570,000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1,324,127</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824,838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left"/>
              <w:rPr/>
            </w:pPr>
            <w:r>
              <w:rPr/>
              <w:t>​</w:t>
            </w:r>
          </w:p>
        </w:tc>
        <w:tc>
          <w:tcPr>
            <w:tcW w:w="149" w:type="dxa"/>
            <w:tcBorders/>
            <w:shd w:fill="D8D8D8" w:val="clear"/>
            <w:tcMar>
              <w:bottom w:w="0" w:type="dxa"/>
            </w:tcMar>
            <w:vAlign w:val="center"/>
          </w:tcPr>
          <w:p>
            <w:pPr>
              <w:pStyle w:val="TableContents"/>
              <w:bidi w:val="0"/>
              <w:spacing w:before="0" w:after="283"/>
              <w:jc w:val="right"/>
              <w:rPr/>
            </w:pPr>
            <w:r>
              <w:rPr/>
              <w:t>​</w:t>
            </w:r>
          </w:p>
        </w:tc>
        <w:tc>
          <w:tcPr>
            <w:tcW w:w="1051" w:type="dxa"/>
            <w:tcBorders/>
            <w:shd w:fill="D8D8D8" w:val="clear"/>
            <w:tcMar>
              <w:bottom w:w="0" w:type="dxa"/>
            </w:tcMar>
            <w:vAlign w:val="center"/>
          </w:tcPr>
          <w:p>
            <w:pPr>
              <w:pStyle w:val="TableContents"/>
              <w:bidi w:val="0"/>
              <w:spacing w:before="0" w:after="283"/>
              <w:jc w:val="right"/>
              <w:rPr/>
            </w:pPr>
            <w:r>
              <w:rPr/>
              <w:t>1,210</w:t>
            </w:r>
          </w:p>
        </w:tc>
        <w:tc>
          <w:tcPr>
            <w:tcW w:w="15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3,184,598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Annual cash bonus awards for 2024 and 2023 are included in the column “Non-Equity Incentive Plan Compensation” and reflect formulaic awards earned in respect of those years. In 2023, Mr. Wismans received $795,000 in cash-based retention bonuses related to the RXO spin-off prior to becoming CFO; Mr. Bates was granted a new hire sign-on cash award of  $1.725 million, which included a payment in lieu of the short-term incentive bonus that he was forced to forfeit upon joining XPO from his previous employer; and Ms. Cassity received a sign-on bonus of  $570,000 as part of her offer letter. Annual cash bonus awards for 2022 are included in the column “Non-Equity Incentive Plan Compensation” and reflect formulaic annual cash bonus awards earned in respect to 2022 for Mr. Jacobs and Mr. Harik.</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4450" distB="0" distL="0" distR="0" simplePos="0" locked="0" layoutInCell="1" allowOverlap="1" relativeHeight="322">
                <wp:simplePos x="0" y="0"/>
                <wp:positionH relativeFrom="column">
                  <wp:align>left</wp:align>
                </wp:positionH>
                <wp:positionV relativeFrom="line">
                  <wp:align>top</wp:align>
                </wp:positionV>
                <wp:extent cx="254000" cy="241300"/>
                <wp:effectExtent l="0" t="0" r="0" b="0"/>
                <wp:wrapSquare wrapText="right"/>
                <wp:docPr id="320" name="Frame197"/>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amounts reflected in this column generally represent the aggregate grant date fair value of the awards made during each respective year, as computed in accordance with Financial Accounting Standards Board Accounting Standards Codification 718 “Compensation — Stock Compensation” ​(“FASB ASC 718”). The amounts reported for the 2024 performance stock units reflect achievement of the performance goals at target. At the grant date, these awards were expected to vest at the maximum and the actual grant date fair value calculated in accordance with FASB ASC 718 was $8,449,804, $16,561,763, $6,242,504, $2,341,001 and $1,560,689, for Mr. Jacobs, Mr. Harik, Mr. Wismans, Mr. Bates and Ms. Cassity, respectively. Note that these amounts may not correspond to the actual value realized by each NEO, as they are based upon company performance over the three-year performance period. For additional information related to the measurement of stock-based compensation awards, see Notes to Consolidated Financial Statements — Note 15. Stock-Based Compensation in our 2024 Form 10-K.</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323">
                <wp:simplePos x="0" y="0"/>
                <wp:positionH relativeFrom="column">
                  <wp:align>left</wp:align>
                </wp:positionH>
                <wp:positionV relativeFrom="line">
                  <wp:align>top</wp:align>
                </wp:positionV>
                <wp:extent cx="254000" cy="241300"/>
                <wp:effectExtent l="0" t="0" r="0" b="0"/>
                <wp:wrapSquare wrapText="right"/>
                <wp:docPr id="321" name="Frame198"/>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(2)</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(2)</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In order to preserve the value of the awards held by employees continuing with XPO following the RXO spin-off, including our NEOs, the number of outstanding shares underlying outstanding awards were adjusted using the ratios and methodologies outlined in each employee matters agreement, as applicable. The RXO ratio was based on either: (i) the closing price per share of XPO common stock on October 31, 2022, compared with the closing price per share of XPO common stock on November 1, 2022; or (ii) a distribution ratio of one share of RXO common stock for every share of XPO common stock. The modification of these awards in connection with the spin-off did not result in incremental compensation cost.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324">
                <wp:simplePos x="0" y="0"/>
                <wp:positionH relativeFrom="column">
                  <wp:align>left</wp:align>
                </wp:positionH>
                <wp:positionV relativeFrom="line">
                  <wp:align>top</wp:align>
                </wp:positionV>
                <wp:extent cx="254000" cy="241300"/>
                <wp:effectExtent l="0" t="0" r="0" b="0"/>
                <wp:wrapSquare wrapText="right"/>
                <wp:docPr id="322" name="Frame199"/>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(3)</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(3)</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The amounts reported in this column for 2024 represent the amounts earned under the annual short-term incentive awards, based on achievement of the 2024 targets, as described under the heading </w:t>
      </w:r>
      <w:r>
        <w:rPr>
          <w:rFonts w:ascii="Arial Narrow;Helvetica;sans-serif" w:hAnsi="Arial Narrow;Helvetica;sans-serif"/>
          <w:b w:val="false"/>
          <w:i/>
          <w:caps w:val="false"/>
          <w:smallCaps w:val="false"/>
          <w:color w:val="000000"/>
          <w:sz w:val="15"/>
        </w:rPr>
        <w:t>Executive Compensation Outcomes for 2024</w:t>
      </w:r>
      <w:r>
        <w:rPr>
          <w:rFonts w:ascii="Arial Narrow;Helvetica;sans-serif" w:hAnsi="Arial Narrow;Helvetica;sans-serif"/>
          <w:b w:val="false"/>
          <w:i w:val="false"/>
          <w:caps w:val="false"/>
          <w:smallCaps w:val="false"/>
          <w:color w:val="000000"/>
          <w:sz w:val="15"/>
        </w:rPr>
        <w:t xml:space="preserve"> in the sections “Annual Short Term Incentive Awards — NEO STI Payouts Excluding COO” and “Annual Short Term Incentive Awards — COO STI Payouts.” The 2023 STI award for Mr. Wismans reflects combined compensation amounts of  $479,870 for the prior roles he held in 2023, as well as $309,105 for the portion of 2023 he served as our CFO. In lieu of an annual short-term incentive award, Mr. Bates receives quarterly payments equivalent to 0.56% of our North American LTL adjusted operating income, subject to certain restrictions. Descriptions of the company’s profit-sharing cash incentive plan and Award Agreement are provided under the heading </w:t>
      </w:r>
      <w:r>
        <w:rPr>
          <w:rFonts w:ascii="Arial Narrow;Helvetica;sans-serif" w:hAnsi="Arial Narrow;Helvetica;sans-serif"/>
          <w:b w:val="false"/>
          <w:i/>
          <w:caps w:val="false"/>
          <w:smallCaps w:val="false"/>
          <w:color w:val="000000"/>
          <w:sz w:val="15"/>
        </w:rPr>
        <w:t>Executive Compensation Outcomes for 2024</w:t>
      </w:r>
      <w:r>
        <w:rPr>
          <w:rFonts w:ascii="Arial Narrow;Helvetica;sans-serif" w:hAnsi="Arial Narrow;Helvetica;sans-serif"/>
          <w:b w:val="false"/>
          <w:i w:val="false"/>
          <w:caps w:val="false"/>
          <w:smallCaps w:val="false"/>
          <w:color w:val="000000"/>
          <w:sz w:val="15"/>
        </w:rPr>
        <w:t xml:space="preserve"> in the section </w:t>
      </w:r>
      <w:r>
        <w:rPr>
          <w:rFonts w:ascii="Arial Narrow;Helvetica;sans-serif" w:hAnsi="Arial Narrow;Helvetica;sans-serif"/>
          <w:b w:val="false"/>
          <w:i/>
          <w:caps w:val="false"/>
          <w:smallCaps w:val="false"/>
          <w:color w:val="000000"/>
          <w:sz w:val="15"/>
        </w:rPr>
        <w:t>COO STI Payouts</w:t>
      </w:r>
      <w:r>
        <w:rPr>
          <w:rFonts w:ascii="Arial Narrow;Helvetica;sans-serif" w:hAnsi="Arial Narrow;Helvetica;sans-serif"/>
          <w:b w:val="false"/>
          <w:i w:val="false"/>
          <w:caps w:val="false"/>
          <w:smallCaps w:val="false"/>
          <w:color w:val="000000"/>
          <w:sz w:val="15"/>
        </w:rPr>
        <w:t>. The amounts reflected in this column for 2022 include formulaic annual cash bonus awards earned in respect of 2022 of  $2,612,822 and $1,075,334 for Mr. Jacobs and Mr. Harik, respectively. The amounts reflected in this column for 2022 also include a cash LTI award granted in 2020 and earned in respect of 2022 for Mr. Jacobs. On July 31, 2020, the Committee awarded Mr. Jacobs and Mr. Harik LTI awards subject to achievement of an absolute adjusted cash flow per share goal, a relative growth in adjusted cash flow per share goal and scorecard targets related to ESG goals. The award is earned in cash in four installments on the first anniversary of the grant (July 31, 2021) and each of January 15, 2022, 2024 and 2026. The goals underlying the 2020 LTI award are subject to both performance-based and service-based conditions. The target award can be earned based on attainment of the absolute adjusted cash flow per share goals of $3.04, $4.51, $5.35 and $5.95 for each of the second half of 2020 and full year 2021, 2022 and 2023, respectively (50% of award); the relative growth in adjusted cash flow per share goal at the 55th percentile (25% of award); or achievement against goals related to ESG as outlined in a comprehensive scorecard (25% of award). The award is earned based on a sliding scale with a minimum payout of 0% and a maximum payout of 200%. On February 9, 2023, the Committee approved the cancellation of 100% of the target amount of the 2023 tranche of the 2020 LTI award for Mr. Jacobs and Mr. Harik and replacement with PSUs (the “PSU Replacement Awards”). Each PSU Replacement Award has a target grant date value equal to the canceled portion of Messrs. Jacobs’ and Harik’s 2020 LTI awards. The PSU Replacement Awards are subject to a replacement of the absolute adjusted cash flow per share and relative growth in adjusted cash flow per share performance goals from the 2020 LTI awards’ final tranche with a relative TSR performance goal, weighted at 75%, and a continuation of the ESG scorecard goal, weighted at 25% and adjusted in connection with the RXO spin-off. The number of PSUs granted pursuant to the PSU Replacement Award for each of Mr. Jacobs and Mr. Harik was determined based on the grant value of the 2020 LTI awards final tranche for each of Messrs. Jacobs and Harik and the closing price of a share of the company’s common stock on February 9, 2023. The PSU Replacement Awards have an additional time-based vesting condition that generally requires continued service through February 9, 2025, or an earlier qualifying termination of service, and are subject to a restriction on the sale or transfer of shares until January 15, 2026 (which generally aligns with the vesting period for the corresponding canceled portion of the 2020 LTI awards).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325">
                <wp:simplePos x="0" y="0"/>
                <wp:positionH relativeFrom="column">
                  <wp:align>left</wp:align>
                </wp:positionH>
                <wp:positionV relativeFrom="line">
                  <wp:align>top</wp:align>
                </wp:positionV>
                <wp:extent cx="254000" cy="241300"/>
                <wp:effectExtent l="0" t="0" r="0" b="0"/>
                <wp:wrapSquare wrapText="right"/>
                <wp:docPr id="323" name="Frame200"/>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(4)</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(4)</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components of All Other Compensation for 2024 are detailed in the “All Other Compensation” table below.</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26">
                <wp:simplePos x="0" y="0"/>
                <wp:positionH relativeFrom="column">
                  <wp:align>left</wp:align>
                </wp:positionH>
                <wp:positionV relativeFrom="line">
                  <wp:align>top</wp:align>
                </wp:positionV>
                <wp:extent cx="254000" cy="241300"/>
                <wp:effectExtent l="0" t="0" r="0" b="0"/>
                <wp:wrapSquare wrapText="right"/>
                <wp:docPr id="324" name="Frame201"/>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(5)</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(5)</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Effective as of November 1, 2022, Mr. Jacobs, formerly chairman and CEO, assumed the role of executive chairman. Mr. Jacobs’ 2022 amounts reflect all of his compensation for the full fiscal year. Mr. Jacobs did not receive any additional compensation for his service as a director.</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27">
                <wp:simplePos x="0" y="0"/>
                <wp:positionH relativeFrom="column">
                  <wp:align>left</wp:align>
                </wp:positionH>
                <wp:positionV relativeFrom="line">
                  <wp:align>top</wp:align>
                </wp:positionV>
                <wp:extent cx="254000" cy="241300"/>
                <wp:effectExtent l="0" t="0" r="0" b="0"/>
                <wp:wrapSquare wrapText="right"/>
                <wp:docPr id="325" name="Frame202"/>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(6)</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(6)</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41</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190" w:before="200" w:after="283"/>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On November 1, 2022, in connection with the completion of the RXO spin-off, the outstanding PSUs granted in 2018 and 2019 to both Mr. Jacobs and Mr. Harik were modified by converting the 2018 PSU award and 2019 PSU awards held by each into time-based vesting RSU awards (“2022 Converted RSUs”). The 2022 Converted RSUs: (i) vest on December 31, 2024, generally subject to continued employment by the executive (or, in the case of Mr. Jacobs, willingness to serve on the company’s board of directors) through the vesting date; and (ii) the after-tax shares received upon the settlement of the 2022 Converted RSUs, subject to a lock-up that prohibits transfers of such shares through December 31, 2025. With respect to the previously awarded PSUs in 2018 and 2019 for Mr. Jacobs and Mr. Harik, the company reported the grant date values of those awards in the tables “Summary Compensation Table” and “Grants of Plan-Based Award” in the year of grant as if the performance conditions associated with those awards were probable. The performance conditions were not probable and the amounts that should have been reflected were $0. In 2022, these awards were modified and converted to time-based RSUs. The fair value of the awards immediately prior to the 2022 modification were zero, as the awards were not probable. The amount shown in this column represents the incremental fair value of the modified awards calculated in accordance with FASB ASC 718 at the 2022 modification date over the sum of the award amounts previously reported in our 2018 and 2019 proxy statements ($12,690,463 and $7,007,415 for Mr. Jacobs, and $1,230,004 and $1,648,799 for Mr. Harik, for 2018 and 2019, respectively). The values shown in this column (when taken together with the previously reported values) are equal to the full amount of compensation expense to be taken for these awards under FASB ASC Topic 718. The financial statements properly reflect the accounting for these awards in accordance with FASB ASC 718 for all periods.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254000" cy="241300"/>
                <wp:effectExtent l="0" t="0" r="0" b="0"/>
                <wp:wrapSquare wrapText="right"/>
                <wp:docPr id="326" name="Frame203"/>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(7)</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(7)</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Effective as of November 1, 2022, Mr. Harik, formerly chief information officer, chief customer officer, and president, North American LTL, assumed the role of CEO and was appointed a director of the company. Mr. Harik’s 2022 amounts reflect all of his compensation for the full fiscal year. Mr. Harik did not receive any additional compensation for his service as a director.</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29">
                <wp:simplePos x="0" y="0"/>
                <wp:positionH relativeFrom="column">
                  <wp:align>left</wp:align>
                </wp:positionH>
                <wp:positionV relativeFrom="line">
                  <wp:align>top</wp:align>
                </wp:positionV>
                <wp:extent cx="254000" cy="241300"/>
                <wp:effectExtent l="0" t="0" r="0" b="0"/>
                <wp:wrapSquare wrapText="right"/>
                <wp:docPr id="327" name="Frame204"/>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(8)</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(8)</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Effective as of August 11, 2023, Mr. Wismans assumed the role of CFO. Mr. Wismans’ 2023 amounts reflect all of his compensation for the full fiscal year. Effective April 7, 2024, Mr. Wismans’ base salary increased from $550,000 to $600,000. Mr. Wismans’ 2024 amounts reflect all of his compensation for the full fiscal year.</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30">
                <wp:simplePos x="0" y="0"/>
                <wp:positionH relativeFrom="column">
                  <wp:align>left</wp:align>
                </wp:positionH>
                <wp:positionV relativeFrom="line">
                  <wp:align>top</wp:align>
                </wp:positionV>
                <wp:extent cx="254000" cy="241300"/>
                <wp:effectExtent l="0" t="0" r="0" b="0"/>
                <wp:wrapSquare wrapText="right"/>
                <wp:docPr id="328" name="Frame205"/>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(9)</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(9)</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Effective as of April 21, 2023, Mr. Bates assumed the role of COO. Mr. Bates’ 2023 amounts reflect all of his compensation for the full fiscal year.</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31">
                <wp:simplePos x="0" y="0"/>
                <wp:positionH relativeFrom="column">
                  <wp:align>left</wp:align>
                </wp:positionH>
                <wp:positionV relativeFrom="line">
                  <wp:align>top</wp:align>
                </wp:positionV>
                <wp:extent cx="254000" cy="241300"/>
                <wp:effectExtent l="0" t="0" r="0" b="0"/>
                <wp:wrapSquare wrapText="right"/>
                <wp:docPr id="329" name="Frame206"/>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(10)</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(10)</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Effective as of March 13, 2023, Ms. Cassity assumed the role of CLO. Ms. Cassity’s 2023 amounts reflect all of her compensation for the full fiscal year.</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32">
                <wp:simplePos x="0" y="0"/>
                <wp:positionH relativeFrom="column">
                  <wp:align>left</wp:align>
                </wp:positionH>
                <wp:positionV relativeFrom="line">
                  <wp:align>top</wp:align>
                </wp:positionV>
                <wp:extent cx="254000" cy="241300"/>
                <wp:effectExtent l="0" t="0" r="0" b="0"/>
                <wp:wrapSquare wrapText="right"/>
                <wp:docPr id="330" name="Frame207"/>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(11)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(11)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All Other Compensation</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The following table provides the amounts included in the “All Other Compensation” column in the Summary Compensation Table for our NEOs in 2024.</w:t>
      </w:r>
      <w:r>
        <w:rPr>
          <w:rFonts w:ascii="Helvetica;Arial Narrow;sans-serif" w:hAnsi="Helvetica;Arial Narrow;sans-serif"/>
          <w:b w:val="false"/>
          <w:i/>
          <w:caps w:val="false"/>
          <w:smallCaps w:val="false"/>
          <w:color w:val="000000"/>
          <w:spacing w:val="4"/>
          <w:sz w:val="18"/>
        </w:rPr>
        <w:t xml:space="preserve"> </w:t>
      </w:r>
    </w:p>
    <w:tbl>
      <w:tblPr>
        <w:tblW w:w="6613" w:type="dxa"/>
        <w:jc w:val="left"/>
        <w:tblInd w:w="920" w:type="dxa"/>
        <w:tblLayout w:type="fixed"/>
        <w:tblCellMar>
          <w:top w:w="0" w:type="dxa"/>
          <w:left w:w="0" w:type="dxa"/>
          <w:bottom w:w="28" w:type="dxa"/>
          <w:right w:w="0" w:type="dxa"/>
        </w:tblCellMar>
      </w:tblPr>
      <w:tblGrid>
        <w:gridCol w:w="124"/>
        <w:gridCol w:w="1636"/>
        <w:gridCol w:w="109"/>
        <w:gridCol w:w="109"/>
        <w:gridCol w:w="109"/>
        <w:gridCol w:w="139"/>
        <w:gridCol w:w="139"/>
        <w:gridCol w:w="978"/>
        <w:gridCol w:w="140"/>
        <w:gridCol w:w="109"/>
        <w:gridCol w:w="109"/>
        <w:gridCol w:w="109"/>
        <w:gridCol w:w="137"/>
        <w:gridCol w:w="137"/>
        <w:gridCol w:w="816"/>
        <w:gridCol w:w="139"/>
        <w:gridCol w:w="109"/>
        <w:gridCol w:w="109"/>
        <w:gridCol w:w="109"/>
        <w:gridCol w:w="109"/>
        <w:gridCol w:w="109"/>
        <w:gridCol w:w="766"/>
        <w:gridCol w:w="109"/>
        <w:gridCol w:w="154"/>
      </w:tblGrid>
      <w:tr>
        <w:trPr/>
        <w:tc>
          <w:tcPr>
            <w:tcW w:w="124" w:type="dxa"/>
            <w:tcBorders>
              <w:bottom w:val="single" w:sz="2" w:space="0" w:color="7F7F7F"/>
            </w:tcBorders>
            <w:vAlign w:val="center"/>
          </w:tcPr>
          <w:p>
            <w:pPr>
              <w:pStyle w:val="TableContents"/>
              <w:bidi w:val="0"/>
              <w:spacing w:before="0" w:after="283"/>
              <w:jc w:val="left"/>
              <w:rPr/>
            </w:pPr>
            <w:r>
              <w:rPr/>
              <w:t>​</w:t>
            </w:r>
          </w:p>
        </w:tc>
        <w:tc>
          <w:tcPr>
            <w:tcW w:w="1636" w:type="dxa"/>
            <w:tcBorders>
              <w:bottom w:val="single" w:sz="2" w:space="0" w:color="7F7F7F"/>
            </w:tcBorders>
            <w:tcMar>
              <w:bottom w:w="43" w:type="dxa"/>
            </w:tcMar>
            <w:vAlign w:val="center"/>
          </w:tcPr>
          <w:p>
            <w:pPr>
              <w:pStyle w:val="TableContents"/>
              <w:bidi w:val="0"/>
              <w:spacing w:before="0" w:after="0"/>
              <w:jc w:val="left"/>
              <w:rPr/>
            </w:pPr>
            <w:r>
              <w:rPr/>
              <w:t xml:space="preserve">Name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96"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 xml:space="preserve">Matching </w:t>
              <w:br/>
              <w:t>Contributions</w:t>
              <w:br/>
              <w:t xml:space="preserve">to </w:t>
              <w:br/>
              <w:t>401(k) Plan</w:t>
            </w:r>
            <w:r>
              <w:rPr>
                <w:sz w:val="10"/>
              </w:rPr>
              <w:t>(1)</w:t>
            </w:r>
            <w:r>
              <w:rPr/>
              <w:t xml:space="preserve">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229"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Company-</w:t>
              <w:br/>
              <w:t>Paid Life</w:t>
              <w:br/>
              <w:t xml:space="preserve">Insurance </w:t>
              <w:br/>
              <w:t>Premiums</w:t>
            </w:r>
            <w:r>
              <w:rPr>
                <w:sz w:val="10"/>
              </w:rPr>
              <w:t>(2)</w:t>
            </w:r>
            <w:r>
              <w:rPr/>
              <w:t xml:space="preserve">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3" w:type="dxa"/>
            <w:gridSpan w:val="4"/>
            <w:tcBorders>
              <w:bottom w:val="single" w:sz="2" w:space="0" w:color="7F7F7F"/>
            </w:tcBorders>
            <w:tcMar>
              <w:bottom w:w="43" w:type="dxa"/>
            </w:tcMar>
            <w:vAlign w:val="center"/>
          </w:tcPr>
          <w:p>
            <w:pPr>
              <w:pStyle w:val="TableContents"/>
              <w:bidi w:val="0"/>
              <w:spacing w:before="0" w:after="0"/>
              <w:jc w:val="center"/>
              <w:rPr/>
            </w:pPr>
            <w:r>
              <w:rPr/>
              <w:t xml:space="preserve">Total </w:t>
              <w:b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36" w:type="dxa"/>
            <w:tcBorders/>
            <w:shd w:fill="D8D8D8" w:val="clear"/>
            <w:tcMar>
              <w:bottom w:w="0" w:type="dxa"/>
            </w:tcMar>
            <w:vAlign w:val="center"/>
          </w:tcPr>
          <w:p>
            <w:pPr>
              <w:pStyle w:val="TableContents"/>
              <w:bidi w:val="0"/>
              <w:spacing w:before="0" w:after="0"/>
              <w:jc w:val="left"/>
              <w:rPr>
                <w:b/>
              </w:rPr>
            </w:pPr>
            <w:r>
              <w:rPr>
                <w:b/>
              </w:rPr>
              <w:t>Brad Jacobs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9" w:type="dxa"/>
            <w:tcBorders/>
            <w:shd w:fill="D8D8D8" w:val="clear"/>
            <w:tcMar>
              <w:bottom w:w="0" w:type="dxa"/>
            </w:tcMar>
            <w:vAlign w:val="center"/>
          </w:tcPr>
          <w:p>
            <w:pPr>
              <w:pStyle w:val="TableContents"/>
              <w:bidi w:val="0"/>
              <w:spacing w:before="0" w:after="283"/>
              <w:jc w:val="left"/>
              <w:rPr/>
            </w:pPr>
            <w:r>
              <w:rPr/>
              <w:t>​</w:t>
            </w:r>
          </w:p>
        </w:tc>
        <w:tc>
          <w:tcPr>
            <w:tcW w:w="139" w:type="dxa"/>
            <w:tcBorders/>
            <w:shd w:fill="D8D8D8" w:val="clear"/>
            <w:tcMar>
              <w:bottom w:w="0" w:type="dxa"/>
            </w:tcMar>
            <w:vAlign w:val="center"/>
          </w:tcPr>
          <w:p>
            <w:pPr>
              <w:pStyle w:val="TableContents"/>
              <w:bidi w:val="0"/>
              <w:spacing w:before="0" w:after="283"/>
              <w:jc w:val="right"/>
              <w:rPr/>
            </w:pPr>
            <w:r>
              <w:rPr/>
              <w:t>​</w:t>
            </w:r>
          </w:p>
        </w:tc>
        <w:tc>
          <w:tcPr>
            <w:tcW w:w="978" w:type="dxa"/>
            <w:tcBorders/>
            <w:shd w:fill="D8D8D8" w:val="clear"/>
            <w:tcMar>
              <w:bottom w:w="0" w:type="dxa"/>
            </w:tcMar>
            <w:vAlign w:val="center"/>
          </w:tcPr>
          <w:p>
            <w:pPr>
              <w:pStyle w:val="TableContents"/>
              <w:bidi w:val="0"/>
              <w:spacing w:before="0" w:after="283"/>
              <w:jc w:val="right"/>
              <w:rPr/>
            </w:pPr>
            <w:r>
              <w:rPr/>
              <w:t>13,800</w:t>
            </w:r>
          </w:p>
        </w:tc>
        <w:tc>
          <w:tcPr>
            <w:tcW w:w="14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7" w:type="dxa"/>
            <w:tcBorders/>
            <w:shd w:fill="D8D8D8" w:val="clear"/>
            <w:tcMar>
              <w:bottom w:w="0" w:type="dxa"/>
            </w:tcMar>
            <w:vAlign w:val="center"/>
          </w:tcPr>
          <w:p>
            <w:pPr>
              <w:pStyle w:val="TableContents"/>
              <w:bidi w:val="0"/>
              <w:spacing w:before="0" w:after="283"/>
              <w:jc w:val="left"/>
              <w:rPr/>
            </w:pPr>
            <w:r>
              <w:rPr/>
              <w:t>​</w:t>
            </w:r>
          </w:p>
        </w:tc>
        <w:tc>
          <w:tcPr>
            <w:tcW w:w="137" w:type="dxa"/>
            <w:tcBorders/>
            <w:shd w:fill="D8D8D8" w:val="clear"/>
            <w:tcMar>
              <w:bottom w:w="0" w:type="dxa"/>
            </w:tcMar>
            <w:vAlign w:val="center"/>
          </w:tcPr>
          <w:p>
            <w:pPr>
              <w:pStyle w:val="TableContents"/>
              <w:bidi w:val="0"/>
              <w:spacing w:before="0" w:after="283"/>
              <w:jc w:val="right"/>
              <w:rPr/>
            </w:pPr>
            <w:r>
              <w:rPr/>
              <w:t>​</w:t>
            </w:r>
          </w:p>
        </w:tc>
        <w:tc>
          <w:tcPr>
            <w:tcW w:w="816" w:type="dxa"/>
            <w:tcBorders/>
            <w:shd w:fill="D8D8D8" w:val="clear"/>
            <w:tcMar>
              <w:bottom w:w="0" w:type="dxa"/>
            </w:tcMar>
            <w:vAlign w:val="center"/>
          </w:tcPr>
          <w:p>
            <w:pPr>
              <w:pStyle w:val="TableContents"/>
              <w:bidi w:val="0"/>
              <w:spacing w:before="0" w:after="283"/>
              <w:jc w:val="right"/>
              <w:rPr/>
            </w:pPr>
            <w:r>
              <w:rPr/>
              <w:t>1,515</w:t>
            </w:r>
          </w:p>
        </w:tc>
        <w:tc>
          <w:tcPr>
            <w:tcW w:w="13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15,315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6" w:type="dxa"/>
            <w:tcBorders/>
            <w:tcMar>
              <w:bottom w:w="0" w:type="dxa"/>
            </w:tcMar>
            <w:vAlign w:val="center"/>
          </w:tcPr>
          <w:p>
            <w:pPr>
              <w:pStyle w:val="TableContents"/>
              <w:bidi w:val="0"/>
              <w:spacing w:before="0" w:after="0"/>
              <w:jc w:val="left"/>
              <w:rPr>
                <w:b/>
              </w:rPr>
            </w:pPr>
            <w:r>
              <w:rPr>
                <w:b/>
              </w:rPr>
              <w:t>Mario Harik</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978" w:type="dxa"/>
            <w:tcBorders/>
            <w:tcMar>
              <w:bottom w:w="0" w:type="dxa"/>
            </w:tcMar>
            <w:vAlign w:val="center"/>
          </w:tcPr>
          <w:p>
            <w:pPr>
              <w:pStyle w:val="TableContents"/>
              <w:bidi w:val="0"/>
              <w:spacing w:before="0" w:after="283"/>
              <w:jc w:val="right"/>
              <w:rPr/>
            </w:pPr>
            <w:r>
              <w:rPr/>
              <w:t>13,800</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1,680</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15,480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36" w:type="dxa"/>
            <w:tcBorders/>
            <w:shd w:fill="D8D8D8" w:val="clear"/>
            <w:tcMar>
              <w:bottom w:w="0" w:type="dxa"/>
            </w:tcMar>
            <w:vAlign w:val="center"/>
          </w:tcPr>
          <w:p>
            <w:pPr>
              <w:pStyle w:val="TableContents"/>
              <w:bidi w:val="0"/>
              <w:spacing w:before="0" w:after="0"/>
              <w:jc w:val="left"/>
              <w:rPr>
                <w:b/>
              </w:rPr>
            </w:pPr>
            <w:r>
              <w:rPr>
                <w:b/>
              </w:rPr>
              <w:t>Kyle Wismans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9" w:type="dxa"/>
            <w:tcBorders/>
            <w:shd w:fill="D8D8D8" w:val="clear"/>
            <w:tcMar>
              <w:bottom w:w="0" w:type="dxa"/>
            </w:tcMar>
            <w:vAlign w:val="center"/>
          </w:tcPr>
          <w:p>
            <w:pPr>
              <w:pStyle w:val="TableContents"/>
              <w:bidi w:val="0"/>
              <w:spacing w:before="0" w:after="283"/>
              <w:jc w:val="left"/>
              <w:rPr/>
            </w:pPr>
            <w:r>
              <w:rPr/>
              <w:t>​</w:t>
            </w:r>
          </w:p>
        </w:tc>
        <w:tc>
          <w:tcPr>
            <w:tcW w:w="139" w:type="dxa"/>
            <w:tcBorders/>
            <w:shd w:fill="D8D8D8" w:val="clear"/>
            <w:tcMar>
              <w:bottom w:w="0" w:type="dxa"/>
            </w:tcMar>
            <w:vAlign w:val="center"/>
          </w:tcPr>
          <w:p>
            <w:pPr>
              <w:pStyle w:val="TableContents"/>
              <w:bidi w:val="0"/>
              <w:spacing w:before="0" w:after="283"/>
              <w:jc w:val="right"/>
              <w:rPr/>
            </w:pPr>
            <w:r>
              <w:rPr/>
              <w:t>​</w:t>
            </w:r>
          </w:p>
        </w:tc>
        <w:tc>
          <w:tcPr>
            <w:tcW w:w="978" w:type="dxa"/>
            <w:tcBorders/>
            <w:shd w:fill="D8D8D8" w:val="clear"/>
            <w:tcMar>
              <w:bottom w:w="0" w:type="dxa"/>
            </w:tcMar>
            <w:vAlign w:val="center"/>
          </w:tcPr>
          <w:p>
            <w:pPr>
              <w:pStyle w:val="TableContents"/>
              <w:bidi w:val="0"/>
              <w:spacing w:before="0" w:after="283"/>
              <w:jc w:val="right"/>
              <w:rPr/>
            </w:pPr>
            <w:r>
              <w:rPr/>
              <w:t>13,800</w:t>
            </w:r>
          </w:p>
        </w:tc>
        <w:tc>
          <w:tcPr>
            <w:tcW w:w="14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7" w:type="dxa"/>
            <w:tcBorders/>
            <w:shd w:fill="D8D8D8" w:val="clear"/>
            <w:tcMar>
              <w:bottom w:w="0" w:type="dxa"/>
            </w:tcMar>
            <w:vAlign w:val="center"/>
          </w:tcPr>
          <w:p>
            <w:pPr>
              <w:pStyle w:val="TableContents"/>
              <w:bidi w:val="0"/>
              <w:spacing w:before="0" w:after="283"/>
              <w:jc w:val="left"/>
              <w:rPr/>
            </w:pPr>
            <w:r>
              <w:rPr/>
              <w:t>​</w:t>
            </w:r>
          </w:p>
        </w:tc>
        <w:tc>
          <w:tcPr>
            <w:tcW w:w="137" w:type="dxa"/>
            <w:tcBorders/>
            <w:shd w:fill="D8D8D8" w:val="clear"/>
            <w:tcMar>
              <w:bottom w:w="0" w:type="dxa"/>
            </w:tcMar>
            <w:vAlign w:val="center"/>
          </w:tcPr>
          <w:p>
            <w:pPr>
              <w:pStyle w:val="TableContents"/>
              <w:bidi w:val="0"/>
              <w:spacing w:before="0" w:after="283"/>
              <w:jc w:val="right"/>
              <w:rPr/>
            </w:pPr>
            <w:r>
              <w:rPr/>
              <w:t>​</w:t>
            </w:r>
          </w:p>
        </w:tc>
        <w:tc>
          <w:tcPr>
            <w:tcW w:w="816" w:type="dxa"/>
            <w:tcBorders/>
            <w:shd w:fill="D8D8D8" w:val="clear"/>
            <w:tcMar>
              <w:bottom w:w="0" w:type="dxa"/>
            </w:tcMar>
            <w:vAlign w:val="center"/>
          </w:tcPr>
          <w:p>
            <w:pPr>
              <w:pStyle w:val="TableContents"/>
              <w:bidi w:val="0"/>
              <w:spacing w:before="0" w:after="283"/>
              <w:jc w:val="right"/>
              <w:rPr/>
            </w:pPr>
            <w:r>
              <w:rPr/>
              <w:t>1,389</w:t>
            </w:r>
          </w:p>
        </w:tc>
        <w:tc>
          <w:tcPr>
            <w:tcW w:w="13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15,189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6" w:type="dxa"/>
            <w:tcBorders/>
            <w:tcMar>
              <w:bottom w:w="0" w:type="dxa"/>
            </w:tcMar>
            <w:vAlign w:val="center"/>
          </w:tcPr>
          <w:p>
            <w:pPr>
              <w:pStyle w:val="TableContents"/>
              <w:bidi w:val="0"/>
              <w:spacing w:before="0" w:after="0"/>
              <w:jc w:val="left"/>
              <w:rPr>
                <w:b/>
              </w:rPr>
            </w:pPr>
            <w:r>
              <w:rPr>
                <w:b/>
              </w:rPr>
              <w:t>Dave Bates</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978" w:type="dxa"/>
            <w:tcBorders/>
            <w:tcMar>
              <w:bottom w:w="0" w:type="dxa"/>
            </w:tcMar>
            <w:vAlign w:val="center"/>
          </w:tcPr>
          <w:p>
            <w:pPr>
              <w:pStyle w:val="TableContents"/>
              <w:bidi w:val="0"/>
              <w:spacing w:before="0" w:after="283"/>
              <w:jc w:val="right"/>
              <w:rPr/>
            </w:pPr>
            <w:r>
              <w:rPr/>
              <w:t>13,800</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1,680</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15,480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7F7F7F"/>
            </w:tcBorders>
            <w:shd w:fill="D8D8D8" w:val="clear"/>
            <w:vAlign w:val="center"/>
          </w:tcPr>
          <w:p>
            <w:pPr>
              <w:pStyle w:val="TableContents"/>
              <w:bidi w:val="0"/>
              <w:spacing w:before="0" w:after="283"/>
              <w:jc w:val="left"/>
              <w:rPr/>
            </w:pPr>
            <w:r>
              <w:rPr/>
              <w:t>​</w:t>
            </w:r>
          </w:p>
        </w:tc>
        <w:tc>
          <w:tcPr>
            <w:tcW w:w="1636" w:type="dxa"/>
            <w:tcBorders>
              <w:bottom w:val="single" w:sz="6" w:space="0" w:color="7F7F7F"/>
            </w:tcBorders>
            <w:shd w:fill="D8D8D8" w:val="clear"/>
            <w:tcMar>
              <w:bottom w:w="80" w:type="dxa"/>
            </w:tcMar>
            <w:vAlign w:val="center"/>
          </w:tcPr>
          <w:p>
            <w:pPr>
              <w:pStyle w:val="TableContents"/>
              <w:bidi w:val="0"/>
              <w:spacing w:before="0" w:after="0"/>
              <w:jc w:val="left"/>
              <w:rPr>
                <w:b/>
              </w:rPr>
            </w:pPr>
            <w:r>
              <w:rPr>
                <w:b/>
              </w:rPr>
              <w:t>Wendy Cassity</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39" w:type="dxa"/>
            <w:tcBorders>
              <w:bottom w:val="single" w:sz="6" w:space="0" w:color="7F7F7F"/>
            </w:tcBorders>
            <w:shd w:fill="D8D8D8" w:val="clear"/>
            <w:vAlign w:val="center"/>
          </w:tcPr>
          <w:p>
            <w:pPr>
              <w:pStyle w:val="TableContents"/>
              <w:bidi w:val="0"/>
              <w:spacing w:before="0" w:after="283"/>
              <w:jc w:val="left"/>
              <w:rPr/>
            </w:pPr>
            <w:r>
              <w:rPr/>
              <w:t>​</w:t>
            </w:r>
          </w:p>
        </w:tc>
        <w:tc>
          <w:tcPr>
            <w:tcW w:w="139"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978" w:type="dxa"/>
            <w:tcBorders>
              <w:bottom w:val="single" w:sz="6" w:space="0" w:color="7F7F7F"/>
            </w:tcBorders>
            <w:shd w:fill="D8D8D8" w:val="clear"/>
            <w:tcMar>
              <w:bottom w:w="80" w:type="dxa"/>
            </w:tcMar>
            <w:vAlign w:val="center"/>
          </w:tcPr>
          <w:p>
            <w:pPr>
              <w:pStyle w:val="TableContents"/>
              <w:bidi w:val="0"/>
              <w:spacing w:before="0" w:after="283"/>
              <w:jc w:val="right"/>
              <w:rPr/>
            </w:pPr>
            <w:r>
              <w:rPr/>
              <w:t>13,800</w:t>
            </w:r>
          </w:p>
        </w:tc>
        <w:tc>
          <w:tcPr>
            <w:tcW w:w="140"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37" w:type="dxa"/>
            <w:tcBorders>
              <w:bottom w:val="single" w:sz="6" w:space="0" w:color="7F7F7F"/>
            </w:tcBorders>
            <w:shd w:fill="D8D8D8" w:val="clear"/>
            <w:vAlign w:val="center"/>
          </w:tcPr>
          <w:p>
            <w:pPr>
              <w:pStyle w:val="TableContents"/>
              <w:bidi w:val="0"/>
              <w:spacing w:before="0" w:after="283"/>
              <w:jc w:val="left"/>
              <w:rPr/>
            </w:pPr>
            <w:r>
              <w:rPr/>
              <w:t>​</w:t>
            </w:r>
          </w:p>
        </w:tc>
        <w:tc>
          <w:tcPr>
            <w:tcW w:w="137"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816" w:type="dxa"/>
            <w:tcBorders>
              <w:bottom w:val="single" w:sz="6" w:space="0" w:color="7F7F7F"/>
            </w:tcBorders>
            <w:shd w:fill="D8D8D8" w:val="clear"/>
            <w:tcMar>
              <w:bottom w:w="80" w:type="dxa"/>
            </w:tcMar>
            <w:vAlign w:val="center"/>
          </w:tcPr>
          <w:p>
            <w:pPr>
              <w:pStyle w:val="TableContents"/>
              <w:bidi w:val="0"/>
              <w:spacing w:before="0" w:after="283"/>
              <w:jc w:val="right"/>
              <w:rPr/>
            </w:pPr>
            <w:r>
              <w:rPr/>
              <w:t>1,452</w:t>
            </w:r>
          </w:p>
        </w:tc>
        <w:tc>
          <w:tcPr>
            <w:tcW w:w="13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766" w:type="dxa"/>
            <w:tcBorders>
              <w:bottom w:val="single" w:sz="6" w:space="0" w:color="7F7F7F"/>
            </w:tcBorders>
            <w:shd w:fill="D8D8D8" w:val="clear"/>
            <w:tcMar>
              <w:bottom w:w="80" w:type="dxa"/>
            </w:tcMar>
            <w:vAlign w:val="center"/>
          </w:tcPr>
          <w:p>
            <w:pPr>
              <w:pStyle w:val="TableContents"/>
              <w:bidi w:val="0"/>
              <w:spacing w:before="0" w:after="283"/>
              <w:jc w:val="right"/>
              <w:rPr/>
            </w:pPr>
            <w:r>
              <w:rPr/>
              <w:t>15,252</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54" w:type="dxa"/>
            <w:tcBorders>
              <w:bottom w:val="single" w:sz="6" w:space="0" w:color="7F7F7F"/>
            </w:tcBorders>
            <w:shd w:fill="D8D8D8" w:val="cle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Amounts in this column represent matching contributions made by XPO to the company’s 401(k) plan. Only amounts contributed directly by our NEOs are eligible for matching contributions, and our NEOs are eligible for matching contributions on the same basis as all other eligible employees of our company.</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4450" distB="0" distL="0" distR="0" simplePos="0" locked="0" layoutInCell="1" allowOverlap="1" relativeHeight="333">
                <wp:simplePos x="0" y="0"/>
                <wp:positionH relativeFrom="column">
                  <wp:align>left</wp:align>
                </wp:positionH>
                <wp:positionV relativeFrom="line">
                  <wp:align>top</wp:align>
                </wp:positionV>
                <wp:extent cx="254000" cy="241300"/>
                <wp:effectExtent l="0" t="0" r="0" b="0"/>
                <wp:wrapSquare wrapText="right"/>
                <wp:docPr id="331" name="Frame208"/>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Amounts in this column include company-paid premiums for basic life insurance.</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34">
                <wp:simplePos x="0" y="0"/>
                <wp:positionH relativeFrom="column">
                  <wp:align>left</wp:align>
                </wp:positionH>
                <wp:positionV relativeFrom="line">
                  <wp:align>top</wp:align>
                </wp:positionV>
                <wp:extent cx="254000" cy="241300"/>
                <wp:effectExtent l="0" t="0" r="0" b="0"/>
                <wp:wrapSquare wrapText="right"/>
                <wp:docPr id="332" name="Frame209"/>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(2)</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(2)</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Grants of Plan-Based Awards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The following table provides additional details regarding grants of equity plan-based awards for our NEOs in 2024.</w:t>
      </w:r>
      <w:r>
        <w:rPr>
          <w:rFonts w:ascii="Helvetica;Arial Narrow;sans-serif" w:hAnsi="Helvetica;Arial Narrow;sans-serif"/>
          <w:b w:val="false"/>
          <w:i/>
          <w:caps w:val="false"/>
          <w:smallCaps w:val="false"/>
          <w:color w:val="000000"/>
          <w:spacing w:val="4"/>
          <w:sz w:val="18"/>
        </w:rPr>
        <w:t xml:space="preserve"> </w:t>
      </w:r>
    </w:p>
    <w:tbl>
      <w:tblPr>
        <w:tblW w:w="10780" w:type="dxa"/>
        <w:jc w:val="left"/>
        <w:tblInd w:w="920" w:type="dxa"/>
        <w:tblLayout w:type="fixed"/>
        <w:tblCellMar>
          <w:top w:w="0" w:type="dxa"/>
          <w:left w:w="0" w:type="dxa"/>
          <w:bottom w:w="28" w:type="dxa"/>
          <w:right w:w="0" w:type="dxa"/>
        </w:tblCellMar>
      </w:tblPr>
      <w:tblGrid>
        <w:gridCol w:w="124"/>
        <w:gridCol w:w="1036"/>
        <w:gridCol w:w="109"/>
        <w:gridCol w:w="109"/>
        <w:gridCol w:w="109"/>
        <w:gridCol w:w="646"/>
        <w:gridCol w:w="109"/>
        <w:gridCol w:w="109"/>
        <w:gridCol w:w="109"/>
        <w:gridCol w:w="646"/>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886"/>
        <w:gridCol w:w="109"/>
        <w:gridCol w:w="109"/>
        <w:gridCol w:w="109"/>
        <w:gridCol w:w="109"/>
        <w:gridCol w:w="109"/>
        <w:gridCol w:w="109"/>
        <w:gridCol w:w="766"/>
        <w:gridCol w:w="109"/>
        <w:gridCol w:w="109"/>
        <w:gridCol w:w="109"/>
        <w:gridCol w:w="109"/>
        <w:gridCol w:w="109"/>
        <w:gridCol w:w="109"/>
        <w:gridCol w:w="1066"/>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03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64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64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4053" w:type="dxa"/>
            <w:gridSpan w:val="18"/>
            <w:tcBorders>
              <w:bottom w:val="single" w:sz="4" w:space="0" w:color="E2231A"/>
            </w:tcBorders>
            <w:tcMar>
              <w:bottom w:w="43" w:type="dxa"/>
            </w:tcMar>
            <w:vAlign w:val="center"/>
          </w:tcPr>
          <w:p>
            <w:pPr>
              <w:pStyle w:val="TableContents"/>
              <w:bidi w:val="0"/>
              <w:spacing w:before="0" w:after="0"/>
              <w:jc w:val="center"/>
              <w:rPr/>
            </w:pPr>
            <w:r>
              <w:rPr/>
              <w:t>Estimated Future Payouts</w:t>
              <w:br/>
              <w:t xml:space="preserve">Under Equity Incentive Plan Awards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vMerge w:val="restart"/>
            <w:tcBorders>
              <w:bottom w:val="single" w:sz="2" w:space="0" w:color="7F7F7F"/>
            </w:tcBorders>
            <w:vAlign w:val="center"/>
          </w:tcPr>
          <w:p>
            <w:pPr>
              <w:pStyle w:val="TableContents"/>
              <w:bidi w:val="0"/>
              <w:spacing w:before="0" w:after="283"/>
              <w:jc w:val="left"/>
              <w:rPr/>
            </w:pPr>
            <w:r>
              <w:rPr/>
              <w:t>​</w:t>
            </w:r>
          </w:p>
        </w:tc>
        <w:tc>
          <w:tcPr>
            <w:tcW w:w="1093" w:type="dxa"/>
            <w:gridSpan w:val="4"/>
            <w:vMerge w:val="restart"/>
            <w:tcBorders>
              <w:bottom w:val="single" w:sz="2" w:space="0" w:color="7F7F7F"/>
            </w:tcBorders>
            <w:tcMar>
              <w:bottom w:w="43" w:type="dxa"/>
            </w:tcMar>
            <w:vAlign w:val="center"/>
          </w:tcPr>
          <w:p>
            <w:pPr>
              <w:pStyle w:val="TableContents"/>
              <w:bidi w:val="0"/>
              <w:spacing w:lineRule="atLeast" w:line="180" w:before="0" w:after="0"/>
              <w:jc w:val="center"/>
              <w:rPr/>
            </w:pPr>
            <w:r>
              <w:rPr/>
              <w:t>All Other Stock Awards:</w:t>
              <w:br/>
              <w:t xml:space="preserve">Number of Shares of </w:t>
              <w:br/>
              <w:t xml:space="preserve">Stock or </w:t>
              <w:br/>
              <w:t xml:space="preserve">Units (#) </w:t>
            </w:r>
          </w:p>
        </w:tc>
        <w:tc>
          <w:tcPr>
            <w:tcW w:w="109" w:type="dxa"/>
            <w:vMerge w:val="restart"/>
            <w:tcBorders>
              <w:bottom w:val="single" w:sz="2" w:space="0" w:color="7F7F7F"/>
            </w:tcBorders>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vMerge w:val="restart"/>
            <w:tcBorders>
              <w:bottom w:val="single" w:sz="2" w:space="0" w:color="7F7F7F"/>
            </w:tcBorders>
            <w:vAlign w:val="center"/>
          </w:tcPr>
          <w:p>
            <w:pPr>
              <w:pStyle w:val="TableContents"/>
              <w:bidi w:val="0"/>
              <w:spacing w:before="0" w:after="283"/>
              <w:jc w:val="left"/>
              <w:rPr/>
            </w:pPr>
            <w:r>
              <w:rPr/>
              <w:t>​</w:t>
            </w:r>
          </w:p>
        </w:tc>
        <w:tc>
          <w:tcPr>
            <w:tcW w:w="1393" w:type="dxa"/>
            <w:gridSpan w:val="4"/>
            <w:vMerge w:val="restart"/>
            <w:tcBorders>
              <w:bottom w:val="single" w:sz="2" w:space="0" w:color="7F7F7F"/>
            </w:tcBorders>
            <w:tcMar>
              <w:bottom w:w="43" w:type="dxa"/>
            </w:tcMar>
            <w:vAlign w:val="center"/>
          </w:tcPr>
          <w:p>
            <w:pPr>
              <w:pStyle w:val="TableContents"/>
              <w:bidi w:val="0"/>
              <w:spacing w:lineRule="atLeast" w:line="142" w:before="0" w:after="0"/>
              <w:jc w:val="center"/>
              <w:rPr/>
            </w:pPr>
            <w:r>
              <w:rPr/>
              <w:t xml:space="preserve">Grant Date </w:t>
              <w:br/>
              <w:t xml:space="preserve">Fair Value </w:t>
              <w:br/>
              <w:t>of Stock</w:t>
              <w:br/>
              <w:t>Awards ($)</w:t>
            </w:r>
            <w:r>
              <w:rPr>
                <w:sz w:val="10"/>
              </w:rPr>
              <w:t>(3)</w:t>
            </w:r>
            <w:r>
              <w:rPr/>
              <w:t xml:space="preserve"> </w:t>
            </w:r>
          </w:p>
        </w:tc>
        <w:tc>
          <w:tcPr>
            <w:tcW w:w="154" w:type="dxa"/>
            <w:vMerge w:val="restart"/>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036" w:type="dxa"/>
            <w:tcBorders>
              <w:bottom w:val="single" w:sz="2" w:space="0" w:color="7F7F7F"/>
            </w:tcBorders>
            <w:tcMar>
              <w:bottom w:w="43" w:type="dxa"/>
            </w:tcMar>
            <w:vAlign w:val="center"/>
          </w:tcPr>
          <w:p>
            <w:pPr>
              <w:pStyle w:val="TableContents"/>
              <w:bidi w:val="0"/>
              <w:spacing w:before="0" w:after="0"/>
              <w:jc w:val="left"/>
              <w:rPr/>
            </w:pPr>
            <w:r>
              <w:rPr/>
              <w:t xml:space="preserve">Name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46" w:type="dxa"/>
            <w:tcBorders>
              <w:bottom w:val="single" w:sz="2" w:space="0" w:color="7F7F7F"/>
            </w:tcBorders>
            <w:tcMar>
              <w:bottom w:w="43" w:type="dxa"/>
            </w:tcMar>
            <w:vAlign w:val="center"/>
          </w:tcPr>
          <w:p>
            <w:pPr>
              <w:pStyle w:val="TableContents"/>
              <w:bidi w:val="0"/>
              <w:spacing w:before="0" w:after="0"/>
              <w:jc w:val="center"/>
              <w:rPr/>
            </w:pPr>
            <w:r>
              <w:rPr/>
              <w:t>Grant</w:t>
              <w:br/>
              <w:t xml:space="preserve">Date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46" w:type="dxa"/>
            <w:tcBorders>
              <w:bottom w:val="single" w:sz="2" w:space="0" w:color="7F7F7F"/>
            </w:tcBorders>
            <w:tcMar>
              <w:bottom w:w="43" w:type="dxa"/>
            </w:tcMar>
            <w:vAlign w:val="center"/>
          </w:tcPr>
          <w:p>
            <w:pPr>
              <w:pStyle w:val="TableContents"/>
              <w:bidi w:val="0"/>
              <w:spacing w:before="0" w:after="0"/>
              <w:jc w:val="center"/>
              <w:rPr/>
            </w:pPr>
            <w:r>
              <w:rPr/>
              <w:t>Grant</w:t>
              <w:br/>
              <w:t xml:space="preserve">Type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3"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Threshold (#)</w:t>
            </w:r>
            <w:r>
              <w:rPr>
                <w:sz w:val="10"/>
              </w:rPr>
              <w:t>(1)</w:t>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3" w:type="dxa"/>
            <w:gridSpan w:val="4"/>
            <w:tcBorders>
              <w:bottom w:val="single" w:sz="2" w:space="0" w:color="7F7F7F"/>
            </w:tcBorders>
            <w:tcMar>
              <w:bottom w:w="43" w:type="dxa"/>
            </w:tcMar>
            <w:vAlign w:val="center"/>
          </w:tcPr>
          <w:p>
            <w:pPr>
              <w:pStyle w:val="TableContents"/>
              <w:bidi w:val="0"/>
              <w:spacing w:before="0" w:after="0"/>
              <w:jc w:val="center"/>
              <w:rPr/>
            </w:pPr>
            <w:r>
              <w:rPr/>
              <w:t xml:space="preserve">Target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213"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Maximum (#)</w:t>
            </w:r>
            <w:r>
              <w:rPr>
                <w:sz w:val="10"/>
              </w:rPr>
              <w:t>(2)</w:t>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vMerge w:val="continue"/>
            <w:tcBorders>
              <w:bottom w:val="single" w:sz="2" w:space="0" w:color="7F7F7F"/>
            </w:tcBorders>
            <w:vAlign w:val="center"/>
          </w:tcPr>
          <w:p>
            <w:pPr>
              <w:pStyle w:val="Normal"/>
              <w:bidi w:val="0"/>
              <w:jc w:val="left"/>
              <w:rPr/>
            </w:pPr>
            <w:r>
              <w:rPr/>
            </w:r>
          </w:p>
        </w:tc>
        <w:tc>
          <w:tcPr>
            <w:tcW w:w="1093" w:type="dxa"/>
            <w:gridSpan w:val="4"/>
            <w:vMerge w:val="continue"/>
            <w:tcBorders>
              <w:bottom w:val="single" w:sz="2" w:space="0" w:color="7F7F7F"/>
            </w:tcBorders>
            <w:tcMar>
              <w:bottom w:w="43" w:type="dxa"/>
            </w:tcMar>
            <w:vAlign w:val="center"/>
          </w:tcPr>
          <w:p>
            <w:pPr>
              <w:pStyle w:val="Normal"/>
              <w:bidi w:val="0"/>
              <w:jc w:val="left"/>
              <w:rPr/>
            </w:pPr>
            <w:r>
              <w:rPr/>
            </w:r>
          </w:p>
        </w:tc>
        <w:tc>
          <w:tcPr>
            <w:tcW w:w="109" w:type="dxa"/>
            <w:vMerge w:val="continue"/>
            <w:tcBorders>
              <w:bottom w:val="single" w:sz="2" w:space="0" w:color="7F7F7F"/>
            </w:tcBorders>
            <w:tcMar>
              <w:bottom w:w="43" w:type="dxa"/>
            </w:tcMar>
            <w:vAlign w:val="center"/>
          </w:tcPr>
          <w:p>
            <w:pPr>
              <w:pStyle w:val="Normal"/>
              <w:bidi w:val="0"/>
              <w:jc w:val="left"/>
              <w:rPr/>
            </w:pPr>
            <w:r>
              <w:rPr/>
            </w:r>
          </w:p>
        </w:tc>
        <w:tc>
          <w:tcPr>
            <w:tcW w:w="109" w:type="dxa"/>
            <w:vMerge w:val="continue"/>
            <w:tcBorders>
              <w:bottom w:val="single" w:sz="2" w:space="0" w:color="7F7F7F"/>
            </w:tcBorders>
            <w:vAlign w:val="center"/>
          </w:tcPr>
          <w:p>
            <w:pPr>
              <w:pStyle w:val="Normal"/>
              <w:bidi w:val="0"/>
              <w:jc w:val="left"/>
              <w:rPr/>
            </w:pPr>
            <w:r>
              <w:rPr/>
            </w:r>
          </w:p>
        </w:tc>
        <w:tc>
          <w:tcPr>
            <w:tcW w:w="109" w:type="dxa"/>
            <w:vMerge w:val="continue"/>
            <w:tcBorders>
              <w:bottom w:val="single" w:sz="2" w:space="0" w:color="7F7F7F"/>
            </w:tcBorders>
            <w:vAlign w:val="center"/>
          </w:tcPr>
          <w:p>
            <w:pPr>
              <w:pStyle w:val="Normal"/>
              <w:bidi w:val="0"/>
              <w:jc w:val="left"/>
              <w:rPr/>
            </w:pPr>
            <w:r>
              <w:rPr/>
            </w:r>
          </w:p>
        </w:tc>
        <w:tc>
          <w:tcPr>
            <w:tcW w:w="1393" w:type="dxa"/>
            <w:gridSpan w:val="4"/>
            <w:vMerge w:val="continue"/>
            <w:tcBorders>
              <w:bottom w:val="single" w:sz="2" w:space="0" w:color="7F7F7F"/>
            </w:tcBorders>
            <w:tcMar>
              <w:bottom w:w="43" w:type="dxa"/>
            </w:tcMar>
            <w:vAlign w:val="center"/>
          </w:tcPr>
          <w:p>
            <w:pPr>
              <w:pStyle w:val="Normal"/>
              <w:bidi w:val="0"/>
              <w:jc w:val="left"/>
              <w:rPr/>
            </w:pPr>
            <w:r>
              <w:rPr/>
            </w:r>
          </w:p>
        </w:tc>
        <w:tc>
          <w:tcPr>
            <w:tcW w:w="154" w:type="dxa"/>
            <w:vMerge w:val="continue"/>
            <w:tcBorders>
              <w:bottom w:val="single" w:sz="2" w:space="0" w:color="7F7F7F"/>
            </w:tcBorders>
            <w:vAlign w:val="center"/>
          </w:tcPr>
          <w:p>
            <w:pPr>
              <w:pStyle w:val="Normal"/>
              <w:bidi w:val="0"/>
              <w:jc w:val="left"/>
              <w:rPr/>
            </w:pPr>
            <w:r>
              <w:rPr/>
            </w:r>
          </w:p>
        </w:tc>
      </w:tr>
      <w:tr>
        <w:trPr/>
        <w:tc>
          <w:tcPr>
            <w:tcW w:w="124" w:type="dxa"/>
            <w:vMerge w:val="restart"/>
            <w:tcBorders/>
            <w:shd w:fill="D8D8D8" w:val="clear"/>
            <w:tcMar>
              <w:bottom w:w="0" w:type="dxa"/>
            </w:tcMar>
            <w:vAlign w:val="center"/>
          </w:tcPr>
          <w:p>
            <w:pPr>
              <w:pStyle w:val="TableContents"/>
              <w:bidi w:val="0"/>
              <w:spacing w:before="0" w:after="283"/>
              <w:jc w:val="left"/>
              <w:rPr/>
            </w:pPr>
            <w:r>
              <w:rPr/>
              <w:t>​</w:t>
            </w:r>
          </w:p>
        </w:tc>
        <w:tc>
          <w:tcPr>
            <w:tcW w:w="1036" w:type="dxa"/>
            <w:vMerge w:val="restart"/>
            <w:tcBorders/>
            <w:shd w:fill="D8D8D8" w:val="clear"/>
            <w:tcMar>
              <w:bottom w:w="0" w:type="dxa"/>
            </w:tcMar>
            <w:vAlign w:val="center"/>
          </w:tcPr>
          <w:p>
            <w:pPr>
              <w:pStyle w:val="TableContents"/>
              <w:bidi w:val="0"/>
              <w:spacing w:lineRule="atLeast" w:line="192" w:before="0" w:after="0"/>
              <w:jc w:val="left"/>
              <w:rPr>
                <w:b/>
              </w:rPr>
            </w:pPr>
            <w:r>
              <w:rPr>
                <w:b/>
              </w:rPr>
              <w:t>Brad Jacobs</w:t>
            </w:r>
          </w:p>
        </w:tc>
        <w:tc>
          <w:tcPr>
            <w:tcW w:w="109" w:type="dxa"/>
            <w:vMerge w:val="restart"/>
            <w:tcBorders/>
            <w:shd w:fill="D8D8D8" w:val="clear"/>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lineRule="atLeast" w:line="192" w:before="0" w:after="0"/>
              <w:jc w:val="center"/>
              <w:rPr/>
            </w:pPr>
            <w:r>
              <w:rPr/>
              <w:t xml:space="preserve">3/1/2024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lineRule="atLeast" w:line="192" w:before="0" w:after="0"/>
              <w:jc w:val="center"/>
              <w:rPr/>
            </w:pPr>
            <w:r>
              <w:rPr/>
              <w:t xml:space="preserve">PSU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766" w:type="dxa"/>
            <w:tcBorders/>
            <w:shd w:fill="D8D8D8" w:val="clear"/>
            <w:tcMar>
              <w:bottom w:w="0" w:type="dxa"/>
            </w:tcMar>
            <w:vAlign w:val="center"/>
          </w:tcPr>
          <w:p>
            <w:pPr>
              <w:pStyle w:val="TableContents"/>
              <w:bidi w:val="0"/>
              <w:spacing w:lineRule="atLeast" w:line="192" w:before="0" w:after="283"/>
              <w:jc w:val="right"/>
              <w:rPr/>
            </w:pPr>
            <w:r>
              <w:rPr/>
              <w:t>14,511</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766" w:type="dxa"/>
            <w:tcBorders/>
            <w:shd w:fill="D8D8D8" w:val="clear"/>
            <w:tcMar>
              <w:bottom w:w="0" w:type="dxa"/>
            </w:tcMar>
            <w:vAlign w:val="center"/>
          </w:tcPr>
          <w:p>
            <w:pPr>
              <w:pStyle w:val="TableContents"/>
              <w:bidi w:val="0"/>
              <w:spacing w:lineRule="atLeast" w:line="192" w:before="0" w:after="283"/>
              <w:jc w:val="right"/>
              <w:rPr/>
            </w:pPr>
            <w:r>
              <w:rPr/>
              <w:t>33,167</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886" w:type="dxa"/>
            <w:tcBorders/>
            <w:shd w:fill="D8D8D8" w:val="clear"/>
            <w:tcMar>
              <w:bottom w:w="0" w:type="dxa"/>
            </w:tcMar>
            <w:vAlign w:val="center"/>
          </w:tcPr>
          <w:p>
            <w:pPr>
              <w:pStyle w:val="TableContents"/>
              <w:bidi w:val="0"/>
              <w:spacing w:lineRule="atLeast" w:line="192" w:before="0" w:after="283"/>
              <w:jc w:val="right"/>
              <w:rPr/>
            </w:pPr>
            <w:r>
              <w:rPr/>
              <w:t>66,334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766" w:type="dxa"/>
            <w:tcBorders/>
            <w:shd w:fill="D8D8D8" w:val="clear"/>
            <w:tcMar>
              <w:bottom w:w="0" w:type="dxa"/>
            </w:tcMar>
            <w:vAlign w:val="center"/>
          </w:tcPr>
          <w:p>
            <w:pPr>
              <w:pStyle w:val="TableContents"/>
              <w:bidi w:val="0"/>
              <w:spacing w:lineRule="atLeast" w:line="192"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1066" w:type="dxa"/>
            <w:tcBorders/>
            <w:shd w:fill="D8D8D8" w:val="clear"/>
            <w:tcMar>
              <w:bottom w:w="0" w:type="dxa"/>
            </w:tcMar>
            <w:vAlign w:val="center"/>
          </w:tcPr>
          <w:p>
            <w:pPr>
              <w:pStyle w:val="TableContents"/>
              <w:bidi w:val="0"/>
              <w:spacing w:lineRule="atLeast" w:line="192" w:before="0" w:after="283"/>
              <w:jc w:val="right"/>
              <w:rPr/>
            </w:pPr>
            <w:r>
              <w:rPr/>
              <w:t>4,449,864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036"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before="0" w:after="0"/>
              <w:jc w:val="center"/>
              <w:rPr/>
            </w:pPr>
            <w:r>
              <w:rPr/>
              <w:t xml:space="preserve">3/1/2024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before="0" w:after="0"/>
              <w:jc w:val="center"/>
              <w:rPr/>
            </w:pPr>
            <w:r>
              <w:rPr/>
              <w:t xml:space="preserve">RSU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8,292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1,000,015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36" w:type="dxa"/>
            <w:vMerge w:val="restart"/>
            <w:tcBorders/>
            <w:tcMar>
              <w:bottom w:w="0" w:type="dxa"/>
            </w:tcMar>
            <w:vAlign w:val="center"/>
          </w:tcPr>
          <w:p>
            <w:pPr>
              <w:pStyle w:val="TableContents"/>
              <w:bidi w:val="0"/>
              <w:spacing w:lineRule="atLeast" w:line="192" w:before="0" w:after="0"/>
              <w:jc w:val="left"/>
              <w:rPr>
                <w:b/>
              </w:rPr>
            </w:pPr>
            <w:r>
              <w:rPr>
                <w:b/>
              </w:rPr>
              <w:t>Mario Harik</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lineRule="atLeast" w:line="192" w:before="0" w:after="0"/>
              <w:jc w:val="center"/>
              <w:rPr/>
            </w:pPr>
            <w:r>
              <w:rPr/>
              <w:t xml:space="preserve">3/1/2024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lineRule="atLeast" w:line="192" w:before="0" w:after="0"/>
              <w:jc w:val="center"/>
              <w:rPr/>
            </w:pPr>
            <w:r>
              <w:rPr/>
              <w:t xml:space="preserve">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28,442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65,008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130,016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8,721,799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3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center"/>
              <w:rPr/>
            </w:pPr>
            <w:r>
              <w:rPr/>
              <w:t xml:space="preserve">3/1/2024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center"/>
              <w:rPr/>
            </w:pPr>
            <w:r>
              <w:rPr/>
              <w:t xml:space="preserve">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16,252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1,959,991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D8D8D8" w:val="clear"/>
            <w:tcMar>
              <w:bottom w:w="0" w:type="dxa"/>
            </w:tcMar>
            <w:vAlign w:val="center"/>
          </w:tcPr>
          <w:p>
            <w:pPr>
              <w:pStyle w:val="TableContents"/>
              <w:bidi w:val="0"/>
              <w:spacing w:before="0" w:after="283"/>
              <w:jc w:val="left"/>
              <w:rPr/>
            </w:pPr>
            <w:r>
              <w:rPr/>
              <w:t>​</w:t>
            </w:r>
          </w:p>
        </w:tc>
        <w:tc>
          <w:tcPr>
            <w:tcW w:w="1036" w:type="dxa"/>
            <w:vMerge w:val="restart"/>
            <w:tcBorders/>
            <w:shd w:fill="D8D8D8" w:val="clear"/>
            <w:tcMar>
              <w:bottom w:w="0" w:type="dxa"/>
            </w:tcMar>
            <w:vAlign w:val="center"/>
          </w:tcPr>
          <w:p>
            <w:pPr>
              <w:pStyle w:val="TableContents"/>
              <w:bidi w:val="0"/>
              <w:spacing w:lineRule="atLeast" w:line="192" w:before="0" w:after="0"/>
              <w:jc w:val="left"/>
              <w:rPr>
                <w:b/>
              </w:rPr>
            </w:pPr>
            <w:r>
              <w:rPr>
                <w:b/>
              </w:rPr>
              <w:t>Kyle Wismans</w:t>
            </w:r>
          </w:p>
        </w:tc>
        <w:tc>
          <w:tcPr>
            <w:tcW w:w="109" w:type="dxa"/>
            <w:vMerge w:val="restart"/>
            <w:tcBorders/>
            <w:shd w:fill="D8D8D8" w:val="clear"/>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lineRule="atLeast" w:line="192" w:before="0" w:after="0"/>
              <w:jc w:val="center"/>
              <w:rPr/>
            </w:pPr>
            <w:r>
              <w:rPr/>
              <w:t xml:space="preserve">3/1/2024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lineRule="atLeast" w:line="192" w:before="0" w:after="0"/>
              <w:jc w:val="center"/>
              <w:rPr/>
            </w:pPr>
            <w:r>
              <w:rPr/>
              <w:t xml:space="preserve">PSU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766" w:type="dxa"/>
            <w:tcBorders/>
            <w:shd w:fill="D8D8D8" w:val="clear"/>
            <w:tcMar>
              <w:bottom w:w="0" w:type="dxa"/>
            </w:tcMar>
            <w:vAlign w:val="center"/>
          </w:tcPr>
          <w:p>
            <w:pPr>
              <w:pStyle w:val="TableContents"/>
              <w:bidi w:val="0"/>
              <w:spacing w:lineRule="atLeast" w:line="192" w:before="0" w:after="283"/>
              <w:jc w:val="right"/>
              <w:rPr/>
            </w:pPr>
            <w:r>
              <w:rPr/>
              <w:t>9,433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766" w:type="dxa"/>
            <w:tcBorders/>
            <w:shd w:fill="D8D8D8" w:val="clear"/>
            <w:tcMar>
              <w:bottom w:w="0" w:type="dxa"/>
            </w:tcMar>
            <w:vAlign w:val="center"/>
          </w:tcPr>
          <w:p>
            <w:pPr>
              <w:pStyle w:val="TableContents"/>
              <w:bidi w:val="0"/>
              <w:spacing w:lineRule="atLeast" w:line="192" w:before="0" w:after="283"/>
              <w:jc w:val="right"/>
              <w:rPr/>
            </w:pPr>
            <w:r>
              <w:rPr/>
              <w:t>21,559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886" w:type="dxa"/>
            <w:tcBorders/>
            <w:shd w:fill="D8D8D8" w:val="clear"/>
            <w:tcMar>
              <w:bottom w:w="0" w:type="dxa"/>
            </w:tcMar>
            <w:vAlign w:val="center"/>
          </w:tcPr>
          <w:p>
            <w:pPr>
              <w:pStyle w:val="TableContents"/>
              <w:bidi w:val="0"/>
              <w:spacing w:lineRule="atLeast" w:line="192" w:before="0" w:after="283"/>
              <w:jc w:val="right"/>
              <w:rPr/>
            </w:pPr>
            <w:r>
              <w:rPr/>
              <w:t>43,118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766" w:type="dxa"/>
            <w:tcBorders/>
            <w:shd w:fill="D8D8D8" w:val="clear"/>
            <w:tcMar>
              <w:bottom w:w="0" w:type="dxa"/>
            </w:tcMar>
            <w:vAlign w:val="center"/>
          </w:tcPr>
          <w:p>
            <w:pPr>
              <w:pStyle w:val="TableContents"/>
              <w:bidi w:val="0"/>
              <w:spacing w:lineRule="atLeast" w:line="192"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1066" w:type="dxa"/>
            <w:tcBorders/>
            <w:shd w:fill="D8D8D8" w:val="clear"/>
            <w:tcMar>
              <w:bottom w:w="0" w:type="dxa"/>
            </w:tcMar>
            <w:vAlign w:val="center"/>
          </w:tcPr>
          <w:p>
            <w:pPr>
              <w:pStyle w:val="TableContents"/>
              <w:bidi w:val="0"/>
              <w:spacing w:lineRule="atLeast" w:line="192" w:before="0" w:after="283"/>
              <w:jc w:val="right"/>
              <w:rPr/>
            </w:pPr>
            <w:r>
              <w:rPr/>
              <w:t>2,892,477</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036"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before="0" w:after="0"/>
              <w:jc w:val="center"/>
              <w:rPr/>
            </w:pPr>
            <w:r>
              <w:rPr/>
              <w:t xml:space="preserve">3/1/2024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before="0" w:after="0"/>
              <w:jc w:val="center"/>
              <w:rPr/>
            </w:pPr>
            <w:r>
              <w:rPr/>
              <w:t xml:space="preserve">RSU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11,609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1,400,045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36" w:type="dxa"/>
            <w:vMerge w:val="restart"/>
            <w:tcBorders/>
            <w:tcMar>
              <w:bottom w:w="0" w:type="dxa"/>
            </w:tcMar>
            <w:vAlign w:val="center"/>
          </w:tcPr>
          <w:p>
            <w:pPr>
              <w:pStyle w:val="TableContents"/>
              <w:bidi w:val="0"/>
              <w:spacing w:lineRule="atLeast" w:line="192" w:before="0" w:after="0"/>
              <w:jc w:val="left"/>
              <w:rPr>
                <w:b/>
              </w:rPr>
            </w:pPr>
            <w:r>
              <w:rPr>
                <w:b/>
              </w:rPr>
              <w:t>Dave Bates</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lineRule="atLeast" w:line="192" w:before="0" w:after="0"/>
              <w:jc w:val="center"/>
              <w:rPr/>
            </w:pPr>
            <w:r>
              <w:rPr/>
              <w:t xml:space="preserve">3/1/2024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lineRule="atLeast" w:line="192" w:before="0" w:after="0"/>
              <w:jc w:val="center"/>
              <w:rPr/>
            </w:pPr>
            <w:r>
              <w:rPr/>
              <w:t xml:space="preserve">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3,537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8,085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16,170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1,084,710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3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center"/>
              <w:rPr/>
            </w:pPr>
            <w:r>
              <w:rPr/>
              <w:t xml:space="preserve">3/1/2024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center"/>
              <w:rPr/>
            </w:pPr>
            <w:r>
              <w:rPr/>
              <w:t xml:space="preserve">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524,972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bottom w:val="single" w:sz="6" w:space="0" w:color="7F7F7F"/>
            </w:tcBorders>
            <w:shd w:fill="D8D8D8" w:val="clear"/>
            <w:vAlign w:val="center"/>
          </w:tcPr>
          <w:p>
            <w:pPr>
              <w:pStyle w:val="TableContents"/>
              <w:bidi w:val="0"/>
              <w:spacing w:before="0" w:after="283"/>
              <w:jc w:val="left"/>
              <w:rPr/>
            </w:pPr>
            <w:r>
              <w:rPr/>
              <w:t>​</w:t>
            </w:r>
          </w:p>
        </w:tc>
        <w:tc>
          <w:tcPr>
            <w:tcW w:w="1036" w:type="dxa"/>
            <w:vMerge w:val="restart"/>
            <w:tcBorders>
              <w:bottom w:val="single" w:sz="6" w:space="0" w:color="7F7F7F"/>
            </w:tcBorders>
            <w:shd w:fill="D8D8D8" w:val="clear"/>
            <w:vAlign w:val="center"/>
          </w:tcPr>
          <w:p>
            <w:pPr>
              <w:pStyle w:val="TableContents"/>
              <w:bidi w:val="0"/>
              <w:spacing w:lineRule="atLeast" w:line="192" w:before="0" w:after="0"/>
              <w:jc w:val="left"/>
              <w:rPr>
                <w:b/>
              </w:rPr>
            </w:pPr>
            <w:r>
              <w:rPr>
                <w:b/>
              </w:rPr>
              <w:t>Wendy Cassity</w:t>
            </w:r>
          </w:p>
        </w:tc>
        <w:tc>
          <w:tcPr>
            <w:tcW w:w="109" w:type="dxa"/>
            <w:vMerge w:val="restart"/>
            <w:tcBorders>
              <w:bottom w:val="single" w:sz="6" w:space="0" w:color="7F7F7F"/>
            </w:tcBorders>
            <w:shd w:fill="D8D8D8" w:val="clear"/>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lineRule="atLeast" w:line="192" w:before="0" w:after="0"/>
              <w:jc w:val="center"/>
              <w:rPr/>
            </w:pPr>
            <w:r>
              <w:rPr/>
              <w:t xml:space="preserve">3/1/2024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lineRule="atLeast" w:line="192" w:before="0" w:after="0"/>
              <w:jc w:val="center"/>
              <w:rPr/>
            </w:pPr>
            <w:r>
              <w:rPr/>
              <w:t xml:space="preserve">PSU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766" w:type="dxa"/>
            <w:tcBorders/>
            <w:shd w:fill="D8D8D8" w:val="clear"/>
            <w:tcMar>
              <w:bottom w:w="0" w:type="dxa"/>
            </w:tcMar>
            <w:vAlign w:val="center"/>
          </w:tcPr>
          <w:p>
            <w:pPr>
              <w:pStyle w:val="TableContents"/>
              <w:bidi w:val="0"/>
              <w:spacing w:lineRule="atLeast" w:line="192" w:before="0" w:after="283"/>
              <w:jc w:val="right"/>
              <w:rPr/>
            </w:pPr>
            <w:r>
              <w:rPr/>
              <w:t>2,359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766" w:type="dxa"/>
            <w:tcBorders/>
            <w:shd w:fill="D8D8D8" w:val="clear"/>
            <w:tcMar>
              <w:bottom w:w="0" w:type="dxa"/>
            </w:tcMar>
            <w:vAlign w:val="center"/>
          </w:tcPr>
          <w:p>
            <w:pPr>
              <w:pStyle w:val="TableContents"/>
              <w:bidi w:val="0"/>
              <w:spacing w:lineRule="atLeast" w:line="192" w:before="0" w:after="283"/>
              <w:jc w:val="right"/>
              <w:rPr/>
            </w:pPr>
            <w:r>
              <w:rPr/>
              <w:t>5,390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886" w:type="dxa"/>
            <w:tcBorders/>
            <w:shd w:fill="D8D8D8" w:val="clear"/>
            <w:tcMar>
              <w:bottom w:w="0" w:type="dxa"/>
            </w:tcMar>
            <w:vAlign w:val="center"/>
          </w:tcPr>
          <w:p>
            <w:pPr>
              <w:pStyle w:val="TableContents"/>
              <w:bidi w:val="0"/>
              <w:spacing w:lineRule="atLeast" w:line="192" w:before="0" w:after="283"/>
              <w:jc w:val="right"/>
              <w:rPr/>
            </w:pPr>
            <w:r>
              <w:rPr/>
              <w:t>10,780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766" w:type="dxa"/>
            <w:tcBorders/>
            <w:shd w:fill="D8D8D8" w:val="clear"/>
            <w:tcMar>
              <w:bottom w:w="0" w:type="dxa"/>
            </w:tcMar>
            <w:vAlign w:val="center"/>
          </w:tcPr>
          <w:p>
            <w:pPr>
              <w:pStyle w:val="TableContents"/>
              <w:bidi w:val="0"/>
              <w:spacing w:lineRule="atLeast" w:line="192"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92" w:before="0" w:after="283"/>
              <w:jc w:val="right"/>
              <w:rPr/>
            </w:pPr>
            <w:r>
              <w:rPr/>
              <w:t>​</w:t>
            </w:r>
          </w:p>
        </w:tc>
        <w:tc>
          <w:tcPr>
            <w:tcW w:w="1066" w:type="dxa"/>
            <w:tcBorders/>
            <w:shd w:fill="D8D8D8" w:val="clear"/>
            <w:tcMar>
              <w:bottom w:w="0" w:type="dxa"/>
            </w:tcMar>
            <w:vAlign w:val="center"/>
          </w:tcPr>
          <w:p>
            <w:pPr>
              <w:pStyle w:val="TableContents"/>
              <w:bidi w:val="0"/>
              <w:spacing w:lineRule="atLeast" w:line="192" w:before="0" w:after="283"/>
              <w:jc w:val="right"/>
              <w:rPr/>
            </w:pPr>
            <w:r>
              <w:rPr/>
              <w:t>723,122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7F7F7F"/>
            </w:tcBorders>
            <w:shd w:fill="D8D8D8" w:val="clear"/>
            <w:vAlign w:val="center"/>
          </w:tcPr>
          <w:p>
            <w:pPr>
              <w:pStyle w:val="Normal"/>
              <w:bidi w:val="0"/>
              <w:jc w:val="left"/>
              <w:rPr/>
            </w:pPr>
            <w:r>
              <w:rPr/>
            </w:r>
          </w:p>
        </w:tc>
        <w:tc>
          <w:tcPr>
            <w:tcW w:w="1036" w:type="dxa"/>
            <w:vMerge w:val="continue"/>
            <w:tcBorders>
              <w:bottom w:val="single" w:sz="6" w:space="0" w:color="7F7F7F"/>
            </w:tcBorders>
            <w:shd w:fill="D8D8D8" w:val="clear"/>
            <w:vAlign w:val="center"/>
          </w:tcPr>
          <w:p>
            <w:pPr>
              <w:pStyle w:val="Normal"/>
              <w:bidi w:val="0"/>
              <w:jc w:val="left"/>
              <w:rPr/>
            </w:pPr>
            <w:r>
              <w:rPr/>
            </w:r>
          </w:p>
        </w:tc>
        <w:tc>
          <w:tcPr>
            <w:tcW w:w="109" w:type="dxa"/>
            <w:vMerge w:val="continue"/>
            <w:tcBorders>
              <w:bottom w:val="single" w:sz="6" w:space="0" w:color="7F7F7F"/>
            </w:tcBorders>
            <w:shd w:fill="D8D8D8" w:val="clear"/>
            <w:vAlign w:val="center"/>
          </w:tcPr>
          <w:p>
            <w:pPr>
              <w:pStyle w:val="Normal"/>
              <w:bidi w:val="0"/>
              <w:jc w:val="left"/>
              <w:rPr/>
            </w:pPr>
            <w:r>
              <w:rPr/>
            </w:r>
          </w:p>
        </w:tc>
        <w:tc>
          <w:tcPr>
            <w:tcW w:w="109" w:type="dxa"/>
            <w:vMerge w:val="continue"/>
            <w:tcBorders>
              <w:bottom w:val="single" w:sz="2" w:space="0" w:color="7F7F7F"/>
            </w:tcBorders>
            <w:shd w:fill="7F7F7F"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before="0" w:after="0"/>
              <w:jc w:val="center"/>
              <w:rPr/>
            </w:pPr>
            <w:r>
              <w:rPr/>
              <w:t xml:space="preserve">3/1/2024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46" w:type="dxa"/>
            <w:tcBorders/>
            <w:shd w:fill="D8D8D8" w:val="clear"/>
            <w:tcMar>
              <w:bottom w:w="0" w:type="dxa"/>
            </w:tcMar>
            <w:vAlign w:val="center"/>
          </w:tcPr>
          <w:p>
            <w:pPr>
              <w:pStyle w:val="TableContents"/>
              <w:bidi w:val="0"/>
              <w:spacing w:before="0" w:after="0"/>
              <w:jc w:val="center"/>
              <w:rPr/>
            </w:pPr>
            <w:r>
              <w:rPr/>
              <w:t xml:space="preserve">RSU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2,902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349,981</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108"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amounts in this column reflect the number of potential shares earned for threshold performance for each performance metric of each award.</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68580" distB="0" distL="0" distR="0" simplePos="0" locked="0" layoutInCell="1" allowOverlap="1" relativeHeight="335">
                <wp:simplePos x="0" y="0"/>
                <wp:positionH relativeFrom="column">
                  <wp:align>left</wp:align>
                </wp:positionH>
                <wp:positionV relativeFrom="line">
                  <wp:align>top</wp:align>
                </wp:positionV>
                <wp:extent cx="254000" cy="241300"/>
                <wp:effectExtent l="0" t="0" r="0" b="0"/>
                <wp:wrapSquare wrapText="right"/>
                <wp:docPr id="333" name="Frame210"/>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maximum level that may be paid is 200% of target.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36">
                <wp:simplePos x="0" y="0"/>
                <wp:positionH relativeFrom="column">
                  <wp:align>left</wp:align>
                </wp:positionH>
                <wp:positionV relativeFrom="line">
                  <wp:align>top</wp:align>
                </wp:positionV>
                <wp:extent cx="254000" cy="241300"/>
                <wp:effectExtent l="0" t="0" r="0" b="0"/>
                <wp:wrapSquare wrapText="right"/>
                <wp:docPr id="334" name="Frame211"/>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(2)</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(2)</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6"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The amounts in this column generally reflect the aggregate grant date fair value of the awards made during each respective year, as computed in accordance with Financial Accounting Standards Board Accounting Standards Codification 718 “Compensation  —  Stock Compensation” ​(“FASB ASC 718”). The amounts reported for the performance stock units reflect achievement of the performance goals at target. At the grant date, these awards were expected to vest at the maximum, and the actual grant date fair value </w:t>
      </w:r>
      <w:r>
        <mc:AlternateContent>
          <mc:Choice Requires="wps">
            <w:drawing>
              <wp:anchor behindDoc="0" distT="48260" distB="0" distL="0" distR="0" simplePos="0" locked="0" layoutInCell="1" allowOverlap="1" relativeHeight="337">
                <wp:simplePos x="0" y="0"/>
                <wp:positionH relativeFrom="column">
                  <wp:align>left</wp:align>
                </wp:positionH>
                <wp:positionV relativeFrom="line">
                  <wp:align>top</wp:align>
                </wp:positionV>
                <wp:extent cx="254000" cy="241300"/>
                <wp:effectExtent l="0" t="0" r="0" b="0"/>
                <wp:wrapSquare wrapText="right"/>
                <wp:docPr id="335" name="Frame212"/>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(3)</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(3)</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42</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180" w:before="200" w:after="283"/>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calculated in accordance with FASB ASC 718 for these awards was $7,449,789, $14,601,772, $4,842,458, $1,816,029 and $1,210,708, for Mr. Jacobs, Mr. Harik, Mr. Wismans, Mr. Bates and Ms. Cassity, respectively. Note that these amounts may not correspond to the actual value realized by each NEO, as they are based upon company performance over the three-year performance period. For additional information related to the measurement of stock-based compensation awards, see “Notes to Consolidated Financial Statements — Note 15. Stock-Based Compensation” in our 2024 Form 10-K.</w:t>
      </w:r>
      <w:r>
        <w:rPr>
          <w:rFonts w:ascii="Arial Narrow;Helvetica;sans-serif" w:hAnsi="Arial Narrow;Helvetica;sans-serif"/>
          <w:b w:val="false"/>
          <w:i w:val="false"/>
          <w:caps w:val="false"/>
          <w:smallCaps w:val="false"/>
          <w:color w:val="000000"/>
          <w:spacing w:val="3"/>
          <w:sz w:val="15"/>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Additional information relevant to the awards shown in the above table, including a discussion of the applicable performance criteria and the actual payouts under such awards, is included below under the heading </w:t>
      </w:r>
      <w:r>
        <w:rPr>
          <w:rFonts w:ascii="Helvetica;Arial Narrow;sans-serif" w:hAnsi="Helvetica;Arial Narrow;sans-serif"/>
          <w:b w:val="false"/>
          <w:i/>
          <w:caps w:val="false"/>
          <w:smallCaps w:val="false"/>
          <w:color w:val="000000"/>
          <w:sz w:val="18"/>
        </w:rPr>
        <w:t>Outstanding Equity Awards at Fiscal Year-End</w:t>
      </w:r>
      <w:r>
        <w:rPr>
          <w:rFonts w:ascii="Helvetica;Arial Narrow;sans-serif" w:hAnsi="Helvetica;Arial Narrow;sans-serif"/>
          <w:b w:val="false"/>
          <w:i w:val="false"/>
          <w:caps w:val="false"/>
          <w:smallCaps w:val="false"/>
          <w:color w:val="000000"/>
          <w:spacing w:val="-2"/>
          <w:sz w:val="18"/>
        </w:rPr>
        <w: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Outstanding Equity Awards at Fiscal Year-End</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left"/>
        <w:rPr>
          <w:rFonts w:ascii="Helvetica;Arial Narrow;sans-serif" w:hAnsi="Helvetica;Arial Narrow;sans-serif"/>
          <w:b w:val="false"/>
          <w:i/>
          <w:caps w:val="false"/>
          <w:smallCaps w:val="false"/>
          <w:color w:val="404040"/>
          <w:sz w:val="18"/>
        </w:rPr>
      </w:pPr>
      <w:r>
        <w:rPr>
          <w:rFonts w:ascii="Helvetica;Arial Narrow;sans-serif" w:hAnsi="Helvetica;Arial Narrow;sans-serif"/>
          <w:b w:val="false"/>
          <w:i/>
          <w:caps w:val="false"/>
          <w:smallCaps w:val="false"/>
          <w:color w:val="404040"/>
          <w:sz w:val="18"/>
        </w:rPr>
        <w:t>The following table sets forth the outstanding equity awards held by our NEOs as of December 31, 2024.</w:t>
      </w:r>
      <w:r>
        <w:rPr>
          <w:rFonts w:ascii="Helvetica;Arial Narrow;sans-serif" w:hAnsi="Helvetica;Arial Narrow;sans-serif"/>
          <w:b w:val="false"/>
          <w:i/>
          <w:caps w:val="false"/>
          <w:smallCaps w:val="false"/>
          <w:color w:val="000000"/>
          <w:spacing w:val="4"/>
          <w:sz w:val="18"/>
        </w:rPr>
        <w:t xml:space="preserve"> </w:t>
      </w:r>
    </w:p>
    <w:tbl>
      <w:tblPr>
        <w:tblW w:w="9285" w:type="dxa"/>
        <w:jc w:val="left"/>
        <w:tblInd w:w="920" w:type="dxa"/>
        <w:tblLayout w:type="fixed"/>
        <w:tblCellMar>
          <w:top w:w="0" w:type="dxa"/>
          <w:left w:w="0" w:type="dxa"/>
          <w:bottom w:w="28" w:type="dxa"/>
          <w:right w:w="0" w:type="dxa"/>
        </w:tblCellMar>
      </w:tblPr>
      <w:tblGrid>
        <w:gridCol w:w="124"/>
        <w:gridCol w:w="1181"/>
        <w:gridCol w:w="109"/>
        <w:gridCol w:w="109"/>
        <w:gridCol w:w="109"/>
        <w:gridCol w:w="116"/>
        <w:gridCol w:w="116"/>
        <w:gridCol w:w="1030"/>
        <w:gridCol w:w="116"/>
        <w:gridCol w:w="109"/>
        <w:gridCol w:w="109"/>
        <w:gridCol w:w="109"/>
        <w:gridCol w:w="109"/>
        <w:gridCol w:w="109"/>
        <w:gridCol w:w="1258"/>
        <w:gridCol w:w="109"/>
        <w:gridCol w:w="109"/>
        <w:gridCol w:w="109"/>
        <w:gridCol w:w="109"/>
        <w:gridCol w:w="125"/>
        <w:gridCol w:w="125"/>
        <w:gridCol w:w="1257"/>
        <w:gridCol w:w="125"/>
        <w:gridCol w:w="109"/>
        <w:gridCol w:w="109"/>
        <w:gridCol w:w="109"/>
        <w:gridCol w:w="121"/>
        <w:gridCol w:w="121"/>
        <w:gridCol w:w="1548"/>
        <w:gridCol w:w="121"/>
        <w:gridCol w:w="166"/>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18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7487" w:type="dxa"/>
            <w:gridSpan w:val="25"/>
            <w:tcBorders>
              <w:bottom w:val="single" w:sz="4" w:space="0" w:color="E2231A"/>
            </w:tcBorders>
            <w:tcMar>
              <w:bottom w:w="50" w:type="dxa"/>
            </w:tcMar>
            <w:vAlign w:val="center"/>
          </w:tcPr>
          <w:p>
            <w:pPr>
              <w:pStyle w:val="TableContents"/>
              <w:bidi w:val="0"/>
              <w:spacing w:before="0" w:after="0"/>
              <w:jc w:val="center"/>
              <w:rPr/>
            </w:pPr>
            <w:r>
              <w:rPr/>
              <w:t xml:space="preserve">Stock Awards </w:t>
            </w:r>
          </w:p>
        </w:tc>
        <w:tc>
          <w:tcPr>
            <w:tcW w:w="166" w:type="dxa"/>
            <w:tcBorders>
              <w:bottom w:val="single" w:sz="12" w:space="0" w:color="FFFFF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181" w:type="dxa"/>
            <w:tcBorders>
              <w:bottom w:val="single" w:sz="2" w:space="0" w:color="7F7F7F"/>
            </w:tcBorders>
            <w:tcMar>
              <w:bottom w:w="43" w:type="dxa"/>
            </w:tcMar>
            <w:vAlign w:val="center"/>
          </w:tcPr>
          <w:p>
            <w:pPr>
              <w:pStyle w:val="TableContents"/>
              <w:bidi w:val="0"/>
              <w:spacing w:before="0" w:after="0"/>
              <w:jc w:val="left"/>
              <w:rPr/>
            </w:pPr>
            <w:r>
              <w:rPr/>
              <w:t xml:space="preserve">Name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378"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 xml:space="preserve">Number of </w:t>
              <w:br/>
              <w:t>Shares or</w:t>
              <w:br/>
              <w:t xml:space="preserve">Units of Stock </w:t>
              <w:br/>
              <w:t>That Have</w:t>
              <w:br/>
              <w:t>Not Vested (#)</w:t>
            </w:r>
            <w:r>
              <w:rPr>
                <w:sz w:val="10"/>
              </w:rPr>
              <w:t>(1)(2)</w:t>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85"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 xml:space="preserve">Market Value of </w:t>
              <w:br/>
              <w:t xml:space="preserve">Shares or </w:t>
              <w:br/>
              <w:t xml:space="preserve">Units of Stock </w:t>
              <w:br/>
              <w:t xml:space="preserve">That Have Not </w:t>
              <w:br/>
              <w:t>Vested ($)</w:t>
            </w:r>
            <w:r>
              <w:rPr>
                <w:sz w:val="10"/>
              </w:rPr>
              <w:t>(3)</w:t>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632"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 xml:space="preserve">Equity Incentive </w:t>
              <w:br/>
              <w:t>Plan Awards:</w:t>
              <w:br/>
              <w:t xml:space="preserve">Number of Unearned </w:t>
              <w:br/>
              <w:t xml:space="preserve">Shares, Units or </w:t>
              <w:br/>
              <w:t xml:space="preserve">Other Rights That </w:t>
              <w:br/>
              <w:t>Have Not Vested (#)</w:t>
            </w:r>
            <w:r>
              <w:rPr>
                <w:sz w:val="10"/>
              </w:rPr>
              <w:t>(1)(4)</w:t>
            </w:r>
            <w:r>
              <w:rP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911"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 xml:space="preserve">Equity Incentive </w:t>
              <w:br/>
              <w:t>Plan Awards:</w:t>
              <w:br/>
              <w:t>Market or Payout Value</w:t>
              <w:br/>
              <w:t>of Unearned Shares,</w:t>
              <w:br/>
              <w:t xml:space="preserve">Units or Other Rights That </w:t>
              <w:br/>
              <w:t>Have Not Vested ($)</w:t>
            </w:r>
            <w:r>
              <w:rPr>
                <w:sz w:val="10"/>
              </w:rPr>
              <w:t>(3)</w:t>
            </w:r>
            <w:r>
              <w:rPr/>
              <w:t xml:space="preserve"> </w:t>
            </w:r>
          </w:p>
        </w:tc>
        <w:tc>
          <w:tcPr>
            <w:tcW w:w="166"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181" w:type="dxa"/>
            <w:tcBorders/>
            <w:shd w:fill="D8D8D8" w:val="clear"/>
            <w:tcMar>
              <w:bottom w:w="0" w:type="dxa"/>
            </w:tcMar>
            <w:vAlign w:val="center"/>
          </w:tcPr>
          <w:p>
            <w:pPr>
              <w:pStyle w:val="TableContents"/>
              <w:bidi w:val="0"/>
              <w:spacing w:before="0" w:after="0"/>
              <w:jc w:val="left"/>
              <w:rPr>
                <w:b/>
              </w:rPr>
            </w:pPr>
            <w:r>
              <w:rPr>
                <w:b/>
              </w:rPr>
              <w:t>Brad Jacobs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right"/>
              <w:rPr/>
            </w:pPr>
            <w:r>
              <w:rPr/>
              <w:t>​</w:t>
            </w:r>
          </w:p>
        </w:tc>
        <w:tc>
          <w:tcPr>
            <w:tcW w:w="1030" w:type="dxa"/>
            <w:tcBorders/>
            <w:shd w:fill="D8D8D8" w:val="clear"/>
            <w:tcMar>
              <w:bottom w:w="0" w:type="dxa"/>
            </w:tcMar>
            <w:vAlign w:val="center"/>
          </w:tcPr>
          <w:p>
            <w:pPr>
              <w:pStyle w:val="TableContents"/>
              <w:bidi w:val="0"/>
              <w:spacing w:before="0" w:after="283"/>
              <w:jc w:val="right"/>
              <w:rPr/>
            </w:pPr>
            <w:r>
              <w:rPr/>
              <w:t>522,186</w:t>
            </w:r>
            <w:r>
              <w:rPr>
                <w:sz w:val="11"/>
              </w:rPr>
              <w:t>(5)</w:t>
            </w:r>
            <w:r>
              <w:rPr/>
              <w:t xml:space="preserve"> </w:t>
            </w:r>
          </w:p>
        </w:tc>
        <w:tc>
          <w:tcPr>
            <w:tcW w:w="116"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58" w:type="dxa"/>
            <w:tcBorders/>
            <w:shd w:fill="D8D8D8" w:val="clear"/>
            <w:tcMar>
              <w:bottom w:w="0" w:type="dxa"/>
            </w:tcMar>
            <w:vAlign w:val="center"/>
          </w:tcPr>
          <w:p>
            <w:pPr>
              <w:pStyle w:val="TableContents"/>
              <w:bidi w:val="0"/>
              <w:spacing w:before="0" w:after="283"/>
              <w:jc w:val="right"/>
              <w:rPr/>
            </w:pPr>
            <w:r>
              <w:rPr/>
              <w:t>68,484,694</w:t>
            </w:r>
            <w:r>
              <w:rPr>
                <w:sz w:val="11"/>
              </w:rPr>
              <w:t>(5)</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5" w:type="dxa"/>
            <w:tcBorders/>
            <w:shd w:fill="D8D8D8" w:val="clear"/>
            <w:tcMar>
              <w:bottom w:w="0" w:type="dxa"/>
            </w:tcMar>
            <w:vAlign w:val="center"/>
          </w:tcPr>
          <w:p>
            <w:pPr>
              <w:pStyle w:val="TableContents"/>
              <w:bidi w:val="0"/>
              <w:spacing w:before="0" w:after="283"/>
              <w:jc w:val="left"/>
              <w:rPr/>
            </w:pPr>
            <w:r>
              <w:rPr/>
              <w:t>​</w:t>
            </w:r>
          </w:p>
        </w:tc>
        <w:tc>
          <w:tcPr>
            <w:tcW w:w="125" w:type="dxa"/>
            <w:tcBorders/>
            <w:shd w:fill="D8D8D8" w:val="clear"/>
            <w:tcMar>
              <w:bottom w:w="0" w:type="dxa"/>
            </w:tcMar>
            <w:vAlign w:val="center"/>
          </w:tcPr>
          <w:p>
            <w:pPr>
              <w:pStyle w:val="TableContents"/>
              <w:bidi w:val="0"/>
              <w:spacing w:before="0" w:after="283"/>
              <w:jc w:val="right"/>
              <w:rPr/>
            </w:pPr>
            <w:r>
              <w:rPr/>
              <w:t>​</w:t>
            </w:r>
          </w:p>
        </w:tc>
        <w:tc>
          <w:tcPr>
            <w:tcW w:w="1257" w:type="dxa"/>
            <w:tcBorders/>
            <w:shd w:fill="D8D8D8" w:val="clear"/>
            <w:tcMar>
              <w:bottom w:w="0" w:type="dxa"/>
            </w:tcMar>
            <w:vAlign w:val="center"/>
          </w:tcPr>
          <w:p>
            <w:pPr>
              <w:pStyle w:val="TableContents"/>
              <w:bidi w:val="0"/>
              <w:spacing w:before="0" w:after="283"/>
              <w:jc w:val="right"/>
              <w:rPr/>
            </w:pPr>
            <w:r>
              <w:rPr/>
              <w:t>286,962</w:t>
            </w:r>
            <w:r>
              <w:rPr>
                <w:sz w:val="11"/>
              </w:rPr>
              <w:t>(6)</w:t>
            </w:r>
            <w:r>
              <w:rPr/>
              <w:t xml:space="preserve"> </w:t>
            </w:r>
          </w:p>
        </w:tc>
        <w:tc>
          <w:tcPr>
            <w:tcW w:w="125"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1" w:type="dxa"/>
            <w:tcBorders/>
            <w:shd w:fill="D8D8D8" w:val="clear"/>
            <w:tcMar>
              <w:bottom w:w="0" w:type="dxa"/>
            </w:tcMar>
            <w:vAlign w:val="center"/>
          </w:tcPr>
          <w:p>
            <w:pPr>
              <w:pStyle w:val="TableContents"/>
              <w:bidi w:val="0"/>
              <w:spacing w:before="0" w:after="283"/>
              <w:jc w:val="left"/>
              <w:rPr/>
            </w:pPr>
            <w:r>
              <w:rPr/>
              <w:t>​</w:t>
            </w:r>
          </w:p>
        </w:tc>
        <w:tc>
          <w:tcPr>
            <w:tcW w:w="121" w:type="dxa"/>
            <w:tcBorders/>
            <w:shd w:fill="D8D8D8" w:val="clear"/>
            <w:tcMar>
              <w:bottom w:w="0" w:type="dxa"/>
            </w:tcMar>
            <w:vAlign w:val="center"/>
          </w:tcPr>
          <w:p>
            <w:pPr>
              <w:pStyle w:val="TableContents"/>
              <w:bidi w:val="0"/>
              <w:spacing w:before="0" w:after="283"/>
              <w:jc w:val="right"/>
              <w:rPr/>
            </w:pPr>
            <w:r>
              <w:rPr/>
              <w:t>​</w:t>
            </w:r>
          </w:p>
        </w:tc>
        <w:tc>
          <w:tcPr>
            <w:tcW w:w="1548" w:type="dxa"/>
            <w:tcBorders/>
            <w:shd w:fill="D8D8D8" w:val="clear"/>
            <w:tcMar>
              <w:bottom w:w="0" w:type="dxa"/>
            </w:tcMar>
            <w:vAlign w:val="center"/>
          </w:tcPr>
          <w:p>
            <w:pPr>
              <w:pStyle w:val="TableContents"/>
              <w:bidi w:val="0"/>
              <w:spacing w:before="0" w:after="283"/>
              <w:jc w:val="right"/>
              <w:rPr/>
            </w:pPr>
            <w:r>
              <w:rPr/>
              <w:t>37,635,066</w:t>
            </w:r>
            <w:r>
              <w:rPr>
                <w:sz w:val="11"/>
              </w:rPr>
              <w:t>(6)</w:t>
            </w:r>
            <w:r>
              <w:rPr/>
              <w:t xml:space="preserve"> </w:t>
            </w:r>
          </w:p>
        </w:tc>
        <w:tc>
          <w:tcPr>
            <w:tcW w:w="121"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81" w:type="dxa"/>
            <w:tcBorders/>
            <w:tcMar>
              <w:bottom w:w="0" w:type="dxa"/>
            </w:tcMar>
            <w:vAlign w:val="center"/>
          </w:tcPr>
          <w:p>
            <w:pPr>
              <w:pStyle w:val="TableContents"/>
              <w:bidi w:val="0"/>
              <w:spacing w:before="0" w:after="0"/>
              <w:jc w:val="left"/>
              <w:rPr>
                <w:b/>
              </w:rPr>
            </w:pPr>
            <w:r>
              <w:rPr>
                <w:b/>
              </w:rPr>
              <w:t>Mario Harik</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030" w:type="dxa"/>
            <w:tcBorders/>
            <w:tcMar>
              <w:bottom w:w="0" w:type="dxa"/>
            </w:tcMar>
            <w:vAlign w:val="center"/>
          </w:tcPr>
          <w:p>
            <w:pPr>
              <w:pStyle w:val="TableContents"/>
              <w:bidi w:val="0"/>
              <w:spacing w:before="0" w:after="283"/>
              <w:jc w:val="right"/>
              <w:rPr/>
            </w:pPr>
            <w:r>
              <w:rPr/>
              <w:t>183,352</w:t>
            </w:r>
            <w:r>
              <w:rPr>
                <w:sz w:val="11"/>
              </w:rPr>
              <w:t>(7)</w:t>
            </w:r>
            <w:r>
              <w:rPr/>
              <w:t xml:space="preserve"> </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24,046,615</w:t>
            </w:r>
            <w:r>
              <w:rPr>
                <w:sz w:val="11"/>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806,702</w:t>
            </w:r>
            <w:r>
              <w:rPr>
                <w:sz w:val="11"/>
              </w:rPr>
              <w:t>(8)</w:t>
            </w:r>
            <w:r>
              <w:rPr/>
              <w:t xml:space="preserve">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48" w:type="dxa"/>
            <w:tcBorders/>
            <w:tcMar>
              <w:bottom w:w="0" w:type="dxa"/>
            </w:tcMar>
            <w:vAlign w:val="center"/>
          </w:tcPr>
          <w:p>
            <w:pPr>
              <w:pStyle w:val="TableContents"/>
              <w:bidi w:val="0"/>
              <w:spacing w:before="0" w:after="283"/>
              <w:jc w:val="right"/>
              <w:rPr/>
            </w:pPr>
            <w:r>
              <w:rPr/>
              <w:t>105,798,967</w:t>
            </w:r>
            <w:r>
              <w:rPr>
                <w:sz w:val="11"/>
              </w:rPr>
              <w:t>(8)</w:t>
            </w:r>
            <w:r>
              <w:rPr/>
              <w:t xml:space="preserve"> </w:t>
            </w:r>
          </w:p>
        </w:tc>
        <w:tc>
          <w:tcPr>
            <w:tcW w:w="121"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181" w:type="dxa"/>
            <w:tcBorders/>
            <w:shd w:fill="D8D8D8" w:val="clear"/>
            <w:tcMar>
              <w:bottom w:w="0" w:type="dxa"/>
            </w:tcMar>
            <w:vAlign w:val="center"/>
          </w:tcPr>
          <w:p>
            <w:pPr>
              <w:pStyle w:val="TableContents"/>
              <w:bidi w:val="0"/>
              <w:spacing w:before="0" w:after="0"/>
              <w:jc w:val="left"/>
              <w:rPr>
                <w:b/>
              </w:rPr>
            </w:pPr>
            <w:r>
              <w:rPr>
                <w:b/>
              </w:rPr>
              <w:t>Kyle Wismans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right"/>
              <w:rPr/>
            </w:pPr>
            <w:r>
              <w:rPr/>
              <w:t>​</w:t>
            </w:r>
          </w:p>
        </w:tc>
        <w:tc>
          <w:tcPr>
            <w:tcW w:w="1030" w:type="dxa"/>
            <w:tcBorders/>
            <w:shd w:fill="D8D8D8" w:val="clear"/>
            <w:tcMar>
              <w:bottom w:w="0" w:type="dxa"/>
            </w:tcMar>
            <w:vAlign w:val="center"/>
          </w:tcPr>
          <w:p>
            <w:pPr>
              <w:pStyle w:val="TableContents"/>
              <w:bidi w:val="0"/>
              <w:spacing w:before="0" w:after="283"/>
              <w:jc w:val="right"/>
              <w:rPr/>
            </w:pPr>
            <w:r>
              <w:rPr/>
              <w:t>30,696</w:t>
            </w:r>
            <w:r>
              <w:rPr>
                <w:sz w:val="11"/>
              </w:rPr>
              <w:t>(9)</w:t>
            </w:r>
            <w:r>
              <w:rPr/>
              <w:t xml:space="preserve"> </w:t>
            </w:r>
          </w:p>
        </w:tc>
        <w:tc>
          <w:tcPr>
            <w:tcW w:w="116"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58" w:type="dxa"/>
            <w:tcBorders/>
            <w:shd w:fill="D8D8D8" w:val="clear"/>
            <w:tcMar>
              <w:bottom w:w="0" w:type="dxa"/>
            </w:tcMar>
            <w:vAlign w:val="center"/>
          </w:tcPr>
          <w:p>
            <w:pPr>
              <w:pStyle w:val="TableContents"/>
              <w:bidi w:val="0"/>
              <w:spacing w:before="0" w:after="283"/>
              <w:jc w:val="right"/>
              <w:rPr/>
            </w:pPr>
            <w:r>
              <w:rPr/>
              <w:t>4,025,780</w:t>
            </w:r>
            <w:r>
              <w:rPr>
                <w:sz w:val="11"/>
              </w:rPr>
              <w:t>(9)</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5" w:type="dxa"/>
            <w:tcBorders/>
            <w:shd w:fill="D8D8D8" w:val="clear"/>
            <w:tcMar>
              <w:bottom w:w="0" w:type="dxa"/>
            </w:tcMar>
            <w:vAlign w:val="center"/>
          </w:tcPr>
          <w:p>
            <w:pPr>
              <w:pStyle w:val="TableContents"/>
              <w:bidi w:val="0"/>
              <w:spacing w:before="0" w:after="283"/>
              <w:jc w:val="left"/>
              <w:rPr/>
            </w:pPr>
            <w:r>
              <w:rPr/>
              <w:t>​</w:t>
            </w:r>
          </w:p>
        </w:tc>
        <w:tc>
          <w:tcPr>
            <w:tcW w:w="125" w:type="dxa"/>
            <w:tcBorders/>
            <w:shd w:fill="D8D8D8" w:val="clear"/>
            <w:tcMar>
              <w:bottom w:w="0" w:type="dxa"/>
            </w:tcMar>
            <w:vAlign w:val="center"/>
          </w:tcPr>
          <w:p>
            <w:pPr>
              <w:pStyle w:val="TableContents"/>
              <w:bidi w:val="0"/>
              <w:spacing w:before="0" w:after="283"/>
              <w:jc w:val="right"/>
              <w:rPr/>
            </w:pPr>
            <w:r>
              <w:rPr/>
              <w:t>​</w:t>
            </w:r>
          </w:p>
        </w:tc>
        <w:tc>
          <w:tcPr>
            <w:tcW w:w="1257" w:type="dxa"/>
            <w:tcBorders/>
            <w:shd w:fill="D8D8D8" w:val="clear"/>
            <w:tcMar>
              <w:bottom w:w="0" w:type="dxa"/>
            </w:tcMar>
            <w:vAlign w:val="center"/>
          </w:tcPr>
          <w:p>
            <w:pPr>
              <w:pStyle w:val="TableContents"/>
              <w:bidi w:val="0"/>
              <w:spacing w:before="0" w:after="283"/>
              <w:jc w:val="right"/>
              <w:rPr/>
            </w:pPr>
            <w:r>
              <w:rPr/>
              <w:t>66,574</w:t>
            </w:r>
            <w:r>
              <w:rPr>
                <w:sz w:val="11"/>
              </w:rPr>
              <w:t>(10)</w:t>
            </w:r>
            <w:r>
              <w:rPr/>
              <w:t xml:space="preserve"> </w:t>
            </w:r>
          </w:p>
        </w:tc>
        <w:tc>
          <w:tcPr>
            <w:tcW w:w="125"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1" w:type="dxa"/>
            <w:tcBorders/>
            <w:shd w:fill="D8D8D8" w:val="clear"/>
            <w:tcMar>
              <w:bottom w:w="0" w:type="dxa"/>
            </w:tcMar>
            <w:vAlign w:val="center"/>
          </w:tcPr>
          <w:p>
            <w:pPr>
              <w:pStyle w:val="TableContents"/>
              <w:bidi w:val="0"/>
              <w:spacing w:before="0" w:after="283"/>
              <w:jc w:val="left"/>
              <w:rPr/>
            </w:pPr>
            <w:r>
              <w:rPr/>
              <w:t>​</w:t>
            </w:r>
          </w:p>
        </w:tc>
        <w:tc>
          <w:tcPr>
            <w:tcW w:w="121" w:type="dxa"/>
            <w:tcBorders/>
            <w:shd w:fill="D8D8D8" w:val="clear"/>
            <w:tcMar>
              <w:bottom w:w="0" w:type="dxa"/>
            </w:tcMar>
            <w:vAlign w:val="center"/>
          </w:tcPr>
          <w:p>
            <w:pPr>
              <w:pStyle w:val="TableContents"/>
              <w:bidi w:val="0"/>
              <w:spacing w:before="0" w:after="283"/>
              <w:jc w:val="right"/>
              <w:rPr/>
            </w:pPr>
            <w:r>
              <w:rPr/>
              <w:t>​</w:t>
            </w:r>
          </w:p>
        </w:tc>
        <w:tc>
          <w:tcPr>
            <w:tcW w:w="1548" w:type="dxa"/>
            <w:tcBorders/>
            <w:shd w:fill="D8D8D8" w:val="clear"/>
            <w:tcMar>
              <w:bottom w:w="0" w:type="dxa"/>
            </w:tcMar>
            <w:vAlign w:val="center"/>
          </w:tcPr>
          <w:p>
            <w:pPr>
              <w:pStyle w:val="TableContents"/>
              <w:bidi w:val="0"/>
              <w:spacing w:before="0" w:after="283"/>
              <w:jc w:val="right"/>
              <w:rPr/>
            </w:pPr>
            <w:r>
              <w:rPr/>
              <w:t>8,731,180</w:t>
            </w:r>
            <w:r>
              <w:rPr>
                <w:sz w:val="11"/>
              </w:rPr>
              <w:t>(10)</w:t>
            </w:r>
            <w:r>
              <w:rPr/>
              <w:t xml:space="preserve"> </w:t>
            </w:r>
          </w:p>
        </w:tc>
        <w:tc>
          <w:tcPr>
            <w:tcW w:w="121"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81" w:type="dxa"/>
            <w:tcBorders/>
            <w:tcMar>
              <w:bottom w:w="0" w:type="dxa"/>
            </w:tcMar>
            <w:vAlign w:val="center"/>
          </w:tcPr>
          <w:p>
            <w:pPr>
              <w:pStyle w:val="TableContents"/>
              <w:bidi w:val="0"/>
              <w:spacing w:before="0" w:after="0"/>
              <w:jc w:val="left"/>
              <w:rPr>
                <w:b/>
              </w:rPr>
            </w:pPr>
            <w:r>
              <w:rPr>
                <w:b/>
              </w:rPr>
              <w:t>Dave Bates</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030" w:type="dxa"/>
            <w:tcBorders/>
            <w:tcMar>
              <w:bottom w:w="0" w:type="dxa"/>
            </w:tcMar>
            <w:vAlign w:val="center"/>
          </w:tcPr>
          <w:p>
            <w:pPr>
              <w:pStyle w:val="TableContents"/>
              <w:bidi w:val="0"/>
              <w:spacing w:before="0" w:after="283"/>
              <w:jc w:val="right"/>
              <w:rPr/>
            </w:pPr>
            <w:r>
              <w:rPr/>
              <w:t>42,404</w:t>
            </w:r>
            <w:r>
              <w:rPr>
                <w:sz w:val="11"/>
              </w:rPr>
              <w:t>(11)</w:t>
            </w:r>
            <w:r>
              <w:rPr/>
              <w:t xml:space="preserve"> </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5,561,285</w:t>
            </w:r>
            <w:r>
              <w:rPr>
                <w:sz w:val="11"/>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264,920</w:t>
            </w:r>
            <w:r>
              <w:rPr>
                <w:sz w:val="11"/>
              </w:rPr>
              <w:t>(12)</w:t>
            </w:r>
            <w:r>
              <w:rPr/>
              <w:t xml:space="preserve">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48" w:type="dxa"/>
            <w:tcBorders/>
            <w:tcMar>
              <w:bottom w:w="0" w:type="dxa"/>
            </w:tcMar>
            <w:vAlign w:val="center"/>
          </w:tcPr>
          <w:p>
            <w:pPr>
              <w:pStyle w:val="TableContents"/>
              <w:bidi w:val="0"/>
              <w:spacing w:before="0" w:after="283"/>
              <w:jc w:val="right"/>
              <w:rPr/>
            </w:pPr>
            <w:r>
              <w:rPr/>
              <w:t>34,744,258</w:t>
            </w:r>
            <w:r>
              <w:rPr>
                <w:sz w:val="11"/>
              </w:rPr>
              <w:t>(12)</w:t>
            </w:r>
            <w:r>
              <w:rPr/>
              <w:t xml:space="preserve"> </w:t>
            </w:r>
          </w:p>
        </w:tc>
        <w:tc>
          <w:tcPr>
            <w:tcW w:w="121"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7F7F7F"/>
            </w:tcBorders>
            <w:shd w:fill="D8D8D8" w:val="clear"/>
            <w:vAlign w:val="center"/>
          </w:tcPr>
          <w:p>
            <w:pPr>
              <w:pStyle w:val="TableContents"/>
              <w:bidi w:val="0"/>
              <w:spacing w:before="0" w:after="283"/>
              <w:jc w:val="left"/>
              <w:rPr/>
            </w:pPr>
            <w:r>
              <w:rPr/>
              <w:t>​</w:t>
            </w:r>
          </w:p>
        </w:tc>
        <w:tc>
          <w:tcPr>
            <w:tcW w:w="1181" w:type="dxa"/>
            <w:tcBorders>
              <w:bottom w:val="single" w:sz="6" w:space="0" w:color="7F7F7F"/>
            </w:tcBorders>
            <w:shd w:fill="D8D8D8" w:val="clear"/>
            <w:tcMar>
              <w:bottom w:w="80" w:type="dxa"/>
            </w:tcMar>
            <w:vAlign w:val="center"/>
          </w:tcPr>
          <w:p>
            <w:pPr>
              <w:pStyle w:val="TableContents"/>
              <w:bidi w:val="0"/>
              <w:spacing w:before="0" w:after="0"/>
              <w:jc w:val="left"/>
              <w:rPr>
                <w:b/>
              </w:rPr>
            </w:pPr>
            <w:r>
              <w:rPr>
                <w:b/>
              </w:rPr>
              <w:t>Wendy Cassity</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16" w:type="dxa"/>
            <w:tcBorders>
              <w:bottom w:val="single" w:sz="6" w:space="0" w:color="7F7F7F"/>
            </w:tcBorders>
            <w:shd w:fill="D8D8D8" w:val="clear"/>
            <w:vAlign w:val="center"/>
          </w:tcPr>
          <w:p>
            <w:pPr>
              <w:pStyle w:val="TableContents"/>
              <w:bidi w:val="0"/>
              <w:spacing w:before="0" w:after="283"/>
              <w:jc w:val="left"/>
              <w:rPr/>
            </w:pPr>
            <w:r>
              <w:rPr/>
              <w:t>​</w:t>
            </w:r>
          </w:p>
        </w:tc>
        <w:tc>
          <w:tcPr>
            <w:tcW w:w="116"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1030" w:type="dxa"/>
            <w:tcBorders>
              <w:bottom w:val="single" w:sz="6" w:space="0" w:color="7F7F7F"/>
            </w:tcBorders>
            <w:shd w:fill="D8D8D8" w:val="clear"/>
            <w:tcMar>
              <w:bottom w:w="80" w:type="dxa"/>
            </w:tcMar>
            <w:vAlign w:val="center"/>
          </w:tcPr>
          <w:p>
            <w:pPr>
              <w:pStyle w:val="TableContents"/>
              <w:bidi w:val="0"/>
              <w:spacing w:before="0" w:after="283"/>
              <w:jc w:val="right"/>
              <w:rPr/>
            </w:pPr>
            <w:r>
              <w:rPr/>
              <w:t>20,483</w:t>
            </w:r>
            <w:r>
              <w:rPr>
                <w:sz w:val="11"/>
              </w:rPr>
              <w:t>(13)</w:t>
            </w:r>
            <w:r>
              <w:rPr/>
              <w:t xml:space="preserve"> </w:t>
            </w:r>
          </w:p>
        </w:tc>
        <w:tc>
          <w:tcPr>
            <w:tcW w:w="116"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1258" w:type="dxa"/>
            <w:tcBorders>
              <w:bottom w:val="single" w:sz="6" w:space="0" w:color="7F7F7F"/>
            </w:tcBorders>
            <w:shd w:fill="D8D8D8" w:val="clear"/>
            <w:tcMar>
              <w:bottom w:w="80" w:type="dxa"/>
            </w:tcMar>
            <w:vAlign w:val="center"/>
          </w:tcPr>
          <w:p>
            <w:pPr>
              <w:pStyle w:val="TableContents"/>
              <w:bidi w:val="0"/>
              <w:spacing w:before="0" w:after="283"/>
              <w:jc w:val="right"/>
              <w:rPr/>
            </w:pPr>
            <w:r>
              <w:rPr/>
              <w:t>2,686,345</w:t>
            </w:r>
            <w:r>
              <w:rPr>
                <w:sz w:val="11"/>
              </w:rPr>
              <w:t>(13)</w:t>
            </w:r>
            <w:r>
              <w:rPr/>
              <w:t xml:space="preserve"> </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25" w:type="dxa"/>
            <w:tcBorders>
              <w:bottom w:val="single" w:sz="6" w:space="0" w:color="7F7F7F"/>
            </w:tcBorders>
            <w:shd w:fill="D8D8D8" w:val="clear"/>
            <w:vAlign w:val="center"/>
          </w:tcPr>
          <w:p>
            <w:pPr>
              <w:pStyle w:val="TableContents"/>
              <w:bidi w:val="0"/>
              <w:spacing w:before="0" w:after="283"/>
              <w:jc w:val="left"/>
              <w:rPr/>
            </w:pPr>
            <w:r>
              <w:rPr/>
              <w:t>​</w:t>
            </w:r>
          </w:p>
        </w:tc>
        <w:tc>
          <w:tcPr>
            <w:tcW w:w="125"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1257" w:type="dxa"/>
            <w:tcBorders>
              <w:bottom w:val="single" w:sz="6" w:space="0" w:color="7F7F7F"/>
            </w:tcBorders>
            <w:shd w:fill="D8D8D8" w:val="clear"/>
            <w:tcMar>
              <w:bottom w:w="80" w:type="dxa"/>
            </w:tcMar>
            <w:vAlign w:val="center"/>
          </w:tcPr>
          <w:p>
            <w:pPr>
              <w:pStyle w:val="TableContents"/>
              <w:bidi w:val="0"/>
              <w:spacing w:before="0" w:after="283"/>
              <w:jc w:val="right"/>
              <w:rPr/>
            </w:pPr>
            <w:r>
              <w:rPr/>
              <w:t>41,092</w:t>
            </w:r>
            <w:r>
              <w:rPr>
                <w:sz w:val="11"/>
              </w:rPr>
              <w:t>(14)</w:t>
            </w:r>
            <w:r>
              <w:rPr/>
              <w:t xml:space="preserve"> </w:t>
            </w:r>
          </w:p>
        </w:tc>
        <w:tc>
          <w:tcPr>
            <w:tcW w:w="125"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21" w:type="dxa"/>
            <w:tcBorders>
              <w:bottom w:val="single" w:sz="6" w:space="0" w:color="7F7F7F"/>
            </w:tcBorders>
            <w:shd w:fill="D8D8D8" w:val="clear"/>
            <w:vAlign w:val="center"/>
          </w:tcPr>
          <w:p>
            <w:pPr>
              <w:pStyle w:val="TableContents"/>
              <w:bidi w:val="0"/>
              <w:spacing w:before="0" w:after="283"/>
              <w:jc w:val="left"/>
              <w:rPr/>
            </w:pPr>
            <w:r>
              <w:rPr/>
              <w:t>​</w:t>
            </w:r>
          </w:p>
        </w:tc>
        <w:tc>
          <w:tcPr>
            <w:tcW w:w="121"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1548" w:type="dxa"/>
            <w:tcBorders>
              <w:bottom w:val="single" w:sz="6" w:space="0" w:color="7F7F7F"/>
            </w:tcBorders>
            <w:shd w:fill="D8D8D8" w:val="clear"/>
            <w:tcMar>
              <w:bottom w:w="80" w:type="dxa"/>
            </w:tcMar>
            <w:vAlign w:val="center"/>
          </w:tcPr>
          <w:p>
            <w:pPr>
              <w:pStyle w:val="TableContents"/>
              <w:bidi w:val="0"/>
              <w:spacing w:before="0" w:after="283"/>
              <w:jc w:val="right"/>
              <w:rPr/>
            </w:pPr>
            <w:r>
              <w:rPr/>
              <w:t>5,389,216</w:t>
            </w:r>
            <w:r>
              <w:rPr>
                <w:sz w:val="11"/>
              </w:rPr>
              <w:t>(14)</w:t>
            </w:r>
          </w:p>
        </w:tc>
        <w:tc>
          <w:tcPr>
            <w:tcW w:w="121" w:type="dxa"/>
            <w:tcBorders>
              <w:bottom w:val="single" w:sz="6" w:space="0" w:color="7F7F7F"/>
            </w:tcBorders>
            <w:shd w:fill="D8D8D8" w:val="clear"/>
            <w:vAlign w:val="center"/>
          </w:tcPr>
          <w:p>
            <w:pPr>
              <w:pStyle w:val="TableContents"/>
              <w:bidi w:val="0"/>
              <w:spacing w:before="0" w:after="283"/>
              <w:jc w:val="left"/>
              <w:rPr/>
            </w:pPr>
            <w:r>
              <w:rPr/>
              <w:t>​</w:t>
            </w:r>
          </w:p>
        </w:tc>
        <w:tc>
          <w:tcPr>
            <w:tcW w:w="166" w:type="dxa"/>
            <w:tcBorders>
              <w:bottom w:val="single" w:sz="6" w:space="0" w:color="7F7F7F"/>
            </w:tcBorders>
            <w:shd w:fill="D8D8D8" w:val="clear"/>
            <w:vAlign w:val="center"/>
          </w:tcPr>
          <w:p>
            <w:pPr>
              <w:pStyle w:val="TableContents"/>
              <w:bidi w:val="0"/>
              <w:spacing w:before="0" w:after="283"/>
              <w:jc w:val="left"/>
              <w:rPr/>
            </w:pPr>
            <w:r>
              <w:rPr/>
              <w:t>​</w:t>
            </w:r>
          </w:p>
        </w:tc>
      </w:tr>
    </w:tbl>
    <w:p>
      <w:pPr>
        <w:pStyle w:val="TextBody"/>
        <w:bidi w:val="0"/>
        <w:spacing w:lineRule="atLeast" w:line="180" w:before="70" w:after="283"/>
        <w:ind w:left="9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Note: Vesting of all outstanding equity awards is subject to continued employment by the NEO on the applicable vesting date, subject to certain exceptions in connection with a qualifying termination of employment. See the “Potential Payments Upon Termination or Change of Control” table below for more details.</w:t>
      </w:r>
      <w:r>
        <w:rPr>
          <w:rFonts w:ascii="Arial Narrow;Helvetica;sans-serif" w:hAnsi="Arial Narrow;Helvetica;sans-serif"/>
          <w:b w:val="false"/>
          <w:i w:val="false"/>
          <w:caps w:val="false"/>
          <w:smallCaps w:val="false"/>
          <w:color w:val="000000"/>
          <w:spacing w:val="3"/>
          <w:sz w:val="15"/>
        </w:rPr>
        <w:t xml:space="preserve"> </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In order to preserve the value of the awards held by employees continuing with XPO following each of the spin-offs of GXO Logistics, Inc. (“GXO”) and RXO, as applicable, including our NEOs, the numbers of outstanding shares underlying outstanding awards were adjusted using the ratios and methodologies outlined in each employee matters agreement, as applicable. The GXO ratio was based on the closing price per share of XPO common stock on July 30, 2021, compared with the closing price per share of XPO common stock on August 2, 2021. The RXO ratio was based on either: (i) the closing price per share of XPO common stock on October 31, 2022, compared with the closing price per share of XPO common stock on November 1, 2022; or (ii) a distribution ratio of one share of RXO common stock for every share of XPO common stock. The modification of these awards in connection with either spin-off did not result in incremental compensation cost.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38">
                <wp:simplePos x="0" y="0"/>
                <wp:positionH relativeFrom="column">
                  <wp:align>left</wp:align>
                </wp:positionH>
                <wp:positionV relativeFrom="line">
                  <wp:align>top</wp:align>
                </wp:positionV>
                <wp:extent cx="254000" cy="350520"/>
                <wp:effectExtent l="0" t="0" r="0" b="0"/>
                <wp:wrapSquare wrapText="right"/>
                <wp:docPr id="336"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(1)</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In accordance with the RXO spin-off distribution ratio, the outstanding RXO RSUs are as follows: Mr. Harik received 28,031 RXO PSUs that have been certified at 52% and converted to time-based RXO RSUs through the remainder of the vesting period valued at $668,259; and Mr. Wismans received 1,713 RXO RSUs valued at $40,838 calculated using $23.84, the closing price of RXO common stock on the NYSE on December 31, 2024, the last trading day of our fiscal year 2024. The value of these RXO RSUs is not reflected in the table above.</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right"/>
                <wp:docPr id="337"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(2)</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values reflected in this column were calculated using $131.15, the closing price per share of XPO common stock on the NYSE on December 31, 2024, the last trading day of our fiscal year 2024.</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40">
                <wp:simplePos x="0" y="0"/>
                <wp:positionH relativeFrom="column">
                  <wp:align>left</wp:align>
                </wp:positionH>
                <wp:positionV relativeFrom="line">
                  <wp:align>top</wp:align>
                </wp:positionV>
                <wp:extent cx="254000" cy="350520"/>
                <wp:effectExtent l="0" t="0" r="0" b="0"/>
                <wp:wrapSquare wrapText="right"/>
                <wp:docPr id="338"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(3)</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In accordance with the RXO spin-off distribution ratio, the outstanding RXO PSUs are as follows: Mr. Harik received 28,031 RXO PSUs valued at $668,259 using $23.84, the closing price per share of RXO common stock on the NYSE on December 31, 2024, the last trading day of our fiscal year 2024. These PSUs have been certified at 52% and have converted to time-based RXO RSUs for the remainder of the vesting period. The value of these RXO RSUs is not reflected in the table above.</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339"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(4)</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99,102 PSUs and 396,406 PSUs that vest on February 9, 2025, resulting from performance certifications at 150% and 200%, respectively, and are counted as time-based RSUs through the remainder of the vesting period; (ii) 18,386 RSUs that vest in equal installments on March 15, 2025 and March 15, 2026; and (iii) 8,292 RSUs that vest in equal installments on March 15, 2025, March 15, 2026, and March 15, 2027.</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340"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(5)</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110,314 target PSUs that vest on March 6, 2026; and (ii) 33,167 target PSUs that vest on March 1, 2027, subject to achievement of the performance criteria defined below. PSUs are reflected at the maximum level. The 99,102 PSUs and 396,406 PSUs that resulted from the performance certification at 150% and 200%, respectively, are converted to time-based RSUs through the remainder of the vesting period on February 9, 2025.</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341"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(6)</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7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March 6, 2026, subject to achievement of certain performance criteria. The PSUs are shown at the maximum level, with achievement of target performance goals as follows: (i) LTL adjusted EBITDA growth of at least 8% (40% of award); (ii) LTL adjusted operating ratio Improvement of at least 300 basis points (20% of award); and (iii) our company’s TSR ranking at the completion of the performance period relative to each company in the S&amp;P Transportation Select Industry Index TSR (in the order of lowest to highest TSR) at a minimum of the 60th percentile (40% of award).</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25400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42"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190" w:before="0" w:after="283"/>
                        <w:jc w:val="both"/>
                        <w:rPr/>
                      </w:pPr>
                      <w:r>
                        <w:rPr/>
                        <w:t>a.</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7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March 1, 2027, subject to achievement of certain performance criteria. The PSUs are shown at the maximum level, with achievement of target performance goals as follows: (i) LTL adjusted EBITDA growth of at least 12% (35% of award); (ii) LTL adjusted operating ratio Improvement of at least 450 basis points (40% of award); and (iii) our company’s TSR ranking at the completion of the performance period relative to each company in the S&amp;P Transportation Select Industry Index TSR (in the order of lowest to highest TSR) at the 55th percentile (25% of award).</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25400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right"/>
                <wp:docPr id="343"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190" w:before="0" w:after="283"/>
                        <w:jc w:val="both"/>
                        <w:rPr/>
                      </w:pPr>
                      <w:r>
                        <w:rPr/>
                        <w:t>b.</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28,031 PSUs that resulted from performance certification at 52% and converted to time-based RSUs through the remainder of the vesting period; (ii) 22,298 PSUs and 89,192 PSUs that vest February 9, 2025, resulting from performance certifications at 150% and 200%, respectively, and are counted as time-based RSUs through the remainder of the vesting period; (iii) 27,579 RSUs that vest in equal installments on March 15, 2025 and March 15, 2026; and (iv) 16,252 RSUs that vest in equal installments on March 15, 2025, March 15, 2026 and March 15, 2027.</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344"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(7)</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8"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165,472 target PSUs that are eligible to vest on March 6, 2026; (ii) 172,871 target PSUs that are eligible to vest on August 5, 2026 subject to the TSR Performance Goal with a relative TSR Multiplier; and (iii) 65,008 target PSUs that vest on March 1, 2027 both as defined below. 28,031 PSUs resulted from performance certification at 52% and converted to time-based RSUs through the remainder of the vesting period, and the 22,298 and 89,192 PSUs that resulted from performance certifications at 150% and 200%, respectively, are converted to time-based RSUs through the remainder of the vesting period. The PSUs that vest on March 6, 2026 and August 5, 2026 are restricted from sale until one year after the settlement date, except in death or change of control termination. The PSUs are reflected at a maximum payout of 200% of target. The target award can be earned based on individual or aggregate attainment of the performance goals as detailed below. The award is earned based on a sliding scale with a minimum payout of 0% and a maximum payout of 200% of target.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9530" distB="0" distL="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45"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(8)</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43</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190" w:before="200" w:after="283"/>
        <w:ind w:left="17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March 6, 2026, subject to achievement of certain performance goals. See footnote 6a. above for additional terms of these PSUs.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0" distB="0" distL="254000" distR="0" simplePos="0" locked="0" layoutInCell="1" allowOverlap="1" relativeHeight="348">
                <wp:simplePos x="0" y="0"/>
                <wp:positionH relativeFrom="column">
                  <wp:align>left</wp:align>
                </wp:positionH>
                <wp:positionV relativeFrom="line">
                  <wp:posOffset>635</wp:posOffset>
                </wp:positionV>
                <wp:extent cx="254000" cy="350520"/>
                <wp:effectExtent l="0" t="0" r="0" b="0"/>
                <wp:wrapSquare wrapText="right"/>
                <wp:docPr id="346"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190" w:before="0" w:after="283"/>
                        <w:jc w:val="left"/>
                        <w:rPr/>
                      </w:pPr>
                      <w:r>
                        <w:rPr/>
                        <w:t>a.</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7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August 5, 2026, subject to achievement of a relative TSR goal with a relative TSR multiplier; cannot be earned until after the four-year performance period ending August 5, 2026. The goals underlying these PSUs are: (i) company TSR ranking at the completion of the performance period relative to each company in the S&amp;P Midcap 400 Index TSR (in the order of lowest to highest TSR) at a minimum of the 67th percentile (the “TSR Performance Goal”); and (ii) a multiplier of company TSR over the performance period that exceeds the aggregate weighted TSR of certain pre-selected transportation peers over the performance period by a minimum of 200 basis points (the “TSR Multiplier”).</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25400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47"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0" w:before="0" w:after="283"/>
                        <w:jc w:val="both"/>
                        <w:rPr/>
                      </w:pPr>
                      <w:r>
                        <w:rPr/>
                        <w:t>b.</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7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March 1, 2027, subject to achievement of certain performance goals. See footnote 6b. above for additional terms of these PSUs.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25400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48"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left"/>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0" w:before="0" w:after="283"/>
                        <w:jc w:val="left"/>
                        <w:rPr/>
                      </w:pPr>
                      <w:r>
                        <w:rPr/>
                        <w:t>c.</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1,087 RSUs that vest on March 10, 2025; (ii) 626 RSUs that vest on November 14, 2025; (iii) 7,945 RSUs that vest in substantially equal installments on February 15, 2025 and February 15, 2026; (iv) 5,975 RSUs that vest in substantially equal installments on March 15, 2025 and March 15, 2026; (v) 3,454 RSUs that vest on August 15, 2027; and (vi) 11,609 RSUs that vest in equal installments on March 15, 2025, March 15, 2026 and March 15, 2027.</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49"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(9)</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8,274 target PSUs that vest on March 6, 2026; (ii) 21,559 target PSUs that vest on March 1, 2027; and (iii) 3,454 target PSUs that vest on August 15, 2027, subject to achievement of certain performance goals. PSUs are reflected at the maximum level.</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50"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(10)</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7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March 6, 2026, subject to achievement of certain performance goals. See footnote 6a. above for additional terms of these PSUs.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25400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351"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0" w:before="0" w:after="283"/>
                        <w:jc w:val="left"/>
                        <w:rPr/>
                      </w:pPr>
                      <w:r>
                        <w:rPr/>
                        <w:t>a.</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7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March 1, 2027, subject to achievement of certain performance goals. See footnote 6b. above for additional terms of these PSUs.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25400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right"/>
                <wp:docPr id="352"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0" w:before="0" w:after="283"/>
                        <w:jc w:val="left"/>
                        <w:rPr/>
                      </w:pPr>
                      <w:r>
                        <w:rPr/>
                        <w:t>b.</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7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August 15, 2027, subject to achievement of the TSR performance goals as follows: (i) achievement of threshold opportunity at 50% payout for the company’s Total Shareholder Return Percentile Position vs. Index Companies in the S&amp;P Transportation Select Industry Index for performance at the 40th percentile performance; and (ii) the maximum payout level of 200% of target for performance at the 75th percentile or greater. The target award can be earned based on attainment of the company’s Total Shareholder Return Percentile Position vs. S&amp;P Transportation Select Industry Index companies for performance at the 55th percentile performance for the period August 15, 2023 through August 15, 2027 (100% of award). The PSUs are reflected at a maximum payout of 200% of target. The award is earned based on a sliding scale with a minimum payout of 0% and a maximum payout of 200%.</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25400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53"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0" w:before="0" w:after="283"/>
                        <w:jc w:val="both"/>
                        <w:rPr/>
                      </w:pPr>
                      <w:r>
                        <w:rPr/>
                        <w:t>c.</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7,951 RSUs that vest in equal installments on March 15, 2025 and March 15, 2026; (ii) 30,100 RSUs that vest on April 21, 2025; and (iii) 4,353 RSUs that vest in equal installments on March 15, 2025, March 15, 2026 and March 15, 2027.</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54"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(11)</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22,149 target PSUs that vest on March 6, 2026; (ii) 8,085 target PSUs that vest on March 1, 2027; and (iii) 102,226 target PSUs that vest on April 21, 2028, subject to achievement of certain performance goals. PSUs are reflected at the maximum level.</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55"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(12)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(12)</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7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March 6, 2026, subject to achievement of certain performance goals. See footnote 6a. above for additional terms of these PSUs.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25400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56"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0" w:before="0" w:after="283"/>
                        <w:jc w:val="left"/>
                        <w:rPr/>
                      </w:pPr>
                      <w:r>
                        <w:rPr/>
                        <w:t>a.</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7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March 1, 2027, subject to achievement of certain performance goals. See footnote 6b. above for additional terms of these PSUs.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25400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57"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0" w:before="0" w:after="283"/>
                        <w:jc w:val="left"/>
                        <w:rPr/>
                      </w:pPr>
                      <w:r>
                        <w:rPr/>
                        <w:t>b.</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7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PSUs noted as vesting on April 21, 2028, subject to achievement of the TSR performance goals as follows: (i) achievement of threshold opportunity at 50% payout for the company’s Total Shareholder Return Percentile Position vs. S&amp;P Transportation Select Industry Index companies for performance at the 40th percentile performance; and (ii) the maximum payout level of 200% of target for performance at the 75th percentile or greater. The target award can be earned based on attainment of the company’s Total Shareholder Return Percentile Position vs. S&amp;P Transportation Select Industry Index companies for performance at the 55th percentile performance for the period April 21, 2023 through April 21, 2028 (100% of award). PSUs are reflected at the maximum level.</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25400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58"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0" w:before="0" w:after="283"/>
                        <w:jc w:val="both"/>
                        <w:rPr/>
                      </w:pPr>
                      <w:r>
                        <w:rPr/>
                        <w:t>c.</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17,581 RSUs that vest in equal installments on March 15, 2025 and March 15, 2026; and (ii) 2,902 RSUs that vest in equal installments on March 15, 2025, March 15, 2026 and March 15, 2027.</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59"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(13)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(13)</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(i) 15,156 target PSUs that vest on March 6, 2026; and (ii) 5,390 target PSUs that vest on March 1, 2027, subject to achievement of certain performance goals. PSUs are reflected at the maximum level. See footnote 6a and 6b above, respectively, for additional terms of these PSUs.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60"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(14)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(14)</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Option Exercises and Stock Vested</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left"/>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The following table sets forth the options exercised and stock vested for our NEOs during 2024.</w:t>
      </w:r>
      <w:r>
        <w:rPr>
          <w:rFonts w:ascii="Helvetica;Arial Narrow;sans-serif" w:hAnsi="Helvetica;Arial Narrow;sans-serif"/>
          <w:b w:val="false"/>
          <w:i/>
          <w:caps w:val="false"/>
          <w:smallCaps w:val="false"/>
          <w:color w:val="000000"/>
          <w:spacing w:val="4"/>
          <w:sz w:val="18"/>
        </w:rPr>
        <w:t xml:space="preserve"> </w:t>
      </w:r>
    </w:p>
    <w:tbl>
      <w:tblPr>
        <w:tblW w:w="6901" w:type="dxa"/>
        <w:jc w:val="left"/>
        <w:tblInd w:w="920" w:type="dxa"/>
        <w:tblLayout w:type="fixed"/>
        <w:tblCellMar>
          <w:top w:w="0" w:type="dxa"/>
          <w:left w:w="0" w:type="dxa"/>
          <w:bottom w:w="28" w:type="dxa"/>
          <w:right w:w="0" w:type="dxa"/>
        </w:tblCellMar>
      </w:tblPr>
      <w:tblGrid>
        <w:gridCol w:w="124"/>
        <w:gridCol w:w="1636"/>
        <w:gridCol w:w="109"/>
        <w:gridCol w:w="109"/>
        <w:gridCol w:w="109"/>
        <w:gridCol w:w="193"/>
        <w:gridCol w:w="193"/>
        <w:gridCol w:w="1894"/>
        <w:gridCol w:w="193"/>
        <w:gridCol w:w="109"/>
        <w:gridCol w:w="109"/>
        <w:gridCol w:w="109"/>
        <w:gridCol w:w="124"/>
        <w:gridCol w:w="124"/>
        <w:gridCol w:w="1488"/>
        <w:gridCol w:w="124"/>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63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4660" w:type="dxa"/>
            <w:gridSpan w:val="11"/>
            <w:tcBorders>
              <w:bottom w:val="single" w:sz="4" w:space="0" w:color="E2231A"/>
            </w:tcBorders>
            <w:tcMar>
              <w:bottom w:w="50" w:type="dxa"/>
            </w:tcMar>
            <w:vAlign w:val="center"/>
          </w:tcPr>
          <w:p>
            <w:pPr>
              <w:pStyle w:val="TableContents"/>
              <w:bidi w:val="0"/>
              <w:spacing w:lineRule="atLeast" w:line="142" w:before="0" w:after="0"/>
              <w:jc w:val="center"/>
              <w:rPr/>
            </w:pPr>
            <w:r>
              <w:rPr/>
              <w:t>Stock Awards</w:t>
            </w:r>
            <w:r>
              <w:rPr>
                <w:sz w:val="10"/>
              </w:rPr>
              <w:t>(1)</w:t>
            </w:r>
            <w:r>
              <w:rPr/>
              <w:t xml:space="preserve">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636" w:type="dxa"/>
            <w:tcBorders>
              <w:bottom w:val="single" w:sz="2" w:space="0" w:color="7F7F7F"/>
            </w:tcBorders>
            <w:tcMar>
              <w:bottom w:w="43" w:type="dxa"/>
            </w:tcMar>
            <w:vAlign w:val="center"/>
          </w:tcPr>
          <w:p>
            <w:pPr>
              <w:pStyle w:val="TableContents"/>
              <w:bidi w:val="0"/>
              <w:spacing w:before="0" w:after="0"/>
              <w:jc w:val="left"/>
              <w:rPr/>
            </w:pPr>
            <w:r>
              <w:rPr/>
              <w:t xml:space="preserve">Name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2473" w:type="dxa"/>
            <w:gridSpan w:val="4"/>
            <w:tcBorders>
              <w:bottom w:val="single" w:sz="2" w:space="0" w:color="7F7F7F"/>
            </w:tcBorders>
            <w:tcMar>
              <w:bottom w:w="43" w:type="dxa"/>
            </w:tcMar>
            <w:vAlign w:val="center"/>
          </w:tcPr>
          <w:p>
            <w:pPr>
              <w:pStyle w:val="TableContents"/>
              <w:bidi w:val="0"/>
              <w:spacing w:before="0" w:after="0"/>
              <w:jc w:val="center"/>
              <w:rPr/>
            </w:pPr>
            <w:r>
              <w:rPr/>
              <w:t>Number of Shares</w:t>
              <w:br/>
              <w:t xml:space="preserve">Acquired on Vesting (#)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860"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Value Realized on</w:t>
              <w:br/>
              <w:t>Vesting ($)</w:t>
            </w:r>
            <w:r>
              <w:rPr>
                <w:sz w:val="10"/>
              </w:rPr>
              <w:t>(2)</w:t>
            </w:r>
            <w:r>
              <w:rP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36" w:type="dxa"/>
            <w:tcBorders/>
            <w:shd w:fill="D8D8D8" w:val="clear"/>
            <w:tcMar>
              <w:bottom w:w="0" w:type="dxa"/>
            </w:tcMar>
            <w:vAlign w:val="center"/>
          </w:tcPr>
          <w:p>
            <w:pPr>
              <w:pStyle w:val="TableContents"/>
              <w:bidi w:val="0"/>
              <w:spacing w:before="0" w:after="0"/>
              <w:jc w:val="left"/>
              <w:rPr>
                <w:b/>
              </w:rPr>
            </w:pPr>
            <w:r>
              <w:rPr>
                <w:b/>
              </w:rPr>
              <w:t>Brad Jacobs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3" w:type="dxa"/>
            <w:tcBorders/>
            <w:shd w:fill="D8D8D8" w:val="clear"/>
            <w:tcMar>
              <w:bottom w:w="0" w:type="dxa"/>
            </w:tcMar>
            <w:vAlign w:val="center"/>
          </w:tcPr>
          <w:p>
            <w:pPr>
              <w:pStyle w:val="TableContents"/>
              <w:bidi w:val="0"/>
              <w:spacing w:before="0" w:after="283"/>
              <w:jc w:val="left"/>
              <w:rPr/>
            </w:pPr>
            <w:r>
              <w:rPr/>
              <w:t>​</w:t>
            </w:r>
          </w:p>
        </w:tc>
        <w:tc>
          <w:tcPr>
            <w:tcW w:w="193" w:type="dxa"/>
            <w:tcBorders/>
            <w:shd w:fill="D8D8D8" w:val="clear"/>
            <w:tcMar>
              <w:bottom w:w="0" w:type="dxa"/>
            </w:tcMar>
            <w:vAlign w:val="center"/>
          </w:tcPr>
          <w:p>
            <w:pPr>
              <w:pStyle w:val="TableContents"/>
              <w:bidi w:val="0"/>
              <w:spacing w:before="0" w:after="283"/>
              <w:jc w:val="right"/>
              <w:rPr/>
            </w:pPr>
            <w:r>
              <w:rPr/>
              <w:t>​</w:t>
            </w:r>
          </w:p>
        </w:tc>
        <w:tc>
          <w:tcPr>
            <w:tcW w:w="1894" w:type="dxa"/>
            <w:tcBorders/>
            <w:shd w:fill="D8D8D8" w:val="clear"/>
            <w:tcMar>
              <w:bottom w:w="0" w:type="dxa"/>
            </w:tcMar>
            <w:vAlign w:val="center"/>
          </w:tcPr>
          <w:p>
            <w:pPr>
              <w:pStyle w:val="TableContents"/>
              <w:bidi w:val="0"/>
              <w:spacing w:before="0" w:after="283"/>
              <w:jc w:val="right"/>
              <w:rPr/>
            </w:pPr>
            <w:r>
              <w:rPr/>
              <w:t>1,183,688</w:t>
            </w:r>
          </w:p>
        </w:tc>
        <w:tc>
          <w:tcPr>
            <w:tcW w:w="19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4" w:type="dxa"/>
            <w:tcBorders/>
            <w:shd w:fill="D8D8D8" w:val="clear"/>
            <w:tcMar>
              <w:bottom w:w="0" w:type="dxa"/>
            </w:tcMar>
            <w:vAlign w:val="center"/>
          </w:tcPr>
          <w:p>
            <w:pPr>
              <w:pStyle w:val="TableContents"/>
              <w:bidi w:val="0"/>
              <w:spacing w:before="0" w:after="283"/>
              <w:jc w:val="left"/>
              <w:rPr/>
            </w:pPr>
            <w:r>
              <w:rPr/>
              <w:t>​</w:t>
            </w:r>
          </w:p>
        </w:tc>
        <w:tc>
          <w:tcPr>
            <w:tcW w:w="124" w:type="dxa"/>
            <w:tcBorders/>
            <w:shd w:fill="D8D8D8" w:val="clear"/>
            <w:tcMar>
              <w:bottom w:w="0" w:type="dxa"/>
            </w:tcMar>
            <w:vAlign w:val="center"/>
          </w:tcPr>
          <w:p>
            <w:pPr>
              <w:pStyle w:val="TableContents"/>
              <w:bidi w:val="0"/>
              <w:spacing w:before="0" w:after="283"/>
              <w:jc w:val="right"/>
              <w:rPr/>
            </w:pPr>
            <w:r>
              <w:rPr/>
              <w:t>​</w:t>
            </w:r>
          </w:p>
        </w:tc>
        <w:tc>
          <w:tcPr>
            <w:tcW w:w="1488" w:type="dxa"/>
            <w:tcBorders/>
            <w:shd w:fill="D8D8D8" w:val="clear"/>
            <w:tcMar>
              <w:bottom w:w="0" w:type="dxa"/>
            </w:tcMar>
            <w:vAlign w:val="center"/>
          </w:tcPr>
          <w:p>
            <w:pPr>
              <w:pStyle w:val="TableContents"/>
              <w:bidi w:val="0"/>
              <w:spacing w:before="0" w:after="283"/>
              <w:jc w:val="right"/>
              <w:rPr/>
            </w:pPr>
            <w:r>
              <w:rPr/>
              <w:t>155,162,633</w:t>
            </w:r>
          </w:p>
        </w:tc>
        <w:tc>
          <w:tcPr>
            <w:tcW w:w="12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6" w:type="dxa"/>
            <w:tcBorders/>
            <w:tcMar>
              <w:bottom w:w="0" w:type="dxa"/>
            </w:tcMar>
            <w:vAlign w:val="center"/>
          </w:tcPr>
          <w:p>
            <w:pPr>
              <w:pStyle w:val="TableContents"/>
              <w:bidi w:val="0"/>
              <w:spacing w:before="0" w:after="0"/>
              <w:jc w:val="left"/>
              <w:rPr>
                <w:b/>
              </w:rPr>
            </w:pPr>
            <w:r>
              <w:rPr>
                <w:b/>
              </w:rPr>
              <w:t>Mario Harik</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1894" w:type="dxa"/>
            <w:tcBorders/>
            <w:tcMar>
              <w:bottom w:w="0" w:type="dxa"/>
            </w:tcMar>
            <w:vAlign w:val="center"/>
          </w:tcPr>
          <w:p>
            <w:pPr>
              <w:pStyle w:val="TableContents"/>
              <w:bidi w:val="0"/>
              <w:spacing w:before="0" w:after="283"/>
              <w:jc w:val="right"/>
              <w:rPr/>
            </w:pPr>
            <w:r>
              <w:rPr/>
              <w:t>235,712</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8" w:type="dxa"/>
            <w:tcBorders/>
            <w:tcMar>
              <w:bottom w:w="0" w:type="dxa"/>
            </w:tcMar>
            <w:vAlign w:val="center"/>
          </w:tcPr>
          <w:p>
            <w:pPr>
              <w:pStyle w:val="TableContents"/>
              <w:bidi w:val="0"/>
              <w:spacing w:before="0" w:after="283"/>
              <w:jc w:val="right"/>
              <w:rPr/>
            </w:pPr>
            <w:r>
              <w:rPr/>
              <w:t>30,796,560</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36" w:type="dxa"/>
            <w:tcBorders/>
            <w:shd w:fill="D8D8D8" w:val="clear"/>
            <w:tcMar>
              <w:bottom w:w="0" w:type="dxa"/>
            </w:tcMar>
            <w:vAlign w:val="center"/>
          </w:tcPr>
          <w:p>
            <w:pPr>
              <w:pStyle w:val="TableContents"/>
              <w:bidi w:val="0"/>
              <w:spacing w:before="0" w:after="0"/>
              <w:jc w:val="left"/>
              <w:rPr>
                <w:b/>
              </w:rPr>
            </w:pPr>
            <w:r>
              <w:rPr>
                <w:b/>
              </w:rPr>
              <w:t>Kyle Wismans</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93" w:type="dxa"/>
            <w:tcBorders/>
            <w:shd w:fill="D8D8D8" w:val="clear"/>
            <w:tcMar>
              <w:bottom w:w="0" w:type="dxa"/>
            </w:tcMar>
            <w:vAlign w:val="center"/>
          </w:tcPr>
          <w:p>
            <w:pPr>
              <w:pStyle w:val="TableContents"/>
              <w:bidi w:val="0"/>
              <w:spacing w:before="0" w:after="283"/>
              <w:jc w:val="left"/>
              <w:rPr/>
            </w:pPr>
            <w:r>
              <w:rPr/>
              <w:t>​</w:t>
            </w:r>
          </w:p>
        </w:tc>
        <w:tc>
          <w:tcPr>
            <w:tcW w:w="193" w:type="dxa"/>
            <w:tcBorders/>
            <w:shd w:fill="D8D8D8" w:val="clear"/>
            <w:tcMar>
              <w:bottom w:w="0" w:type="dxa"/>
            </w:tcMar>
            <w:vAlign w:val="center"/>
          </w:tcPr>
          <w:p>
            <w:pPr>
              <w:pStyle w:val="TableContents"/>
              <w:bidi w:val="0"/>
              <w:spacing w:before="0" w:after="283"/>
              <w:jc w:val="right"/>
              <w:rPr/>
            </w:pPr>
            <w:r>
              <w:rPr/>
              <w:t>​</w:t>
            </w:r>
          </w:p>
        </w:tc>
        <w:tc>
          <w:tcPr>
            <w:tcW w:w="1894" w:type="dxa"/>
            <w:tcBorders/>
            <w:shd w:fill="D8D8D8" w:val="clear"/>
            <w:tcMar>
              <w:bottom w:w="0" w:type="dxa"/>
            </w:tcMar>
            <w:vAlign w:val="center"/>
          </w:tcPr>
          <w:p>
            <w:pPr>
              <w:pStyle w:val="TableContents"/>
              <w:bidi w:val="0"/>
              <w:spacing w:before="0" w:after="283"/>
              <w:jc w:val="right"/>
              <w:rPr/>
            </w:pPr>
            <w:r>
              <w:rPr/>
              <w:t>8,675</w:t>
            </w:r>
          </w:p>
        </w:tc>
        <w:tc>
          <w:tcPr>
            <w:tcW w:w="19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4" w:type="dxa"/>
            <w:tcBorders/>
            <w:shd w:fill="D8D8D8" w:val="clear"/>
            <w:tcMar>
              <w:bottom w:w="0" w:type="dxa"/>
            </w:tcMar>
            <w:vAlign w:val="center"/>
          </w:tcPr>
          <w:p>
            <w:pPr>
              <w:pStyle w:val="TableContents"/>
              <w:bidi w:val="0"/>
              <w:spacing w:before="0" w:after="283"/>
              <w:jc w:val="left"/>
              <w:rPr/>
            </w:pPr>
            <w:r>
              <w:rPr/>
              <w:t>​</w:t>
            </w:r>
          </w:p>
        </w:tc>
        <w:tc>
          <w:tcPr>
            <w:tcW w:w="124" w:type="dxa"/>
            <w:tcBorders/>
            <w:shd w:fill="D8D8D8" w:val="clear"/>
            <w:tcMar>
              <w:bottom w:w="0" w:type="dxa"/>
            </w:tcMar>
            <w:vAlign w:val="center"/>
          </w:tcPr>
          <w:p>
            <w:pPr>
              <w:pStyle w:val="TableContents"/>
              <w:bidi w:val="0"/>
              <w:spacing w:before="0" w:after="283"/>
              <w:jc w:val="right"/>
              <w:rPr/>
            </w:pPr>
            <w:r>
              <w:rPr/>
              <w:t>​</w:t>
            </w:r>
          </w:p>
        </w:tc>
        <w:tc>
          <w:tcPr>
            <w:tcW w:w="1488" w:type="dxa"/>
            <w:tcBorders/>
            <w:shd w:fill="D8D8D8" w:val="clear"/>
            <w:tcMar>
              <w:bottom w:w="0" w:type="dxa"/>
            </w:tcMar>
            <w:vAlign w:val="center"/>
          </w:tcPr>
          <w:p>
            <w:pPr>
              <w:pStyle w:val="TableContents"/>
              <w:bidi w:val="0"/>
              <w:spacing w:before="0" w:after="283"/>
              <w:jc w:val="right"/>
              <w:rPr/>
            </w:pPr>
            <w:r>
              <w:rPr/>
              <w:t>1,073,835</w:t>
            </w:r>
          </w:p>
        </w:tc>
        <w:tc>
          <w:tcPr>
            <w:tcW w:w="12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6" w:type="dxa"/>
            <w:tcBorders/>
            <w:tcMar>
              <w:bottom w:w="0" w:type="dxa"/>
            </w:tcMar>
            <w:vAlign w:val="center"/>
          </w:tcPr>
          <w:p>
            <w:pPr>
              <w:pStyle w:val="TableContents"/>
              <w:bidi w:val="0"/>
              <w:spacing w:before="0" w:after="0"/>
              <w:jc w:val="left"/>
              <w:rPr>
                <w:b/>
              </w:rPr>
            </w:pPr>
            <w:r>
              <w:rPr>
                <w:b/>
              </w:rPr>
              <w:t>Dave Bates</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1894" w:type="dxa"/>
            <w:tcBorders/>
            <w:tcMar>
              <w:bottom w:w="0" w:type="dxa"/>
            </w:tcMar>
            <w:vAlign w:val="center"/>
          </w:tcPr>
          <w:p>
            <w:pPr>
              <w:pStyle w:val="TableContents"/>
              <w:bidi w:val="0"/>
              <w:spacing w:before="0" w:after="283"/>
              <w:jc w:val="right"/>
              <w:rPr/>
            </w:pPr>
            <w:r>
              <w:rPr/>
              <w:t>34,075</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8" w:type="dxa"/>
            <w:tcBorders/>
            <w:tcMar>
              <w:bottom w:w="0" w:type="dxa"/>
            </w:tcMar>
            <w:vAlign w:val="center"/>
          </w:tcPr>
          <w:p>
            <w:pPr>
              <w:pStyle w:val="TableContents"/>
              <w:bidi w:val="0"/>
              <w:spacing w:before="0" w:after="283"/>
              <w:jc w:val="right"/>
              <w:rPr/>
            </w:pPr>
            <w:r>
              <w:rPr/>
              <w:t>3,933,723</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vAlign w:val="center"/>
          </w:tcPr>
          <w:p>
            <w:pPr>
              <w:pStyle w:val="TableContents"/>
              <w:bidi w:val="0"/>
              <w:spacing w:before="0" w:after="283"/>
              <w:jc w:val="left"/>
              <w:rPr/>
            </w:pPr>
            <w:r>
              <w:rPr/>
              <w:t>​</w:t>
            </w:r>
          </w:p>
        </w:tc>
        <w:tc>
          <w:tcPr>
            <w:tcW w:w="1636" w:type="dxa"/>
            <w:tcBorders>
              <w:bottom w:val="single" w:sz="2" w:space="0" w:color="D8D8D8"/>
            </w:tcBorders>
            <w:shd w:fill="D8D8D8" w:val="clear"/>
            <w:tcMar>
              <w:bottom w:w="80" w:type="dxa"/>
            </w:tcMar>
            <w:vAlign w:val="center"/>
          </w:tcPr>
          <w:p>
            <w:pPr>
              <w:pStyle w:val="TableContents"/>
              <w:bidi w:val="0"/>
              <w:spacing w:before="0" w:after="0"/>
              <w:jc w:val="left"/>
              <w:rPr>
                <w:b/>
              </w:rPr>
            </w:pPr>
            <w:r>
              <w:rPr>
                <w:b/>
              </w:rPr>
              <w:t>Wendy Cassity</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93" w:type="dxa"/>
            <w:tcBorders>
              <w:bottom w:val="single" w:sz="2" w:space="0" w:color="7F7F7F"/>
            </w:tcBorders>
            <w:shd w:fill="D8D8D8" w:val="clear"/>
            <w:vAlign w:val="center"/>
          </w:tcPr>
          <w:p>
            <w:pPr>
              <w:pStyle w:val="TableContents"/>
              <w:bidi w:val="0"/>
              <w:spacing w:before="0" w:after="283"/>
              <w:jc w:val="left"/>
              <w:rPr/>
            </w:pPr>
            <w:r>
              <w:rPr/>
              <w:t>​</w:t>
            </w:r>
          </w:p>
        </w:tc>
        <w:tc>
          <w:tcPr>
            <w:tcW w:w="193" w:type="dxa"/>
            <w:tcBorders>
              <w:bottom w:val="single" w:sz="2" w:space="0" w:color="7F7F7F"/>
            </w:tcBorders>
            <w:shd w:fill="D8D8D8" w:val="clear"/>
            <w:tcMar>
              <w:bottom w:w="80" w:type="dxa"/>
            </w:tcMar>
            <w:vAlign w:val="center"/>
          </w:tcPr>
          <w:p>
            <w:pPr>
              <w:pStyle w:val="TableContents"/>
              <w:bidi w:val="0"/>
              <w:spacing w:before="0" w:after="283"/>
              <w:jc w:val="right"/>
              <w:rPr/>
            </w:pPr>
            <w:r>
              <w:rPr/>
              <w:t>​</w:t>
            </w:r>
          </w:p>
        </w:tc>
        <w:tc>
          <w:tcPr>
            <w:tcW w:w="1894" w:type="dxa"/>
            <w:tcBorders>
              <w:bottom w:val="single" w:sz="2" w:space="0" w:color="7F7F7F"/>
            </w:tcBorders>
            <w:shd w:fill="D8D8D8" w:val="clear"/>
            <w:tcMar>
              <w:bottom w:w="80" w:type="dxa"/>
            </w:tcMar>
            <w:vAlign w:val="center"/>
          </w:tcPr>
          <w:p>
            <w:pPr>
              <w:pStyle w:val="TableContents"/>
              <w:bidi w:val="0"/>
              <w:spacing w:before="0" w:after="283"/>
              <w:jc w:val="right"/>
              <w:rPr/>
            </w:pPr>
            <w:r>
              <w:rPr/>
              <w:t>8,791</w:t>
            </w:r>
          </w:p>
        </w:tc>
        <w:tc>
          <w:tcPr>
            <w:tcW w:w="193"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24" w:type="dxa"/>
            <w:tcBorders>
              <w:bottom w:val="single" w:sz="2" w:space="0" w:color="7F7F7F"/>
            </w:tcBorders>
            <w:shd w:fill="D8D8D8" w:val="clear"/>
            <w:tcMar>
              <w:bottom w:w="80" w:type="dxa"/>
            </w:tcMar>
            <w:vAlign w:val="center"/>
          </w:tcPr>
          <w:p>
            <w:pPr>
              <w:pStyle w:val="TableContents"/>
              <w:bidi w:val="0"/>
              <w:spacing w:before="0" w:after="283"/>
              <w:jc w:val="right"/>
              <w:rPr/>
            </w:pPr>
            <w:r>
              <w:rPr/>
              <w:t>​</w:t>
            </w:r>
          </w:p>
        </w:tc>
        <w:tc>
          <w:tcPr>
            <w:tcW w:w="1488" w:type="dxa"/>
            <w:tcBorders>
              <w:bottom w:val="single" w:sz="2" w:space="0" w:color="7F7F7F"/>
            </w:tcBorders>
            <w:shd w:fill="D8D8D8" w:val="clear"/>
            <w:tcMar>
              <w:bottom w:w="80" w:type="dxa"/>
            </w:tcMar>
            <w:vAlign w:val="center"/>
          </w:tcPr>
          <w:p>
            <w:pPr>
              <w:pStyle w:val="TableContents"/>
              <w:bidi w:val="0"/>
              <w:spacing w:before="0" w:after="283"/>
              <w:jc w:val="right"/>
              <w:rPr/>
            </w:pPr>
            <w:r>
              <w:rPr/>
              <w:t>1,078,304</w:t>
            </w:r>
          </w:p>
        </w:tc>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54"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6901" w:type="dxa"/>
            <w:gridSpan w:val="17"/>
            <w:tcBorders/>
            <w:shd w:fill="D8D8D8" w:val="clear"/>
            <w:tcMar>
              <w:bottom w:w="0" w:type="dxa"/>
            </w:tcM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7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In accordance with the RXO spin-off distribution ratio, certain outstanding LTI awards on November 1, 2022 received corresponding LTI awards covering shares of stock of RXO, Inc. These RXO LTI awards vested as follows: (i) Mr. Jacobs vested in 1,174,495 RXO RSUs valued at $27,999,961; (ii) Mr. Harik vested in 221,923 RXO RSUs valued at $5,290,644; and (iii) Mr. Wismans vested in 1,089 RXO RSUs valued at $22,771 and 626 RXO RSUs valued at $17,209. The values reflected were calculated by multiplying the number of RXO shares that vested in 2024 by the closing price per share of RXO common stock on the NYSE on each applicable vesting date. The values of these RXO awards are not reflected in the table above.</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4445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61"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(1)</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The values reflected in this column were calculated by multiplying the number of shares that vested in 2024 by the closing price of one share of XPO common stock on the NYSE on each applicable vesting date. </w:t>
      </w:r>
      <w:r>
        <mc:AlternateContent>
          <mc:Choice Requires="wps">
            <w:drawing>
              <wp:anchor behindDoc="0" distT="5080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62"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0" w:before="0" w:after="283"/>
                              <w:jc w:val="both"/>
                              <w:rPr/>
                            </w:pPr>
                            <w:r>
                              <w:rPr>
                                <w:sz w:val="1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pPr>
                      <w:r>
                        <w:rPr>
                          <w:sz w:val="11"/>
                        </w:rPr>
                        <w:t>(2)</w:t>
                      </w:r>
                      <w:r>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44</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Potential Payments Upon Termination or Change of Control</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The following table sets forth the amounts of compensation that would be due to each of Messrs. Jacob and Harik pursuant to their respective employment agreements and equity award agreements (or in the cases of each of Messrs. Wismans and Bates and Ms. Cassity, pursuant to their Change of Control and Severance Agreement and equity award agreements), as applicable, upon the termination events as summarized below, as if each such event had occurred on December 31, 2024. The amounts shown below are estimates of the payments that each NEO would receive in certain instances. The actual amounts payable will be determined upon the occurrence of any such event.</w:t>
      </w:r>
      <w:r>
        <w:rPr>
          <w:rFonts w:ascii="Helvetica;Arial Narrow;sans-serif" w:hAnsi="Helvetica;Arial Narrow;sans-serif"/>
          <w:b w:val="false"/>
          <w:i/>
          <w:caps w:val="false"/>
          <w:smallCaps w:val="false"/>
          <w:color w:val="000000"/>
          <w:spacing w:val="4"/>
          <w:sz w:val="18"/>
        </w:rPr>
        <w:t xml:space="preserve"> </w:t>
      </w:r>
    </w:p>
    <w:tbl>
      <w:tblPr>
        <w:tblW w:w="10829" w:type="dxa"/>
        <w:jc w:val="left"/>
        <w:tblInd w:w="920" w:type="dxa"/>
        <w:tblLayout w:type="fixed"/>
        <w:tblCellMar>
          <w:top w:w="0" w:type="dxa"/>
          <w:left w:w="0" w:type="dxa"/>
          <w:bottom w:w="28" w:type="dxa"/>
          <w:right w:w="0" w:type="dxa"/>
        </w:tblCellMar>
      </w:tblPr>
      <w:tblGrid>
        <w:gridCol w:w="124"/>
        <w:gridCol w:w="1441"/>
        <w:gridCol w:w="109"/>
        <w:gridCol w:w="109"/>
        <w:gridCol w:w="109"/>
        <w:gridCol w:w="109"/>
        <w:gridCol w:w="109"/>
        <w:gridCol w:w="1216"/>
        <w:gridCol w:w="109"/>
        <w:gridCol w:w="109"/>
        <w:gridCol w:w="109"/>
        <w:gridCol w:w="109"/>
        <w:gridCol w:w="109"/>
        <w:gridCol w:w="109"/>
        <w:gridCol w:w="1186"/>
        <w:gridCol w:w="109"/>
        <w:gridCol w:w="109"/>
        <w:gridCol w:w="109"/>
        <w:gridCol w:w="109"/>
        <w:gridCol w:w="109"/>
        <w:gridCol w:w="109"/>
        <w:gridCol w:w="1186"/>
        <w:gridCol w:w="109"/>
        <w:gridCol w:w="109"/>
        <w:gridCol w:w="109"/>
        <w:gridCol w:w="109"/>
        <w:gridCol w:w="109"/>
        <w:gridCol w:w="109"/>
        <w:gridCol w:w="1186"/>
        <w:gridCol w:w="109"/>
        <w:gridCol w:w="109"/>
        <w:gridCol w:w="109"/>
        <w:gridCol w:w="109"/>
        <w:gridCol w:w="109"/>
        <w:gridCol w:w="109"/>
        <w:gridCol w:w="1066"/>
        <w:gridCol w:w="109"/>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44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pPr>
            <w:r>
              <w:rPr/>
              <w:t>Brad Jacobs</w:t>
              <w:b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t>Mario Harik</w:t>
              <w:b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t>Kyle Wismans</w:t>
              <w:b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t>Dave Bates</w:t>
              <w:b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t>Wendy Cassity</w:t>
              <w:b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Termination without Cause:</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Continuation of cash compensation</w:t>
            </w:r>
            <w:r>
              <w:rPr>
                <w:sz w:val="10"/>
              </w:rPr>
              <w:t>(1)(2)(3)(4)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5,775,000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1,725,000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Acceleration of equity-based awards</w:t>
            </w:r>
            <w:r>
              <w:rPr>
                <w:sz w:val="10"/>
              </w:rPr>
              <w:t>(5)(6)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87,302,227</w:t>
            </w:r>
            <w:r>
              <w:rPr>
                <w:sz w:val="10"/>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49,564,339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3,097,370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9,828,119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2,415,390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Continuation of medical / dental benefits</w:t>
            </w:r>
            <w:r>
              <w:rPr>
                <w:sz w:val="10"/>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20,744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28,893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11,460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41" w:type="dxa"/>
            <w:tcBorders/>
            <w:shd w:fill="D8D8D8" w:val="clear"/>
            <w:tcMar>
              <w:bottom w:w="0" w:type="dxa"/>
            </w:tcMar>
            <w:vAlign w:val="center"/>
          </w:tcPr>
          <w:p>
            <w:pPr>
              <w:pStyle w:val="TableContents"/>
              <w:bidi w:val="0"/>
              <w:spacing w:before="0" w:after="283"/>
              <w:jc w:val="left"/>
              <w:rPr/>
            </w:pPr>
            <w:r>
              <w:rPr/>
              <w:t>Total</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 xml:space="preserve">91,822,971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52,993,232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4,908,830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15,615,649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 xml:space="preserve">4,152,606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Voluntary Termination with Good Reason:</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Continuation of cash compensation</w:t>
            </w:r>
            <w:r>
              <w:rPr>
                <w:sz w:val="10"/>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Acceleration of equity-based awards</w:t>
            </w:r>
            <w:r>
              <w:rPr>
                <w:sz w:val="10"/>
              </w:rPr>
              <w:t>(5)(6)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87,302,227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Continuation of medical / dental benefits</w:t>
            </w:r>
            <w:r>
              <w:rPr>
                <w:sz w:val="10"/>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20,744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41" w:type="dxa"/>
            <w:tcBorders/>
            <w:shd w:fill="D8D8D8" w:val="clear"/>
            <w:tcMar>
              <w:bottom w:w="0" w:type="dxa"/>
            </w:tcMar>
            <w:vAlign w:val="center"/>
          </w:tcPr>
          <w:p>
            <w:pPr>
              <w:pStyle w:val="TableContents"/>
              <w:bidi w:val="0"/>
              <w:spacing w:before="0" w:after="283"/>
              <w:jc w:val="left"/>
              <w:rPr/>
            </w:pPr>
            <w:r>
              <w:rPr/>
              <w:t>Total</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 xml:space="preserve">91,822,971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lineRule="atLeast" w:line="192" w:before="0" w:after="0"/>
              <w:jc w:val="left"/>
              <w:rPr/>
            </w:pPr>
            <w:r>
              <w:rPr/>
              <w:t xml:space="preserve">Termination for Cause or Voluntary </w:t>
              <w:br/>
              <w:t>Termination without Good Reason:</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Continuation of cash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Acceleration of equity-based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Continuation of medical/dental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Accrued paid time off  (PTO)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41" w:type="dxa"/>
            <w:tcBorders/>
            <w:shd w:fill="D8D8D8" w:val="clear"/>
            <w:tcMar>
              <w:bottom w:w="0" w:type="dxa"/>
            </w:tcMar>
            <w:vAlign w:val="center"/>
          </w:tcPr>
          <w:p>
            <w:pPr>
              <w:pStyle w:val="TableContents"/>
              <w:bidi w:val="0"/>
              <w:spacing w:before="0" w:after="283"/>
              <w:jc w:val="left"/>
              <w:rPr/>
            </w:pPr>
            <w:r>
              <w:rPr/>
              <w:t>Total</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Disability:</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Continuation of cash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Acceleration of equity-based awards</w:t>
            </w:r>
            <w:r>
              <w:rPr>
                <w:sz w:val="10"/>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76,263,200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14,621,914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1,347,697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3,328,849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1,024,675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Continuation of medical / dental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41" w:type="dxa"/>
            <w:tcBorders/>
            <w:shd w:fill="D8D8D8" w:val="clear"/>
            <w:tcMar>
              <w:bottom w:w="0" w:type="dxa"/>
            </w:tcMar>
            <w:vAlign w:val="center"/>
          </w:tcPr>
          <w:p>
            <w:pPr>
              <w:pStyle w:val="TableContents"/>
              <w:bidi w:val="0"/>
              <w:spacing w:before="0" w:after="283"/>
              <w:jc w:val="left"/>
              <w:rPr/>
            </w:pPr>
            <w:r>
              <w:rPr/>
              <w:t>Total</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 xml:space="preserve">76,263,200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14,621,914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1,347,697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3,328,849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 xml:space="preserve">1,024,675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Death:</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Continuation of cash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Acceleration of equity-based awards</w:t>
            </w:r>
            <w:r>
              <w:rPr>
                <w:sz w:val="10"/>
              </w:rPr>
              <w:t>(5)(6)(7)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87,302,227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76,946,098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8,391,370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22,933,414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5,380,953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Continuation of medical / dental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41" w:type="dxa"/>
            <w:tcBorders/>
            <w:shd w:fill="D8D8D8" w:val="clear"/>
            <w:tcMar>
              <w:bottom w:w="0" w:type="dxa"/>
            </w:tcMar>
            <w:vAlign w:val="center"/>
          </w:tcPr>
          <w:p>
            <w:pPr>
              <w:pStyle w:val="TableContents"/>
              <w:bidi w:val="0"/>
              <w:spacing w:before="0" w:after="283"/>
              <w:jc w:val="left"/>
              <w:rPr/>
            </w:pPr>
            <w:r>
              <w:rPr/>
              <w:t>Total</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 xml:space="preserve">87,302,227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76,946,098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8,391,370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22,933,414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 xml:space="preserve">5,380,953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Change of Control and No Termination:</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Continuation of cash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Acceleration of equity-based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 xml:space="preserve">Continuation of medical / dental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41" w:type="dxa"/>
            <w:tcBorders/>
            <w:shd w:fill="D8D8D8" w:val="clear"/>
            <w:tcMar>
              <w:bottom w:w="0" w:type="dxa"/>
            </w:tcMar>
            <w:vAlign w:val="center"/>
          </w:tcPr>
          <w:p>
            <w:pPr>
              <w:pStyle w:val="TableContents"/>
              <w:bidi w:val="0"/>
              <w:spacing w:before="0" w:after="283"/>
              <w:jc w:val="left"/>
              <w:rPr/>
            </w:pPr>
            <w:r>
              <w:rPr/>
              <w:t>Total</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lineRule="atLeast" w:line="192" w:before="0" w:after="0"/>
              <w:jc w:val="left"/>
              <w:rPr/>
            </w:pPr>
            <w:r>
              <w:rPr/>
              <w:t xml:space="preserve">Change of Control and Termination without </w:t>
              <w:br/>
              <w:t>Cause or for Good Reason:</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Continuation of cash compensation</w:t>
            </w:r>
            <w:r>
              <w:rPr>
                <w:sz w:val="10"/>
              </w:rPr>
              <w:t>(1)(2)(3)(4)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9,324,500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11,760,000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2,875,000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Acceleration of equity-based awards</w:t>
            </w:r>
            <w:r>
              <w:rPr>
                <w:sz w:val="10"/>
              </w:rPr>
              <w:t>(5)(6)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87,302,227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76,946,098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8,391,370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22,933,414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5,380,953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Continuation of medical / dental benefits</w:t>
            </w:r>
            <w:r>
              <w:rPr>
                <w:sz w:val="10"/>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41,488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57,786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50,119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48,864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41" w:type="dxa"/>
            <w:tcBorders/>
            <w:shd w:fill="D8D8D8" w:val="clear"/>
            <w:tcMar>
              <w:bottom w:w="0" w:type="dxa"/>
            </w:tcMar>
            <w:vAlign w:val="center"/>
          </w:tcPr>
          <w:p>
            <w:pPr>
              <w:pStyle w:val="TableContents"/>
              <w:bidi w:val="0"/>
              <w:spacing w:before="0" w:after="283"/>
              <w:jc w:val="left"/>
              <w:rPr/>
            </w:pPr>
            <w:r>
              <w:rPr/>
              <w:t>Total</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16" w:type="dxa"/>
            <w:tcBorders/>
            <w:shd w:fill="D8D8D8" w:val="clear"/>
            <w:tcMar>
              <w:bottom w:w="0" w:type="dxa"/>
            </w:tcMar>
            <w:vAlign w:val="center"/>
          </w:tcPr>
          <w:p>
            <w:pPr>
              <w:pStyle w:val="TableContents"/>
              <w:bidi w:val="0"/>
              <w:spacing w:before="0" w:after="283"/>
              <w:jc w:val="right"/>
              <w:rPr/>
            </w:pPr>
            <w:r>
              <w:rPr/>
              <w:t xml:space="preserve">92,743,715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86,328,384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11,437,210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 xml:space="preserve">34,743,533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8,304,817</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Amounts shown do not include any payments for accrued and unpaid salary, bonuses or paid time off. In the event of a termination by the company without cause, continuation of cash compensation payable to each of Messrs. Harik, Wismans and Bates and Ms. Cassity will be reduced, dollar for dollar, by other income earned by such NEO in accordance with the terms of their employment agreement. The calculations of continuation of cash compensation pay for each use the applicable NEO’s base salary and target bonus amounts effective as of December 31, 2024.</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65">
                <wp:simplePos x="0" y="0"/>
                <wp:positionH relativeFrom="column">
                  <wp:align>left</wp:align>
                </wp:positionH>
                <wp:positionV relativeFrom="line">
                  <wp:align>top</wp:align>
                </wp:positionV>
                <wp:extent cx="254000" cy="241300"/>
                <wp:effectExtent l="0" t="0" r="0" b="0"/>
                <wp:wrapSquare wrapText="right"/>
                <wp:docPr id="363" name="Frame240"/>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4"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In the event of a termination for any reason, the company has the right to extend the period during which each of Messrs. Harik, Wismans and Bates and Ms. Cassity is bound by the non-competition covenant in their employment agreement for up to 12 additional months for Mr. Harik and Ms. Cassity, and up to 18 additional months for Messrs. Wismans and Bates. This would extend the non-compete period from three years to four years following termination for Mr. Harik, from 18 months to three years following termination for Messrs. Wismans and Bates, and from 12 months to 24 months for Ms. Cassity. During the period the non-compete is extended, the applicable NEO would be entitled to receive cash compensation consisting of a portion of his or her monthly base salary as in effect on the date employment is terminated, reduced dollar for dollar by any other income earned at the time by the NEO. Fully extending the non-compete period would increase the amounts shown as continuation of cash compensation by up to $850,000 for Mr. Harik, $900,000 for Mr. Wismans, $1,125,000 for Mr. Bates and $575,000 for Ms. Cassity.</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3340" distB="0" distL="0" distR="0" simplePos="0" locked="0" layoutInCell="1" allowOverlap="1" relativeHeight="366">
                <wp:simplePos x="0" y="0"/>
                <wp:positionH relativeFrom="column">
                  <wp:align>left</wp:align>
                </wp:positionH>
                <wp:positionV relativeFrom="line">
                  <wp:align>top</wp:align>
                </wp:positionV>
                <wp:extent cx="254000" cy="241300"/>
                <wp:effectExtent l="0" t="0" r="0" b="0"/>
                <wp:wrapSquare wrapText="right"/>
                <wp:docPr id="364" name="Frame241"/>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(2)</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(2)</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values reflected in this row for Mr. Jacobs consist of non-compete payments in accordance with the terms of his employment agreement, including upon termination due to mutual agreement by our company and Mr. Jacobs. In the event of a termination for any reason, our company has the right to extend the period during which Mr. Jacobs is bound by the non-competition covenant in his employment agreement for up to 12 additional months. This would extend the non-compete period from three years to four years following termination. During the period the non-compete is extended, Mr. Jacobs would be entitled to receive cash compensation consisting of a portion of his monthly base salary and 1/12th of his target bonus as in effect on the date employment is terminated, reduced dollar for dollar by any other income earned at the time by Mr. Jacobs. Fully extending the non-compete period would increase the amount shown as continuation of cash compensation by up to $1,500,000 for Mr. Jacobs.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2070" distB="0" distL="0" distR="0" simplePos="0" locked="0" layoutInCell="1" allowOverlap="1" relativeHeight="367">
                <wp:simplePos x="0" y="0"/>
                <wp:positionH relativeFrom="column">
                  <wp:align>left</wp:align>
                </wp:positionH>
                <wp:positionV relativeFrom="line">
                  <wp:align>top</wp:align>
                </wp:positionV>
                <wp:extent cx="254000" cy="241300"/>
                <wp:effectExtent l="0" t="0" r="0" b="0"/>
                <wp:wrapSquare wrapText="right"/>
                <wp:docPr id="365" name="Frame242"/>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(3)</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(3)</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2"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In order to preserve the value of the awards held by employees continuing with XPO following each of the GXO and RXO spin-offs, as applicable, including our NEOs, the number of outstanding shares underlying outstanding awards were adjusted using the ratios and methodologies outlined in each Employee Matters Agreement, as applicable. The GXO ratio was based on the closing price per share of XPO common stock on July 30, 2021, compared with the closing price per share of XPO common stock on August 2, 2021. The RXO ratio was based on either: (i) the closing price per share of XPO common stock on October 31, 2022, compared with the closing price per share of XPO common stock on </w:t>
      </w:r>
      <w:r>
        <mc:AlternateContent>
          <mc:Choice Requires="wps">
            <w:drawing>
              <wp:anchor behindDoc="0" distT="52070" distB="0" distL="0" distR="0" simplePos="0" locked="0" layoutInCell="1" allowOverlap="1" relativeHeight="368">
                <wp:simplePos x="0" y="0"/>
                <wp:positionH relativeFrom="column">
                  <wp:align>left</wp:align>
                </wp:positionH>
                <wp:positionV relativeFrom="line">
                  <wp:align>top</wp:align>
                </wp:positionV>
                <wp:extent cx="254000" cy="241300"/>
                <wp:effectExtent l="0" t="0" r="0" b="0"/>
                <wp:wrapSquare wrapText="right"/>
                <wp:docPr id="366" name="Frame243"/>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(4)</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(4)</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45</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190" w:before="200" w:after="283"/>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November 1, 2022; or (ii) a distribution ratio of one share of RXO common stock for every share of XPO common stock. The modification of these awards in connection with either spin-off did not result in incremental compensation cost.</w:t>
      </w:r>
      <w:r>
        <w:rPr>
          <w:rFonts w:ascii="Arial Narrow;Helvetica;sans-serif" w:hAnsi="Arial Narrow;Helvetica;sans-serif"/>
          <w:b w:val="false"/>
          <w:i w:val="false"/>
          <w:caps w:val="false"/>
          <w:smallCaps w:val="false"/>
          <w:color w:val="000000"/>
          <w:spacing w:val="3"/>
          <w:sz w:val="15"/>
        </w:rPr>
        <w:t xml:space="preserve"> </w:t>
      </w:r>
    </w:p>
    <w:p>
      <w:pPr>
        <w:pStyle w:val="TextBody"/>
        <w:bidi w:val="0"/>
        <w:spacing w:lineRule="atLeast" w:line="190" w:before="12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values reflected in this row for each of Messrs. Jacobs, Harik, Wismans and Bates and Ms. Cassity, as applicable, were calculated using $131.15, the closing price per share of XPO common stock on the NYSE on December 31, 2024, the last trading day of our fiscal year 2024. The amounts shown for PSUs have been estimated assuming that the applicable performance goals are met at target levels; the February 9, 2023 PSUs granted to Messrs. Jacobs and Harik include the vested amounts certified at 150% and 200% respectively that would be payable on certain termination events. As of December 31, 2024, none of the NEOs had any unvested stock options. Values applicable to all NEOs include standard pro-rata vesting upon certain terminations pursuant to the applicable award agreement.</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76200" distB="0" distL="0" distR="0" simplePos="0" locked="0" layoutInCell="1" allowOverlap="1" relativeHeight="369">
                <wp:simplePos x="0" y="0"/>
                <wp:positionH relativeFrom="column">
                  <wp:align>left</wp:align>
                </wp:positionH>
                <wp:positionV relativeFrom="line">
                  <wp:align>top</wp:align>
                </wp:positionV>
                <wp:extent cx="254000" cy="241300"/>
                <wp:effectExtent l="0" t="0" r="0" b="0"/>
                <wp:wrapSquare wrapText="right"/>
                <wp:docPr id="367" name="Frame244"/>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(5)</w:t>
                            </w:r>
                            <w:r>
                              <w:rPr>
                                <w:rFonts w:ascii="Arial Narrow;Helvetica;sans-serif" w:hAnsi="Arial Narrow;Helvetica;sans-serif"/>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(5)</w:t>
                      </w:r>
                      <w:r>
                        <w:rPr>
                          <w:rFonts w:ascii="Arial Narrow;Helvetica;sans-serif" w:hAnsi="Arial Narrow;Helvetica;sans-serif"/>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In accordance with the RXO spin-off distribution ratio, certain outstanding RSU and PSU award counts increased on November 1, 2022, the spin-off date, to cover shares of stock of RXO, Inc. These time-based RXO RSUs and PSUs would accelerate upon termination as follows: (i) for Mr. Harik (except in the case of a termination without cause or a voluntary termination for good reason not in connection with a Change of Control) 28,031 RXO PSUs valued at $668,259; and (ii) for Mr. Wismans 1,087 RXO RSUs valued at $25,914 and 626 RXO RSUs valued at $14,924, calculated using $23.84, the closing price per share of RXO common stock on the NYSE on December 31, 2024, the last trading day of our fiscal year 2024. In the event of a termination without cause for Mr. Harik, his outstanding RXO PSUs would accelerate as follows: 28,031 RXO PSUs valued at $668,259 calculated using $23.84, the closing price per share of RXO common stock on the NYSE on December 31, 2024, the last trading day of our fiscal year 2024. The value of these RXO RSUs and PSUs are not reflected in the table above. The amounts shown for Mr. Harik’s PSUs have been estimated assuming that the applicable performance goals are met at target levels.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70">
                <wp:simplePos x="0" y="0"/>
                <wp:positionH relativeFrom="column">
                  <wp:align>left</wp:align>
                </wp:positionH>
                <wp:positionV relativeFrom="line">
                  <wp:align>top</wp:align>
                </wp:positionV>
                <wp:extent cx="254000" cy="241300"/>
                <wp:effectExtent l="0" t="0" r="0" b="0"/>
                <wp:wrapSquare wrapText="right"/>
                <wp:docPr id="368" name="Frame245"/>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(6)</w:t>
                            </w:r>
                            <w:r>
                              <w:rPr>
                                <w:rFonts w:ascii="Arial Narrow;Helvetica;sans-serif" w:hAnsi="Arial Narrow;Helvetica;sans-serif"/>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(6)</w:t>
                      </w:r>
                      <w:r>
                        <w:rPr>
                          <w:rFonts w:ascii="Arial Narrow;Helvetica;sans-serif" w:hAnsi="Arial Narrow;Helvetica;sans-serif"/>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amounts of continued medical and dental benefits shown in the table: (i) have been calculated based upon our current actual costs of providing the benefits through COBRA; and (ii) have not been discounted for the time value of money. In the event of a termination without cause, continued medical and dental benefits would cease for Mr. Jacobs when he receives medical or dental coverage, as applicable, in connection with other employment, for Mr. Harik when he commences employment with a new employer, and for Messrs. Wismans and Bates and Ms. Cassity when each becomes eligible for any medical and dental benefits through a new employer.</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71">
                <wp:simplePos x="0" y="0"/>
                <wp:positionH relativeFrom="column">
                  <wp:align>left</wp:align>
                </wp:positionH>
                <wp:positionV relativeFrom="line">
                  <wp:align>top</wp:align>
                </wp:positionV>
                <wp:extent cx="254000" cy="241300"/>
                <wp:effectExtent l="0" t="0" r="0" b="0"/>
                <wp:wrapSquare wrapText="right"/>
                <wp:docPr id="369" name="Frame246"/>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(7)</w:t>
                            </w:r>
                            <w:r>
                              <w:rPr>
                                <w:rFonts w:ascii="Arial Narrow;Helvetica;sans-serif" w:hAnsi="Arial Narrow;Helvetica;sans-serif"/>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(7)</w:t>
                      </w:r>
                      <w:r>
                        <w:rPr>
                          <w:rFonts w:ascii="Arial Narrow;Helvetica;sans-serif" w:hAnsi="Arial Narrow;Helvetica;sans-serif"/>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values reflected in this column for Mr. Jacobs include acceleration of equity-based awards upon termination without cause and termination due to mutual agreement between the company and Mr. Jacobs.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72">
                <wp:simplePos x="0" y="0"/>
                <wp:positionH relativeFrom="column">
                  <wp:align>left</wp:align>
                </wp:positionH>
                <wp:positionV relativeFrom="line">
                  <wp:align>top</wp:align>
                </wp:positionV>
                <wp:extent cx="254000" cy="241300"/>
                <wp:effectExtent l="0" t="0" r="0" b="0"/>
                <wp:wrapSquare wrapText="right"/>
                <wp:docPr id="370" name="Frame247"/>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(8)</w:t>
                            </w:r>
                            <w:r>
                              <w:rPr>
                                <w:rFonts w:ascii="Arial Narrow;Helvetica;sans-serif" w:hAnsi="Arial Narrow;Helvetica;sans-serif"/>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(8)</w:t>
                      </w:r>
                      <w:r>
                        <w:rPr>
                          <w:rFonts w:ascii="Arial Narrow;Helvetica;sans-serif" w:hAnsi="Arial Narrow;Helvetica;sans-serif"/>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For more information regarding the payments and benefits to which our NEOs are entitled upon certain termination events or upon a Change of Control, see the discussion in this Proxy Statement under the heading </w:t>
      </w:r>
      <w:r>
        <w:rPr>
          <w:rFonts w:ascii="Helvetica;Arial Narrow;sans-serif" w:hAnsi="Helvetica;Arial Narrow;sans-serif"/>
          <w:b w:val="false"/>
          <w:i/>
          <w:caps w:val="false"/>
          <w:smallCaps w:val="false"/>
          <w:color w:val="000000"/>
          <w:sz w:val="18"/>
        </w:rPr>
        <w:t>Employment Agreements with NEOs</w:t>
      </w:r>
      <w:r>
        <w:rPr>
          <w:rFonts w:ascii="Helvetica;Arial Narrow;sans-serif" w:hAnsi="Helvetica;Arial Narrow;sans-serif"/>
          <w:b w:val="false"/>
          <w:i w:val="false"/>
          <w:caps w:val="false"/>
          <w:smallCaps w:val="false"/>
          <w:color w:val="000000"/>
          <w:spacing w:val="-2"/>
          <w:sz w:val="18"/>
        </w:rPr>
        <w: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CEO PAY RATIO DISCLOSURE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required by Item 402(u) of the SEC’s Regulation S-K, we are providing the following information about the relationship of the annual total compensation of our CEO to that of our median employee. The pay ratio and annual total compensation amount disclosed in this section are reasonable estimates that have been calculated using methodologies and assumptions permitted by SEC rules.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0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Identifying the Median Employee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accordance with the SEC executive compensation disclosure rules, we elected to run a full analysis to identify a new median employee and selected December 31, 2024 as the measurement date. The 2024 median employee was identified based on the same compensation parameters used to select the 2023 median employee, as follows: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0"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of December 31, 2024, we had 37,931 employees globally, including 22,796 U.S. employees and 15,135 non-U.S. employees. We determined the identity of our median employee using this employee group, including full-time, part-time and seasonal employees.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254000" distR="0" simplePos="0" locked="0" layoutInCell="1" allowOverlap="1" relativeHeight="373">
                <wp:simplePos x="0" y="0"/>
                <wp:positionH relativeFrom="column">
                  <wp:align>left</wp:align>
                </wp:positionH>
                <wp:positionV relativeFrom="line">
                  <wp:align>top</wp:align>
                </wp:positionV>
                <wp:extent cx="127000" cy="525780"/>
                <wp:effectExtent l="0" t="0" r="0" b="0"/>
                <wp:wrapSquare wrapText="right"/>
                <wp:docPr id="371" name="Frame24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median employee was identified by calculating the 2024 cash compensation for the population of 37,931 employees, excluding the CEO. For this purpose, cash compensation included all earnings paid to each employee during the calendar year, including base salary and wages, bonuses, commissions, overtime and holiday or PTO pay. Compensation was converted into U.S. dollars using currency conversion rates as of December 31, 2024.</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254000" distR="0" simplePos="0" locked="0" layoutInCell="1" allowOverlap="1" relativeHeight="374">
                <wp:simplePos x="0" y="0"/>
                <wp:positionH relativeFrom="column">
                  <wp:align>left</wp:align>
                </wp:positionH>
                <wp:positionV relativeFrom="line">
                  <wp:align>top</wp:align>
                </wp:positionV>
                <wp:extent cx="127000" cy="525780"/>
                <wp:effectExtent l="0" t="0" r="0" b="0"/>
                <wp:wrapSquare wrapText="right"/>
                <wp:docPr id="372" name="Frame24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0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Annual Compensation of Median Employee using Summary Compensation Table Methodology</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After identifying the median employee as described above, we calculated annual total compensation for this employee using the same methodology we use for our CEO in the Summary Compensation Table. This compensation calculation includes, where applicable, base salary and wages, bonuses, commissions, overtime, holiday or PTO pay, equity awards, 401(k) company match and company-paid life insurance premiums, as applicable. The compensation for our estimated median employee was $59,304 and the compensation for our company’s CEO was $14,042,700. We note for informational purposes that the compensation for our estimated median employee in North American LTL was approximately $84,000.</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Based on the above information, the ratio of the annual total compensation of our CEO to the estimated median employee is 237:1. The pay ratio reported by other companies may not be comparable to our pay ratio due to variances in business mix, proportion of seasonal and part-time employees and distribution of employees across geographies. XPO operates globally with approximately 40% of our employee population located outside of the United States. We seek to attract, incentivize and retain our employees through a combination of competitive base pay, bonus opportunities, 401(k) matching employer contributions and other benefits.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10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PAY VERSUS PERFORMANCE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As required by Section 953(a) of the Dodd-Frank Wall Street Reform and Consumer Protection Act and Item 402(v) of Regulation S-K, we are providing the following information about the relationship between executive compensation actually paid and the company’s financial performance. For further information on the company’s executive compensation, see the CD&amp;A beginning on page 26.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46</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Required Tabular Disclosure of Compensation Actually Paid Versus Performance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discloses information on compensation actually paid (“CAP”) to our principal executive officers (“PEOs”) and (on average) to our other NEOs (“non-PEO NEOs”) during the specified years alongside the company’s TSR and net income metrics, as well as a company-selected measure of adjusted earnings before interest, taxes, depreciation and amortization (“adjusted EBITDA”). The company selected adjusted EBITDA as the most important measure to use in linking PEO and NEO compensation actually paid to company performance for 2024, as LTL adjusted EBITDA represents a 35% weighting in the March 1, 2024 PSU awards, and XPO adjusted EBITDA represents 100% weighting in the 2024 annual incentive plan for our Executive Chairman, CEO, CFO and CLO.</w:t>
      </w:r>
      <w:r>
        <w:rPr>
          <w:rFonts w:ascii="Helvetica;Arial Narrow;sans-serif" w:hAnsi="Helvetica;Arial Narrow;sans-serif"/>
          <w:b w:val="false"/>
          <w:i w:val="false"/>
          <w:caps w:val="false"/>
          <w:smallCaps w:val="false"/>
          <w:color w:val="000000"/>
          <w:spacing w:val="4"/>
          <w:sz w:val="18"/>
        </w:rPr>
        <w:t xml:space="preserve"> </w:t>
      </w:r>
    </w:p>
    <w:tbl>
      <w:tblPr>
        <w:tblW w:w="17779" w:type="dxa"/>
        <w:jc w:val="left"/>
        <w:tblInd w:w="550" w:type="dxa"/>
        <w:tblLayout w:type="fixed"/>
        <w:tblCellMar>
          <w:top w:w="0" w:type="dxa"/>
          <w:left w:w="0" w:type="dxa"/>
          <w:bottom w:w="0" w:type="dxa"/>
          <w:right w:w="0" w:type="dxa"/>
        </w:tblCellMar>
      </w:tblPr>
      <w:tblGrid>
        <w:gridCol w:w="124"/>
        <w:gridCol w:w="661"/>
        <w:gridCol w:w="109"/>
        <w:gridCol w:w="109"/>
        <w:gridCol w:w="109"/>
        <w:gridCol w:w="109"/>
        <w:gridCol w:w="109"/>
        <w:gridCol w:w="1186"/>
        <w:gridCol w:w="109"/>
        <w:gridCol w:w="109"/>
        <w:gridCol w:w="109"/>
        <w:gridCol w:w="109"/>
        <w:gridCol w:w="109"/>
        <w:gridCol w:w="109"/>
        <w:gridCol w:w="1186"/>
        <w:gridCol w:w="109"/>
        <w:gridCol w:w="109"/>
        <w:gridCol w:w="109"/>
        <w:gridCol w:w="109"/>
        <w:gridCol w:w="109"/>
        <w:gridCol w:w="109"/>
        <w:gridCol w:w="1186"/>
        <w:gridCol w:w="109"/>
        <w:gridCol w:w="109"/>
        <w:gridCol w:w="109"/>
        <w:gridCol w:w="109"/>
        <w:gridCol w:w="109"/>
        <w:gridCol w:w="109"/>
        <w:gridCol w:w="1186"/>
        <w:gridCol w:w="109"/>
        <w:gridCol w:w="109"/>
        <w:gridCol w:w="109"/>
        <w:gridCol w:w="109"/>
        <w:gridCol w:w="115"/>
        <w:gridCol w:w="115"/>
        <w:gridCol w:w="1125"/>
        <w:gridCol w:w="116"/>
        <w:gridCol w:w="109"/>
        <w:gridCol w:w="109"/>
        <w:gridCol w:w="109"/>
        <w:gridCol w:w="109"/>
        <w:gridCol w:w="109"/>
        <w:gridCol w:w="1186"/>
        <w:gridCol w:w="109"/>
        <w:gridCol w:w="109"/>
        <w:gridCol w:w="109"/>
        <w:gridCol w:w="109"/>
        <w:gridCol w:w="124"/>
        <w:gridCol w:w="124"/>
        <w:gridCol w:w="873"/>
        <w:gridCol w:w="125"/>
        <w:gridCol w:w="109"/>
        <w:gridCol w:w="109"/>
        <w:gridCol w:w="109"/>
        <w:gridCol w:w="124"/>
        <w:gridCol w:w="124"/>
        <w:gridCol w:w="873"/>
        <w:gridCol w:w="125"/>
        <w:gridCol w:w="109"/>
        <w:gridCol w:w="109"/>
        <w:gridCol w:w="109"/>
        <w:gridCol w:w="127"/>
        <w:gridCol w:w="127"/>
        <w:gridCol w:w="677"/>
        <w:gridCol w:w="109"/>
        <w:gridCol w:w="109"/>
        <w:gridCol w:w="109"/>
        <w:gridCol w:w="1111"/>
        <w:gridCol w:w="154"/>
      </w:tblGrid>
      <w:tr>
        <w:trPr/>
        <w:tc>
          <w:tcPr>
            <w:tcW w:w="124" w:type="dxa"/>
            <w:vMerge w:val="restart"/>
            <w:tcBorders/>
            <w:vAlign w:val="center"/>
          </w:tcPr>
          <w:p>
            <w:pPr>
              <w:pStyle w:val="TableContents"/>
              <w:bidi w:val="0"/>
              <w:spacing w:before="0" w:after="283"/>
              <w:jc w:val="left"/>
              <w:rPr/>
            </w:pPr>
            <w:r>
              <w:rPr/>
              <w:t>​</w:t>
            </w:r>
          </w:p>
        </w:tc>
        <w:tc>
          <w:tcPr>
            <w:tcW w:w="661" w:type="dxa"/>
            <w:vMerge w:val="restart"/>
            <w:tcBorders/>
            <w:vAlign w:val="center"/>
          </w:tcPr>
          <w:p>
            <w:pPr>
              <w:pStyle w:val="TableContents"/>
              <w:bidi w:val="0"/>
              <w:spacing w:lineRule="atLeast" w:line="142" w:before="0" w:after="0"/>
              <w:jc w:val="left"/>
              <w:rPr/>
            </w:pPr>
            <w:r>
              <w:rPr/>
              <w:t>Fiscal</w:t>
              <w:br/>
              <w:t>Year</w:t>
            </w:r>
            <w:r>
              <w:rPr>
                <w:sz w:val="10"/>
              </w:rPr>
              <w:t>(1)</w:t>
            </w:r>
            <w:r>
              <w:rPr/>
              <w:t xml:space="preserve"> </w:t>
              <w:br/>
              <w:t xml:space="preserve">(a)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513" w:type="dxa"/>
            <w:gridSpan w:val="4"/>
            <w:vMerge w:val="restart"/>
            <w:tcBorders/>
            <w:vAlign w:val="center"/>
          </w:tcPr>
          <w:p>
            <w:pPr>
              <w:pStyle w:val="TableContents"/>
              <w:bidi w:val="0"/>
              <w:spacing w:lineRule="atLeast" w:line="142" w:before="0" w:after="0"/>
              <w:jc w:val="center"/>
              <w:rPr/>
            </w:pPr>
            <w:r>
              <w:rPr/>
              <w:t>Summary</w:t>
              <w:br/>
              <w:t>Compensation</w:t>
              <w:br/>
              <w:t>Table Total</w:t>
              <w:br/>
              <w:t>for PEO 1</w:t>
            </w:r>
            <w:r>
              <w:rPr>
                <w:sz w:val="10"/>
              </w:rPr>
              <w:t>(2)</w:t>
            </w:r>
            <w:r>
              <w:rPr/>
              <w:t xml:space="preserve"> </w:t>
              <w:br/>
              <w:t xml:space="preserve">($) </w:t>
              <w:br/>
              <w:t xml:space="preserve">(b)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513" w:type="dxa"/>
            <w:gridSpan w:val="4"/>
            <w:vMerge w:val="restart"/>
            <w:tcBorders/>
            <w:vAlign w:val="center"/>
          </w:tcPr>
          <w:p>
            <w:pPr>
              <w:pStyle w:val="TableContents"/>
              <w:bidi w:val="0"/>
              <w:spacing w:lineRule="atLeast" w:line="142" w:before="0" w:after="0"/>
              <w:jc w:val="center"/>
              <w:rPr/>
            </w:pPr>
            <w:r>
              <w:rPr/>
              <w:t>Compensation</w:t>
              <w:br/>
              <w:t>Actually Paid</w:t>
              <w:br/>
              <w:t>to PEO 1</w:t>
            </w:r>
            <w:r>
              <w:rPr>
                <w:sz w:val="10"/>
              </w:rPr>
              <w:t>(3)</w:t>
            </w:r>
            <w:r>
              <w:rPr/>
              <w:t xml:space="preserve"> </w:t>
              <w:br/>
              <w:t xml:space="preserve">($) </w:t>
              <w:br/>
              <w:t xml:space="preserve">(c)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513" w:type="dxa"/>
            <w:gridSpan w:val="4"/>
            <w:vMerge w:val="restart"/>
            <w:tcBorders/>
            <w:vAlign w:val="center"/>
          </w:tcPr>
          <w:p>
            <w:pPr>
              <w:pStyle w:val="TableContents"/>
              <w:bidi w:val="0"/>
              <w:spacing w:lineRule="atLeast" w:line="142" w:before="0" w:after="0"/>
              <w:jc w:val="center"/>
              <w:rPr/>
            </w:pPr>
            <w:r>
              <w:rPr/>
              <w:t>Summary</w:t>
              <w:br/>
              <w:t>Compensation</w:t>
              <w:br/>
              <w:t>Table Total</w:t>
              <w:br/>
              <w:t>for PEO 2</w:t>
            </w:r>
            <w:r>
              <w:rPr>
                <w:sz w:val="10"/>
              </w:rPr>
              <w:t>(2)</w:t>
            </w:r>
            <w:r>
              <w:rPr/>
              <w:t xml:space="preserve"> </w:t>
              <w:br/>
              <w:t xml:space="preserve">($) </w:t>
              <w:br/>
              <w:t xml:space="preserve">(b)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513" w:type="dxa"/>
            <w:gridSpan w:val="4"/>
            <w:vMerge w:val="restart"/>
            <w:tcBorders/>
            <w:vAlign w:val="center"/>
          </w:tcPr>
          <w:p>
            <w:pPr>
              <w:pStyle w:val="TableContents"/>
              <w:bidi w:val="0"/>
              <w:spacing w:lineRule="atLeast" w:line="142" w:before="0" w:after="0"/>
              <w:jc w:val="center"/>
              <w:rPr/>
            </w:pPr>
            <w:r>
              <w:rPr/>
              <w:t>Compensation</w:t>
              <w:br/>
              <w:t>Actually Paid</w:t>
              <w:br/>
              <w:t>to PEO 2</w:t>
            </w:r>
            <w:r>
              <w:rPr>
                <w:sz w:val="10"/>
              </w:rPr>
              <w:t>(3)</w:t>
            </w:r>
            <w:r>
              <w:rPr/>
              <w:t xml:space="preserve"> </w:t>
              <w:br/>
              <w:t xml:space="preserve">($) </w:t>
              <w:br/>
              <w:t xml:space="preserve">(c)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471" w:type="dxa"/>
            <w:gridSpan w:val="4"/>
            <w:vMerge w:val="restart"/>
            <w:tcBorders/>
            <w:vAlign w:val="center"/>
          </w:tcPr>
          <w:p>
            <w:pPr>
              <w:pStyle w:val="TableContents"/>
              <w:bidi w:val="0"/>
              <w:spacing w:lineRule="atLeast" w:line="180" w:before="0" w:after="0"/>
              <w:jc w:val="center"/>
              <w:rPr/>
            </w:pPr>
            <w:r>
              <w:rPr/>
              <w:t>Average</w:t>
              <w:br/>
              <w:t>Summary</w:t>
              <w:br/>
              <w:t>Compensation</w:t>
              <w:br/>
              <w:t>Table Total</w:t>
              <w:br/>
              <w:t>for non-PEO</w:t>
              <w:br/>
              <w:t xml:space="preserve">NEOs </w:t>
              <w:br/>
              <w:t xml:space="preserve">($) </w:t>
              <w:br/>
              <w:t xml:space="preserve">(d)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513" w:type="dxa"/>
            <w:gridSpan w:val="4"/>
            <w:vMerge w:val="restart"/>
            <w:tcBorders/>
            <w:vAlign w:val="center"/>
          </w:tcPr>
          <w:p>
            <w:pPr>
              <w:pStyle w:val="TableContents"/>
              <w:bidi w:val="0"/>
              <w:spacing w:lineRule="atLeast" w:line="180" w:before="0" w:after="0"/>
              <w:jc w:val="center"/>
              <w:rPr/>
            </w:pPr>
            <w:r>
              <w:rPr/>
              <w:t>Average</w:t>
              <w:br/>
              <w:t>Compensation</w:t>
              <w:br/>
              <w:t>Actually Paid</w:t>
              <w:br/>
              <w:t>to non-PEO</w:t>
              <w:br/>
              <w:t xml:space="preserve">NEOs </w:t>
              <w:br/>
              <w:t xml:space="preserve">($) </w:t>
              <w:br/>
              <w:t xml:space="preserve">(e)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4" w:space="0" w:color="E2231A"/>
            </w:tcBorders>
            <w:tcMar>
              <w:bottom w:w="28" w:type="dxa"/>
            </w:tcMar>
            <w:vAlign w:val="center"/>
          </w:tcPr>
          <w:p>
            <w:pPr>
              <w:pStyle w:val="TableContents"/>
              <w:bidi w:val="0"/>
              <w:spacing w:before="0" w:after="283"/>
              <w:jc w:val="left"/>
              <w:rPr/>
            </w:pPr>
            <w:r>
              <w:rPr/>
              <w:t>​</w:t>
            </w:r>
          </w:p>
        </w:tc>
        <w:tc>
          <w:tcPr>
            <w:tcW w:w="2819" w:type="dxa"/>
            <w:gridSpan w:val="11"/>
            <w:tcBorders>
              <w:bottom w:val="single" w:sz="4" w:space="0" w:color="E2231A"/>
            </w:tcBorders>
            <w:tcMar>
              <w:bottom w:w="43" w:type="dxa"/>
            </w:tcMar>
            <w:vAlign w:val="center"/>
          </w:tcPr>
          <w:p>
            <w:pPr>
              <w:pStyle w:val="TableContents"/>
              <w:bidi w:val="0"/>
              <w:spacing w:before="0" w:after="0"/>
              <w:jc w:val="center"/>
              <w:rPr/>
            </w:pPr>
            <w:r>
              <w:rPr/>
              <w:t>Value of Initial Fixed $100</w:t>
              <w:br/>
              <w:t xml:space="preserve">Investment Based On: </w:t>
            </w:r>
          </w:p>
        </w:tc>
        <w:tc>
          <w:tcPr>
            <w:tcW w:w="109" w:type="dxa"/>
            <w:tcBorders>
              <w:bottom w:val="single" w:sz="4" w:space="0" w:color="E2231A"/>
            </w:tcBorders>
            <w:tcMar>
              <w:bottom w:w="28" w:type="dxa"/>
            </w:tcMar>
            <w:vAlign w:val="center"/>
          </w:tcPr>
          <w:p>
            <w:pPr>
              <w:pStyle w:val="TableContents"/>
              <w:bidi w:val="0"/>
              <w:spacing w:before="0" w:after="283"/>
              <w:jc w:val="left"/>
              <w:rPr/>
            </w:pPr>
            <w:r>
              <w:rPr/>
              <w:t>​</w:t>
            </w:r>
          </w:p>
        </w:tc>
        <w:tc>
          <w:tcPr>
            <w:tcW w:w="109" w:type="dxa"/>
            <w:tcBorders>
              <w:bottom w:val="single" w:sz="2" w:space="0" w:color="E2231A"/>
            </w:tcBorders>
            <w:shd w:fill="7F7F7F"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931" w:type="dxa"/>
            <w:gridSpan w:val="4"/>
            <w:vMerge w:val="restart"/>
            <w:tcBorders/>
            <w:vAlign w:val="center"/>
          </w:tcPr>
          <w:p>
            <w:pPr>
              <w:pStyle w:val="TableContents"/>
              <w:bidi w:val="0"/>
              <w:spacing w:lineRule="atLeast" w:line="180" w:before="0" w:after="0"/>
              <w:jc w:val="center"/>
              <w:rPr/>
            </w:pPr>
            <w:r>
              <w:rPr/>
              <w:t>Net</w:t>
              <w:br/>
              <w:t>Income</w:t>
              <w:br/>
              <w:t>($ in</w:t>
              <w:br/>
              <w:t xml:space="preserve">millions) </w:t>
              <w:br/>
              <w:t xml:space="preserve">(h)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111" w:type="dxa"/>
            <w:gridSpan w:val="4"/>
            <w:vMerge w:val="restart"/>
            <w:tcBorders/>
            <w:vAlign w:val="center"/>
          </w:tcPr>
          <w:p>
            <w:pPr>
              <w:pStyle w:val="TableContents"/>
              <w:bidi w:val="0"/>
              <w:spacing w:lineRule="atLeast" w:line="142" w:before="0" w:after="0"/>
              <w:jc w:val="center"/>
              <w:rPr/>
            </w:pPr>
            <w:r>
              <w:rPr/>
              <w:t>Company-</w:t>
              <w:br/>
              <w:t>Selected</w:t>
              <w:br/>
              <w:t>Measure:</w:t>
              <w:br/>
              <w:t>Adjusted</w:t>
              <w:br/>
              <w:t>EBITDA</w:t>
              <w:br/>
              <w:t>($ in</w:t>
              <w:br/>
              <w:t>millions)</w:t>
            </w:r>
            <w:r>
              <w:rPr>
                <w:sz w:val="10"/>
              </w:rPr>
              <w:t>(5)</w:t>
            </w:r>
            <w:r>
              <w:rPr/>
              <w:t xml:space="preserve"> </w:t>
              <w:br/>
              <w:t xml:space="preserve">(i) </w:t>
            </w:r>
          </w:p>
        </w:tc>
        <w:tc>
          <w:tcPr>
            <w:tcW w:w="154" w:type="dxa"/>
            <w:vMerge w:val="restart"/>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66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7F7F7F"/>
            </w:tcBorders>
            <w:shd w:fill="7F7F7F"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13" w:type="dxa"/>
            <w:gridSpan w:val="4"/>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7F7F7F"/>
            </w:tcBorders>
            <w:shd w:fill="7F7F7F" w:val="clear"/>
            <w:tcMar>
              <w:bottom w:w="28" w:type="dxa"/>
            </w:tcMar>
            <w:vAlign w:val="center"/>
          </w:tcPr>
          <w:p>
            <w:pPr>
              <w:pStyle w:val="Normal"/>
              <w:bidi w:val="0"/>
              <w:jc w:val="left"/>
              <w:rPr/>
            </w:pPr>
            <w:r>
              <w:rPr/>
            </w:r>
          </w:p>
        </w:tc>
        <w:tc>
          <w:tcPr>
            <w:tcW w:w="1513" w:type="dxa"/>
            <w:gridSpan w:val="4"/>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13" w:type="dxa"/>
            <w:gridSpan w:val="4"/>
            <w:vMerge w:val="continue"/>
            <w:tcBorders>
              <w:bottom w:val="single" w:sz="2" w:space="0" w:color="7F7F7F"/>
            </w:tcBorders>
            <w:shd w:fill="7F7F7F" w:val="clear"/>
            <w:tcMar>
              <w:bottom w:w="28" w:type="dxa"/>
            </w:tcMar>
            <w:vAlign w:val="center"/>
          </w:tcPr>
          <w:p>
            <w:pPr>
              <w:pStyle w:val="Normal"/>
              <w:bidi w:val="0"/>
              <w:jc w:val="left"/>
              <w:rPr/>
            </w:pPr>
            <w:r>
              <w:rPr/>
            </w:r>
          </w:p>
        </w:tc>
        <w:tc>
          <w:tcPr>
            <w:tcW w:w="109" w:type="dxa"/>
            <w:vMerge w:val="continue"/>
            <w:tcBorders>
              <w:bottom w:val="single" w:sz="2" w:space="0" w:color="7F7F7F"/>
            </w:tcBorders>
            <w:shd w:fill="7F7F7F"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13" w:type="dxa"/>
            <w:gridSpan w:val="4"/>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7F7F7F"/>
            </w:tcBorders>
            <w:shd w:fill="7F7F7F"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471" w:type="dxa"/>
            <w:gridSpan w:val="4"/>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7F7F7F"/>
            </w:tcBorders>
            <w:shd w:fill="7F7F7F"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13" w:type="dxa"/>
            <w:gridSpan w:val="4"/>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7F7F7F"/>
            </w:tcBorders>
            <w:shd w:fill="7F7F7F"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246" w:type="dxa"/>
            <w:gridSpan w:val="4"/>
            <w:tcBorders/>
            <w:vAlign w:val="center"/>
          </w:tcPr>
          <w:p>
            <w:pPr>
              <w:pStyle w:val="TableContents"/>
              <w:bidi w:val="0"/>
              <w:spacing w:before="0" w:after="0"/>
              <w:jc w:val="center"/>
              <w:rPr/>
            </w:pPr>
            <w:r>
              <w:rPr/>
              <w:t>Total</w:t>
              <w:br/>
              <w:t>Shareholder</w:t>
              <w:br/>
              <w:t xml:space="preserve">Return </w:t>
              <w:br/>
              <w:t xml:space="preserve">($) </w:t>
              <w:br/>
              <w:t xml:space="preserve">(f)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gridSpan w:val="4"/>
            <w:tcBorders/>
            <w:vAlign w:val="center"/>
          </w:tcPr>
          <w:p>
            <w:pPr>
              <w:pStyle w:val="TableContents"/>
              <w:bidi w:val="0"/>
              <w:spacing w:lineRule="atLeast" w:line="142" w:before="0" w:after="0"/>
              <w:jc w:val="center"/>
              <w:rPr/>
            </w:pPr>
            <w:r>
              <w:rPr/>
              <w:t>Peer Group</w:t>
            </w:r>
            <w:r>
              <w:rPr>
                <w:sz w:val="10"/>
              </w:rPr>
              <w:t>(4)</w:t>
            </w:r>
            <w:r>
              <w:rPr/>
              <w:br/>
              <w:t>Total</w:t>
              <w:br/>
              <w:t>Shareholder</w:t>
              <w:br/>
              <w:t xml:space="preserve">Return </w:t>
              <w:br/>
              <w:t xml:space="preserve">($) </w:t>
              <w:br/>
              <w:t xml:space="preserve">(g)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931" w:type="dxa"/>
            <w:gridSpan w:val="4"/>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111" w:type="dxa"/>
            <w:gridSpan w:val="4"/>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tcBorders/>
            <w:shd w:fill="D8D8D8" w:val="clear"/>
            <w:vAlign w:val="center"/>
          </w:tcPr>
          <w:p>
            <w:pPr>
              <w:pStyle w:val="TableContents"/>
              <w:bidi w:val="0"/>
              <w:spacing w:before="0" w:after="283"/>
              <w:jc w:val="left"/>
              <w:rPr/>
            </w:pPr>
            <w:r>
              <w:rPr/>
              <w:t>​</w:t>
            </w:r>
          </w:p>
        </w:tc>
        <w:tc>
          <w:tcPr>
            <w:tcW w:w="661" w:type="dxa"/>
            <w:tcBorders/>
            <w:shd w:fill="D8D8D8" w:val="clear"/>
            <w:vAlign w:val="center"/>
          </w:tcPr>
          <w:p>
            <w:pPr>
              <w:pStyle w:val="TableContents"/>
              <w:bidi w:val="0"/>
              <w:spacing w:before="0" w:after="283"/>
              <w:jc w:val="left"/>
              <w:rPr/>
            </w:pPr>
            <w:r>
              <w:rPr/>
              <w:t xml:space="preserve">2024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14,042,700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67,171,178</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125" w:type="dxa"/>
            <w:tcBorders/>
            <w:shd w:fill="D8D8D8" w:val="clear"/>
            <w:vAlign w:val="center"/>
          </w:tcPr>
          <w:p>
            <w:pPr>
              <w:pStyle w:val="TableContents"/>
              <w:bidi w:val="0"/>
              <w:spacing w:before="0" w:after="283"/>
              <w:jc w:val="right"/>
              <w:rPr/>
            </w:pPr>
            <w:r>
              <w:rPr/>
              <w:t>5,556,517</w:t>
            </w:r>
          </w:p>
        </w:tc>
        <w:tc>
          <w:tcPr>
            <w:tcW w:w="11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31,774,053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right"/>
              <w:rPr/>
            </w:pPr>
            <w:r>
              <w:rPr/>
              <w:t>​</w:t>
            </w:r>
          </w:p>
        </w:tc>
        <w:tc>
          <w:tcPr>
            <w:tcW w:w="873" w:type="dxa"/>
            <w:tcBorders/>
            <w:shd w:fill="D8D8D8" w:val="clear"/>
            <w:vAlign w:val="center"/>
          </w:tcPr>
          <w:p>
            <w:pPr>
              <w:pStyle w:val="TableContents"/>
              <w:bidi w:val="0"/>
              <w:spacing w:before="0" w:after="283"/>
              <w:jc w:val="right"/>
              <w:rPr/>
            </w:pPr>
            <w:r>
              <w:rPr/>
              <w:t>457.19</w:t>
            </w:r>
          </w:p>
        </w:tc>
        <w:tc>
          <w:tcPr>
            <w:tcW w:w="12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right"/>
              <w:rPr/>
            </w:pPr>
            <w:r>
              <w:rPr/>
              <w:t>​</w:t>
            </w:r>
          </w:p>
        </w:tc>
        <w:tc>
          <w:tcPr>
            <w:tcW w:w="873" w:type="dxa"/>
            <w:tcBorders/>
            <w:shd w:fill="D8D8D8" w:val="clear"/>
            <w:vAlign w:val="center"/>
          </w:tcPr>
          <w:p>
            <w:pPr>
              <w:pStyle w:val="TableContents"/>
              <w:bidi w:val="0"/>
              <w:spacing w:before="0" w:after="283"/>
              <w:jc w:val="right"/>
              <w:rPr/>
            </w:pPr>
            <w:r>
              <w:rPr/>
              <w:t>143.20</w:t>
            </w:r>
          </w:p>
        </w:tc>
        <w:tc>
          <w:tcPr>
            <w:tcW w:w="12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p>
            <w:pPr>
              <w:pStyle w:val="TableContents"/>
              <w:bidi w:val="0"/>
              <w:spacing w:before="0" w:after="283"/>
              <w:jc w:val="right"/>
              <w:rPr/>
            </w:pPr>
            <w:r>
              <w:rPr/>
              <w:t>387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1,266</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1" w:type="dxa"/>
            <w:tcBorders/>
            <w:vAlign w:val="center"/>
          </w:tcPr>
          <w:p>
            <w:pPr>
              <w:pStyle w:val="TableContents"/>
              <w:bidi w:val="0"/>
              <w:spacing w:before="0" w:after="283"/>
              <w:jc w:val="left"/>
              <w:rPr/>
            </w:pPr>
            <w:r>
              <w:rPr/>
              <w:t xml:space="preserve">2023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12,387,611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75,024,676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right"/>
              <w:rPr/>
            </w:pPr>
            <w:r>
              <w:rPr/>
              <w:t>​</w:t>
            </w:r>
          </w:p>
        </w:tc>
        <w:tc>
          <w:tcPr>
            <w:tcW w:w="1125" w:type="dxa"/>
            <w:tcBorders/>
            <w:vAlign w:val="center"/>
          </w:tcPr>
          <w:p>
            <w:pPr>
              <w:pStyle w:val="TableContents"/>
              <w:bidi w:val="0"/>
              <w:spacing w:before="0" w:after="283"/>
              <w:jc w:val="right"/>
              <w:rPr/>
            </w:pPr>
            <w:r>
              <w:rPr/>
              <w:t>8,237,805</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34,380,024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873" w:type="dxa"/>
            <w:tcBorders/>
            <w:vAlign w:val="center"/>
          </w:tcPr>
          <w:p>
            <w:pPr>
              <w:pStyle w:val="TableContents"/>
              <w:bidi w:val="0"/>
              <w:spacing w:before="0" w:after="283"/>
              <w:jc w:val="right"/>
              <w:rPr/>
            </w:pPr>
            <w:r>
              <w:rPr/>
              <w:t>305.34</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873" w:type="dxa"/>
            <w:tcBorders/>
            <w:vAlign w:val="center"/>
          </w:tcPr>
          <w:p>
            <w:pPr>
              <w:pStyle w:val="TableContents"/>
              <w:bidi w:val="0"/>
              <w:spacing w:before="0" w:after="283"/>
              <w:jc w:val="right"/>
              <w:rPr/>
            </w:pPr>
            <w:r>
              <w:rPr/>
              <w:t>136.32</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p>
            <w:pPr>
              <w:pStyle w:val="TableContents"/>
              <w:bidi w:val="0"/>
              <w:spacing w:before="0" w:after="283"/>
              <w:jc w:val="right"/>
              <w:rPr/>
            </w:pPr>
            <w:r>
              <w:rPr/>
              <w:t>189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996</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661" w:type="dxa"/>
            <w:tcBorders/>
            <w:shd w:fill="D8D8D8" w:val="clear"/>
            <w:vAlign w:val="center"/>
          </w:tcPr>
          <w:p>
            <w:pPr>
              <w:pStyle w:val="TableContents"/>
              <w:bidi w:val="0"/>
              <w:spacing w:before="0" w:after="283"/>
              <w:jc w:val="left"/>
              <w:rPr/>
            </w:pPr>
            <w:r>
              <w:rPr/>
              <w:t xml:space="preserve">2022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46,990,957</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66,874,224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9,027,723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19,687,049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125" w:type="dxa"/>
            <w:tcBorders/>
            <w:shd w:fill="D8D8D8" w:val="clear"/>
            <w:vAlign w:val="center"/>
          </w:tcPr>
          <w:p>
            <w:pPr>
              <w:pStyle w:val="TableContents"/>
              <w:bidi w:val="0"/>
              <w:spacing w:before="0" w:after="283"/>
              <w:jc w:val="right"/>
              <w:rPr/>
            </w:pPr>
            <w:r>
              <w:rPr/>
              <w:t>1,310,474</w:t>
            </w:r>
          </w:p>
        </w:tc>
        <w:tc>
          <w:tcPr>
            <w:tcW w:w="11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3,184,179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right"/>
              <w:rPr/>
            </w:pPr>
            <w:r>
              <w:rPr/>
              <w:t>​</w:t>
            </w:r>
          </w:p>
        </w:tc>
        <w:tc>
          <w:tcPr>
            <w:tcW w:w="873" w:type="dxa"/>
            <w:tcBorders/>
            <w:shd w:fill="D8D8D8" w:val="clear"/>
            <w:vAlign w:val="center"/>
          </w:tcPr>
          <w:p>
            <w:pPr>
              <w:pStyle w:val="TableContents"/>
              <w:bidi w:val="0"/>
              <w:spacing w:before="0" w:after="283"/>
              <w:jc w:val="right"/>
              <w:rPr/>
            </w:pPr>
            <w:r>
              <w:rPr/>
              <w:t>116.05</w:t>
            </w:r>
          </w:p>
        </w:tc>
        <w:tc>
          <w:tcPr>
            <w:tcW w:w="12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right"/>
              <w:rPr/>
            </w:pPr>
            <w:r>
              <w:rPr/>
              <w:t>​</w:t>
            </w:r>
          </w:p>
        </w:tc>
        <w:tc>
          <w:tcPr>
            <w:tcW w:w="873" w:type="dxa"/>
            <w:tcBorders/>
            <w:shd w:fill="D8D8D8" w:val="clear"/>
            <w:vAlign w:val="center"/>
          </w:tcPr>
          <w:p>
            <w:pPr>
              <w:pStyle w:val="TableContents"/>
              <w:bidi w:val="0"/>
              <w:spacing w:before="0" w:after="283"/>
              <w:jc w:val="right"/>
              <w:rPr/>
            </w:pPr>
            <w:r>
              <w:rPr/>
              <w:t>108.44</w:t>
            </w:r>
          </w:p>
        </w:tc>
        <w:tc>
          <w:tcPr>
            <w:tcW w:w="12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p>
            <w:pPr>
              <w:pStyle w:val="TableContents"/>
              <w:bidi w:val="0"/>
              <w:spacing w:before="0" w:after="283"/>
              <w:jc w:val="right"/>
              <w:rPr/>
            </w:pPr>
            <w:r>
              <w:rPr/>
              <w:t>666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1" w:type="dxa"/>
            <w:tcBorders/>
            <w:vAlign w:val="center"/>
          </w:tcPr>
          <w:p>
            <w:pPr>
              <w:pStyle w:val="TableContents"/>
              <w:bidi w:val="0"/>
              <w:spacing w:before="0" w:after="283"/>
              <w:jc w:val="left"/>
              <w:rPr/>
            </w:pPr>
            <w:r>
              <w:rPr/>
              <w:t xml:space="preserve">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22,043,280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22,043,280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right"/>
              <w:rPr/>
            </w:pPr>
            <w:r>
              <w:rPr/>
              <w:t>​</w:t>
            </w:r>
          </w:p>
        </w:tc>
        <w:tc>
          <w:tcPr>
            <w:tcW w:w="1125" w:type="dxa"/>
            <w:tcBorders/>
            <w:vAlign w:val="center"/>
          </w:tcPr>
          <w:p>
            <w:pPr>
              <w:pStyle w:val="TableContents"/>
              <w:bidi w:val="0"/>
              <w:spacing w:before="0" w:after="283"/>
              <w:jc w:val="right"/>
              <w:rPr/>
            </w:pPr>
            <w:r>
              <w:rPr/>
              <w:t>3,990,800</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3,600,679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873" w:type="dxa"/>
            <w:tcBorders/>
            <w:vAlign w:val="center"/>
          </w:tcPr>
          <w:p>
            <w:pPr>
              <w:pStyle w:val="TableContents"/>
              <w:bidi w:val="0"/>
              <w:spacing w:before="0" w:after="283"/>
              <w:jc w:val="right"/>
              <w:rPr/>
            </w:pPr>
            <w:r>
              <w:rPr/>
              <w:t>170.14</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873" w:type="dxa"/>
            <w:tcBorders/>
            <w:vAlign w:val="center"/>
          </w:tcPr>
          <w:p>
            <w:pPr>
              <w:pStyle w:val="TableContents"/>
              <w:bidi w:val="0"/>
              <w:spacing w:before="0" w:after="283"/>
              <w:jc w:val="right"/>
              <w:rPr/>
            </w:pPr>
            <w:r>
              <w:rPr/>
              <w:t>150.64</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p>
            <w:pPr>
              <w:pStyle w:val="TableContents"/>
              <w:bidi w:val="0"/>
              <w:spacing w:before="0" w:after="283"/>
              <w:jc w:val="right"/>
              <w:rPr/>
            </w:pPr>
            <w:r>
              <w:rPr/>
              <w:t>336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812</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661" w:type="dxa"/>
            <w:tcBorders/>
            <w:shd w:fill="D8D8D8" w:val="clear"/>
            <w:vAlign w:val="center"/>
          </w:tcPr>
          <w:p>
            <w:pPr>
              <w:pStyle w:val="TableContents"/>
              <w:bidi w:val="0"/>
              <w:spacing w:before="0" w:after="283"/>
              <w:jc w:val="left"/>
              <w:rPr/>
            </w:pPr>
            <w:r>
              <w:rPr/>
              <w:t xml:space="preserve">2020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21,812,660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25,043,462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125" w:type="dxa"/>
            <w:tcBorders/>
            <w:shd w:fill="D8D8D8" w:val="clear"/>
            <w:vAlign w:val="center"/>
          </w:tcPr>
          <w:p>
            <w:pPr>
              <w:pStyle w:val="TableContents"/>
              <w:bidi w:val="0"/>
              <w:spacing w:before="0" w:after="283"/>
              <w:jc w:val="right"/>
              <w:rPr/>
            </w:pPr>
            <w:r>
              <w:rPr/>
              <w:t>4,638,287</w:t>
            </w:r>
          </w:p>
        </w:tc>
        <w:tc>
          <w:tcPr>
            <w:tcW w:w="11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4,255,500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right"/>
              <w:rPr/>
            </w:pPr>
            <w:r>
              <w:rPr/>
              <w:t>​</w:t>
            </w:r>
          </w:p>
        </w:tc>
        <w:tc>
          <w:tcPr>
            <w:tcW w:w="873" w:type="dxa"/>
            <w:tcBorders/>
            <w:shd w:fill="D8D8D8" w:val="clear"/>
            <w:vAlign w:val="center"/>
          </w:tcPr>
          <w:p>
            <w:pPr>
              <w:pStyle w:val="TableContents"/>
              <w:bidi w:val="0"/>
              <w:spacing w:before="0" w:after="283"/>
              <w:jc w:val="right"/>
              <w:rPr/>
            </w:pPr>
            <w:r>
              <w:rPr/>
              <w:t>149.56</w:t>
            </w:r>
          </w:p>
        </w:tc>
        <w:tc>
          <w:tcPr>
            <w:tcW w:w="12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left"/>
              <w:rPr/>
            </w:pPr>
            <w:r>
              <w:rPr/>
              <w:t>​</w:t>
            </w:r>
          </w:p>
        </w:tc>
        <w:tc>
          <w:tcPr>
            <w:tcW w:w="124" w:type="dxa"/>
            <w:tcBorders/>
            <w:shd w:fill="D8D8D8" w:val="clear"/>
            <w:vAlign w:val="center"/>
          </w:tcPr>
          <w:p>
            <w:pPr>
              <w:pStyle w:val="TableContents"/>
              <w:bidi w:val="0"/>
              <w:spacing w:before="0" w:after="283"/>
              <w:jc w:val="right"/>
              <w:rPr/>
            </w:pPr>
            <w:r>
              <w:rPr/>
              <w:t>​</w:t>
            </w:r>
          </w:p>
        </w:tc>
        <w:tc>
          <w:tcPr>
            <w:tcW w:w="873" w:type="dxa"/>
            <w:tcBorders/>
            <w:shd w:fill="D8D8D8" w:val="clear"/>
            <w:vAlign w:val="center"/>
          </w:tcPr>
          <w:p>
            <w:pPr>
              <w:pStyle w:val="TableContents"/>
              <w:bidi w:val="0"/>
              <w:spacing w:before="0" w:after="283"/>
              <w:jc w:val="right"/>
              <w:rPr/>
            </w:pPr>
            <w:r>
              <w:rPr/>
              <w:t>112.07</w:t>
            </w:r>
          </w:p>
        </w:tc>
        <w:tc>
          <w:tcPr>
            <w:tcW w:w="12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p>
            <w:pPr>
              <w:pStyle w:val="TableContents"/>
              <w:bidi w:val="0"/>
              <w:spacing w:before="0" w:after="283"/>
              <w:jc w:val="right"/>
              <w:rPr/>
            </w:pPr>
            <w:r>
              <w:rPr/>
              <w:t>110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609</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190" w:before="240" w:after="283"/>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Brad Jacobs is PEO 1 for fiscal years 2022, 2021 and 2020. Mario Harik is PEO 2 for fiscal years 2024, 2023 and 2022. The non-PEO NEOs for fiscal year 2024 were Brad Jacobs, Kyle Wismans, Dave Bates and Wendy Cassity.</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254000" cy="241300"/>
                <wp:effectExtent l="0" t="0" r="0" b="0"/>
                <wp:wrapSquare wrapText="right"/>
                <wp:docPr id="373" name="Frame250"/>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2022 data reflects the total compensation of our executive chairman and former CEO, Mr. Jacobs, who served as our PEO (“PEO 1”) from January 1, 2022 until November 1, 2022, and the total compensation of our CEO and former president, North American LTL and former CIO, Mr. Harik, who is serving as our PEO (“PEO 2”), effective November 1, 2022, and is therefore included in this table as an additional PEO in accordance with SEC rules. Amounts shown are as calculated in the Summary Compensation Table for each of the years shown (and for Mr. Harik, solely reflect compensation for the years of his service as our CEO).</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76">
                <wp:simplePos x="0" y="0"/>
                <wp:positionH relativeFrom="column">
                  <wp:align>left</wp:align>
                </wp:positionH>
                <wp:positionV relativeFrom="line">
                  <wp:align>top</wp:align>
                </wp:positionV>
                <wp:extent cx="254000" cy="241300"/>
                <wp:effectExtent l="0" t="0" r="0" b="0"/>
                <wp:wrapSquare wrapText="right"/>
                <wp:docPr id="374" name="Frame251"/>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(2)</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(2)</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dollar amounts shown in these columns reflect compensation actually paid (“CAP”) to Mr. Jacobs and Mr. Harik, calculated in accordance with SEC rules. As required, the dollar amounts include (among other items) unpaid amounts of equity compensation that may be realizable in future periods, and as such, the dollar amounts shown do not fully represent the actual final amount of compensation earned or actually paid to either officer during the applicable years. The adjustments made to each officer’s total compensation for each year to determine CAP are shown in the tables below. For Mr. Jacobs, information is only included with respect to 2022, 2021 and 2020. For Mr. Harik, information is only included with respect to 2024, 2023 and 2022.</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77">
                <wp:simplePos x="0" y="0"/>
                <wp:positionH relativeFrom="column">
                  <wp:align>left</wp:align>
                </wp:positionH>
                <wp:positionV relativeFrom="line">
                  <wp:align>top</wp:align>
                </wp:positionV>
                <wp:extent cx="254000" cy="241300"/>
                <wp:effectExtent l="0" t="0" r="0" b="0"/>
                <wp:wrapSquare wrapText="right"/>
                <wp:docPr id="375" name="Frame252"/>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(3)</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(3)</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Our peer group is represented by the S&amp;P Transportation Select Industry Index, which replaced the Dow Jones Transportation Average Index starting with 2023. We believe that the S&amp;P Transportation Select Industry Index is the appropriate index, as our outstanding performance-based restricted stock units (“PSUs”) generally measure our performance compared to this index, of which we are a component. The peer group Total Shareholder Return shown in the table above reflects data for the S&amp;P Transportation Select Industry Index for 2024, 2023, 2022, 2021 and 2020.</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78">
                <wp:simplePos x="0" y="0"/>
                <wp:positionH relativeFrom="column">
                  <wp:align>left</wp:align>
                </wp:positionH>
                <wp:positionV relativeFrom="line">
                  <wp:align>top</wp:align>
                </wp:positionV>
                <wp:extent cx="254000" cy="241300"/>
                <wp:effectExtent l="0" t="0" r="0" b="0"/>
                <wp:wrapSquare wrapText="right"/>
                <wp:docPr id="376" name="Frame253"/>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(4)</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(4)</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Our company-selected measure is adjusted EBITDA, which we define as income from continuing operations before debt extinguishment loss, interest expense, income tax provision, depreciation and amortization expense, goodwill impairment charges, litigation matters, transaction and integration costs, restructuring costs and other adjustments. Adjusted EBITDA is a non-GAAP financial measure. See Annex A for reconciliations of non-GAAP measures.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379">
                <wp:simplePos x="0" y="0"/>
                <wp:positionH relativeFrom="column">
                  <wp:align>left</wp:align>
                </wp:positionH>
                <wp:positionV relativeFrom="line">
                  <wp:align>top</wp:align>
                </wp:positionV>
                <wp:extent cx="254000" cy="241300"/>
                <wp:effectExtent l="0" t="0" r="0" b="0"/>
                <wp:wrapSquare wrapText="right"/>
                <wp:docPr id="377" name="Frame254"/>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(5)</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(5)</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9655" w:type="dxa"/>
        <w:jc w:val="left"/>
        <w:tblInd w:w="550" w:type="dxa"/>
        <w:tblLayout w:type="fixed"/>
        <w:tblCellMar>
          <w:top w:w="0" w:type="dxa"/>
          <w:left w:w="0" w:type="dxa"/>
          <w:bottom w:w="28" w:type="dxa"/>
          <w:right w:w="0" w:type="dxa"/>
        </w:tblCellMar>
      </w:tblPr>
      <w:tblGrid>
        <w:gridCol w:w="124"/>
        <w:gridCol w:w="1761"/>
        <w:gridCol w:w="109"/>
        <w:gridCol w:w="109"/>
        <w:gridCol w:w="109"/>
        <w:gridCol w:w="109"/>
        <w:gridCol w:w="109"/>
        <w:gridCol w:w="1186"/>
        <w:gridCol w:w="109"/>
        <w:gridCol w:w="109"/>
        <w:gridCol w:w="109"/>
        <w:gridCol w:w="109"/>
        <w:gridCol w:w="109"/>
        <w:gridCol w:w="109"/>
        <w:gridCol w:w="1186"/>
        <w:gridCol w:w="109"/>
        <w:gridCol w:w="109"/>
        <w:gridCol w:w="109"/>
        <w:gridCol w:w="109"/>
        <w:gridCol w:w="109"/>
        <w:gridCol w:w="109"/>
        <w:gridCol w:w="1262"/>
        <w:gridCol w:w="109"/>
        <w:gridCol w:w="109"/>
        <w:gridCol w:w="109"/>
        <w:gridCol w:w="109"/>
        <w:gridCol w:w="110"/>
        <w:gridCol w:w="110"/>
        <w:gridCol w:w="350"/>
        <w:gridCol w:w="110"/>
        <w:gridCol w:w="109"/>
        <w:gridCol w:w="109"/>
        <w:gridCol w:w="109"/>
        <w:gridCol w:w="110"/>
        <w:gridCol w:w="110"/>
        <w:gridCol w:w="350"/>
        <w:gridCol w:w="110"/>
        <w:gridCol w:w="160"/>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76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4" w:space="0" w:color="E2231A"/>
            </w:tcBorders>
            <w:vAlign w:val="center"/>
          </w:tcPr>
          <w:p>
            <w:pPr>
              <w:pStyle w:val="TableContents"/>
              <w:bidi w:val="0"/>
              <w:spacing w:before="0" w:after="283"/>
              <w:jc w:val="left"/>
              <w:rPr/>
            </w:pPr>
            <w:r>
              <w:rPr/>
              <w:t>​</w:t>
            </w:r>
          </w:p>
        </w:tc>
        <w:tc>
          <w:tcPr>
            <w:tcW w:w="7283" w:type="dxa"/>
            <w:gridSpan w:val="32"/>
            <w:tcBorders>
              <w:bottom w:val="single" w:sz="4" w:space="0" w:color="E2231A"/>
            </w:tcBorders>
            <w:tcMar>
              <w:bottom w:w="50" w:type="dxa"/>
            </w:tcMar>
            <w:vAlign w:val="center"/>
          </w:tcPr>
          <w:p>
            <w:pPr>
              <w:pStyle w:val="TableContents"/>
              <w:bidi w:val="0"/>
              <w:spacing w:before="0" w:after="0"/>
              <w:jc w:val="center"/>
              <w:rPr/>
            </w:pPr>
            <w:r>
              <w:rPr/>
              <w:t xml:space="preserve">PEO 1 </w:t>
            </w:r>
          </w:p>
        </w:tc>
        <w:tc>
          <w:tcPr>
            <w:tcW w:w="160" w:type="dxa"/>
            <w:tcBorders>
              <w:bottom w:val="single" w:sz="4" w:space="0" w:color="E2231A"/>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761" w:type="dxa"/>
            <w:tcBorders>
              <w:bottom w:val="single" w:sz="2" w:space="0" w:color="7F7F7F"/>
            </w:tcBorders>
            <w:tcMar>
              <w:bottom w:w="43" w:type="dxa"/>
            </w:tcMar>
            <w:vAlign w:val="center"/>
          </w:tcPr>
          <w:p>
            <w:pPr>
              <w:pStyle w:val="TableContents"/>
              <w:bidi w:val="0"/>
              <w:spacing w:before="0" w:after="283"/>
              <w:jc w:val="left"/>
              <w:rPr/>
            </w:pPr>
            <w:r>
              <w:rPr/>
              <w:t>Prior FYE</w:t>
              <w:br/>
              <w:t xml:space="preserve">Current FYE </w:t>
              <w:br/>
              <w:t>Fiscal Year</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tcMar>
              <w:bottom w:w="43" w:type="dxa"/>
            </w:tcMar>
            <w:vAlign w:val="center"/>
          </w:tcPr>
          <w:p>
            <w:pPr>
              <w:pStyle w:val="TableContents"/>
              <w:bidi w:val="0"/>
              <w:spacing w:before="0" w:after="0"/>
              <w:jc w:val="center"/>
              <w:rPr/>
            </w:pPr>
            <w:r>
              <w:rPr/>
              <w:t>12/31/2019</w:t>
              <w:br/>
              <w:t>12/31/2020</w:t>
              <w:br/>
              <w:t xml:space="preserve">2020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tcMar>
              <w:bottom w:w="43" w:type="dxa"/>
            </w:tcMar>
            <w:vAlign w:val="center"/>
          </w:tcPr>
          <w:p>
            <w:pPr>
              <w:pStyle w:val="TableContents"/>
              <w:bidi w:val="0"/>
              <w:spacing w:before="0" w:after="0"/>
              <w:jc w:val="center"/>
              <w:rPr/>
            </w:pPr>
            <w:r>
              <w:rPr/>
              <w:t>12/31/2020</w:t>
              <w:br/>
              <w:t>12/31/2021</w:t>
              <w:br/>
              <w:t xml:space="preserve">2021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89"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12/31/2021</w:t>
              <w:br/>
              <w:t>12/31/2022</w:t>
              <w:br/>
              <w:t>2022</w:t>
            </w:r>
            <w:r>
              <w:rPr>
                <w:sz w:val="10"/>
              </w:rPr>
              <w:t>(a)</w:t>
            </w:r>
            <w:r>
              <w:rPr/>
              <w:t xml:space="preserve">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80" w:type="dxa"/>
            <w:gridSpan w:val="4"/>
            <w:tcBorders>
              <w:bottom w:val="single" w:sz="2" w:space="0" w:color="7F7F7F"/>
            </w:tcBorders>
            <w:tcMar>
              <w:bottom w:w="43" w:type="dxa"/>
            </w:tcMar>
            <w:vAlign w:val="center"/>
          </w:tcPr>
          <w:p>
            <w:pPr>
              <w:pStyle w:val="TableContents"/>
              <w:bidi w:val="0"/>
              <w:spacing w:before="0" w:after="0"/>
              <w:jc w:val="center"/>
              <w:rPr/>
            </w:pPr>
            <w:r>
              <w:rPr/>
              <w:t>12/31/2022</w:t>
              <w:br/>
              <w:t>12/31/2023</w:t>
              <w:br/>
              <w:t xml:space="preserve">2023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80" w:type="dxa"/>
            <w:gridSpan w:val="4"/>
            <w:tcBorders>
              <w:bottom w:val="single" w:sz="2" w:space="0" w:color="7F7F7F"/>
            </w:tcBorders>
            <w:tcMar>
              <w:bottom w:w="43" w:type="dxa"/>
            </w:tcMar>
            <w:vAlign w:val="center"/>
          </w:tcPr>
          <w:p>
            <w:pPr>
              <w:pStyle w:val="TableContents"/>
              <w:bidi w:val="0"/>
              <w:spacing w:before="0" w:after="0"/>
              <w:jc w:val="center"/>
              <w:rPr/>
            </w:pPr>
            <w:r>
              <w:rPr/>
              <w:t>12/31/2023</w:t>
              <w:br/>
              <w:t>12/31/2024</w:t>
              <w:br/>
              <w:t xml:space="preserve">2024 </w:t>
              <w:br/>
              <w:t xml:space="preserve">($) </w:t>
            </w:r>
          </w:p>
        </w:tc>
        <w:tc>
          <w:tcPr>
            <w:tcW w:w="160"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761" w:type="dxa"/>
            <w:tcBorders>
              <w:bottom w:val="single" w:sz="2" w:space="0" w:color="7F7F7F"/>
            </w:tcBorders>
            <w:shd w:fill="D8D8D8" w:val="clear"/>
            <w:tcMar>
              <w:bottom w:w="55" w:type="dxa"/>
            </w:tcMar>
            <w:vAlign w:val="center"/>
          </w:tcPr>
          <w:p>
            <w:pPr>
              <w:pStyle w:val="TableContents"/>
              <w:bidi w:val="0"/>
              <w:spacing w:before="0" w:after="283"/>
              <w:jc w:val="left"/>
              <w:rPr/>
            </w:pPr>
            <w:r>
              <w:rPr/>
              <w:t xml:space="preserve">Summary Compensation Table total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55" w:type="dxa"/>
            </w:tcMar>
            <w:vAlign w:val="center"/>
          </w:tcPr>
          <w:p>
            <w:pPr>
              <w:pStyle w:val="TableContents"/>
              <w:bidi w:val="0"/>
              <w:spacing w:before="0" w:after="283"/>
              <w:jc w:val="right"/>
              <w:rPr/>
            </w:pPr>
            <w:r>
              <w:rPr/>
              <w:t>21,812,660</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55" w:type="dxa"/>
            </w:tcMar>
            <w:vAlign w:val="center"/>
          </w:tcPr>
          <w:p>
            <w:pPr>
              <w:pStyle w:val="TableContents"/>
              <w:bidi w:val="0"/>
              <w:spacing w:before="0" w:after="283"/>
              <w:jc w:val="right"/>
              <w:rPr/>
            </w:pPr>
            <w:r>
              <w:rPr/>
              <w:t>22,043,280</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262" w:type="dxa"/>
            <w:tcBorders>
              <w:bottom w:val="single" w:sz="2" w:space="0" w:color="7F7F7F"/>
            </w:tcBorders>
            <w:shd w:fill="D8D8D8" w:val="clear"/>
            <w:tcMar>
              <w:bottom w:w="55" w:type="dxa"/>
            </w:tcMar>
            <w:vAlign w:val="center"/>
          </w:tcPr>
          <w:p>
            <w:pPr>
              <w:pStyle w:val="TableContents"/>
              <w:bidi w:val="0"/>
              <w:spacing w:before="0" w:after="283"/>
              <w:jc w:val="right"/>
              <w:rPr/>
            </w:pPr>
            <w:r>
              <w:rPr/>
              <w:t>46,990,957</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35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35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60"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61" w:type="dxa"/>
            <w:tcBorders/>
            <w:tcMar>
              <w:bottom w:w="0" w:type="dxa"/>
            </w:tcMar>
            <w:vAlign w:val="center"/>
          </w:tcPr>
          <w:p>
            <w:pPr>
              <w:pStyle w:val="TableContents"/>
              <w:bidi w:val="0"/>
              <w:spacing w:before="0" w:after="283"/>
              <w:jc w:val="left"/>
              <w:rPr/>
            </w:pPr>
            <w:r>
              <w:rPr/>
              <w:t xml:space="preserve">- Grant date fair value of modified awards disclosed in fiscal year (FASB ASC 718)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262" w:type="dxa"/>
            <w:tcBorders/>
            <w:tcMar>
              <w:bottom w:w="0" w:type="dxa"/>
            </w:tcMar>
            <w:vAlign w:val="center"/>
          </w:tcPr>
          <w:p>
            <w:pPr>
              <w:pStyle w:val="TableContents"/>
              <w:bidi w:val="0"/>
              <w:spacing w:before="0" w:after="0"/>
              <w:jc w:val="right"/>
              <w:rPr>
                <w:color w:val="E2231A"/>
              </w:rPr>
            </w:pPr>
            <w:r>
              <w:rPr>
                <w:color w:val="E2231A"/>
              </w:rPr>
              <w:t>(54,298,870)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761" w:type="dxa"/>
            <w:tcBorders>
              <w:bottom w:val="single" w:sz="2" w:space="0" w:color="7F7F7F"/>
            </w:tcBorders>
            <w:shd w:fill="D8D8D8" w:val="clear"/>
            <w:tcMar>
              <w:bottom w:w="55" w:type="dxa"/>
            </w:tcMar>
            <w:vAlign w:val="center"/>
          </w:tcPr>
          <w:p>
            <w:pPr>
              <w:pStyle w:val="TableContents"/>
              <w:bidi w:val="0"/>
              <w:spacing w:before="0" w:after="283"/>
              <w:jc w:val="left"/>
              <w:rPr/>
            </w:pPr>
            <w:r>
              <w:rPr/>
              <w:t xml:space="preserve">+ Previously reported grant date fair value of modified awards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262" w:type="dxa"/>
            <w:tcBorders>
              <w:bottom w:val="single" w:sz="2" w:space="0" w:color="7F7F7F"/>
            </w:tcBorders>
            <w:shd w:fill="D8D8D8" w:val="clear"/>
            <w:tcMar>
              <w:bottom w:w="55" w:type="dxa"/>
            </w:tcMar>
            <w:vAlign w:val="center"/>
          </w:tcPr>
          <w:p>
            <w:pPr>
              <w:pStyle w:val="TableContents"/>
              <w:bidi w:val="0"/>
              <w:spacing w:before="0" w:after="283"/>
              <w:jc w:val="right"/>
              <w:rPr/>
            </w:pPr>
            <w:r>
              <w:rPr/>
              <w:t>19,697,878</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35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35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60"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61" w:type="dxa"/>
            <w:tcBorders/>
            <w:tcMar>
              <w:bottom w:w="0" w:type="dxa"/>
            </w:tcMar>
            <w:vAlign w:val="center"/>
          </w:tcPr>
          <w:p>
            <w:pPr>
              <w:pStyle w:val="TableContents"/>
              <w:bidi w:val="0"/>
              <w:spacing w:before="0" w:after="283"/>
              <w:jc w:val="left"/>
              <w:rPr/>
            </w:pPr>
            <w:r>
              <w:rPr/>
              <w:t xml:space="preserve">- Grant date fair value of modified awards over previously reported grant date fair value of </w:t>
              <w:br/>
              <w:t xml:space="preserve">modified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262" w:type="dxa"/>
            <w:tcBorders/>
            <w:tcMar>
              <w:bottom w:w="0" w:type="dxa"/>
            </w:tcMar>
            <w:vAlign w:val="center"/>
          </w:tcPr>
          <w:p>
            <w:pPr>
              <w:pStyle w:val="TableContents"/>
              <w:bidi w:val="0"/>
              <w:spacing w:before="0" w:after="0"/>
              <w:jc w:val="right"/>
              <w:rPr>
                <w:color w:val="E2231A"/>
              </w:rPr>
            </w:pPr>
            <w:r>
              <w:rPr>
                <w:color w:val="E2231A"/>
              </w:rPr>
              <w:t>(34,600,992)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761" w:type="dxa"/>
            <w:tcBorders/>
            <w:shd w:fill="D8D8D8" w:val="clear"/>
            <w:tcMar>
              <w:bottom w:w="0" w:type="dxa"/>
            </w:tcMar>
            <w:vAlign w:val="center"/>
          </w:tcPr>
          <w:p>
            <w:pPr>
              <w:pStyle w:val="TableContents"/>
              <w:bidi w:val="0"/>
              <w:spacing w:before="0" w:after="283"/>
              <w:jc w:val="left"/>
              <w:rPr/>
            </w:pPr>
            <w:r>
              <w:rPr/>
              <w:t xml:space="preserve">+ Fair value at fiscal year-end of outstanding and unvested option awards and stock awards granted in fiscal year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62" w:type="dxa"/>
            <w:tcBorders/>
            <w:shd w:fill="D8D8D8" w:val="clear"/>
            <w:tcMar>
              <w:bottom w:w="0" w:type="dxa"/>
            </w:tcMar>
            <w:vAlign w:val="center"/>
          </w:tcPr>
          <w:p>
            <w:pPr>
              <w:pStyle w:val="TableContents"/>
              <w:bidi w:val="0"/>
              <w:spacing w:before="0" w:after="283"/>
              <w:jc w:val="right"/>
              <w:rPr/>
            </w:pPr>
            <w:r>
              <w:rPr/>
              <w:t>54,484,259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0"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0"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61" w:type="dxa"/>
            <w:tcBorders/>
            <w:tcMar>
              <w:bottom w:w="0" w:type="dxa"/>
            </w:tcMar>
            <w:vAlign w:val="center"/>
          </w:tcPr>
          <w:p>
            <w:pPr>
              <w:pStyle w:val="TableContents"/>
              <w:bidi w:val="0"/>
              <w:spacing w:before="0" w:after="283"/>
              <w:jc w:val="left"/>
              <w:rPr/>
            </w:pPr>
            <w:r>
              <w:rPr/>
              <w:t xml:space="preserve">+ Change in fair value of outstanding and unvested option awards and stock awards granted in prior fiscal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761" w:type="dxa"/>
            <w:tcBorders/>
            <w:shd w:fill="D8D8D8" w:val="clear"/>
            <w:tcMar>
              <w:bottom w:w="0" w:type="dxa"/>
            </w:tcMar>
            <w:vAlign w:val="center"/>
          </w:tcPr>
          <w:p>
            <w:pPr>
              <w:pStyle w:val="TableContents"/>
              <w:bidi w:val="0"/>
              <w:spacing w:lineRule="atLeast" w:line="204" w:before="0" w:after="0"/>
              <w:jc w:val="left"/>
              <w:rPr/>
            </w:pPr>
            <w:r>
              <w:rPr/>
              <w:t xml:space="preserve">+ Fair value at vesting of option awards and stock awards granted in fiscal year that vested during fiscal year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62"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0"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0"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61" w:type="dxa"/>
            <w:tcBorders/>
            <w:tcMar>
              <w:bottom w:w="0" w:type="dxa"/>
            </w:tcMar>
            <w:vAlign w:val="center"/>
          </w:tcPr>
          <w:p>
            <w:pPr>
              <w:pStyle w:val="TableContents"/>
              <w:bidi w:val="0"/>
              <w:spacing w:lineRule="atLeast" w:line="204" w:before="0" w:after="0"/>
              <w:jc w:val="left"/>
              <w:rPr/>
            </w:pPr>
            <w:r>
              <w:rPr/>
              <w:t xml:space="preserve">+ Change in fair value as of vesting date of option awards and stock awards granted in prior fiscal years for which applicable vesting conditions were satisfied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3,230,802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47</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9655" w:type="dxa"/>
        <w:jc w:val="left"/>
        <w:tblInd w:w="550" w:type="dxa"/>
        <w:tblLayout w:type="fixed"/>
        <w:tblCellMar>
          <w:top w:w="0" w:type="dxa"/>
          <w:left w:w="0" w:type="dxa"/>
          <w:bottom w:w="28" w:type="dxa"/>
          <w:right w:w="0" w:type="dxa"/>
        </w:tblCellMar>
      </w:tblPr>
      <w:tblGrid>
        <w:gridCol w:w="124"/>
        <w:gridCol w:w="1808"/>
        <w:gridCol w:w="109"/>
        <w:gridCol w:w="109"/>
        <w:gridCol w:w="109"/>
        <w:gridCol w:w="109"/>
        <w:gridCol w:w="109"/>
        <w:gridCol w:w="1186"/>
        <w:gridCol w:w="109"/>
        <w:gridCol w:w="109"/>
        <w:gridCol w:w="109"/>
        <w:gridCol w:w="109"/>
        <w:gridCol w:w="109"/>
        <w:gridCol w:w="109"/>
        <w:gridCol w:w="1186"/>
        <w:gridCol w:w="109"/>
        <w:gridCol w:w="109"/>
        <w:gridCol w:w="109"/>
        <w:gridCol w:w="109"/>
        <w:gridCol w:w="109"/>
        <w:gridCol w:w="109"/>
        <w:gridCol w:w="1186"/>
        <w:gridCol w:w="109"/>
        <w:gridCol w:w="109"/>
        <w:gridCol w:w="109"/>
        <w:gridCol w:w="109"/>
        <w:gridCol w:w="112"/>
        <w:gridCol w:w="112"/>
        <w:gridCol w:w="358"/>
        <w:gridCol w:w="112"/>
        <w:gridCol w:w="109"/>
        <w:gridCol w:w="109"/>
        <w:gridCol w:w="109"/>
        <w:gridCol w:w="112"/>
        <w:gridCol w:w="112"/>
        <w:gridCol w:w="358"/>
        <w:gridCol w:w="112"/>
        <w:gridCol w:w="161"/>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808"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4" w:space="0" w:color="E2231A"/>
            </w:tcBorders>
            <w:vAlign w:val="center"/>
          </w:tcPr>
          <w:p>
            <w:pPr>
              <w:pStyle w:val="TableContents"/>
              <w:bidi w:val="0"/>
              <w:spacing w:before="0" w:after="283"/>
              <w:jc w:val="left"/>
              <w:rPr/>
            </w:pPr>
            <w:r>
              <w:rPr/>
              <w:t>​</w:t>
            </w:r>
          </w:p>
        </w:tc>
        <w:tc>
          <w:tcPr>
            <w:tcW w:w="7235" w:type="dxa"/>
            <w:gridSpan w:val="32"/>
            <w:tcBorders>
              <w:bottom w:val="single" w:sz="4" w:space="0" w:color="E2231A"/>
            </w:tcBorders>
            <w:tcMar>
              <w:bottom w:w="50" w:type="dxa"/>
            </w:tcMar>
            <w:vAlign w:val="center"/>
          </w:tcPr>
          <w:p>
            <w:pPr>
              <w:pStyle w:val="TableContents"/>
              <w:bidi w:val="0"/>
              <w:spacing w:before="0" w:after="0"/>
              <w:jc w:val="center"/>
              <w:rPr/>
            </w:pPr>
            <w:r>
              <w:rPr/>
              <w:t xml:space="preserve">PEO 1 </w:t>
            </w:r>
          </w:p>
        </w:tc>
        <w:tc>
          <w:tcPr>
            <w:tcW w:w="161" w:type="dxa"/>
            <w:tcBorders>
              <w:bottom w:val="single" w:sz="4" w:space="0" w:color="E2231A"/>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808" w:type="dxa"/>
            <w:tcBorders>
              <w:bottom w:val="single" w:sz="2" w:space="0" w:color="7F7F7F"/>
            </w:tcBorders>
            <w:tcMar>
              <w:bottom w:w="43" w:type="dxa"/>
            </w:tcMar>
            <w:vAlign w:val="center"/>
          </w:tcPr>
          <w:p>
            <w:pPr>
              <w:pStyle w:val="TableContents"/>
              <w:bidi w:val="0"/>
              <w:spacing w:before="0" w:after="283"/>
              <w:jc w:val="left"/>
              <w:rPr/>
            </w:pPr>
            <w:r>
              <w:rPr/>
              <w:t>Prior FYE</w:t>
              <w:br/>
              <w:t xml:space="preserve">Current FYE </w:t>
              <w:br/>
              <w:t>Fiscal Year</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tcMar>
              <w:bottom w:w="43" w:type="dxa"/>
            </w:tcMar>
            <w:vAlign w:val="center"/>
          </w:tcPr>
          <w:p>
            <w:pPr>
              <w:pStyle w:val="TableContents"/>
              <w:bidi w:val="0"/>
              <w:spacing w:before="0" w:after="0"/>
              <w:jc w:val="center"/>
              <w:rPr/>
            </w:pPr>
            <w:r>
              <w:rPr/>
              <w:t>12/31/2019</w:t>
              <w:br/>
              <w:t>12/31/2020</w:t>
              <w:br/>
              <w:t xml:space="preserve">2020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tcMar>
              <w:bottom w:w="43" w:type="dxa"/>
            </w:tcMar>
            <w:vAlign w:val="center"/>
          </w:tcPr>
          <w:p>
            <w:pPr>
              <w:pStyle w:val="TableContents"/>
              <w:bidi w:val="0"/>
              <w:spacing w:before="0" w:after="0"/>
              <w:jc w:val="center"/>
              <w:rPr/>
            </w:pPr>
            <w:r>
              <w:rPr/>
              <w:t>12/31/2020</w:t>
              <w:br/>
              <w:t>12/31/2021</w:t>
              <w:br/>
              <w:t xml:space="preserve">2021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12/31/2021</w:t>
              <w:br/>
              <w:t>12/31/2022</w:t>
              <w:br/>
              <w:t>2022</w:t>
            </w:r>
            <w:r>
              <w:rPr>
                <w:sz w:val="10"/>
              </w:rPr>
              <w:t>(a)</w:t>
            </w:r>
            <w:r>
              <w:rPr/>
              <w:t xml:space="preserve">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94" w:type="dxa"/>
            <w:gridSpan w:val="4"/>
            <w:tcBorders>
              <w:bottom w:val="single" w:sz="2" w:space="0" w:color="7F7F7F"/>
            </w:tcBorders>
            <w:tcMar>
              <w:bottom w:w="43" w:type="dxa"/>
            </w:tcMar>
            <w:vAlign w:val="center"/>
          </w:tcPr>
          <w:p>
            <w:pPr>
              <w:pStyle w:val="TableContents"/>
              <w:bidi w:val="0"/>
              <w:spacing w:before="0" w:after="0"/>
              <w:jc w:val="center"/>
              <w:rPr/>
            </w:pPr>
            <w:r>
              <w:rPr/>
              <w:t>12/31/2022</w:t>
              <w:br/>
              <w:t>12/31/2023</w:t>
              <w:br/>
              <w:t xml:space="preserve">2023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94" w:type="dxa"/>
            <w:gridSpan w:val="4"/>
            <w:tcBorders>
              <w:bottom w:val="single" w:sz="2" w:space="0" w:color="7F7F7F"/>
            </w:tcBorders>
            <w:tcMar>
              <w:bottom w:w="43" w:type="dxa"/>
            </w:tcMar>
            <w:vAlign w:val="center"/>
          </w:tcPr>
          <w:p>
            <w:pPr>
              <w:pStyle w:val="TableContents"/>
              <w:bidi w:val="0"/>
              <w:spacing w:before="0" w:after="0"/>
              <w:jc w:val="center"/>
              <w:rPr/>
            </w:pPr>
            <w:r>
              <w:rPr/>
              <w:t>12/31/2023</w:t>
              <w:br/>
              <w:t>12/31/2024</w:t>
              <w:br/>
              <w:t xml:space="preserve">2024 </w:t>
              <w:br/>
              <w:t xml:space="preserve">($) </w:t>
            </w:r>
          </w:p>
        </w:tc>
        <w:tc>
          <w:tcPr>
            <w:tcW w:w="161"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808" w:type="dxa"/>
            <w:tcBorders>
              <w:bottom w:val="single" w:sz="2" w:space="0" w:color="7F7F7F"/>
            </w:tcBorders>
            <w:shd w:fill="D8D8D8" w:val="clear"/>
            <w:tcMar>
              <w:bottom w:w="43" w:type="dxa"/>
            </w:tcMar>
            <w:vAlign w:val="center"/>
          </w:tcPr>
          <w:p>
            <w:pPr>
              <w:pStyle w:val="TableContents"/>
              <w:bidi w:val="0"/>
              <w:spacing w:lineRule="atLeast" w:line="204" w:before="0" w:after="0"/>
              <w:jc w:val="left"/>
              <w:rPr/>
            </w:pPr>
            <w:r>
              <w:rPr/>
              <w:t xml:space="preserve">- Fair value as of prior fiscal year-end of option awards and stock awards granted in prior </w:t>
              <w:br/>
              <w:t xml:space="preserve">fiscal years that failed to meet applicable vesting conditions during fiscal year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2" w:type="dxa"/>
            <w:tcBorders>
              <w:bottom w:val="single" w:sz="2" w:space="0" w:color="7F7F7F"/>
            </w:tcBorders>
            <w:shd w:fill="D8D8D8" w:val="clear"/>
            <w:vAlign w:val="center"/>
          </w:tcPr>
          <w:p>
            <w:pPr>
              <w:pStyle w:val="TableContents"/>
              <w:bidi w:val="0"/>
              <w:spacing w:before="0" w:after="283"/>
              <w:jc w:val="left"/>
              <w:rPr/>
            </w:pPr>
            <w:r>
              <w:rPr/>
              <w:t>​</w:t>
            </w:r>
          </w:p>
        </w:tc>
        <w:tc>
          <w:tcPr>
            <w:tcW w:w="112"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358"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12"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2" w:type="dxa"/>
            <w:tcBorders>
              <w:bottom w:val="single" w:sz="2" w:space="0" w:color="7F7F7F"/>
            </w:tcBorders>
            <w:shd w:fill="D8D8D8" w:val="clear"/>
            <w:vAlign w:val="center"/>
          </w:tcPr>
          <w:p>
            <w:pPr>
              <w:pStyle w:val="TableContents"/>
              <w:bidi w:val="0"/>
              <w:spacing w:before="0" w:after="283"/>
              <w:jc w:val="left"/>
              <w:rPr/>
            </w:pPr>
            <w:r>
              <w:rPr/>
              <w:t>​</w:t>
            </w:r>
          </w:p>
        </w:tc>
        <w:tc>
          <w:tcPr>
            <w:tcW w:w="112"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358"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12" w:type="dxa"/>
            <w:tcBorders>
              <w:bottom w:val="single" w:sz="2" w:space="0" w:color="7F7F7F"/>
            </w:tcBorders>
            <w:shd w:fill="D8D8D8" w:val="clear"/>
            <w:vAlign w:val="center"/>
          </w:tcPr>
          <w:p>
            <w:pPr>
              <w:pStyle w:val="TableContents"/>
              <w:bidi w:val="0"/>
              <w:spacing w:before="0" w:after="283"/>
              <w:jc w:val="left"/>
              <w:rPr/>
            </w:pPr>
            <w:r>
              <w:rPr/>
              <w:t>​</w:t>
            </w:r>
          </w:p>
        </w:tc>
        <w:tc>
          <w:tcPr>
            <w:tcW w:w="161"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bottom w:val="single" w:sz="6" w:space="0" w:color="7F7F7F"/>
            </w:tcBorders>
            <w:vAlign w:val="center"/>
          </w:tcPr>
          <w:p>
            <w:pPr>
              <w:pStyle w:val="TableContents"/>
              <w:bidi w:val="0"/>
              <w:spacing w:before="0" w:after="283"/>
              <w:jc w:val="left"/>
              <w:rPr/>
            </w:pPr>
            <w:r>
              <w:rPr/>
              <w:t>​</w:t>
            </w:r>
          </w:p>
        </w:tc>
        <w:tc>
          <w:tcPr>
            <w:tcW w:w="1808" w:type="dxa"/>
            <w:tcBorders>
              <w:bottom w:val="single" w:sz="6" w:space="0" w:color="7F7F7F"/>
            </w:tcBorders>
            <w:tcMar>
              <w:bottom w:w="43" w:type="dxa"/>
            </w:tcMar>
            <w:vAlign w:val="center"/>
          </w:tcPr>
          <w:p>
            <w:pPr>
              <w:pStyle w:val="TableContents"/>
              <w:bidi w:val="0"/>
              <w:spacing w:before="0" w:after="283"/>
              <w:jc w:val="left"/>
              <w:rPr/>
            </w:pPr>
            <w:r>
              <w:rPr/>
              <w:t>Compensation Actually Paid</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tcMar>
              <w:bottom w:w="43" w:type="dxa"/>
            </w:tcMar>
            <w:vAlign w:val="center"/>
          </w:tcPr>
          <w:p>
            <w:pPr>
              <w:pStyle w:val="TableContents"/>
              <w:bidi w:val="0"/>
              <w:spacing w:before="0" w:after="283"/>
              <w:jc w:val="right"/>
              <w:rPr/>
            </w:pPr>
            <w:r>
              <w:rPr/>
              <w:t>​</w:t>
            </w:r>
          </w:p>
        </w:tc>
        <w:tc>
          <w:tcPr>
            <w:tcW w:w="1186" w:type="dxa"/>
            <w:tcBorders>
              <w:bottom w:val="single" w:sz="6" w:space="0" w:color="7F7F7F"/>
            </w:tcBorders>
            <w:tcMar>
              <w:bottom w:w="43" w:type="dxa"/>
            </w:tcMar>
            <w:vAlign w:val="center"/>
          </w:tcPr>
          <w:p>
            <w:pPr>
              <w:pStyle w:val="TableContents"/>
              <w:bidi w:val="0"/>
              <w:spacing w:before="0" w:after="283"/>
              <w:jc w:val="right"/>
              <w:rPr/>
            </w:pPr>
            <w:r>
              <w:rPr/>
              <w:t>25,043,462</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tcMar>
              <w:bottom w:w="43" w:type="dxa"/>
            </w:tcMar>
            <w:vAlign w:val="center"/>
          </w:tcPr>
          <w:p>
            <w:pPr>
              <w:pStyle w:val="TableContents"/>
              <w:bidi w:val="0"/>
              <w:spacing w:before="0" w:after="283"/>
              <w:jc w:val="right"/>
              <w:rPr/>
            </w:pPr>
            <w:r>
              <w:rPr/>
              <w:t>​</w:t>
            </w:r>
          </w:p>
        </w:tc>
        <w:tc>
          <w:tcPr>
            <w:tcW w:w="1186" w:type="dxa"/>
            <w:tcBorders>
              <w:bottom w:val="single" w:sz="6" w:space="0" w:color="7F7F7F"/>
            </w:tcBorders>
            <w:tcMar>
              <w:bottom w:w="43" w:type="dxa"/>
            </w:tcMar>
            <w:vAlign w:val="center"/>
          </w:tcPr>
          <w:p>
            <w:pPr>
              <w:pStyle w:val="TableContents"/>
              <w:bidi w:val="0"/>
              <w:spacing w:before="0" w:after="283"/>
              <w:jc w:val="right"/>
              <w:rPr/>
            </w:pPr>
            <w:r>
              <w:rPr/>
              <w:t>22,043,280</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tcMar>
              <w:bottom w:w="43" w:type="dxa"/>
            </w:tcMar>
            <w:vAlign w:val="center"/>
          </w:tcPr>
          <w:p>
            <w:pPr>
              <w:pStyle w:val="TableContents"/>
              <w:bidi w:val="0"/>
              <w:spacing w:before="0" w:after="283"/>
              <w:jc w:val="right"/>
              <w:rPr/>
            </w:pPr>
            <w:r>
              <w:rPr/>
              <w:t>​</w:t>
            </w:r>
          </w:p>
        </w:tc>
        <w:tc>
          <w:tcPr>
            <w:tcW w:w="1186" w:type="dxa"/>
            <w:tcBorders>
              <w:bottom w:val="single" w:sz="6" w:space="0" w:color="7F7F7F"/>
            </w:tcBorders>
            <w:tcMar>
              <w:bottom w:w="43" w:type="dxa"/>
            </w:tcMar>
            <w:vAlign w:val="center"/>
          </w:tcPr>
          <w:p>
            <w:pPr>
              <w:pStyle w:val="TableContents"/>
              <w:bidi w:val="0"/>
              <w:spacing w:before="0" w:after="283"/>
              <w:jc w:val="right"/>
              <w:rPr/>
            </w:pPr>
            <w:r>
              <w:rPr/>
              <w:t>66,874,224</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12" w:type="dxa"/>
            <w:tcBorders>
              <w:bottom w:val="single" w:sz="6" w:space="0" w:color="7F7F7F"/>
            </w:tcBorders>
            <w:vAlign w:val="center"/>
          </w:tcPr>
          <w:p>
            <w:pPr>
              <w:pStyle w:val="TableContents"/>
              <w:bidi w:val="0"/>
              <w:spacing w:before="0" w:after="283"/>
              <w:jc w:val="left"/>
              <w:rPr/>
            </w:pPr>
            <w:r>
              <w:rPr/>
              <w:t>​</w:t>
            </w:r>
          </w:p>
        </w:tc>
        <w:tc>
          <w:tcPr>
            <w:tcW w:w="112" w:type="dxa"/>
            <w:tcBorders>
              <w:bottom w:val="single" w:sz="6" w:space="0" w:color="7F7F7F"/>
            </w:tcBorders>
            <w:tcMar>
              <w:bottom w:w="43" w:type="dxa"/>
            </w:tcMar>
            <w:vAlign w:val="center"/>
          </w:tcPr>
          <w:p>
            <w:pPr>
              <w:pStyle w:val="TableContents"/>
              <w:bidi w:val="0"/>
              <w:spacing w:before="0" w:after="283"/>
              <w:jc w:val="right"/>
              <w:rPr/>
            </w:pPr>
            <w:r>
              <w:rPr/>
              <w:t>​</w:t>
            </w:r>
          </w:p>
        </w:tc>
        <w:tc>
          <w:tcPr>
            <w:tcW w:w="358" w:type="dxa"/>
            <w:tcBorders>
              <w:bottom w:val="single" w:sz="6" w:space="0" w:color="7F7F7F"/>
            </w:tcBorders>
            <w:tcMar>
              <w:bottom w:w="43" w:type="dxa"/>
            </w:tcMar>
            <w:vAlign w:val="center"/>
          </w:tcPr>
          <w:p>
            <w:pPr>
              <w:pStyle w:val="TableContents"/>
              <w:bidi w:val="0"/>
              <w:spacing w:before="0" w:after="283"/>
              <w:jc w:val="right"/>
              <w:rPr/>
            </w:pPr>
            <w:r>
              <w:rPr/>
              <w:t>—</w:t>
            </w:r>
          </w:p>
        </w:tc>
        <w:tc>
          <w:tcPr>
            <w:tcW w:w="112"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12" w:type="dxa"/>
            <w:tcBorders>
              <w:bottom w:val="single" w:sz="6" w:space="0" w:color="7F7F7F"/>
            </w:tcBorders>
            <w:vAlign w:val="center"/>
          </w:tcPr>
          <w:p>
            <w:pPr>
              <w:pStyle w:val="TableContents"/>
              <w:bidi w:val="0"/>
              <w:spacing w:before="0" w:after="283"/>
              <w:jc w:val="left"/>
              <w:rPr/>
            </w:pPr>
            <w:r>
              <w:rPr/>
              <w:t>​</w:t>
            </w:r>
          </w:p>
        </w:tc>
        <w:tc>
          <w:tcPr>
            <w:tcW w:w="112" w:type="dxa"/>
            <w:tcBorders>
              <w:bottom w:val="single" w:sz="6" w:space="0" w:color="7F7F7F"/>
            </w:tcBorders>
            <w:tcMar>
              <w:bottom w:w="43" w:type="dxa"/>
            </w:tcMar>
            <w:vAlign w:val="center"/>
          </w:tcPr>
          <w:p>
            <w:pPr>
              <w:pStyle w:val="TableContents"/>
              <w:bidi w:val="0"/>
              <w:spacing w:before="0" w:after="283"/>
              <w:jc w:val="right"/>
              <w:rPr/>
            </w:pPr>
            <w:r>
              <w:rPr/>
              <w:t>​</w:t>
            </w:r>
          </w:p>
        </w:tc>
        <w:tc>
          <w:tcPr>
            <w:tcW w:w="358" w:type="dxa"/>
            <w:tcBorders>
              <w:bottom w:val="single" w:sz="6" w:space="0" w:color="7F7F7F"/>
            </w:tcBorders>
            <w:tcMar>
              <w:bottom w:w="43" w:type="dxa"/>
            </w:tcMar>
            <w:vAlign w:val="center"/>
          </w:tcPr>
          <w:p>
            <w:pPr>
              <w:pStyle w:val="TableContents"/>
              <w:bidi w:val="0"/>
              <w:spacing w:before="0" w:after="283"/>
              <w:jc w:val="right"/>
              <w:rPr/>
            </w:pPr>
            <w:r>
              <w:rPr/>
              <w:t>—</w:t>
            </w:r>
          </w:p>
        </w:tc>
        <w:tc>
          <w:tcPr>
            <w:tcW w:w="112" w:type="dxa"/>
            <w:tcBorders>
              <w:bottom w:val="single" w:sz="6" w:space="0" w:color="7F7F7F"/>
            </w:tcBorders>
            <w:vAlign w:val="center"/>
          </w:tcPr>
          <w:p>
            <w:pPr>
              <w:pStyle w:val="TableContents"/>
              <w:bidi w:val="0"/>
              <w:spacing w:before="0" w:after="283"/>
              <w:jc w:val="left"/>
              <w:rPr/>
            </w:pPr>
            <w:r>
              <w:rPr/>
              <w:t>​</w:t>
            </w:r>
          </w:p>
        </w:tc>
        <w:tc>
          <w:tcPr>
            <w:tcW w:w="161" w:type="dxa"/>
            <w:tcBorders>
              <w:bottom w:val="single" w:sz="6" w:space="0" w:color="7F7F7F"/>
            </w:tcBorders>
            <w:vAlign w:val="center"/>
          </w:tcPr>
          <w:p>
            <w:pPr>
              <w:pStyle w:val="TableContents"/>
              <w:bidi w:val="0"/>
              <w:spacing w:before="0" w:after="283"/>
              <w:jc w:val="left"/>
              <w:rPr/>
            </w:pPr>
            <w:r>
              <w:rPr/>
              <w:t>​</w:t>
            </w:r>
          </w:p>
        </w:tc>
      </w:tr>
    </w:tbl>
    <w:p>
      <w:pPr>
        <w:pStyle w:val="TextBody"/>
        <w:bidi w:val="0"/>
        <w:spacing w:lineRule="atLeast" w:line="190" w:before="240" w:after="283"/>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For a description of the modifications and valuations of awards held by PEO 1, see footnote 7 of the Summary Compensation Table above. </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254000" cy="241300"/>
                <wp:effectExtent l="0" t="0" r="0" b="0"/>
                <wp:wrapSquare wrapText="right"/>
                <wp:docPr id="378" name="Frame255"/>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1"/>
                              </w:rPr>
                            </w:pPr>
                            <w:r>
                              <w:rPr>
                                <w:sz w:val="11"/>
                              </w:rPr>
                              <w:t xml:space="preserve">(a)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sz w:val="11"/>
                        </w:rPr>
                      </w:pPr>
                      <w:r>
                        <w:rPr>
                          <w:sz w:val="11"/>
                        </w:rPr>
                        <w:t xml:space="preserve">(a)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9655" w:type="dxa"/>
        <w:jc w:val="left"/>
        <w:tblInd w:w="550" w:type="dxa"/>
        <w:tblLayout w:type="fixed"/>
        <w:tblCellMar>
          <w:top w:w="0" w:type="dxa"/>
          <w:left w:w="0" w:type="dxa"/>
          <w:bottom w:w="28" w:type="dxa"/>
          <w:right w:w="0" w:type="dxa"/>
        </w:tblCellMar>
      </w:tblPr>
      <w:tblGrid>
        <w:gridCol w:w="124"/>
        <w:gridCol w:w="1680"/>
        <w:gridCol w:w="109"/>
        <w:gridCol w:w="109"/>
        <w:gridCol w:w="109"/>
        <w:gridCol w:w="110"/>
        <w:gridCol w:w="110"/>
        <w:gridCol w:w="351"/>
        <w:gridCol w:w="110"/>
        <w:gridCol w:w="109"/>
        <w:gridCol w:w="109"/>
        <w:gridCol w:w="109"/>
        <w:gridCol w:w="110"/>
        <w:gridCol w:w="110"/>
        <w:gridCol w:w="351"/>
        <w:gridCol w:w="110"/>
        <w:gridCol w:w="109"/>
        <w:gridCol w:w="109"/>
        <w:gridCol w:w="109"/>
        <w:gridCol w:w="109"/>
        <w:gridCol w:w="109"/>
        <w:gridCol w:w="1262"/>
        <w:gridCol w:w="109"/>
        <w:gridCol w:w="109"/>
        <w:gridCol w:w="109"/>
        <w:gridCol w:w="109"/>
        <w:gridCol w:w="109"/>
        <w:gridCol w:w="109"/>
        <w:gridCol w:w="1186"/>
        <w:gridCol w:w="109"/>
        <w:gridCol w:w="109"/>
        <w:gridCol w:w="109"/>
        <w:gridCol w:w="109"/>
        <w:gridCol w:w="109"/>
        <w:gridCol w:w="109"/>
        <w:gridCol w:w="1262"/>
        <w:gridCol w:w="109"/>
        <w:gridCol w:w="163"/>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680"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4" w:space="0" w:color="E2231A"/>
            </w:tcBorders>
            <w:vAlign w:val="center"/>
          </w:tcPr>
          <w:p>
            <w:pPr>
              <w:pStyle w:val="TableContents"/>
              <w:bidi w:val="0"/>
              <w:spacing w:before="0" w:after="283"/>
              <w:jc w:val="left"/>
              <w:rPr/>
            </w:pPr>
            <w:r>
              <w:rPr/>
              <w:t>​</w:t>
            </w:r>
          </w:p>
        </w:tc>
        <w:tc>
          <w:tcPr>
            <w:tcW w:w="7361" w:type="dxa"/>
            <w:gridSpan w:val="32"/>
            <w:tcBorders>
              <w:bottom w:val="single" w:sz="4" w:space="0" w:color="E2231A"/>
            </w:tcBorders>
            <w:tcMar>
              <w:bottom w:w="50" w:type="dxa"/>
            </w:tcMar>
            <w:vAlign w:val="center"/>
          </w:tcPr>
          <w:p>
            <w:pPr>
              <w:pStyle w:val="TableContents"/>
              <w:bidi w:val="0"/>
              <w:spacing w:before="0" w:after="0"/>
              <w:jc w:val="center"/>
              <w:rPr/>
            </w:pPr>
            <w:r>
              <w:rPr/>
              <w:t xml:space="preserve">PEO 2 </w:t>
            </w:r>
          </w:p>
        </w:tc>
        <w:tc>
          <w:tcPr>
            <w:tcW w:w="163" w:type="dxa"/>
            <w:tcBorders>
              <w:bottom w:val="single" w:sz="4" w:space="0" w:color="E2231A"/>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680" w:type="dxa"/>
            <w:tcBorders>
              <w:bottom w:val="single" w:sz="2" w:space="0" w:color="7F7F7F"/>
            </w:tcBorders>
            <w:tcMar>
              <w:bottom w:w="43" w:type="dxa"/>
            </w:tcMar>
            <w:vAlign w:val="center"/>
          </w:tcPr>
          <w:p>
            <w:pPr>
              <w:pStyle w:val="TableContents"/>
              <w:bidi w:val="0"/>
              <w:spacing w:before="0" w:after="283"/>
              <w:jc w:val="left"/>
              <w:rPr/>
            </w:pPr>
            <w:r>
              <w:rPr/>
              <w:t>Prior FYE</w:t>
              <w:br/>
              <w:t xml:space="preserve">Current FYE </w:t>
              <w:br/>
              <w:t>Fiscal Year</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81" w:type="dxa"/>
            <w:gridSpan w:val="4"/>
            <w:tcBorders>
              <w:bottom w:val="single" w:sz="2" w:space="0" w:color="7F7F7F"/>
            </w:tcBorders>
            <w:tcMar>
              <w:bottom w:w="43" w:type="dxa"/>
            </w:tcMar>
            <w:vAlign w:val="center"/>
          </w:tcPr>
          <w:p>
            <w:pPr>
              <w:pStyle w:val="TableContents"/>
              <w:bidi w:val="0"/>
              <w:spacing w:before="0" w:after="0"/>
              <w:jc w:val="center"/>
              <w:rPr/>
            </w:pPr>
            <w:r>
              <w:rPr/>
              <w:t>12/31/2019</w:t>
              <w:br/>
              <w:t>12/31/2020</w:t>
              <w:br/>
              <w:t xml:space="preserve">2020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681" w:type="dxa"/>
            <w:gridSpan w:val="4"/>
            <w:tcBorders>
              <w:bottom w:val="single" w:sz="2" w:space="0" w:color="7F7F7F"/>
            </w:tcBorders>
            <w:tcMar>
              <w:bottom w:w="43" w:type="dxa"/>
            </w:tcMar>
            <w:vAlign w:val="center"/>
          </w:tcPr>
          <w:p>
            <w:pPr>
              <w:pStyle w:val="TableContents"/>
              <w:bidi w:val="0"/>
              <w:spacing w:before="0" w:after="0"/>
              <w:jc w:val="center"/>
              <w:rPr/>
            </w:pPr>
            <w:r>
              <w:rPr/>
              <w:t>12/31/2020</w:t>
              <w:br/>
              <w:t>12/31/2021</w:t>
              <w:br/>
              <w:t xml:space="preserve">2021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89" w:type="dxa"/>
            <w:gridSpan w:val="4"/>
            <w:tcBorders>
              <w:bottom w:val="single" w:sz="2" w:space="0" w:color="7F7F7F"/>
            </w:tcBorders>
            <w:tcMar>
              <w:bottom w:w="43" w:type="dxa"/>
            </w:tcMar>
            <w:vAlign w:val="center"/>
          </w:tcPr>
          <w:p>
            <w:pPr>
              <w:pStyle w:val="TableContents"/>
              <w:bidi w:val="0"/>
              <w:spacing w:lineRule="atLeast" w:line="142" w:before="0" w:after="0"/>
              <w:jc w:val="center"/>
              <w:rPr/>
            </w:pPr>
            <w:r>
              <w:rPr/>
              <w:t>12/31/2021</w:t>
              <w:br/>
              <w:t>12/31/2022</w:t>
              <w:br/>
              <w:t>2022</w:t>
            </w:r>
            <w:r>
              <w:rPr>
                <w:sz w:val="10"/>
              </w:rPr>
              <w:t>(a)</w:t>
            </w:r>
            <w:r>
              <w:rPr/>
              <w:t xml:space="preserve">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tcMar>
              <w:bottom w:w="43" w:type="dxa"/>
            </w:tcMar>
            <w:vAlign w:val="center"/>
          </w:tcPr>
          <w:p>
            <w:pPr>
              <w:pStyle w:val="TableContents"/>
              <w:bidi w:val="0"/>
              <w:spacing w:before="0" w:after="0"/>
              <w:jc w:val="center"/>
              <w:rPr/>
            </w:pPr>
            <w:r>
              <w:rPr/>
              <w:t>12/31/2022</w:t>
              <w:br/>
              <w:t xml:space="preserve">12/31/2023 </w:t>
              <w:br/>
              <w:t xml:space="preserve">2023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89" w:type="dxa"/>
            <w:gridSpan w:val="4"/>
            <w:tcBorders>
              <w:bottom w:val="single" w:sz="2" w:space="0" w:color="7F7F7F"/>
            </w:tcBorders>
            <w:tcMar>
              <w:bottom w:w="43" w:type="dxa"/>
            </w:tcMar>
            <w:vAlign w:val="center"/>
          </w:tcPr>
          <w:p>
            <w:pPr>
              <w:pStyle w:val="TableContents"/>
              <w:bidi w:val="0"/>
              <w:spacing w:before="0" w:after="0"/>
              <w:jc w:val="center"/>
              <w:rPr/>
            </w:pPr>
            <w:r>
              <w:rPr/>
              <w:t>12/31/2023</w:t>
              <w:br/>
              <w:t>12/31/2024</w:t>
              <w:br/>
              <w:t xml:space="preserve">2024 </w:t>
              <w:br/>
              <w:t xml:space="preserve">($) </w:t>
            </w:r>
          </w:p>
        </w:tc>
        <w:tc>
          <w:tcPr>
            <w:tcW w:w="163"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680" w:type="dxa"/>
            <w:tcBorders>
              <w:bottom w:val="single" w:sz="2" w:space="0" w:color="7F7F7F"/>
            </w:tcBorders>
            <w:shd w:fill="D8D8D8" w:val="clear"/>
            <w:tcMar>
              <w:bottom w:w="55" w:type="dxa"/>
            </w:tcMar>
            <w:vAlign w:val="center"/>
          </w:tcPr>
          <w:p>
            <w:pPr>
              <w:pStyle w:val="TableContents"/>
              <w:bidi w:val="0"/>
              <w:spacing w:before="0" w:after="283"/>
              <w:jc w:val="left"/>
              <w:rPr/>
            </w:pPr>
            <w:r>
              <w:rPr/>
              <w:t xml:space="preserve">Summary Compensation Table total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351"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351"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262" w:type="dxa"/>
            <w:tcBorders>
              <w:bottom w:val="single" w:sz="2" w:space="0" w:color="7F7F7F"/>
            </w:tcBorders>
            <w:shd w:fill="D8D8D8" w:val="clear"/>
            <w:tcMar>
              <w:bottom w:w="55" w:type="dxa"/>
            </w:tcMar>
            <w:vAlign w:val="center"/>
          </w:tcPr>
          <w:p>
            <w:pPr>
              <w:pStyle w:val="TableContents"/>
              <w:bidi w:val="0"/>
              <w:spacing w:before="0" w:after="283"/>
              <w:jc w:val="right"/>
              <w:rPr/>
            </w:pPr>
            <w:r>
              <w:rPr/>
              <w:t>9,027,723</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55" w:type="dxa"/>
            </w:tcMar>
            <w:vAlign w:val="center"/>
          </w:tcPr>
          <w:p>
            <w:pPr>
              <w:pStyle w:val="TableContents"/>
              <w:bidi w:val="0"/>
              <w:spacing w:before="0" w:after="283"/>
              <w:jc w:val="right"/>
              <w:rPr/>
            </w:pPr>
            <w:r>
              <w:rPr/>
              <w:t>12,387,611</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262" w:type="dxa"/>
            <w:tcBorders>
              <w:bottom w:val="single" w:sz="2" w:space="0" w:color="7F7F7F"/>
            </w:tcBorders>
            <w:shd w:fill="D8D8D8" w:val="clear"/>
            <w:tcMar>
              <w:bottom w:w="55" w:type="dxa"/>
            </w:tcMar>
            <w:vAlign w:val="center"/>
          </w:tcPr>
          <w:p>
            <w:pPr>
              <w:pStyle w:val="TableContents"/>
              <w:bidi w:val="0"/>
              <w:spacing w:before="0" w:after="283"/>
              <w:jc w:val="right"/>
              <w:rPr/>
            </w:pPr>
            <w:r>
              <w:rPr/>
              <w:t>14,042,700</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63"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0" w:type="dxa"/>
            <w:tcBorders/>
            <w:tcMar>
              <w:bottom w:w="0" w:type="dxa"/>
            </w:tcMar>
            <w:vAlign w:val="center"/>
          </w:tcPr>
          <w:p>
            <w:pPr>
              <w:pStyle w:val="TableContents"/>
              <w:bidi w:val="0"/>
              <w:spacing w:before="0" w:after="283"/>
              <w:jc w:val="left"/>
              <w:rPr/>
            </w:pPr>
            <w:r>
              <w:rPr/>
              <w:t xml:space="preserve">- Grant date fair value of modified awards disclosed in fiscal year (FASB ASC 718)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262" w:type="dxa"/>
            <w:tcBorders/>
            <w:tcMar>
              <w:bottom w:w="0" w:type="dxa"/>
            </w:tcMar>
            <w:vAlign w:val="center"/>
          </w:tcPr>
          <w:p>
            <w:pPr>
              <w:pStyle w:val="TableContents"/>
              <w:bidi w:val="0"/>
              <w:spacing w:before="0" w:after="0"/>
              <w:jc w:val="right"/>
              <w:rPr>
                <w:color w:val="E2231A"/>
              </w:rPr>
            </w:pPr>
            <w:r>
              <w:rPr>
                <w:color w:val="E2231A"/>
              </w:rPr>
              <w:t>(10,259,872)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680" w:type="dxa"/>
            <w:tcBorders>
              <w:bottom w:val="single" w:sz="2" w:space="0" w:color="7F7F7F"/>
            </w:tcBorders>
            <w:shd w:fill="D8D8D8" w:val="clear"/>
            <w:tcMar>
              <w:bottom w:w="55" w:type="dxa"/>
            </w:tcMar>
            <w:vAlign w:val="center"/>
          </w:tcPr>
          <w:p>
            <w:pPr>
              <w:pStyle w:val="TableContents"/>
              <w:bidi w:val="0"/>
              <w:spacing w:before="0" w:after="283"/>
              <w:jc w:val="left"/>
              <w:rPr/>
            </w:pPr>
            <w:r>
              <w:rPr/>
              <w:t xml:space="preserve">+ Previously reported grant date fair value of modified awards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351"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10"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351"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0"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262" w:type="dxa"/>
            <w:tcBorders>
              <w:bottom w:val="single" w:sz="2" w:space="0" w:color="7F7F7F"/>
            </w:tcBorders>
            <w:shd w:fill="D8D8D8" w:val="clear"/>
            <w:tcMar>
              <w:bottom w:w="55" w:type="dxa"/>
            </w:tcMar>
            <w:vAlign w:val="center"/>
          </w:tcPr>
          <w:p>
            <w:pPr>
              <w:pStyle w:val="TableContents"/>
              <w:bidi w:val="0"/>
              <w:spacing w:before="0" w:after="283"/>
              <w:jc w:val="right"/>
              <w:rPr/>
            </w:pPr>
            <w:r>
              <w:rPr/>
              <w:t>2,878,803</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262"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63"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0" w:type="dxa"/>
            <w:tcBorders/>
            <w:tcMar>
              <w:bottom w:w="0" w:type="dxa"/>
            </w:tcMar>
            <w:vAlign w:val="center"/>
          </w:tcPr>
          <w:p>
            <w:pPr>
              <w:pStyle w:val="TableContents"/>
              <w:bidi w:val="0"/>
              <w:spacing w:before="0" w:after="283"/>
              <w:jc w:val="left"/>
              <w:rPr/>
            </w:pPr>
            <w:r>
              <w:rPr/>
              <w:t xml:space="preserve">- Grant date fair value of modified awards over previously reported grant date fair value of </w:t>
              <w:br/>
              <w:t xml:space="preserve">modified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262" w:type="dxa"/>
            <w:tcBorders/>
            <w:tcMar>
              <w:bottom w:w="0" w:type="dxa"/>
            </w:tcMar>
            <w:vAlign w:val="center"/>
          </w:tcPr>
          <w:p>
            <w:pPr>
              <w:pStyle w:val="TableContents"/>
              <w:bidi w:val="0"/>
              <w:spacing w:before="0" w:after="0"/>
              <w:jc w:val="right"/>
              <w:rPr>
                <w:color w:val="E2231A"/>
              </w:rPr>
            </w:pPr>
            <w:r>
              <w:rPr>
                <w:color w:val="E2231A"/>
              </w:rPr>
              <w:t>(7,381,069)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80" w:type="dxa"/>
            <w:tcBorders/>
            <w:shd w:fill="D8D8D8" w:val="clear"/>
            <w:tcMar>
              <w:bottom w:w="0" w:type="dxa"/>
            </w:tcMar>
            <w:vAlign w:val="center"/>
          </w:tcPr>
          <w:p>
            <w:pPr>
              <w:pStyle w:val="TableContents"/>
              <w:bidi w:val="0"/>
              <w:spacing w:before="0" w:after="283"/>
              <w:jc w:val="left"/>
              <w:rPr/>
            </w:pPr>
            <w:r>
              <w:rPr/>
              <w:t xml:space="preserve">- Grant date fair value of option awards and stock awards granted in fiscal year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1"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1"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62"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0"/>
              <w:jc w:val="right"/>
              <w:rPr>
                <w:color w:val="E2231A"/>
              </w:rPr>
            </w:pPr>
            <w:r>
              <w:rPr>
                <w:color w:val="E2231A"/>
              </w:rPr>
              <w:t>​</w:t>
            </w:r>
          </w:p>
        </w:tc>
        <w:tc>
          <w:tcPr>
            <w:tcW w:w="1186" w:type="dxa"/>
            <w:tcBorders/>
            <w:shd w:fill="D8D8D8" w:val="clear"/>
            <w:tcMar>
              <w:bottom w:w="0" w:type="dxa"/>
            </w:tcMar>
            <w:vAlign w:val="center"/>
          </w:tcPr>
          <w:p>
            <w:pPr>
              <w:pStyle w:val="TableContents"/>
              <w:bidi w:val="0"/>
              <w:spacing w:before="0" w:after="0"/>
              <w:jc w:val="right"/>
              <w:rPr>
                <w:color w:val="E2231A"/>
              </w:rPr>
            </w:pPr>
            <w:r>
              <w:rPr>
                <w:color w:val="E2231A"/>
              </w:rPr>
              <w:t>(9,084,498)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0"/>
              <w:jc w:val="right"/>
              <w:rPr>
                <w:color w:val="E2231A"/>
              </w:rPr>
            </w:pPr>
            <w:r>
              <w:rPr>
                <w:color w:val="E2231A"/>
              </w:rPr>
              <w:t>​</w:t>
            </w:r>
          </w:p>
        </w:tc>
        <w:tc>
          <w:tcPr>
            <w:tcW w:w="1262" w:type="dxa"/>
            <w:tcBorders/>
            <w:shd w:fill="D8D8D8" w:val="clear"/>
            <w:tcMar>
              <w:bottom w:w="0" w:type="dxa"/>
            </w:tcMar>
            <w:vAlign w:val="center"/>
          </w:tcPr>
          <w:p>
            <w:pPr>
              <w:pStyle w:val="TableContents"/>
              <w:bidi w:val="0"/>
              <w:spacing w:before="0" w:after="0"/>
              <w:jc w:val="right"/>
              <w:rPr>
                <w:color w:val="E2231A"/>
              </w:rPr>
            </w:pPr>
            <w:r>
              <w:rPr>
                <w:color w:val="E2231A"/>
              </w:rPr>
              <w:t>(10,681,790)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63"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0" w:type="dxa"/>
            <w:tcBorders/>
            <w:tcMar>
              <w:bottom w:w="0" w:type="dxa"/>
            </w:tcMar>
            <w:vAlign w:val="center"/>
          </w:tcPr>
          <w:p>
            <w:pPr>
              <w:pStyle w:val="TableContents"/>
              <w:bidi w:val="0"/>
              <w:spacing w:lineRule="atLeast" w:line="204" w:before="0" w:after="0"/>
              <w:jc w:val="left"/>
              <w:rPr/>
            </w:pPr>
            <w:r>
              <w:rPr/>
              <w:t xml:space="preserve">+ Fair value at fiscal year-end of outstanding and unvested option awards and stock awards granted in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18,040,395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38,029,239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18,177,101</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80" w:type="dxa"/>
            <w:tcBorders/>
            <w:shd w:fill="D8D8D8" w:val="clear"/>
            <w:tcMar>
              <w:bottom w:w="0" w:type="dxa"/>
            </w:tcMar>
            <w:vAlign w:val="center"/>
          </w:tcPr>
          <w:p>
            <w:pPr>
              <w:pStyle w:val="TableContents"/>
              <w:bidi w:val="0"/>
              <w:spacing w:lineRule="atLeast" w:line="204" w:before="0" w:after="0"/>
              <w:jc w:val="left"/>
              <w:rPr/>
            </w:pPr>
            <w:r>
              <w:rPr/>
              <w:t xml:space="preserve">+ Change in fair value of outstanding and unvested option awards and stock awards granted in prior fiscal years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1"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1"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62"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32,520,954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62" w:type="dxa"/>
            <w:tcBorders/>
            <w:shd w:fill="D8D8D8" w:val="clear"/>
            <w:tcMar>
              <w:bottom w:w="0" w:type="dxa"/>
            </w:tcMar>
            <w:vAlign w:val="center"/>
          </w:tcPr>
          <w:p>
            <w:pPr>
              <w:pStyle w:val="TableContents"/>
              <w:bidi w:val="0"/>
              <w:spacing w:before="0" w:after="283"/>
              <w:jc w:val="right"/>
              <w:rPr/>
            </w:pPr>
            <w:r>
              <w:rPr/>
              <w:t>36,102,885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63"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0" w:type="dxa"/>
            <w:tcBorders/>
            <w:tcMar>
              <w:bottom w:w="0" w:type="dxa"/>
            </w:tcMar>
            <w:vAlign w:val="center"/>
          </w:tcPr>
          <w:p>
            <w:pPr>
              <w:pStyle w:val="TableContents"/>
              <w:bidi w:val="0"/>
              <w:spacing w:lineRule="atLeast" w:line="204" w:before="0" w:after="0"/>
              <w:jc w:val="left"/>
              <w:rPr/>
            </w:pPr>
            <w:r>
              <w:rPr/>
              <w:t xml:space="preserve">+ Fair value at vesting of option awards and stock awards granted in fiscal year that vested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35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680" w:type="dxa"/>
            <w:tcBorders/>
            <w:shd w:fill="D8D8D8" w:val="clear"/>
            <w:tcMar>
              <w:bottom w:w="0" w:type="dxa"/>
            </w:tcMar>
            <w:vAlign w:val="center"/>
          </w:tcPr>
          <w:p>
            <w:pPr>
              <w:pStyle w:val="TableContents"/>
              <w:bidi w:val="0"/>
              <w:spacing w:lineRule="atLeast" w:line="204" w:before="0" w:after="0"/>
              <w:jc w:val="left"/>
              <w:rPr/>
            </w:pPr>
            <w:r>
              <w:rPr/>
              <w:t xml:space="preserve">+ Change in fair value as of vesting date of option awards and stock awards granted in </w:t>
              <w:br/>
              <w:t xml:space="preserve">prior fiscal years for which applicable vesting conditions were satisfied during fiscal year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1"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right"/>
              <w:rPr/>
            </w:pPr>
            <w:r>
              <w:rPr/>
              <w:t>​</w:t>
            </w:r>
          </w:p>
        </w:tc>
        <w:tc>
          <w:tcPr>
            <w:tcW w:w="351"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62"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1,171,370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262" w:type="dxa"/>
            <w:tcBorders/>
            <w:shd w:fill="D8D8D8" w:val="clear"/>
            <w:tcMar>
              <w:bottom w:w="0" w:type="dxa"/>
            </w:tcMar>
            <w:vAlign w:val="center"/>
          </w:tcPr>
          <w:p>
            <w:pPr>
              <w:pStyle w:val="TableContents"/>
              <w:bidi w:val="0"/>
              <w:spacing w:before="0" w:after="283"/>
              <w:jc w:val="right"/>
              <w:rPr/>
            </w:pPr>
            <w:r>
              <w:rPr/>
              <w:t>9,530,282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63"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680" w:type="dxa"/>
            <w:tcBorders>
              <w:bottom w:val="single" w:sz="2" w:space="0" w:color="7F7F7F"/>
            </w:tcBorders>
            <w:tcMar>
              <w:bottom w:w="43" w:type="dxa"/>
            </w:tcMar>
            <w:vAlign w:val="center"/>
          </w:tcPr>
          <w:p>
            <w:pPr>
              <w:pStyle w:val="TableContents"/>
              <w:bidi w:val="0"/>
              <w:spacing w:lineRule="atLeast" w:line="204" w:before="0" w:after="0"/>
              <w:jc w:val="left"/>
              <w:rPr/>
            </w:pPr>
            <w:r>
              <w:rPr/>
              <w:t xml:space="preserve">- Fair value as of prior fiscal year-end of option awards and stock awards granted in prior </w:t>
              <w:br/>
              <w:t xml:space="preserve">fiscal years that failed to meet applicable vesting conditions during fiscal year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10" w:type="dxa"/>
            <w:tcBorders>
              <w:bottom w:val="single" w:sz="2" w:space="0" w:color="7F7F7F"/>
            </w:tcBorders>
            <w:vAlign w:val="center"/>
          </w:tcPr>
          <w:p>
            <w:pPr>
              <w:pStyle w:val="TableContents"/>
              <w:bidi w:val="0"/>
              <w:spacing w:before="0" w:after="283"/>
              <w:jc w:val="left"/>
              <w:rPr/>
            </w:pPr>
            <w:r>
              <w:rPr/>
              <w:t>​</w:t>
            </w:r>
          </w:p>
        </w:tc>
        <w:tc>
          <w:tcPr>
            <w:tcW w:w="110" w:type="dxa"/>
            <w:tcBorders>
              <w:bottom w:val="single" w:sz="2" w:space="0" w:color="7F7F7F"/>
            </w:tcBorders>
            <w:tcMar>
              <w:bottom w:w="43" w:type="dxa"/>
            </w:tcMar>
            <w:vAlign w:val="center"/>
          </w:tcPr>
          <w:p>
            <w:pPr>
              <w:pStyle w:val="TableContents"/>
              <w:bidi w:val="0"/>
              <w:spacing w:before="0" w:after="283"/>
              <w:jc w:val="right"/>
              <w:rPr/>
            </w:pPr>
            <w:r>
              <w:rPr/>
              <w:t>​</w:t>
            </w:r>
          </w:p>
        </w:tc>
        <w:tc>
          <w:tcPr>
            <w:tcW w:w="351" w:type="dxa"/>
            <w:tcBorders>
              <w:bottom w:val="single" w:sz="2" w:space="0" w:color="7F7F7F"/>
            </w:tcBorders>
            <w:tcMar>
              <w:bottom w:w="43" w:type="dxa"/>
            </w:tcMar>
            <w:vAlign w:val="center"/>
          </w:tcPr>
          <w:p>
            <w:pPr>
              <w:pStyle w:val="TableContents"/>
              <w:bidi w:val="0"/>
              <w:spacing w:before="0" w:after="283"/>
              <w:jc w:val="right"/>
              <w:rPr/>
            </w:pPr>
            <w:r>
              <w:rPr/>
              <w:t>—</w:t>
            </w:r>
          </w:p>
        </w:tc>
        <w:tc>
          <w:tcPr>
            <w:tcW w:w="110"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10" w:type="dxa"/>
            <w:tcBorders>
              <w:bottom w:val="single" w:sz="2" w:space="0" w:color="7F7F7F"/>
            </w:tcBorders>
            <w:vAlign w:val="center"/>
          </w:tcPr>
          <w:p>
            <w:pPr>
              <w:pStyle w:val="TableContents"/>
              <w:bidi w:val="0"/>
              <w:spacing w:before="0" w:after="283"/>
              <w:jc w:val="left"/>
              <w:rPr/>
            </w:pPr>
            <w:r>
              <w:rPr/>
              <w:t>​</w:t>
            </w:r>
          </w:p>
        </w:tc>
        <w:tc>
          <w:tcPr>
            <w:tcW w:w="110" w:type="dxa"/>
            <w:tcBorders>
              <w:bottom w:val="single" w:sz="2" w:space="0" w:color="7F7F7F"/>
            </w:tcBorders>
            <w:tcMar>
              <w:bottom w:w="43" w:type="dxa"/>
            </w:tcMar>
            <w:vAlign w:val="center"/>
          </w:tcPr>
          <w:p>
            <w:pPr>
              <w:pStyle w:val="TableContents"/>
              <w:bidi w:val="0"/>
              <w:spacing w:before="0" w:after="283"/>
              <w:jc w:val="right"/>
              <w:rPr/>
            </w:pPr>
            <w:r>
              <w:rPr/>
              <w:t>​</w:t>
            </w:r>
          </w:p>
        </w:tc>
        <w:tc>
          <w:tcPr>
            <w:tcW w:w="351" w:type="dxa"/>
            <w:tcBorders>
              <w:bottom w:val="single" w:sz="2" w:space="0" w:color="7F7F7F"/>
            </w:tcBorders>
            <w:tcMar>
              <w:bottom w:w="43" w:type="dxa"/>
            </w:tcMar>
            <w:vAlign w:val="center"/>
          </w:tcPr>
          <w:p>
            <w:pPr>
              <w:pStyle w:val="TableContents"/>
              <w:bidi w:val="0"/>
              <w:spacing w:before="0" w:after="283"/>
              <w:jc w:val="right"/>
              <w:rPr/>
            </w:pPr>
            <w:r>
              <w:rPr/>
              <w:t>—</w:t>
            </w:r>
          </w:p>
        </w:tc>
        <w:tc>
          <w:tcPr>
            <w:tcW w:w="110"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tcMar>
              <w:bottom w:w="43" w:type="dxa"/>
            </w:tcMar>
            <w:vAlign w:val="center"/>
          </w:tcPr>
          <w:p>
            <w:pPr>
              <w:pStyle w:val="TableContents"/>
              <w:bidi w:val="0"/>
              <w:spacing w:before="0" w:after="283"/>
              <w:jc w:val="right"/>
              <w:rPr/>
            </w:pPr>
            <w:r>
              <w:rPr/>
              <w:t>​</w:t>
            </w:r>
          </w:p>
        </w:tc>
        <w:tc>
          <w:tcPr>
            <w:tcW w:w="1262" w:type="dxa"/>
            <w:tcBorders>
              <w:bottom w:val="single" w:sz="2" w:space="0" w:color="7F7F7F"/>
            </w:tcBorders>
            <w:tcMar>
              <w:bottom w:w="43" w:type="dxa"/>
            </w:tcMar>
            <w:vAlign w:val="center"/>
          </w:tcPr>
          <w:p>
            <w:pPr>
              <w:pStyle w:val="TableContents"/>
              <w:bidi w:val="0"/>
              <w:spacing w:before="0" w:after="283"/>
              <w:jc w:val="righ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tcMar>
              <w:bottom w:w="43" w:type="dxa"/>
            </w:tcMar>
            <w:vAlign w:val="center"/>
          </w:tcPr>
          <w:p>
            <w:pPr>
              <w:pStyle w:val="TableContents"/>
              <w:bidi w:val="0"/>
              <w:spacing w:before="0" w:after="283"/>
              <w:jc w:val="right"/>
              <w:rPr/>
            </w:pPr>
            <w:r>
              <w:rPr/>
              <w:t>​</w:t>
            </w:r>
          </w:p>
        </w:tc>
        <w:tc>
          <w:tcPr>
            <w:tcW w:w="1186" w:type="dxa"/>
            <w:tcBorders>
              <w:bottom w:val="single" w:sz="2" w:space="0" w:color="7F7F7F"/>
            </w:tcBorders>
            <w:tcMar>
              <w:bottom w:w="43" w:type="dxa"/>
            </w:tcMar>
            <w:vAlign w:val="center"/>
          </w:tcPr>
          <w:p>
            <w:pPr>
              <w:pStyle w:val="TableContents"/>
              <w:bidi w:val="0"/>
              <w:spacing w:before="0" w:after="283"/>
              <w:jc w:val="righ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tcMar>
              <w:bottom w:w="43" w:type="dxa"/>
            </w:tcMar>
            <w:vAlign w:val="center"/>
          </w:tcPr>
          <w:p>
            <w:pPr>
              <w:pStyle w:val="TableContents"/>
              <w:bidi w:val="0"/>
              <w:spacing w:before="0" w:after="0"/>
              <w:jc w:val="right"/>
              <w:rPr/>
            </w:pPr>
            <w:r>
              <w:rPr/>
              <w:t>​</w:t>
            </w:r>
          </w:p>
        </w:tc>
        <w:tc>
          <w:tcPr>
            <w:tcW w:w="1262" w:type="dxa"/>
            <w:tcBorders>
              <w:bottom w:val="single" w:sz="2" w:space="0" w:color="7F7F7F"/>
            </w:tcBorders>
            <w:tcMar>
              <w:bottom w:w="43" w:type="dxa"/>
            </w:tcMar>
            <w:vAlign w:val="center"/>
          </w:tcPr>
          <w:p>
            <w:pPr>
              <w:pStyle w:val="TableContents"/>
              <w:bidi w:val="0"/>
              <w:spacing w:before="0" w:after="0"/>
              <w:jc w:val="righ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63"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6" w:space="0" w:color="7F7F7F"/>
            </w:tcBorders>
            <w:shd w:fill="D8D8D8" w:val="clear"/>
            <w:vAlign w:val="center"/>
          </w:tcPr>
          <w:p>
            <w:pPr>
              <w:pStyle w:val="TableContents"/>
              <w:bidi w:val="0"/>
              <w:spacing w:before="0" w:after="283"/>
              <w:jc w:val="left"/>
              <w:rPr/>
            </w:pPr>
            <w:r>
              <w:rPr/>
              <w:t>​</w:t>
            </w:r>
          </w:p>
        </w:tc>
        <w:tc>
          <w:tcPr>
            <w:tcW w:w="1680" w:type="dxa"/>
            <w:tcBorders>
              <w:bottom w:val="single" w:sz="6" w:space="0" w:color="7F7F7F"/>
            </w:tcBorders>
            <w:shd w:fill="D8D8D8" w:val="clear"/>
            <w:tcMar>
              <w:bottom w:w="120" w:type="dxa"/>
            </w:tcMar>
            <w:vAlign w:val="center"/>
          </w:tcPr>
          <w:p>
            <w:pPr>
              <w:pStyle w:val="TableContents"/>
              <w:bidi w:val="0"/>
              <w:spacing w:before="0" w:after="283"/>
              <w:jc w:val="left"/>
              <w:rPr/>
            </w:pPr>
            <w:r>
              <w:rPr/>
              <w:t>Compensation Actually Paid</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10" w:type="dxa"/>
            <w:tcBorders>
              <w:bottom w:val="single" w:sz="6" w:space="0" w:color="7F7F7F"/>
            </w:tcBorders>
            <w:shd w:fill="D8D8D8" w:val="clear"/>
            <w:vAlign w:val="center"/>
          </w:tcPr>
          <w:p>
            <w:pPr>
              <w:pStyle w:val="TableContents"/>
              <w:bidi w:val="0"/>
              <w:spacing w:before="0" w:after="283"/>
              <w:jc w:val="left"/>
              <w:rPr/>
            </w:pPr>
            <w:r>
              <w:rPr/>
              <w:t>​</w:t>
            </w:r>
          </w:p>
        </w:tc>
        <w:tc>
          <w:tcPr>
            <w:tcW w:w="110" w:type="dxa"/>
            <w:tcBorders>
              <w:bottom w:val="single" w:sz="6" w:space="0" w:color="7F7F7F"/>
            </w:tcBorders>
            <w:shd w:fill="D8D8D8" w:val="clear"/>
            <w:tcMar>
              <w:bottom w:w="120" w:type="dxa"/>
            </w:tcMar>
            <w:vAlign w:val="center"/>
          </w:tcPr>
          <w:p>
            <w:pPr>
              <w:pStyle w:val="TableContents"/>
              <w:bidi w:val="0"/>
              <w:spacing w:before="0" w:after="283"/>
              <w:jc w:val="right"/>
              <w:rPr/>
            </w:pPr>
            <w:r>
              <w:rPr/>
              <w:t>​</w:t>
            </w:r>
          </w:p>
        </w:tc>
        <w:tc>
          <w:tcPr>
            <w:tcW w:w="351" w:type="dxa"/>
            <w:tcBorders>
              <w:bottom w:val="single" w:sz="6" w:space="0" w:color="7F7F7F"/>
            </w:tcBorders>
            <w:shd w:fill="D8D8D8" w:val="clear"/>
            <w:tcMar>
              <w:bottom w:w="120" w:type="dxa"/>
            </w:tcMar>
            <w:vAlign w:val="center"/>
          </w:tcPr>
          <w:p>
            <w:pPr>
              <w:pStyle w:val="TableContents"/>
              <w:bidi w:val="0"/>
              <w:spacing w:before="0" w:after="283"/>
              <w:jc w:val="right"/>
              <w:rPr/>
            </w:pPr>
            <w:r>
              <w:rPr/>
              <w:t>—</w:t>
            </w:r>
          </w:p>
        </w:tc>
        <w:tc>
          <w:tcPr>
            <w:tcW w:w="110"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10" w:type="dxa"/>
            <w:tcBorders>
              <w:bottom w:val="single" w:sz="6" w:space="0" w:color="7F7F7F"/>
            </w:tcBorders>
            <w:shd w:fill="D8D8D8" w:val="clear"/>
            <w:vAlign w:val="center"/>
          </w:tcPr>
          <w:p>
            <w:pPr>
              <w:pStyle w:val="TableContents"/>
              <w:bidi w:val="0"/>
              <w:spacing w:before="0" w:after="283"/>
              <w:jc w:val="left"/>
              <w:rPr/>
            </w:pPr>
            <w:r>
              <w:rPr/>
              <w:t>​</w:t>
            </w:r>
          </w:p>
        </w:tc>
        <w:tc>
          <w:tcPr>
            <w:tcW w:w="110" w:type="dxa"/>
            <w:tcBorders>
              <w:bottom w:val="single" w:sz="6" w:space="0" w:color="7F7F7F"/>
            </w:tcBorders>
            <w:shd w:fill="D8D8D8" w:val="clear"/>
            <w:tcMar>
              <w:bottom w:w="120" w:type="dxa"/>
            </w:tcMar>
            <w:vAlign w:val="center"/>
          </w:tcPr>
          <w:p>
            <w:pPr>
              <w:pStyle w:val="TableContents"/>
              <w:bidi w:val="0"/>
              <w:spacing w:before="0" w:after="283"/>
              <w:jc w:val="right"/>
              <w:rPr/>
            </w:pPr>
            <w:r>
              <w:rPr/>
              <w:t>​</w:t>
            </w:r>
          </w:p>
        </w:tc>
        <w:tc>
          <w:tcPr>
            <w:tcW w:w="351" w:type="dxa"/>
            <w:tcBorders>
              <w:bottom w:val="single" w:sz="6" w:space="0" w:color="7F7F7F"/>
            </w:tcBorders>
            <w:shd w:fill="D8D8D8" w:val="clear"/>
            <w:tcMar>
              <w:bottom w:w="120" w:type="dxa"/>
            </w:tcMar>
            <w:vAlign w:val="center"/>
          </w:tcPr>
          <w:p>
            <w:pPr>
              <w:pStyle w:val="TableContents"/>
              <w:bidi w:val="0"/>
              <w:spacing w:before="0" w:after="283"/>
              <w:jc w:val="right"/>
              <w:rPr/>
            </w:pPr>
            <w:r>
              <w:rPr/>
              <w:t>—</w:t>
            </w:r>
          </w:p>
        </w:tc>
        <w:tc>
          <w:tcPr>
            <w:tcW w:w="110"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tcMar>
              <w:bottom w:w="120" w:type="dxa"/>
            </w:tcMar>
            <w:vAlign w:val="center"/>
          </w:tcPr>
          <w:p>
            <w:pPr>
              <w:pStyle w:val="TableContents"/>
              <w:bidi w:val="0"/>
              <w:spacing w:before="0" w:after="283"/>
              <w:jc w:val="right"/>
              <w:rPr/>
            </w:pPr>
            <w:r>
              <w:rPr/>
              <w:t>​</w:t>
            </w:r>
          </w:p>
        </w:tc>
        <w:tc>
          <w:tcPr>
            <w:tcW w:w="1262" w:type="dxa"/>
            <w:tcBorders>
              <w:bottom w:val="single" w:sz="6" w:space="0" w:color="7F7F7F"/>
            </w:tcBorders>
            <w:shd w:fill="D8D8D8" w:val="clear"/>
            <w:tcMar>
              <w:bottom w:w="120" w:type="dxa"/>
            </w:tcMar>
            <w:vAlign w:val="center"/>
          </w:tcPr>
          <w:p>
            <w:pPr>
              <w:pStyle w:val="TableContents"/>
              <w:bidi w:val="0"/>
              <w:spacing w:before="0" w:after="283"/>
              <w:jc w:val="right"/>
              <w:rPr/>
            </w:pPr>
            <w:r>
              <w:rPr/>
              <w:t>19,687,049</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tcMar>
              <w:bottom w:w="120" w:type="dxa"/>
            </w:tcMar>
            <w:vAlign w:val="center"/>
          </w:tcPr>
          <w:p>
            <w:pPr>
              <w:pStyle w:val="TableContents"/>
              <w:bidi w:val="0"/>
              <w:spacing w:before="0" w:after="283"/>
              <w:jc w:val="right"/>
              <w:rPr/>
            </w:pPr>
            <w:r>
              <w:rPr/>
              <w:t>​</w:t>
            </w:r>
          </w:p>
        </w:tc>
        <w:tc>
          <w:tcPr>
            <w:tcW w:w="1186" w:type="dxa"/>
            <w:tcBorders>
              <w:bottom w:val="single" w:sz="6" w:space="0" w:color="7F7F7F"/>
            </w:tcBorders>
            <w:shd w:fill="D8D8D8" w:val="clear"/>
            <w:tcMar>
              <w:bottom w:w="120" w:type="dxa"/>
            </w:tcMar>
            <w:vAlign w:val="center"/>
          </w:tcPr>
          <w:p>
            <w:pPr>
              <w:pStyle w:val="TableContents"/>
              <w:bidi w:val="0"/>
              <w:spacing w:before="0" w:after="283"/>
              <w:jc w:val="right"/>
              <w:rPr/>
            </w:pPr>
            <w:r>
              <w:rPr/>
              <w:t>75,024,676</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tcMar>
              <w:bottom w:w="120" w:type="dxa"/>
            </w:tcMar>
            <w:vAlign w:val="center"/>
          </w:tcPr>
          <w:p>
            <w:pPr>
              <w:pStyle w:val="TableContents"/>
              <w:bidi w:val="0"/>
              <w:spacing w:before="0" w:after="283"/>
              <w:jc w:val="right"/>
              <w:rPr/>
            </w:pPr>
            <w:r>
              <w:rPr/>
              <w:t>​</w:t>
            </w:r>
          </w:p>
        </w:tc>
        <w:tc>
          <w:tcPr>
            <w:tcW w:w="1262" w:type="dxa"/>
            <w:tcBorders>
              <w:bottom w:val="single" w:sz="6" w:space="0" w:color="7F7F7F"/>
            </w:tcBorders>
            <w:shd w:fill="D8D8D8" w:val="clear"/>
            <w:tcMar>
              <w:bottom w:w="120" w:type="dxa"/>
            </w:tcMar>
            <w:vAlign w:val="center"/>
          </w:tcPr>
          <w:p>
            <w:pPr>
              <w:pStyle w:val="TableContents"/>
              <w:bidi w:val="0"/>
              <w:spacing w:before="0" w:after="283"/>
              <w:jc w:val="right"/>
              <w:rPr/>
            </w:pPr>
            <w:r>
              <w:rPr/>
              <w:t>67,171,178</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63" w:type="dxa"/>
            <w:tcBorders>
              <w:bottom w:val="single" w:sz="6" w:space="0" w:color="7F7F7F"/>
            </w:tcBorders>
            <w:shd w:fill="D8D8D8" w:val="clear"/>
            <w:vAlign w:val="center"/>
          </w:tcPr>
          <w:p>
            <w:pPr>
              <w:pStyle w:val="TableContents"/>
              <w:bidi w:val="0"/>
              <w:spacing w:before="0" w:after="283"/>
              <w:jc w:val="left"/>
              <w:rPr/>
            </w:pPr>
            <w:r>
              <w:rPr/>
              <w:t>​</w:t>
            </w:r>
          </w:p>
        </w:tc>
      </w:tr>
    </w:tbl>
    <w:p>
      <w:pPr>
        <w:pStyle w:val="TextBody"/>
        <w:bidi w:val="0"/>
        <w:spacing w:lineRule="atLeast" w:line="190" w:before="240" w:after="283"/>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For a description of the modifications and valuations of awards held by PEO 2, see footnote 7 of the Summary Compensation Table above.</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254000" cy="241300"/>
                <wp:effectExtent l="0" t="0" r="0" b="0"/>
                <wp:wrapSquare wrapText="right"/>
                <wp:docPr id="379" name="Frame256"/>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(a)</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(a)</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10814" w:type="dxa"/>
        <w:jc w:val="left"/>
        <w:tblInd w:w="550" w:type="dxa"/>
        <w:tblLayout w:type="fixed"/>
        <w:tblCellMar>
          <w:top w:w="0" w:type="dxa"/>
          <w:left w:w="0" w:type="dxa"/>
          <w:bottom w:w="28" w:type="dxa"/>
          <w:right w:w="0" w:type="dxa"/>
        </w:tblCellMar>
      </w:tblPr>
      <w:tblGrid>
        <w:gridCol w:w="124"/>
        <w:gridCol w:w="1471"/>
        <w:gridCol w:w="109"/>
        <w:gridCol w:w="109"/>
        <w:gridCol w:w="109"/>
        <w:gridCol w:w="109"/>
        <w:gridCol w:w="109"/>
        <w:gridCol w:w="1141"/>
        <w:gridCol w:w="109"/>
        <w:gridCol w:w="109"/>
        <w:gridCol w:w="109"/>
        <w:gridCol w:w="109"/>
        <w:gridCol w:w="109"/>
        <w:gridCol w:w="109"/>
        <w:gridCol w:w="1141"/>
        <w:gridCol w:w="109"/>
        <w:gridCol w:w="109"/>
        <w:gridCol w:w="109"/>
        <w:gridCol w:w="109"/>
        <w:gridCol w:w="109"/>
        <w:gridCol w:w="109"/>
        <w:gridCol w:w="1141"/>
        <w:gridCol w:w="109"/>
        <w:gridCol w:w="109"/>
        <w:gridCol w:w="109"/>
        <w:gridCol w:w="109"/>
        <w:gridCol w:w="109"/>
        <w:gridCol w:w="109"/>
        <w:gridCol w:w="1186"/>
        <w:gridCol w:w="109"/>
        <w:gridCol w:w="109"/>
        <w:gridCol w:w="109"/>
        <w:gridCol w:w="109"/>
        <w:gridCol w:w="109"/>
        <w:gridCol w:w="109"/>
        <w:gridCol w:w="1186"/>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47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4" w:space="0" w:color="E2231A"/>
            </w:tcBorders>
            <w:vAlign w:val="center"/>
          </w:tcPr>
          <w:p>
            <w:pPr>
              <w:pStyle w:val="TableContents"/>
              <w:bidi w:val="0"/>
              <w:spacing w:before="0" w:after="283"/>
              <w:jc w:val="left"/>
              <w:rPr/>
            </w:pPr>
            <w:r>
              <w:rPr/>
              <w:t>​</w:t>
            </w:r>
          </w:p>
        </w:tc>
        <w:tc>
          <w:tcPr>
            <w:tcW w:w="8738" w:type="dxa"/>
            <w:gridSpan w:val="32"/>
            <w:tcBorders>
              <w:bottom w:val="single" w:sz="4" w:space="0" w:color="E2231A"/>
            </w:tcBorders>
            <w:tcMar>
              <w:bottom w:w="50" w:type="dxa"/>
            </w:tcMar>
            <w:vAlign w:val="center"/>
          </w:tcPr>
          <w:p>
            <w:pPr>
              <w:pStyle w:val="TableContents"/>
              <w:bidi w:val="0"/>
              <w:spacing w:before="0" w:after="0"/>
              <w:jc w:val="center"/>
              <w:rPr/>
            </w:pPr>
            <w:r>
              <w:rPr/>
              <w:t xml:space="preserve">Non-PEO NEOs </w:t>
            </w:r>
          </w:p>
        </w:tc>
        <w:tc>
          <w:tcPr>
            <w:tcW w:w="154" w:type="dxa"/>
            <w:tcBorders>
              <w:bottom w:val="single" w:sz="4" w:space="0" w:color="E2231A"/>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1471" w:type="dxa"/>
            <w:tcBorders>
              <w:bottom w:val="single" w:sz="2" w:space="0" w:color="7F7F7F"/>
            </w:tcBorders>
            <w:tcMar>
              <w:bottom w:w="43" w:type="dxa"/>
            </w:tcMar>
            <w:vAlign w:val="center"/>
          </w:tcPr>
          <w:p>
            <w:pPr>
              <w:pStyle w:val="TableContents"/>
              <w:bidi w:val="0"/>
              <w:spacing w:before="0" w:after="283"/>
              <w:jc w:val="left"/>
              <w:rPr/>
            </w:pPr>
            <w:r>
              <w:rPr/>
              <w:t>Prior FYE</w:t>
              <w:br/>
              <w:t>Current FYE</w:t>
              <w:br/>
              <w:t>Fiscal Year</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468" w:type="dxa"/>
            <w:gridSpan w:val="4"/>
            <w:tcBorders>
              <w:bottom w:val="single" w:sz="2" w:space="0" w:color="7F7F7F"/>
            </w:tcBorders>
            <w:tcMar>
              <w:bottom w:w="43" w:type="dxa"/>
            </w:tcMar>
            <w:vAlign w:val="center"/>
          </w:tcPr>
          <w:p>
            <w:pPr>
              <w:pStyle w:val="TableContents"/>
              <w:bidi w:val="0"/>
              <w:spacing w:before="0" w:after="0"/>
              <w:jc w:val="center"/>
              <w:rPr/>
            </w:pPr>
            <w:r>
              <w:rPr/>
              <w:t>12/31/2019</w:t>
              <w:br/>
              <w:t>12/31/2020</w:t>
              <w:br/>
              <w:t xml:space="preserve">2020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468" w:type="dxa"/>
            <w:gridSpan w:val="4"/>
            <w:tcBorders>
              <w:bottom w:val="single" w:sz="2" w:space="0" w:color="7F7F7F"/>
            </w:tcBorders>
            <w:tcMar>
              <w:bottom w:w="43" w:type="dxa"/>
            </w:tcMar>
            <w:vAlign w:val="center"/>
          </w:tcPr>
          <w:p>
            <w:pPr>
              <w:pStyle w:val="TableContents"/>
              <w:bidi w:val="0"/>
              <w:spacing w:before="0" w:after="0"/>
              <w:jc w:val="center"/>
              <w:rPr/>
            </w:pPr>
            <w:r>
              <w:rPr/>
              <w:t>12/31/2020</w:t>
              <w:br/>
              <w:t>12/31/2021</w:t>
              <w:br/>
              <w:t xml:space="preserve">2021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468" w:type="dxa"/>
            <w:gridSpan w:val="4"/>
            <w:tcBorders>
              <w:bottom w:val="single" w:sz="2" w:space="0" w:color="7F7F7F"/>
            </w:tcBorders>
            <w:tcMar>
              <w:bottom w:w="43" w:type="dxa"/>
            </w:tcMar>
            <w:vAlign w:val="center"/>
          </w:tcPr>
          <w:p>
            <w:pPr>
              <w:pStyle w:val="TableContents"/>
              <w:bidi w:val="0"/>
              <w:spacing w:before="0" w:after="0"/>
              <w:jc w:val="center"/>
              <w:rPr/>
            </w:pPr>
            <w:r>
              <w:rPr/>
              <w:t>12/31/2021</w:t>
              <w:br/>
              <w:t>12/31/2022</w:t>
              <w:br/>
              <w:t xml:space="preserve">2022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tcMar>
              <w:bottom w:w="43" w:type="dxa"/>
            </w:tcMar>
            <w:vAlign w:val="center"/>
          </w:tcPr>
          <w:p>
            <w:pPr>
              <w:pStyle w:val="TableContents"/>
              <w:bidi w:val="0"/>
              <w:spacing w:before="0" w:after="0"/>
              <w:jc w:val="center"/>
              <w:rPr/>
            </w:pPr>
            <w:r>
              <w:rPr/>
              <w:t>12/31/2022</w:t>
              <w:br/>
              <w:t>12/31/2023</w:t>
              <w:br/>
              <w:t xml:space="preserve">2023 </w:t>
              <w:br/>
              <w:t xml:space="preserve">($)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3" w:type="dxa"/>
            <w:gridSpan w:val="4"/>
            <w:tcBorders>
              <w:bottom w:val="single" w:sz="2" w:space="0" w:color="7F7F7F"/>
            </w:tcBorders>
            <w:tcMar>
              <w:bottom w:w="43" w:type="dxa"/>
            </w:tcMar>
            <w:vAlign w:val="center"/>
          </w:tcPr>
          <w:p>
            <w:pPr>
              <w:pStyle w:val="TableContents"/>
              <w:bidi w:val="0"/>
              <w:spacing w:before="0" w:after="0"/>
              <w:jc w:val="center"/>
              <w:rPr/>
            </w:pPr>
            <w:r>
              <w:rPr/>
              <w:t>12/31/2023</w:t>
              <w:br/>
              <w:t>12/31/2024</w:t>
              <w:br/>
              <w:t xml:space="preserve">2024 </w:t>
              <w:br/>
              <w:t xml:space="preserve">($)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471" w:type="dxa"/>
            <w:tcBorders>
              <w:bottom w:val="single" w:sz="2" w:space="0" w:color="7F7F7F"/>
            </w:tcBorders>
            <w:shd w:fill="D8D8D8" w:val="clear"/>
            <w:tcMar>
              <w:bottom w:w="55" w:type="dxa"/>
            </w:tcMar>
            <w:vAlign w:val="center"/>
          </w:tcPr>
          <w:p>
            <w:pPr>
              <w:pStyle w:val="TableContents"/>
              <w:bidi w:val="0"/>
              <w:spacing w:before="0" w:after="283"/>
              <w:jc w:val="left"/>
              <w:rPr/>
            </w:pPr>
            <w:r>
              <w:rPr/>
              <w:t xml:space="preserve">Summary Compensation Table total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41" w:type="dxa"/>
            <w:tcBorders>
              <w:bottom w:val="single" w:sz="2" w:space="0" w:color="7F7F7F"/>
            </w:tcBorders>
            <w:shd w:fill="D8D8D8" w:val="clear"/>
            <w:tcMar>
              <w:bottom w:w="55" w:type="dxa"/>
            </w:tcMar>
            <w:vAlign w:val="center"/>
          </w:tcPr>
          <w:p>
            <w:pPr>
              <w:pStyle w:val="TableContents"/>
              <w:bidi w:val="0"/>
              <w:spacing w:before="0" w:after="283"/>
              <w:jc w:val="right"/>
              <w:rPr/>
            </w:pPr>
            <w:r>
              <w:rPr/>
              <w:t>4,638,287</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41" w:type="dxa"/>
            <w:tcBorders>
              <w:bottom w:val="single" w:sz="2" w:space="0" w:color="7F7F7F"/>
            </w:tcBorders>
            <w:shd w:fill="D8D8D8" w:val="clear"/>
            <w:tcMar>
              <w:bottom w:w="55" w:type="dxa"/>
            </w:tcMar>
            <w:vAlign w:val="center"/>
          </w:tcPr>
          <w:p>
            <w:pPr>
              <w:pStyle w:val="TableContents"/>
              <w:bidi w:val="0"/>
              <w:spacing w:before="0" w:after="283"/>
              <w:jc w:val="right"/>
              <w:rPr/>
            </w:pPr>
            <w:r>
              <w:rPr/>
              <w:t>3,990,800</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41" w:type="dxa"/>
            <w:tcBorders>
              <w:bottom w:val="single" w:sz="2" w:space="0" w:color="7F7F7F"/>
            </w:tcBorders>
            <w:shd w:fill="D8D8D8" w:val="clear"/>
            <w:tcMar>
              <w:bottom w:w="55" w:type="dxa"/>
            </w:tcMar>
            <w:vAlign w:val="center"/>
          </w:tcPr>
          <w:p>
            <w:pPr>
              <w:pStyle w:val="TableContents"/>
              <w:bidi w:val="0"/>
              <w:spacing w:before="0" w:after="283"/>
              <w:jc w:val="right"/>
              <w:rPr/>
            </w:pPr>
            <w:r>
              <w:rPr/>
              <w:t>1,310,474</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55" w:type="dxa"/>
            </w:tcMar>
            <w:vAlign w:val="center"/>
          </w:tcPr>
          <w:p>
            <w:pPr>
              <w:pStyle w:val="TableContents"/>
              <w:bidi w:val="0"/>
              <w:spacing w:before="0" w:after="283"/>
              <w:jc w:val="right"/>
              <w:rPr/>
            </w:pPr>
            <w:r>
              <w:rPr/>
              <w:t>8,237,805</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55" w:type="dxa"/>
            </w:tcMar>
            <w:vAlign w:val="center"/>
          </w:tcPr>
          <w:p>
            <w:pPr>
              <w:pStyle w:val="TableContents"/>
              <w:bidi w:val="0"/>
              <w:spacing w:before="0" w:after="283"/>
              <w:jc w:val="right"/>
              <w:rPr/>
            </w:pPr>
            <w:r>
              <w:rPr/>
              <w:t>5,556,517</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54"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before="0" w:after="283"/>
              <w:jc w:val="left"/>
              <w:rPr/>
            </w:pPr>
            <w:r>
              <w:rPr/>
              <w:t xml:space="preserve">- Grant date fair value of option awards and stock awards granted in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141" w:type="dxa"/>
            <w:tcBorders/>
            <w:tcMar>
              <w:bottom w:w="0" w:type="dxa"/>
            </w:tcMar>
            <w:vAlign w:val="center"/>
          </w:tcPr>
          <w:p>
            <w:pPr>
              <w:pStyle w:val="TableContents"/>
              <w:bidi w:val="0"/>
              <w:spacing w:before="0" w:after="0"/>
              <w:jc w:val="right"/>
              <w:rPr>
                <w:color w:val="E2231A"/>
              </w:rPr>
            </w:pPr>
            <w:r>
              <w:rPr>
                <w:color w:val="E2231A"/>
              </w:rPr>
              <w:t>(1,317,067)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141" w:type="dxa"/>
            <w:tcBorders/>
            <w:tcMar>
              <w:bottom w:w="0" w:type="dxa"/>
            </w:tcMar>
            <w:vAlign w:val="center"/>
          </w:tcPr>
          <w:p>
            <w:pPr>
              <w:pStyle w:val="TableContents"/>
              <w:bidi w:val="0"/>
              <w:spacing w:before="0" w:after="0"/>
              <w:jc w:val="right"/>
              <w:rPr>
                <w:color w:val="E2231A"/>
              </w:rPr>
            </w:pPr>
            <w:r>
              <w:rPr>
                <w:color w:val="E2231A"/>
              </w:rPr>
              <w:t>(521,238)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141" w:type="dxa"/>
            <w:tcBorders/>
            <w:tcMar>
              <w:bottom w:w="0" w:type="dxa"/>
            </w:tcMar>
            <w:vAlign w:val="center"/>
          </w:tcPr>
          <w:p>
            <w:pPr>
              <w:pStyle w:val="TableContents"/>
              <w:bidi w:val="0"/>
              <w:spacing w:before="0" w:after="0"/>
              <w:jc w:val="right"/>
              <w:rPr>
                <w:color w:val="E2231A"/>
              </w:rPr>
            </w:pPr>
            <w:r>
              <w:rPr>
                <w:color w:val="E2231A"/>
              </w:rPr>
              <w:t>(545,923)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186" w:type="dxa"/>
            <w:tcBorders/>
            <w:tcMar>
              <w:bottom w:w="0" w:type="dxa"/>
            </w:tcMar>
            <w:vAlign w:val="center"/>
          </w:tcPr>
          <w:p>
            <w:pPr>
              <w:pStyle w:val="TableContents"/>
              <w:bidi w:val="0"/>
              <w:spacing w:before="0" w:after="0"/>
              <w:jc w:val="right"/>
              <w:rPr>
                <w:color w:val="E2231A"/>
              </w:rPr>
            </w:pPr>
            <w:r>
              <w:rPr>
                <w:color w:val="E2231A"/>
              </w:rPr>
              <w:t>(6,051,943)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186" w:type="dxa"/>
            <w:tcBorders/>
            <w:tcMar>
              <w:bottom w:w="0" w:type="dxa"/>
            </w:tcMar>
            <w:vAlign w:val="center"/>
          </w:tcPr>
          <w:p>
            <w:pPr>
              <w:pStyle w:val="TableContents"/>
              <w:bidi w:val="0"/>
              <w:spacing w:before="0" w:after="0"/>
              <w:jc w:val="right"/>
              <w:rPr>
                <w:color w:val="E2231A"/>
              </w:rPr>
            </w:pPr>
            <w:r>
              <w:rPr>
                <w:color w:val="E2231A"/>
              </w:rPr>
              <w:t>(3,106,297)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71" w:type="dxa"/>
            <w:tcBorders/>
            <w:shd w:fill="D8D8D8" w:val="clear"/>
            <w:tcMar>
              <w:bottom w:w="0" w:type="dxa"/>
            </w:tcMar>
            <w:vAlign w:val="center"/>
          </w:tcPr>
          <w:p>
            <w:pPr>
              <w:pStyle w:val="TableContents"/>
              <w:bidi w:val="0"/>
              <w:spacing w:lineRule="atLeast" w:line="204" w:before="0" w:after="0"/>
              <w:jc w:val="left"/>
              <w:rPr/>
            </w:pPr>
            <w:r>
              <w:rPr/>
              <w:t xml:space="preserve">+ Fair value at fiscal year-end of outstanding and unvested option awards and stock awards granted in fiscal year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41" w:type="dxa"/>
            <w:tcBorders/>
            <w:shd w:fill="D8D8D8" w:val="clear"/>
            <w:tcMar>
              <w:bottom w:w="0" w:type="dxa"/>
            </w:tcMar>
            <w:vAlign w:val="center"/>
          </w:tcPr>
          <w:p>
            <w:pPr>
              <w:pStyle w:val="TableContents"/>
              <w:bidi w:val="0"/>
              <w:spacing w:before="0" w:after="283"/>
              <w:jc w:val="right"/>
              <w:rPr/>
            </w:pPr>
            <w:r>
              <w:rPr/>
              <w:t>627,445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41" w:type="dxa"/>
            <w:tcBorders/>
            <w:shd w:fill="D8D8D8" w:val="clear"/>
            <w:tcMar>
              <w:bottom w:w="0" w:type="dxa"/>
            </w:tcMar>
            <w:vAlign w:val="center"/>
          </w:tcPr>
          <w:p>
            <w:pPr>
              <w:pStyle w:val="TableContents"/>
              <w:bidi w:val="0"/>
              <w:spacing w:before="0" w:after="283"/>
              <w:jc w:val="right"/>
              <w:rPr/>
            </w:pPr>
            <w:r>
              <w:rPr/>
              <w:t>1,199,280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41" w:type="dxa"/>
            <w:tcBorders/>
            <w:shd w:fill="D8D8D8" w:val="clear"/>
            <w:tcMar>
              <w:bottom w:w="0" w:type="dxa"/>
            </w:tcMar>
            <w:vAlign w:val="center"/>
          </w:tcPr>
          <w:p>
            <w:pPr>
              <w:pStyle w:val="TableContents"/>
              <w:bidi w:val="0"/>
              <w:spacing w:before="0" w:after="283"/>
              <w:jc w:val="right"/>
              <w:rPr/>
            </w:pPr>
            <w:r>
              <w:rPr/>
              <w:t>4,175,040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18,841,448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5,098,823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4" w:before="0" w:after="0"/>
              <w:jc w:val="left"/>
              <w:rPr/>
            </w:pPr>
            <w:r>
              <w:rPr/>
              <w:t xml:space="preserve">+ Change in fair value of outstanding and unvested option awards and stock awards granted in prior fiscal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124,838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12,883,805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11,781,956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471" w:type="dxa"/>
            <w:tcBorders/>
            <w:shd w:fill="D8D8D8" w:val="clear"/>
            <w:tcMar>
              <w:bottom w:w="0" w:type="dxa"/>
            </w:tcMar>
            <w:vAlign w:val="center"/>
          </w:tcPr>
          <w:p>
            <w:pPr>
              <w:pStyle w:val="TableContents"/>
              <w:bidi w:val="0"/>
              <w:spacing w:lineRule="atLeast" w:line="204" w:before="0" w:after="0"/>
              <w:jc w:val="left"/>
              <w:rPr/>
            </w:pPr>
            <w:r>
              <w:rPr/>
              <w:t xml:space="preserve">+ Fair value at vesting of option awards and stock awards granted in fiscal year that vested </w:t>
              <w:br/>
              <w:t xml:space="preserve">during fiscal year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41" w:type="dxa"/>
            <w:tcBorders/>
            <w:shd w:fill="D8D8D8" w:val="clear"/>
            <w:tcMar>
              <w:bottom w:w="0" w:type="dxa"/>
            </w:tcMar>
            <w:vAlign w:val="center"/>
          </w:tcPr>
          <w:p>
            <w:pPr>
              <w:pStyle w:val="TableContents"/>
              <w:bidi w:val="0"/>
              <w:spacing w:before="0" w:after="283"/>
              <w:jc w:val="right"/>
              <w:rPr/>
            </w:pPr>
            <w:r>
              <w:rPr/>
              <w:t>61,561</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41"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41" w:type="dxa"/>
            <w:tcBorders/>
            <w:shd w:fill="D8D8D8" w:val="clear"/>
            <w:tcMar>
              <w:bottom w:w="0" w:type="dxa"/>
            </w:tcMar>
            <w:vAlign w:val="center"/>
          </w:tcPr>
          <w:p>
            <w:pPr>
              <w:pStyle w:val="TableContents"/>
              <w:bidi w:val="0"/>
              <w:spacing w:before="0" w:after="283"/>
              <w:jc w:val="right"/>
              <w:rPr/>
            </w:pPr>
            <w:r>
              <w:rPr/>
              <w:t>184,257</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4" w:before="0" w:after="0"/>
              <w:jc w:val="left"/>
              <w:rPr/>
            </w:pPr>
            <w:r>
              <w:rPr/>
              <w:t xml:space="preserve">+ Change in fair value as of vesting date of option awards and stock awards granted in prior fiscal years for which applicable vesting conditions were satisfied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180,900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9,732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olor w:val="E2231A"/>
              </w:rPr>
            </w:pPr>
            <w:r>
              <w:rPr>
                <w:color w:val="E2231A"/>
              </w:rPr>
              <w:t>​</w:t>
            </w:r>
          </w:p>
        </w:tc>
        <w:tc>
          <w:tcPr>
            <w:tcW w:w="1141" w:type="dxa"/>
            <w:tcBorders/>
            <w:tcMar>
              <w:bottom w:w="0" w:type="dxa"/>
            </w:tcMar>
            <w:vAlign w:val="center"/>
          </w:tcPr>
          <w:p>
            <w:pPr>
              <w:pStyle w:val="TableContents"/>
              <w:bidi w:val="0"/>
              <w:spacing w:before="0" w:after="0"/>
              <w:jc w:val="right"/>
              <w:rPr>
                <w:color w:val="E2231A"/>
              </w:rPr>
            </w:pPr>
            <w:r>
              <w:rPr>
                <w:color w:val="E2231A"/>
              </w:rPr>
              <w:t>(86,372)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661,143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12,443,054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1471" w:type="dxa"/>
            <w:tcBorders>
              <w:bottom w:val="single" w:sz="2" w:space="0" w:color="7F7F7F"/>
            </w:tcBorders>
            <w:shd w:fill="D8D8D8" w:val="clear"/>
            <w:tcMar>
              <w:bottom w:w="43" w:type="dxa"/>
            </w:tcMar>
            <w:vAlign w:val="center"/>
          </w:tcPr>
          <w:p>
            <w:pPr>
              <w:pStyle w:val="TableContents"/>
              <w:bidi w:val="0"/>
              <w:spacing w:before="0" w:after="283"/>
              <w:jc w:val="left"/>
              <w:rPr/>
            </w:pPr>
            <w:r>
              <w:rPr/>
              <w:t xml:space="preserve">- Fair value as of prior fiscal year-end of option awards and stock awards granted in prior fiscal years that failed to meet applicable vesting conditions during fiscal year </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43" w:type="dxa"/>
            </w:tcMar>
            <w:vAlign w:val="center"/>
          </w:tcPr>
          <w:p>
            <w:pPr>
              <w:pStyle w:val="TableContents"/>
              <w:bidi w:val="0"/>
              <w:spacing w:before="0" w:after="0"/>
              <w:jc w:val="right"/>
              <w:rPr>
                <w:color w:val="E2231A"/>
              </w:rPr>
            </w:pPr>
            <w:r>
              <w:rPr>
                <w:color w:val="E2231A"/>
              </w:rPr>
              <w:t>​</w:t>
            </w:r>
          </w:p>
        </w:tc>
        <w:tc>
          <w:tcPr>
            <w:tcW w:w="1141" w:type="dxa"/>
            <w:tcBorders>
              <w:bottom w:val="single" w:sz="2" w:space="0" w:color="7F7F7F"/>
            </w:tcBorders>
            <w:shd w:fill="D8D8D8" w:val="clear"/>
            <w:tcMar>
              <w:bottom w:w="43" w:type="dxa"/>
            </w:tcMar>
            <w:vAlign w:val="center"/>
          </w:tcPr>
          <w:p>
            <w:pPr>
              <w:pStyle w:val="TableContents"/>
              <w:bidi w:val="0"/>
              <w:spacing w:before="0" w:after="0"/>
              <w:jc w:val="right"/>
              <w:rPr>
                <w:color w:val="E2231A"/>
              </w:rPr>
            </w:pPr>
            <w:r>
              <w:rPr>
                <w:color w:val="E2231A"/>
              </w:rPr>
              <w:t>(60,464)</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43" w:type="dxa"/>
            </w:tcMar>
            <w:vAlign w:val="center"/>
          </w:tcPr>
          <w:p>
            <w:pPr>
              <w:pStyle w:val="TableContents"/>
              <w:bidi w:val="0"/>
              <w:spacing w:before="0" w:after="0"/>
              <w:jc w:val="right"/>
              <w:rPr>
                <w:color w:val="E2231A"/>
              </w:rPr>
            </w:pPr>
            <w:r>
              <w:rPr>
                <w:color w:val="E2231A"/>
              </w:rPr>
              <w:t>​</w:t>
            </w:r>
          </w:p>
        </w:tc>
        <w:tc>
          <w:tcPr>
            <w:tcW w:w="1141" w:type="dxa"/>
            <w:tcBorders>
              <w:bottom w:val="single" w:sz="2" w:space="0" w:color="7F7F7F"/>
            </w:tcBorders>
            <w:shd w:fill="D8D8D8" w:val="clear"/>
            <w:tcMar>
              <w:bottom w:w="43" w:type="dxa"/>
            </w:tcMar>
            <w:vAlign w:val="center"/>
          </w:tcPr>
          <w:p>
            <w:pPr>
              <w:pStyle w:val="TableContents"/>
              <w:bidi w:val="0"/>
              <w:spacing w:before="0" w:after="0"/>
              <w:jc w:val="right"/>
              <w:rPr>
                <w:color w:val="E2231A"/>
              </w:rPr>
            </w:pPr>
            <w:r>
              <w:rPr>
                <w:color w:val="E2231A"/>
              </w:rPr>
              <w:t>(1,077,895)</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43" w:type="dxa"/>
            </w:tcMar>
            <w:vAlign w:val="center"/>
          </w:tcPr>
          <w:p>
            <w:pPr>
              <w:pStyle w:val="TableContents"/>
              <w:bidi w:val="0"/>
              <w:spacing w:before="0" w:after="0"/>
              <w:jc w:val="right"/>
              <w:rPr>
                <w:color w:val="E2231A"/>
              </w:rPr>
            </w:pPr>
            <w:r>
              <w:rPr>
                <w:color w:val="E2231A"/>
              </w:rPr>
              <w:t>​</w:t>
            </w:r>
          </w:p>
        </w:tc>
        <w:tc>
          <w:tcPr>
            <w:tcW w:w="1141" w:type="dxa"/>
            <w:tcBorders>
              <w:bottom w:val="single" w:sz="2" w:space="0" w:color="7F7F7F"/>
            </w:tcBorders>
            <w:shd w:fill="D8D8D8" w:val="clear"/>
            <w:tcMar>
              <w:bottom w:w="43" w:type="dxa"/>
            </w:tcMar>
            <w:vAlign w:val="center"/>
          </w:tcPr>
          <w:p>
            <w:pPr>
              <w:pStyle w:val="TableContents"/>
              <w:bidi w:val="0"/>
              <w:spacing w:before="0" w:after="0"/>
              <w:jc w:val="right"/>
              <w:rPr>
                <w:color w:val="E2231A"/>
              </w:rPr>
            </w:pPr>
            <w:r>
              <w:rPr>
                <w:color w:val="E2231A"/>
              </w:rPr>
              <w:t>(1,853,297</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43" w:type="dxa"/>
            </w:tcMar>
            <w:vAlign w:val="center"/>
          </w:tcPr>
          <w:p>
            <w:pPr>
              <w:pStyle w:val="TableContents"/>
              <w:bidi w:val="0"/>
              <w:spacing w:before="0" w:after="0"/>
              <w:jc w:val="right"/>
              <w:rPr>
                <w:color w:val="E2231A"/>
              </w:rPr>
            </w:pPr>
            <w:r>
              <w:rPr>
                <w:color w:val="E2231A"/>
              </w:rPr>
              <w:t>​</w:t>
            </w:r>
          </w:p>
        </w:tc>
        <w:tc>
          <w:tcPr>
            <w:tcW w:w="1186" w:type="dxa"/>
            <w:tcBorders>
              <w:bottom w:val="single" w:sz="2" w:space="0" w:color="7F7F7F"/>
            </w:tcBorders>
            <w:shd w:fill="D8D8D8" w:val="clear"/>
            <w:tcMar>
              <w:bottom w:w="43" w:type="dxa"/>
            </w:tcMar>
            <w:vAlign w:val="center"/>
          </w:tcPr>
          <w:p>
            <w:pPr>
              <w:pStyle w:val="TableContents"/>
              <w:bidi w:val="0"/>
              <w:spacing w:before="0" w:after="0"/>
              <w:jc w:val="right"/>
              <w:rPr>
                <w:color w:val="E2231A"/>
              </w:rPr>
            </w:pPr>
            <w:r>
              <w:rPr>
                <w:color w:val="E2231A"/>
              </w:rPr>
              <w:t>(192,234)</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186" w:type="dxa"/>
            <w:tcBorders>
              <w:bottom w:val="single" w:sz="2" w:space="0" w:color="7F7F7F"/>
            </w:tcBorders>
            <w:shd w:fill="D8D8D8" w:val="clear"/>
            <w:tcMar>
              <w:bottom w:w="43" w:type="dxa"/>
            </w:tcMar>
            <w:vAlign w:val="center"/>
          </w:tcPr>
          <w:p>
            <w:pPr>
              <w:pStyle w:val="TableContents"/>
              <w:bidi w:val="0"/>
              <w:spacing w:before="0" w:after="283"/>
              <w:jc w:val="righ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54" w:type="dxa"/>
            <w:tcBorders>
              <w:bottom w:val="single" w:sz="2" w:space="0" w:color="7F7F7F"/>
            </w:tcBorders>
            <w:shd w:fill="D8D8D8" w:val="clear"/>
            <w:vAlign w:val="center"/>
          </w:tcPr>
          <w:p>
            <w:pPr>
              <w:pStyle w:val="TableContents"/>
              <w:bidi w:val="0"/>
              <w:spacing w:before="0" w:after="283"/>
              <w:jc w:val="left"/>
              <w:rPr/>
            </w:pPr>
            <w:r>
              <w:rPr/>
              <w:t>​</w:t>
            </w:r>
          </w:p>
        </w:tc>
      </w:tr>
      <w:tr>
        <w:trPr/>
        <w:tc>
          <w:tcPr>
            <w:tcW w:w="124" w:type="dxa"/>
            <w:tcBorders>
              <w:bottom w:val="single" w:sz="6" w:space="0" w:color="7F7F7F"/>
            </w:tcBorders>
            <w:vAlign w:val="center"/>
          </w:tcPr>
          <w:p>
            <w:pPr>
              <w:pStyle w:val="TableContents"/>
              <w:bidi w:val="0"/>
              <w:spacing w:before="0" w:after="283"/>
              <w:jc w:val="left"/>
              <w:rPr/>
            </w:pPr>
            <w:r>
              <w:rPr/>
              <w:t>​</w:t>
            </w:r>
          </w:p>
        </w:tc>
        <w:tc>
          <w:tcPr>
            <w:tcW w:w="1471" w:type="dxa"/>
            <w:tcBorders>
              <w:bottom w:val="single" w:sz="6" w:space="0" w:color="7F7F7F"/>
            </w:tcBorders>
            <w:tcMar>
              <w:bottom w:w="120" w:type="dxa"/>
            </w:tcMar>
            <w:vAlign w:val="center"/>
          </w:tcPr>
          <w:p>
            <w:pPr>
              <w:pStyle w:val="TableContents"/>
              <w:bidi w:val="0"/>
              <w:spacing w:before="0" w:after="283"/>
              <w:jc w:val="left"/>
              <w:rPr/>
            </w:pPr>
            <w:r>
              <w:rPr/>
              <w:t>Compensation Actually Paid</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tcMar>
              <w:bottom w:w="120" w:type="dxa"/>
            </w:tcMar>
            <w:vAlign w:val="center"/>
          </w:tcPr>
          <w:p>
            <w:pPr>
              <w:pStyle w:val="TableContents"/>
              <w:bidi w:val="0"/>
              <w:spacing w:before="0" w:after="283"/>
              <w:jc w:val="right"/>
              <w:rPr/>
            </w:pPr>
            <w:r>
              <w:rPr/>
              <w:t>​</w:t>
            </w:r>
          </w:p>
        </w:tc>
        <w:tc>
          <w:tcPr>
            <w:tcW w:w="1141" w:type="dxa"/>
            <w:tcBorders>
              <w:bottom w:val="single" w:sz="6" w:space="0" w:color="7F7F7F"/>
            </w:tcBorders>
            <w:tcMar>
              <w:bottom w:w="120" w:type="dxa"/>
            </w:tcMar>
            <w:vAlign w:val="center"/>
          </w:tcPr>
          <w:p>
            <w:pPr>
              <w:pStyle w:val="TableContents"/>
              <w:bidi w:val="0"/>
              <w:spacing w:before="0" w:after="283"/>
              <w:jc w:val="right"/>
              <w:rPr/>
            </w:pPr>
            <w:r>
              <w:rPr/>
              <w:t>4,255,500</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tcMar>
              <w:bottom w:w="120" w:type="dxa"/>
            </w:tcMar>
            <w:vAlign w:val="center"/>
          </w:tcPr>
          <w:p>
            <w:pPr>
              <w:pStyle w:val="TableContents"/>
              <w:bidi w:val="0"/>
              <w:spacing w:before="0" w:after="283"/>
              <w:jc w:val="right"/>
              <w:rPr/>
            </w:pPr>
            <w:r>
              <w:rPr/>
              <w:t>​</w:t>
            </w:r>
          </w:p>
        </w:tc>
        <w:tc>
          <w:tcPr>
            <w:tcW w:w="1141" w:type="dxa"/>
            <w:tcBorders>
              <w:bottom w:val="single" w:sz="6" w:space="0" w:color="7F7F7F"/>
            </w:tcBorders>
            <w:tcMar>
              <w:bottom w:w="120" w:type="dxa"/>
            </w:tcMar>
            <w:vAlign w:val="center"/>
          </w:tcPr>
          <w:p>
            <w:pPr>
              <w:pStyle w:val="TableContents"/>
              <w:bidi w:val="0"/>
              <w:spacing w:before="0" w:after="283"/>
              <w:jc w:val="right"/>
              <w:rPr/>
            </w:pPr>
            <w:r>
              <w:rPr/>
              <w:t>3,600,679</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tcMar>
              <w:bottom w:w="120" w:type="dxa"/>
            </w:tcMar>
            <w:vAlign w:val="center"/>
          </w:tcPr>
          <w:p>
            <w:pPr>
              <w:pStyle w:val="TableContents"/>
              <w:bidi w:val="0"/>
              <w:spacing w:before="0" w:after="283"/>
              <w:jc w:val="right"/>
              <w:rPr/>
            </w:pPr>
            <w:r>
              <w:rPr/>
              <w:t>​</w:t>
            </w:r>
          </w:p>
        </w:tc>
        <w:tc>
          <w:tcPr>
            <w:tcW w:w="1141" w:type="dxa"/>
            <w:tcBorders>
              <w:bottom w:val="single" w:sz="6" w:space="0" w:color="7F7F7F"/>
            </w:tcBorders>
            <w:tcMar>
              <w:bottom w:w="120" w:type="dxa"/>
            </w:tcMar>
            <w:vAlign w:val="center"/>
          </w:tcPr>
          <w:p>
            <w:pPr>
              <w:pStyle w:val="TableContents"/>
              <w:bidi w:val="0"/>
              <w:spacing w:before="0" w:after="283"/>
              <w:jc w:val="right"/>
              <w:rPr/>
            </w:pPr>
            <w:r>
              <w:rPr/>
              <w:t>3,184,179</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tcMar>
              <w:bottom w:w="120" w:type="dxa"/>
            </w:tcMar>
            <w:vAlign w:val="center"/>
          </w:tcPr>
          <w:p>
            <w:pPr>
              <w:pStyle w:val="TableContents"/>
              <w:bidi w:val="0"/>
              <w:spacing w:before="0" w:after="283"/>
              <w:jc w:val="right"/>
              <w:rPr/>
            </w:pPr>
            <w:r>
              <w:rPr/>
              <w:t>​</w:t>
            </w:r>
          </w:p>
        </w:tc>
        <w:tc>
          <w:tcPr>
            <w:tcW w:w="1186" w:type="dxa"/>
            <w:tcBorders>
              <w:bottom w:val="single" w:sz="6" w:space="0" w:color="7F7F7F"/>
            </w:tcBorders>
            <w:tcMar>
              <w:bottom w:w="120" w:type="dxa"/>
            </w:tcMar>
            <w:vAlign w:val="center"/>
          </w:tcPr>
          <w:p>
            <w:pPr>
              <w:pStyle w:val="TableContents"/>
              <w:bidi w:val="0"/>
              <w:spacing w:before="0" w:after="283"/>
              <w:jc w:val="right"/>
              <w:rPr/>
            </w:pPr>
            <w:r>
              <w:rPr/>
              <w:t>34,380,024</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6" w:space="0" w:color="7F7F7F"/>
            </w:tcBorders>
            <w:tcMar>
              <w:bottom w:w="120" w:type="dxa"/>
            </w:tcMar>
            <w:vAlign w:val="center"/>
          </w:tcPr>
          <w:p>
            <w:pPr>
              <w:pStyle w:val="TableContents"/>
              <w:bidi w:val="0"/>
              <w:spacing w:before="0" w:after="283"/>
              <w:jc w:val="right"/>
              <w:rPr/>
            </w:pPr>
            <w:r>
              <w:rPr/>
              <w:t>​</w:t>
            </w:r>
          </w:p>
        </w:tc>
        <w:tc>
          <w:tcPr>
            <w:tcW w:w="1186" w:type="dxa"/>
            <w:tcBorders>
              <w:bottom w:val="single" w:sz="6" w:space="0" w:color="7F7F7F"/>
            </w:tcBorders>
            <w:tcMar>
              <w:bottom w:w="120" w:type="dxa"/>
            </w:tcMar>
            <w:vAlign w:val="center"/>
          </w:tcPr>
          <w:p>
            <w:pPr>
              <w:pStyle w:val="TableContents"/>
              <w:bidi w:val="0"/>
              <w:spacing w:before="0" w:after="283"/>
              <w:jc w:val="right"/>
              <w:rPr/>
            </w:pPr>
            <w:r>
              <w:rPr/>
              <w:t>31,774,053</w:t>
            </w:r>
          </w:p>
        </w:tc>
        <w:tc>
          <w:tcPr>
            <w:tcW w:w="109" w:type="dxa"/>
            <w:tcBorders>
              <w:bottom w:val="single" w:sz="6" w:space="0" w:color="7F7F7F"/>
            </w:tcBorders>
            <w:vAlign w:val="center"/>
          </w:tcPr>
          <w:p>
            <w:pPr>
              <w:pStyle w:val="TableContents"/>
              <w:bidi w:val="0"/>
              <w:spacing w:before="0" w:after="283"/>
              <w:jc w:val="left"/>
              <w:rPr/>
            </w:pPr>
            <w:r>
              <w:rPr/>
              <w:t>​</w:t>
            </w:r>
          </w:p>
        </w:tc>
        <w:tc>
          <w:tcPr>
            <w:tcW w:w="154" w:type="dxa"/>
            <w:tcBorders>
              <w:bottom w:val="single" w:sz="6" w:space="0" w:color="7F7F7F"/>
            </w:tcBorders>
            <w:vAlign w:val="center"/>
          </w:tcPr>
          <w:p>
            <w:pPr>
              <w:pStyle w:val="TableContents"/>
              <w:bidi w:val="0"/>
              <w:spacing w:before="0" w:after="283"/>
              <w:jc w:val="left"/>
              <w:rPr/>
            </w:pPr>
            <w:r>
              <w:rPr/>
              <w:t>​</w:t>
            </w:r>
          </w:p>
        </w:tc>
      </w:tr>
    </w:tbl>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48</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200" w:after="283"/>
        <w:ind w:left="920" w:right="0" w:hanging="0"/>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Required Tabular Disclosure of Most Important Measures Linking Compensation Actually Paid During 2024 to Company Performance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404040"/>
          <w:sz w:val="18"/>
        </w:rPr>
      </w:pPr>
      <w:r>
        <w:rPr>
          <w:rFonts w:ascii="Helvetica;Arial Narrow;sans-serif" w:hAnsi="Helvetica;Arial Narrow;sans-serif"/>
          <w:b w:val="false"/>
          <w:i w:val="false"/>
          <w:caps w:val="false"/>
          <w:smallCaps w:val="false"/>
          <w:color w:val="404040"/>
          <w:spacing w:val="-2"/>
          <w:sz w:val="18"/>
        </w:rPr>
        <w:t>As required, the disclosure below specifies the most important measures used by the company to link compensation actually paid to our PEO and NEOs for 2024 to company performance. For further information regarding these performance metrics and their function in our executive compensation program, see the CD&amp;A beginning on page</w:t>
      </w:r>
      <w:r>
        <w:rPr>
          <w:rFonts w:ascii="Helvetica;Arial Narrow;sans-serif" w:hAnsi="Helvetica;Arial Narrow;sans-serif"/>
          <w:b w:val="false"/>
          <w:i w:val="false"/>
          <w:caps w:val="false"/>
          <w:smallCaps w:val="false"/>
          <w:color w:val="000000"/>
          <w:spacing w:val="-2"/>
          <w:sz w:val="18"/>
        </w:rPr>
        <w:t xml:space="preserve"> </w:t>
      </w:r>
      <w:r>
        <w:rPr>
          <w:rFonts w:ascii="Helvetica;Arial Narrow;sans-serif" w:hAnsi="Helvetica;Arial Narrow;sans-serif"/>
          <w:b w:val="false"/>
          <w:i w:val="false"/>
          <w:caps w:val="false"/>
          <w:smallCaps w:val="false"/>
          <w:color w:val="404040"/>
          <w:spacing w:val="-2"/>
          <w:sz w:val="18"/>
        </w:rPr>
        <w:t>26.</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0" w:type="dxa"/>
          <w:right w:w="0" w:type="dxa"/>
        </w:tblCellMar>
      </w:tblPr>
      <w:tblGrid>
        <w:gridCol w:w="124"/>
        <w:gridCol w:w="2720"/>
        <w:gridCol w:w="109"/>
        <w:gridCol w:w="109"/>
        <w:gridCol w:w="2865"/>
        <w:gridCol w:w="109"/>
        <w:gridCol w:w="109"/>
        <w:gridCol w:w="2984"/>
        <w:gridCol w:w="156"/>
      </w:tblGrid>
      <w:tr>
        <w:trPr/>
        <w:tc>
          <w:tcPr>
            <w:tcW w:w="124" w:type="dxa"/>
            <w:tcBorders/>
            <w:shd w:fill="000000" w:val="clear"/>
            <w:vAlign w:val="center"/>
          </w:tcPr>
          <w:p>
            <w:pPr>
              <w:pStyle w:val="TableContents"/>
              <w:bidi w:val="0"/>
              <w:spacing w:before="0" w:after="283"/>
              <w:jc w:val="left"/>
              <w:rPr/>
            </w:pPr>
            <w:r>
              <w:rPr/>
              <w:t>​</w:t>
            </w:r>
          </w:p>
        </w:tc>
        <w:tc>
          <w:tcPr>
            <w:tcW w:w="9005" w:type="dxa"/>
            <w:gridSpan w:val="7"/>
            <w:tcBorders/>
            <w:shd w:fill="000000" w:val="clear"/>
            <w:vAlign w:val="center"/>
          </w:tcPr>
          <w:p>
            <w:pPr>
              <w:pStyle w:val="TableContents"/>
              <w:bidi w:val="0"/>
              <w:spacing w:before="0" w:after="0"/>
              <w:jc w:val="center"/>
              <w:rPr/>
            </w:pPr>
            <w:r>
              <w:rPr>
                <w:spacing w:val="-2"/>
              </w:rPr>
              <w:t>2024 Most Important Measures (Unranked)</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720" w:type="dxa"/>
            <w:tcBorders/>
            <w:shd w:fill="D8D8D8" w:val="clear"/>
            <w:vAlign w:val="center"/>
          </w:tcPr>
          <w:p>
            <w:pPr>
              <w:pStyle w:val="TableContents"/>
              <w:bidi w:val="0"/>
              <w:spacing w:lineRule="atLeast" w:line="180" w:before="0" w:after="0"/>
              <w:ind w:left="540" w:right="360" w:hanging="0"/>
              <w:jc w:val="left"/>
              <w:rPr/>
            </w:pPr>
            <w:r>
              <w:rPr/>
              <w:t>  </w:t>
            </w:r>
            <w:r>
              <w:rPr/>
              <w:t xml:space="preserve">XPO Adjusted EBITDA </w:t>
            </w:r>
            <w:r>
              <mc:AlternateContent>
                <mc:Choice Requires="wps">
                  <w:drawing>
                    <wp:anchor behindDoc="0" distT="0" distB="0" distL="228600" distR="0" simplePos="0" locked="0" layoutInCell="1" allowOverlap="1" relativeHeight="382">
                      <wp:simplePos x="0" y="0"/>
                      <wp:positionH relativeFrom="column">
                        <wp:align>left</wp:align>
                      </wp:positionH>
                      <wp:positionV relativeFrom="line">
                        <wp:posOffset>635</wp:posOffset>
                      </wp:positionV>
                      <wp:extent cx="114300" cy="525780"/>
                      <wp:effectExtent l="0" t="0" r="0" b="0"/>
                      <wp:wrapSquare wrapText="right"/>
                      <wp:docPr id="380" name="Frame25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180" w:before="0" w:after="283"/>
                                    <w:jc w:val="left"/>
                                    <w:rPr/>
                                  </w:pPr>
                                  <w:r>
                                    <w:rPr>
                                      <w:color w:val="E2231A"/>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80" w:before="0" w:after="283"/>
                              <w:jc w:val="left"/>
                              <w:rPr/>
                            </w:pPr>
                            <w:r>
                              <w:rPr>
                                <w:color w:val="E2231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865" w:type="dxa"/>
            <w:tcBorders/>
            <w:shd w:fill="D8D8D8" w:val="clear"/>
            <w:vAlign w:val="center"/>
          </w:tcPr>
          <w:p>
            <w:pPr>
              <w:pStyle w:val="TableContents"/>
              <w:bidi w:val="0"/>
              <w:spacing w:lineRule="atLeast" w:line="180" w:before="0" w:after="0"/>
              <w:ind w:left="180" w:right="360" w:hanging="0"/>
              <w:jc w:val="left"/>
              <w:rPr/>
            </w:pPr>
            <w:r>
              <w:rPr/>
              <w:t>  </w:t>
            </w:r>
            <w:r>
              <w:rPr/>
              <w:t xml:space="preserve">LTL Adjusted Operating Ratio </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114300" cy="525780"/>
                      <wp:effectExtent l="0" t="0" r="0" b="0"/>
                      <wp:wrapSquare wrapText="right"/>
                      <wp:docPr id="381" name="Frame25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180" w:before="0" w:after="283"/>
                                    <w:jc w:val="left"/>
                                    <w:rPr/>
                                  </w:pPr>
                                  <w:r>
                                    <w:rPr>
                                      <w:color w:val="E2231A"/>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984" w:type="dxa"/>
            <w:tcBorders/>
            <w:shd w:fill="D8D8D8" w:val="clear"/>
            <w:vAlign w:val="center"/>
          </w:tcPr>
          <w:p>
            <w:pPr>
              <w:pStyle w:val="TableContents"/>
              <w:bidi w:val="0"/>
              <w:spacing w:lineRule="atLeast" w:line="180" w:before="0" w:after="0"/>
              <w:ind w:left="180" w:right="360" w:hanging="0"/>
              <w:jc w:val="left"/>
              <w:rPr/>
            </w:pPr>
            <w:r>
              <w:rPr/>
              <w:t>  </w:t>
            </w:r>
            <w:r>
              <w:rPr/>
              <w:t xml:space="preserve">LTL Adjusted Operating Income </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114300" cy="525780"/>
                      <wp:effectExtent l="0" t="0" r="0" b="0"/>
                      <wp:wrapSquare wrapText="right"/>
                      <wp:docPr id="382" name="Frame25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180" w:before="0" w:after="283"/>
                                    <w:jc w:val="left"/>
                                    <w:rPr/>
                                  </w:pPr>
                                  <w:r>
                                    <w:rPr>
                                      <w:color w:val="E2231A"/>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lineRule="atLeast" w:line="180" w:before="0" w:after="0"/>
              <w:ind w:left="540" w:right="360" w:hanging="0"/>
              <w:jc w:val="left"/>
              <w:rPr/>
            </w:pPr>
            <w:r>
              <w:rPr/>
              <w:t>  </w:t>
            </w:r>
            <w:r>
              <w:rPr/>
              <w:t xml:space="preserve">LTL Adjusted EBITDA </w:t>
            </w:r>
            <w:r>
              <mc:AlternateContent>
                <mc:Choice Requires="wps">
                  <w:drawing>
                    <wp:anchor behindDoc="0" distT="0" distB="0" distL="228600" distR="0" simplePos="0" locked="0" layoutInCell="1" allowOverlap="1" relativeHeight="385">
                      <wp:simplePos x="0" y="0"/>
                      <wp:positionH relativeFrom="column">
                        <wp:align>left</wp:align>
                      </wp:positionH>
                      <wp:positionV relativeFrom="line">
                        <wp:posOffset>635</wp:posOffset>
                      </wp:positionV>
                      <wp:extent cx="114300" cy="525780"/>
                      <wp:effectExtent l="0" t="0" r="0" b="0"/>
                      <wp:wrapSquare wrapText="right"/>
                      <wp:docPr id="383" name="Frame26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180" w:before="0" w:after="283"/>
                                    <w:jc w:val="left"/>
                                    <w:rPr/>
                                  </w:pPr>
                                  <w:r>
                                    <w:rPr>
                                      <w:color w:val="E2231A"/>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80" w:before="0" w:after="283"/>
                              <w:jc w:val="left"/>
                              <w:rPr/>
                            </w:pPr>
                            <w:r>
                              <w:rPr>
                                <w:color w:val="E2231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5" w:type="dxa"/>
            <w:tcBorders/>
            <w:vAlign w:val="center"/>
          </w:tcPr>
          <w:p>
            <w:pPr>
              <w:pStyle w:val="TableContents"/>
              <w:bidi w:val="0"/>
              <w:spacing w:lineRule="atLeast" w:line="180" w:before="0" w:after="0"/>
              <w:ind w:left="180" w:right="360" w:hanging="0"/>
              <w:jc w:val="left"/>
              <w:rPr/>
            </w:pPr>
            <w:r>
              <w:rPr/>
              <w:t>  </w:t>
            </w:r>
            <w:r>
              <w:rPr>
                <w:sz w:val="18"/>
              </w:rPr>
              <w:t xml:space="preserve">Relative TSR </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114300" cy="464820"/>
                      <wp:effectExtent l="0" t="0" r="0" b="0"/>
                      <wp:wrapSquare wrapText="right"/>
                      <wp:docPr id="384" name="Frame261"/>
                      <a:graphic xmlns:a="http://schemas.openxmlformats.org/drawingml/2006/main">
                        <a:graphicData uri="http://schemas.microsoft.com/office/word/2010/wordprocessingShape">
                          <wps:wsp>
                            <wps:cNvSpPr txBox="1"/>
                            <wps:spPr>
                              <a:xfrm>
                                <a:off x="0" y="0"/>
                                <a:ext cx="114300" cy="464820"/>
                              </a:xfrm>
                              <a:prstGeom prst="rect"/>
                              <a:solidFill>
                                <a:srgbClr val="FFFFFF"/>
                              </a:solidFill>
                            </wps:spPr>
                            <wps:txbx>
                              <w:txbxContent>
                                <w:p>
                                  <w:pPr>
                                    <w:pStyle w:val="TextBody"/>
                                    <w:bidi w:val="0"/>
                                    <w:spacing w:lineRule="atLeast" w:line="180" w:before="0" w:after="283"/>
                                    <w:jc w:val="left"/>
                                    <w:rPr/>
                                  </w:pPr>
                                  <w:r>
                                    <w:rPr>
                                      <w:color w:val="E2231A"/>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9pt;height:3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E2231A"/>
                              </w:rPr>
                              <w:t>■</w:t>
                            </w:r>
                            <w:r>
                              <w:rPr/>
                              <w:t xml:space="preserve"> </w:t>
                            </w:r>
                            <w:r>
                              <w:rPr>
                                <w:sz w:val="14"/>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4"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20" w:before="424" w:after="283"/>
        <w:ind w:left="920" w:right="0" w:hanging="0"/>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Required Disclosure of the Relationship Between Compensation Actually Paid and Financial Performance Measures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404040"/>
          <w:sz w:val="18"/>
        </w:rPr>
      </w:pPr>
      <w:r>
        <w:rPr>
          <w:rFonts w:ascii="Helvetica;Arial Narrow;sans-serif" w:hAnsi="Helvetica;Arial Narrow;sans-serif"/>
          <w:b w:val="false"/>
          <w:i w:val="false"/>
          <w:caps w:val="false"/>
          <w:smallCaps w:val="false"/>
          <w:color w:val="404040"/>
          <w:spacing w:val="-2"/>
          <w:sz w:val="18"/>
        </w:rPr>
        <w:t>The following graphs further illustrate the relationship between the pay and performance figures that are included in the pay versus performance tabular disclosure above. In addition, the first graph below illustrates the relationship between XPO’s TSR and the TSR of the S&amp;P Transportation Select Index. For purposes of the tabular disclosure and these graphs, as noted earlier, the “compensation actually paid” amounts were calculated in accordance with SEC rules and do not fully represent the final compensation amounts actually paid to or earned by our PEOs and other NEOs during the applicable years.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648325" cy="3400425"/>
            <wp:effectExtent l="0" t="0" r="0" b="0"/>
            <wp:docPr id="38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20" descr=""/>
                    <pic:cNvPicPr>
                      <a:picLocks noChangeAspect="1" noChangeArrowheads="1"/>
                    </pic:cNvPicPr>
                  </pic:nvPicPr>
                  <pic:blipFill>
                    <a:blip r:embed="rId125"/>
                    <a:stretch>
                      <a:fillRect/>
                    </a:stretch>
                  </pic:blipFill>
                  <pic:spPr bwMode="auto">
                    <a:xfrm>
                      <a:off x="0" y="0"/>
                      <a:ext cx="5648325" cy="3400425"/>
                    </a:xfrm>
                    <a:prstGeom prst="rect">
                      <a:avLst/>
                    </a:prstGeom>
                  </pic:spPr>
                </pic:pic>
              </a:graphicData>
            </a:graphic>
          </wp:inline>
        </w:drawing>
      </w:r>
      <w:r>
        <w:rPr>
          <w:caps w:val="false"/>
          <w:smallCaps w:val="false"/>
          <w:color w:val="000000"/>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49</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EAWN"/>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before="160" w:after="283"/>
        <w:ind w:left="920" w:right="0" w:hanging="0"/>
        <w:jc w:val="center"/>
        <w:rPr>
          <w:caps w:val="false"/>
          <w:smallCaps w:val="false"/>
          <w:color w:val="000000"/>
        </w:rPr>
      </w:pPr>
      <w:r>
        <w:rPr>
          <w:caps w:val="false"/>
          <w:smallCaps w:val="false"/>
          <w:color w:val="000000"/>
        </w:rPr>
        <w:drawing>
          <wp:inline distT="0" distB="0" distL="0" distR="0">
            <wp:extent cx="5715000" cy="3238500"/>
            <wp:effectExtent l="0" t="0" r="0" b="0"/>
            <wp:docPr id="38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21" descr=""/>
                    <pic:cNvPicPr>
                      <a:picLocks noChangeAspect="1" noChangeArrowheads="1"/>
                    </pic:cNvPicPr>
                  </pic:nvPicPr>
                  <pic:blipFill>
                    <a:blip r:embed="rId126"/>
                    <a:stretch>
                      <a:fillRect/>
                    </a:stretch>
                  </pic:blipFill>
                  <pic:spPr bwMode="auto">
                    <a:xfrm>
                      <a:off x="0" y="0"/>
                      <a:ext cx="5715000" cy="3238500"/>
                    </a:xfrm>
                    <a:prstGeom prst="rect">
                      <a:avLst/>
                    </a:prstGeom>
                  </pic:spPr>
                </pic:pic>
              </a:graphicData>
            </a:graphic>
          </wp:inline>
        </w:drawing>
      </w:r>
      <w:r>
        <w:rPr>
          <w:caps w:val="false"/>
          <w:smallCaps w:val="false"/>
          <w:color w:val="000000"/>
        </w:rPr>
        <w:t xml:space="preserve"> </w:t>
      </w:r>
    </w:p>
    <w:p>
      <w:pPr>
        <w:pStyle w:val="TextBody"/>
        <w:bidi w:val="0"/>
        <w:spacing w:before="272" w:after="283"/>
        <w:jc w:val="center"/>
        <w:rPr>
          <w:caps w:val="false"/>
          <w:smallCaps w:val="false"/>
          <w:color w:val="000000"/>
        </w:rPr>
      </w:pPr>
      <w:r>
        <w:rPr>
          <w:caps w:val="false"/>
          <w:smallCaps w:val="false"/>
          <w:color w:val="000000"/>
        </w:rPr>
        <w:drawing>
          <wp:inline distT="0" distB="0" distL="0" distR="0">
            <wp:extent cx="5648325" cy="3286125"/>
            <wp:effectExtent l="0" t="0" r="0" b="0"/>
            <wp:docPr id="38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22" descr=""/>
                    <pic:cNvPicPr>
                      <a:picLocks noChangeAspect="1" noChangeArrowheads="1"/>
                    </pic:cNvPicPr>
                  </pic:nvPicPr>
                  <pic:blipFill>
                    <a:blip r:embed="rId127"/>
                    <a:stretch>
                      <a:fillRect/>
                    </a:stretch>
                  </pic:blipFill>
                  <pic:spPr bwMode="auto">
                    <a:xfrm>
                      <a:off x="0" y="0"/>
                      <a:ext cx="5648325" cy="3286125"/>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232"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Adjusted EBITDA is a non-GAAP financial measure. See Annex A for reconciliations of non-GAAP measures.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147320" distB="0" distL="0" distR="0" simplePos="0" locked="0" layoutInCell="1" allowOverlap="1" relativeHeight="387">
                <wp:simplePos x="0" y="0"/>
                <wp:positionH relativeFrom="column">
                  <wp:align>left</wp:align>
                </wp:positionH>
                <wp:positionV relativeFrom="line">
                  <wp:align>top</wp:align>
                </wp:positionV>
                <wp:extent cx="254000" cy="241300"/>
                <wp:effectExtent l="0" t="0" r="0" b="0"/>
                <wp:wrapSquare wrapText="right"/>
                <wp:docPr id="388" name="Frame262"/>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1"/>
                              </w:rPr>
                              <w:t>(1)</w:t>
                            </w:r>
                            <w:r>
                              <w:rPr>
                                <w:rFonts w:ascii="Arial Narrow;Helvetica;sans-serif" w:hAnsi="Arial Narrow;Helvetica;sans-serif"/>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1"/>
                        </w:rPr>
                        <w:t>(1)</w:t>
                      </w:r>
                      <w:r>
                        <w:rPr>
                          <w:rFonts w:ascii="Arial Narrow;Helvetica;sans-serif" w:hAnsi="Arial Narrow;Helvetica;sans-serif"/>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EMPLOYMENT AGREEMENTS WITH NEOs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have entered into multi-year employment agreements and change of control and severance agreements with certain of our NEOs to promote long-term retention, while enabling the Compensation and Human Capital Committee to exercise discretion in designing incentive compensation programs.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Messrs. Jacobs and Harik each entered into separate employment agreements in August and September 2022, respectively, in connection with their transition to their new roles; these agreements became effective upon the RXO spin-off on November 1, 2022. Mr. Wismans entered into an offer letter agreement, a Confidential Information Protection Agreement, and a Change of Control and Severance Agreement in connection with his promotion to CFO, effective August 11, 2023. Mr. Bates entered into an offer letter agreement, a Confidential Information Protection Agreement, and a Change of Control and Severance Agreement in connection with his hiring as COO, effective April 21, 2023. Ms. Cassity entered into an offer letter agreement, a Confidential Information Protection Agreement, and a Change of Control and Severance Agreement in connection with her hiring as CLO, effective March 13, 2023.</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50</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above mentioned agreements for our NEOs (collectively, the “NEO Agreements”) outline the terms and conditions of employment with XPO, including all restrictive covenants that benefit the company, with provisions such as non-competition and non-solicitation of customers and employees, as well as the target compensation opportunity designated by the Committee for base salary, annual STIs, annual LTIs, and other separation benefits that the executives would qualify for under specified circumstances. The material terms of these agreements are described in this section. There are no multi-year compensation guarantees established in the NEO Agreements. The Committee may adjust compensation levels from year to year based on its annual assessments of performance and market benchmarks. For 2024, the Committee determined that no changes to base salary or target variable compensation levels were warranted for Messrs. Jacobs, Harik and Bates or Ms. Cassity, given the recent assessments of competitive pay levels conducted in early 2024. The Committee approved an increase in Kyle Wismans’ total target direct compensation in 2024 as supported by competitive market practices data provided by our compensation consultant and in recognition of outstanding performance inclusive of his pivotal role in the real-estate purchase from the Yellow Corporation, as noted on page 34.</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Term</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NEO Agreements with each of Messrs. Jacobs and Harik have five-year and four-year terms, respectively, commencing on November 1, 2022. The NEO Agreements with each of Messrs. Wismans and Bates and Ms. Cassity provide no term, as they are employed on an at-will basis.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Severance Payments and Benefits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severance payments pursuant to the NEO Agreements are generally subject to and conditioned upon the applicable NEO signing and not revoking a waiver and general release agreement (which, for Mr. Jacobs, such agreement shall exclude certain claims from Mr. Jacobs’ general release and include a general release by the company with certain exclusions), and also complying with the restrictive covenants contained in the applicable NEO Agreement. The material terms of the severance payments and benefits under the NEO Agreements are described below.</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the event that any amounts payable to the applicable NEO in connection with a Change of Control constitute “parachute payments” within the meaning of Section 280G of the Code, then any such amounts will be reduced to avoid triggering the excise tax imposed by Section 4999 of the Code, if such reduction would be more favorable to the NEO on a net after-tax basis. No NEO is entitled to a gross-up payment for excise taxes imposed by Section 4999 of the Code on “excess parachute payments,” as defined in Section 280G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Mr. Jacobs’ NEO Agreement</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Non-Change of Control</w:t>
      </w:r>
      <w:r>
        <w:rPr>
          <w:rFonts w:ascii="Helvetica;Arial Narrow;sans-serif" w:hAnsi="Helvetica;Arial Narrow;sans-serif"/>
          <w:b w:val="false"/>
          <w:i w:val="false"/>
          <w:caps w:val="false"/>
          <w:smallCaps w:val="false"/>
          <w:color w:val="000000"/>
          <w:spacing w:val="-2"/>
          <w:sz w:val="18"/>
        </w:rPr>
        <w:t>. In the event that: (i) Mr. Jacobs’ employment is terminated by reason of his death; (ii) the company terminates Mr. Jacobs’ employment without cause as defined in his NEO Agreement either prior to a Change of Control of the company (as defined in the company’s 2016 Omnibus Incentive Compensation Plan) or more than two years after a Change of Control of the company occurs; or (iii) Mr. Jacobs resigns due to certain events of good reason (as defined in Mr. Jacobs’ NEO Agreement), Mr. Jacobs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6"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Any annual bonus that Mr. Jacobs earned prior to, but is unpaid as of, the date of termination, and that the company has notified Mr. Jacobs of in writing;</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0010" distB="0" distL="254000" distR="0" simplePos="0" locked="0" layoutInCell="1" allowOverlap="1" relativeHeight="388">
                <wp:simplePos x="0" y="0"/>
                <wp:positionH relativeFrom="column">
                  <wp:align>left</wp:align>
                </wp:positionH>
                <wp:positionV relativeFrom="line">
                  <wp:align>top</wp:align>
                </wp:positionV>
                <wp:extent cx="127000" cy="525780"/>
                <wp:effectExtent l="0" t="0" r="0" b="0"/>
                <wp:wrapSquare wrapText="right"/>
                <wp:docPr id="389" name="Frame26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6"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Medical and dental coverage (except in the event of termination by reason of Mr. Jacobs’ death) for a period of up to 12 months from the date of termination, or, if earlier, until Mr. Jacobs begins to receive medical or dental coverage, as applicable, in connection with other employment;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0010" distB="0" distL="254000" distR="0" simplePos="0" locked="0" layoutInCell="1" allowOverlap="1" relativeHeight="389">
                <wp:simplePos x="0" y="0"/>
                <wp:positionH relativeFrom="column">
                  <wp:align>left</wp:align>
                </wp:positionH>
                <wp:positionV relativeFrom="line">
                  <wp:align>top</wp:align>
                </wp:positionV>
                <wp:extent cx="127000" cy="525780"/>
                <wp:effectExtent l="0" t="0" r="0" b="0"/>
                <wp:wrapSquare wrapText="right"/>
                <wp:docPr id="390" name="Frame26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6"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Accelerated vesting of all equity-based or other LTI compensation awards then outstanding.</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0010" distB="0" distL="254000" distR="0" simplePos="0" locked="0" layoutInCell="1" allowOverlap="1" relativeHeight="390">
                <wp:simplePos x="0" y="0"/>
                <wp:positionH relativeFrom="column">
                  <wp:align>left</wp:align>
                </wp:positionH>
                <wp:positionV relativeFrom="line">
                  <wp:align>top</wp:align>
                </wp:positionV>
                <wp:extent cx="127000" cy="525780"/>
                <wp:effectExtent l="0" t="0" r="0" b="0"/>
                <wp:wrapSquare wrapText="right"/>
                <wp:docPr id="391" name="Frame26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Change of Control</w:t>
      </w:r>
      <w:r>
        <w:rPr>
          <w:rFonts w:ascii="Helvetica;Arial Narrow;sans-serif" w:hAnsi="Helvetica;Arial Narrow;sans-serif"/>
          <w:b w:val="false"/>
          <w:i w:val="false"/>
          <w:caps w:val="false"/>
          <w:smallCaps w:val="false"/>
          <w:color w:val="000000"/>
          <w:spacing w:val="-2"/>
          <w:sz w:val="18"/>
        </w:rPr>
        <w:t>. In the event that upon or within the two-year period following a Change of Control of the company, Mr. Jacobs’ employment is terminated by the company without cause or he resigns due to good reason, Mr. Jacobs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6"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payment equal to the pro rata target bonus for the year of termination;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0010" distB="0" distL="254000" distR="0" simplePos="0" locked="0" layoutInCell="1" allowOverlap="1" relativeHeight="391">
                <wp:simplePos x="0" y="0"/>
                <wp:positionH relativeFrom="column">
                  <wp:align>left</wp:align>
                </wp:positionH>
                <wp:positionV relativeFrom="line">
                  <wp:align>top</wp:align>
                </wp:positionV>
                <wp:extent cx="127000" cy="525780"/>
                <wp:effectExtent l="0" t="0" r="0" b="0"/>
                <wp:wrapSquare wrapText="right"/>
                <wp:docPr id="392" name="Frame26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6"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payment equal to any annual bonus that Mr. Jacobs earned prior to, but is unpaid as of, the date of termination, and that the company has notified Mr. Jacobs of in writing;</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0010" distB="0" distL="254000" distR="0" simplePos="0" locked="0" layoutInCell="1" allowOverlap="1" relativeHeight="392">
                <wp:simplePos x="0" y="0"/>
                <wp:positionH relativeFrom="column">
                  <wp:align>left</wp:align>
                </wp:positionH>
                <wp:positionV relativeFrom="line">
                  <wp:align>top</wp:align>
                </wp:positionV>
                <wp:extent cx="127000" cy="525780"/>
                <wp:effectExtent l="0" t="0" r="0" b="0"/>
                <wp:wrapSquare wrapText="right"/>
                <wp:docPr id="393" name="Frame26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3pt;mso-wrap-distance-bottom:0pt;margin-top:6.3pt;mso-position-vertical:top;mso-position-vertical-relative:text;margin-left:5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6"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Medical and dental coverage for a period of 24 months from the date of termination;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0010" distB="0" distL="254000" distR="0" simplePos="0" locked="0" layoutInCell="1" allowOverlap="1" relativeHeight="393">
                <wp:simplePos x="0" y="0"/>
                <wp:positionH relativeFrom="column">
                  <wp:align>left</wp:align>
                </wp:positionH>
                <wp:positionV relativeFrom="line">
                  <wp:align>top</wp:align>
                </wp:positionV>
                <wp:extent cx="127000" cy="525780"/>
                <wp:effectExtent l="0" t="0" r="0" b="0"/>
                <wp:wrapSquare wrapText="right"/>
                <wp:docPr id="394" name="Frame26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6"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Accelerated vesting of all equity-based or other LTI compensation awards then outstanding.</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80010" distB="0" distL="254000" distR="0" simplePos="0" locked="0" layoutInCell="1" allowOverlap="1" relativeHeight="394">
                <wp:simplePos x="0" y="0"/>
                <wp:positionH relativeFrom="column">
                  <wp:align>left</wp:align>
                </wp:positionH>
                <wp:positionV relativeFrom="line">
                  <wp:align>top</wp:align>
                </wp:positionV>
                <wp:extent cx="127000" cy="525780"/>
                <wp:effectExtent l="0" t="0" r="0" b="0"/>
                <wp:wrapSquare wrapText="right"/>
                <wp:docPr id="395" name="Frame26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Disability</w:t>
      </w:r>
      <w:r>
        <w:rPr>
          <w:rFonts w:ascii="Helvetica;Arial Narrow;sans-serif" w:hAnsi="Helvetica;Arial Narrow;sans-serif"/>
          <w:b w:val="false"/>
          <w:i w:val="false"/>
          <w:caps w:val="false"/>
          <w:smallCaps w:val="false"/>
          <w:color w:val="000000"/>
          <w:spacing w:val="-2"/>
          <w:sz w:val="18"/>
        </w:rPr>
        <w:t>. In the event that Mr. Jacobs’ employment is terminated due to disability (as defined in Mr. Jacobs’ NEO Agreement), except as otherwise provided in the applicable equity award agreement, Mr. Jacobs shall become vested in a pro-rata portion of all outstanding equity-based or other LTI compensation awards granted to him on or after the effective date of the NEO Agreement, subject to Mr. Jacobs’ continued compliance with the terms and conditions of the NEO Agreement.</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51</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1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Mutual Agreement</w:t>
      </w:r>
      <w:r>
        <w:rPr>
          <w:rFonts w:ascii="Helvetica;Arial Narrow;sans-serif" w:hAnsi="Helvetica;Arial Narrow;sans-serif"/>
          <w:b w:val="false"/>
          <w:i w:val="false"/>
          <w:caps w:val="false"/>
          <w:smallCaps w:val="false"/>
          <w:color w:val="000000"/>
          <w:spacing w:val="-2"/>
          <w:sz w:val="18"/>
        </w:rPr>
        <w:t>. In the event that Mr. Jacobs’ employment is terminated by mutual agreement between the company and Mr. Jacobs, Mr. Jacobs shall become fully vested in all of his outstanding equity-based or other LTI compensation awards, subject to Mr. Jacobs’ continued compliance with the terms and conditions of his NEO Agreement.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Mr. Harik’s NEO Agreement</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Non-Change of Control</w:t>
      </w:r>
      <w:r>
        <w:rPr>
          <w:rFonts w:ascii="Helvetica;Arial Narrow;sans-serif" w:hAnsi="Helvetica;Arial Narrow;sans-serif"/>
          <w:b w:val="false"/>
          <w:i w:val="false"/>
          <w:caps w:val="false"/>
          <w:smallCaps w:val="false"/>
          <w:color w:val="000000"/>
          <w:spacing w:val="-2"/>
          <w:sz w:val="18"/>
        </w:rPr>
        <w:t>. If the company terminates Mr. Harik’s employment without cause as defined in his NEO Agreement or Mr. Harik’s employment is terminated by reason of his death, in either event prior to or more than two years after a Change of Control of the company, Mr. Harik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16"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Except in the event of termination by reason of Mr. Harik’s death, a cash payment, payable in equal installments over the 12-month period following the date of termination, equal to the sum of: (i) 24 months of Mr. Harik’s base salary in effect on the date of termination; (ii) the pro rata target bonus for the year of termination, and (iii) any annual bonus that Mr. Harik earned prior to, but is unpaid as of, the date of termination, and that the company has notified Mr. Harik of in writing, provided, however, that any monies Mr. Harik earns from any other work while he is receiving such payments shall reduce, on a dollar-for-dollar basis, the amount that the company is obligated to pay Mr. Harik;</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395">
                <wp:simplePos x="0" y="0"/>
                <wp:positionH relativeFrom="column">
                  <wp:align>left</wp:align>
                </wp:positionH>
                <wp:positionV relativeFrom="line">
                  <wp:align>top</wp:align>
                </wp:positionV>
                <wp:extent cx="127000" cy="525780"/>
                <wp:effectExtent l="0" t="0" r="0" b="0"/>
                <wp:wrapSquare wrapText="right"/>
                <wp:docPr id="396" name="Frame27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Except in the event of termination by reason of Mr. Harik’s death, medical and dental coverage for a period of up to 12 months from the date of termination, or, if earlier, until Mr. Harik secures other employment;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2230" distB="0" distL="254000" distR="0" simplePos="0" locked="0" layoutInCell="1" allowOverlap="1" relativeHeight="396">
                <wp:simplePos x="0" y="0"/>
                <wp:positionH relativeFrom="column">
                  <wp:align>left</wp:align>
                </wp:positionH>
                <wp:positionV relativeFrom="line">
                  <wp:align>top</wp:align>
                </wp:positionV>
                <wp:extent cx="127000" cy="525780"/>
                <wp:effectExtent l="0" t="0" r="0" b="0"/>
                <wp:wrapSquare wrapText="right"/>
                <wp:docPr id="397" name="Frame27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Vesting of equity-based or other LTI compensation awards solely to the extent set forth in the applicable award agreement.</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2230" distB="0" distL="254000" distR="0" simplePos="0" locked="0" layoutInCell="1" allowOverlap="1" relativeHeight="397">
                <wp:simplePos x="0" y="0"/>
                <wp:positionH relativeFrom="column">
                  <wp:align>left</wp:align>
                </wp:positionH>
                <wp:positionV relativeFrom="line">
                  <wp:align>top</wp:align>
                </wp:positionV>
                <wp:extent cx="127000" cy="525780"/>
                <wp:effectExtent l="0" t="0" r="0" b="0"/>
                <wp:wrapSquare wrapText="right"/>
                <wp:docPr id="398" name="Frame27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9pt;mso-wrap-distance-bottom:0pt;margin-top:4.9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Change of Control</w:t>
      </w:r>
      <w:r>
        <w:rPr>
          <w:rFonts w:ascii="Helvetica;Arial Narrow;sans-serif" w:hAnsi="Helvetica;Arial Narrow;sans-serif"/>
          <w:b w:val="false"/>
          <w:i w:val="false"/>
          <w:caps w:val="false"/>
          <w:smallCaps w:val="false"/>
          <w:color w:val="000000"/>
          <w:spacing w:val="-2"/>
          <w:sz w:val="18"/>
        </w:rPr>
        <w:t>. If the company terminates Mr. Harik’s employment without cause or he resigns for good reason as defined in his NEO Agreement, in either event, upon or within the two-year period following a Change of Control of the company, Mr. Harik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16"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2.99 times the sum of: (i) Mr. Harik’s base salary in effect on the date of termination; and (ii) the target bonus in effect on the date of termination;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398">
                <wp:simplePos x="0" y="0"/>
                <wp:positionH relativeFrom="column">
                  <wp:align>left</wp:align>
                </wp:positionH>
                <wp:positionV relativeFrom="line">
                  <wp:align>top</wp:align>
                </wp:positionV>
                <wp:extent cx="127000" cy="525780"/>
                <wp:effectExtent l="0" t="0" r="0" b="0"/>
                <wp:wrapSquare wrapText="right"/>
                <wp:docPr id="399" name="Frame27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the pro rata target bonus for the year of termination;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2230" distB="0" distL="254000" distR="0" simplePos="0" locked="0" layoutInCell="1" allowOverlap="1" relativeHeight="399">
                <wp:simplePos x="0" y="0"/>
                <wp:positionH relativeFrom="column">
                  <wp:align>left</wp:align>
                </wp:positionH>
                <wp:positionV relativeFrom="line">
                  <wp:align>top</wp:align>
                </wp:positionV>
                <wp:extent cx="127000" cy="525780"/>
                <wp:effectExtent l="0" t="0" r="0" b="0"/>
                <wp:wrapSquare wrapText="right"/>
                <wp:docPr id="400" name="Frame27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Any annual bonus that Mr. Harik earned prior to, but is unpaid as of, the date of termination, and that the company has notified Mr. Harik of in writing;</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2230" distB="0" distL="254000" distR="0" simplePos="0" locked="0" layoutInCell="1" allowOverlap="1" relativeHeight="400">
                <wp:simplePos x="0" y="0"/>
                <wp:positionH relativeFrom="column">
                  <wp:align>left</wp:align>
                </wp:positionH>
                <wp:positionV relativeFrom="line">
                  <wp:align>top</wp:align>
                </wp:positionV>
                <wp:extent cx="127000" cy="525780"/>
                <wp:effectExtent l="0" t="0" r="0" b="0"/>
                <wp:wrapSquare wrapText="right"/>
                <wp:docPr id="401" name="Frame27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9pt;mso-wrap-distance-bottom:0pt;margin-top:4.9pt;mso-position-vertical:top;mso-position-vertical-relative:text;margin-left:5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Medical and dental coverage for a period of 24 months from the date of termination;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2230" distB="0" distL="254000" distR="0" simplePos="0" locked="0" layoutInCell="1" allowOverlap="1" relativeHeight="401">
                <wp:simplePos x="0" y="0"/>
                <wp:positionH relativeFrom="column">
                  <wp:align>left</wp:align>
                </wp:positionH>
                <wp:positionV relativeFrom="line">
                  <wp:align>top</wp:align>
                </wp:positionV>
                <wp:extent cx="127000" cy="525780"/>
                <wp:effectExtent l="0" t="0" r="0" b="0"/>
                <wp:wrapSquare wrapText="right"/>
                <wp:docPr id="402" name="Frame27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Vesting of equity based or other LTI compensation awards solely to the extent set forth in the applicable award agreement.</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2230" distB="0" distL="254000" distR="0" simplePos="0" locked="0" layoutInCell="1" allowOverlap="1" relativeHeight="402">
                <wp:simplePos x="0" y="0"/>
                <wp:positionH relativeFrom="column">
                  <wp:align>left</wp:align>
                </wp:positionH>
                <wp:positionV relativeFrom="line">
                  <wp:align>top</wp:align>
                </wp:positionV>
                <wp:extent cx="127000" cy="525780"/>
                <wp:effectExtent l="0" t="0" r="0" b="0"/>
                <wp:wrapSquare wrapText="right"/>
                <wp:docPr id="403" name="Frame27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9pt;mso-wrap-distance-bottom:0pt;margin-top:4.9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238"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Mr. Wismans’ NEO Agreement</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Non-Change of Control</w:t>
      </w:r>
      <w:r>
        <w:rPr>
          <w:rFonts w:ascii="Helvetica;Arial Narrow;sans-serif" w:hAnsi="Helvetica;Arial Narrow;sans-serif"/>
          <w:b w:val="false"/>
          <w:i w:val="false"/>
          <w:caps w:val="false"/>
          <w:smallCaps w:val="false"/>
          <w:color w:val="000000"/>
          <w:spacing w:val="-2"/>
          <w:sz w:val="18"/>
        </w:rPr>
        <w:t>. If the company terminates Mr. Wismans’ employment without cause as defined in the Severance Agreement, either prior to or more than two years following a Change of Control of the company, Mr. Wismans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16"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payment, payable in equal installments over the 12-month period following the date of termination, equal to the sum of: (i) 12 months of Mr. Wismans’ base salary in effect on the date of termination; and (ii) the target bonus in effect on the date of termination, provided, however, that certain monies earned by Mr. Wismans while he is receiving such payments shall reduce, on a dollar-for-dollar basis, the amount we are obligated to pay him;</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403">
                <wp:simplePos x="0" y="0"/>
                <wp:positionH relativeFrom="column">
                  <wp:align>left</wp:align>
                </wp:positionH>
                <wp:positionV relativeFrom="line">
                  <wp:align>top</wp:align>
                </wp:positionV>
                <wp:extent cx="127000" cy="525780"/>
                <wp:effectExtent l="0" t="0" r="0" b="0"/>
                <wp:wrapSquare wrapText="right"/>
                <wp:docPr id="404" name="Frame27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payment equal to the pro rata target bonus for the year of termination;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2230" distB="0" distL="254000" distR="0" simplePos="0" locked="0" layoutInCell="1" allowOverlap="1" relativeHeight="404">
                <wp:simplePos x="0" y="0"/>
                <wp:positionH relativeFrom="column">
                  <wp:align>left</wp:align>
                </wp:positionH>
                <wp:positionV relativeFrom="line">
                  <wp:align>top</wp:align>
                </wp:positionV>
                <wp:extent cx="127000" cy="525780"/>
                <wp:effectExtent l="0" t="0" r="0" b="0"/>
                <wp:wrapSquare wrapText="right"/>
                <wp:docPr id="405" name="Frame27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Medical and dental coverage for a period of six months from the date of termination, or, if earlier, until Mr. Wismans becomes eligible for medical and dental benefits through another employer.</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2230" distB="0" distL="254000" distR="0" simplePos="0" locked="0" layoutInCell="1" allowOverlap="1" relativeHeight="405">
                <wp:simplePos x="0" y="0"/>
                <wp:positionH relativeFrom="column">
                  <wp:align>left</wp:align>
                </wp:positionH>
                <wp:positionV relativeFrom="line">
                  <wp:align>top</wp:align>
                </wp:positionV>
                <wp:extent cx="127000" cy="525780"/>
                <wp:effectExtent l="0" t="0" r="0" b="0"/>
                <wp:wrapSquare wrapText="right"/>
                <wp:docPr id="406" name="Frame28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9pt;mso-wrap-distance-bottom:0pt;margin-top:4.9pt;mso-position-vertical:top;mso-position-vertical-relative:text;margin-left:5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Change of Control</w:t>
      </w:r>
      <w:r>
        <w:rPr>
          <w:rFonts w:ascii="Helvetica;Arial Narrow;sans-serif" w:hAnsi="Helvetica;Arial Narrow;sans-serif"/>
          <w:b w:val="false"/>
          <w:i w:val="false"/>
          <w:caps w:val="false"/>
          <w:smallCaps w:val="false"/>
          <w:color w:val="000000"/>
          <w:spacing w:val="-2"/>
          <w:sz w:val="18"/>
        </w:rPr>
        <w:t>. If the company terminates Mr. Wismans’ employment without cause or he resigns for good reason as defined in the Severance Agreement, in either event, upon or within the two-year period following a Change of Control of the company, Mr. Wismans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16"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two times the sum of his base salary and the target bonus;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406">
                <wp:simplePos x="0" y="0"/>
                <wp:positionH relativeFrom="column">
                  <wp:align>left</wp:align>
                </wp:positionH>
                <wp:positionV relativeFrom="line">
                  <wp:align>top</wp:align>
                </wp:positionV>
                <wp:extent cx="127000" cy="525780"/>
                <wp:effectExtent l="0" t="0" r="0" b="0"/>
                <wp:wrapSquare wrapText="right"/>
                <wp:docPr id="407" name="Frame28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the pro rata target bonus for the year of termination;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0960" distB="0" distL="254000" distR="0" simplePos="0" locked="0" layoutInCell="1" allowOverlap="1" relativeHeight="407">
                <wp:simplePos x="0" y="0"/>
                <wp:positionH relativeFrom="column">
                  <wp:align>left</wp:align>
                </wp:positionH>
                <wp:positionV relativeFrom="line">
                  <wp:align>top</wp:align>
                </wp:positionV>
                <wp:extent cx="127000" cy="525780"/>
                <wp:effectExtent l="0" t="0" r="0" b="0"/>
                <wp:wrapSquare wrapText="right"/>
                <wp:docPr id="408" name="Frame28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8pt;mso-wrap-distance-bottom:0pt;margin-top:4.8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any annual bonus that Mr. Wismans earned prior to, but is unpaid as of, the date of termination, and that the company has notified Mr. Wismans of in writing;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0960" distB="0" distL="254000" distR="0" simplePos="0" locked="0" layoutInCell="1" allowOverlap="1" relativeHeight="408">
                <wp:simplePos x="0" y="0"/>
                <wp:positionH relativeFrom="column">
                  <wp:align>left</wp:align>
                </wp:positionH>
                <wp:positionV relativeFrom="line">
                  <wp:align>top</wp:align>
                </wp:positionV>
                <wp:extent cx="127000" cy="525780"/>
                <wp:effectExtent l="0" t="0" r="0" b="0"/>
                <wp:wrapSquare wrapText="right"/>
                <wp:docPr id="409" name="Frame28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Medical and dental coverage for a period of 24 months from the date of termination.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0960" distB="0" distL="254000" distR="0" simplePos="0" locked="0" layoutInCell="1" allowOverlap="1" relativeHeight="409">
                <wp:simplePos x="0" y="0"/>
                <wp:positionH relativeFrom="column">
                  <wp:align>left</wp:align>
                </wp:positionH>
                <wp:positionV relativeFrom="line">
                  <wp:align>top</wp:align>
                </wp:positionV>
                <wp:extent cx="127000" cy="525780"/>
                <wp:effectExtent l="0" t="0" r="0" b="0"/>
                <wp:wrapSquare wrapText="right"/>
                <wp:docPr id="410" name="Frame28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234"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Mr. Bates’ NEO Agreement</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Non-Change of Control</w:t>
      </w:r>
      <w:r>
        <w:rPr>
          <w:rFonts w:ascii="Helvetica;Arial Narrow;sans-serif" w:hAnsi="Helvetica;Arial Narrow;sans-serif"/>
          <w:b w:val="false"/>
          <w:i w:val="false"/>
          <w:caps w:val="false"/>
          <w:smallCaps w:val="false"/>
          <w:color w:val="000000"/>
          <w:spacing w:val="-2"/>
          <w:sz w:val="18"/>
        </w:rPr>
        <w:t>. If the company terminates Mr. Bates’ employment without cause as defined in the Severance Agreement, either prior to or more than two years following a Change of Control of the company, Mr. Bates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52</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payment, payable in equal installments over the 24-month period following the date of termination, equal to the sum of: (i) 24 months of Mr. Bates’ base salary in effect on the date of termination; and (ii) the target bonus in effect on the date of termination, provided, however, that certain monies earned by Mr. Bates while he is receiving such payments shall reduce, on a dollar-for-dollar basis, the amount we are obligated to pay him;</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0" distB="0" distL="254000" distR="0" simplePos="0" locked="0" layoutInCell="1" allowOverlap="1" relativeHeight="410">
                <wp:simplePos x="0" y="0"/>
                <wp:positionH relativeFrom="column">
                  <wp:align>left</wp:align>
                </wp:positionH>
                <wp:positionV relativeFrom="line">
                  <wp:posOffset>635</wp:posOffset>
                </wp:positionV>
                <wp:extent cx="127000" cy="525780"/>
                <wp:effectExtent l="0" t="0" r="0" b="0"/>
                <wp:wrapSquare wrapText="right"/>
                <wp:docPr id="411" name="Frame28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the pro rata target bonus for the year of termination;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11">
                <wp:simplePos x="0" y="0"/>
                <wp:positionH relativeFrom="column">
                  <wp:align>left</wp:align>
                </wp:positionH>
                <wp:positionV relativeFrom="line">
                  <wp:align>top</wp:align>
                </wp:positionV>
                <wp:extent cx="127000" cy="525780"/>
                <wp:effectExtent l="0" t="0" r="0" b="0"/>
                <wp:wrapSquare wrapText="right"/>
                <wp:docPr id="412" name="Frame28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Medical and dental coverage for a period of six months from the date of termination, or, if earlier, until Mr. Bates becomes eligible for medical and dental benefits through another employer.</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12">
                <wp:simplePos x="0" y="0"/>
                <wp:positionH relativeFrom="column">
                  <wp:align>left</wp:align>
                </wp:positionH>
                <wp:positionV relativeFrom="line">
                  <wp:align>top</wp:align>
                </wp:positionV>
                <wp:extent cx="127000" cy="525780"/>
                <wp:effectExtent l="0" t="0" r="0" b="0"/>
                <wp:wrapSquare wrapText="right"/>
                <wp:docPr id="413" name="Frame28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Change of Control</w:t>
      </w:r>
      <w:r>
        <w:rPr>
          <w:rFonts w:ascii="Helvetica;Arial Narrow;sans-serif" w:hAnsi="Helvetica;Arial Narrow;sans-serif"/>
          <w:b w:val="false"/>
          <w:i w:val="false"/>
          <w:caps w:val="false"/>
          <w:smallCaps w:val="false"/>
          <w:color w:val="000000"/>
          <w:spacing w:val="-2"/>
          <w:sz w:val="18"/>
        </w:rPr>
        <w:t>. If the company terminates Mr. Bates’ employment without cause or he resigns for good reason as defined in the Severance Agreement, in either event, upon or within the two-year period following a Change of Control of the company, Mr. Bates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2"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two times the sum of his base salary and the target bonus;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13">
                <wp:simplePos x="0" y="0"/>
                <wp:positionH relativeFrom="column">
                  <wp:align>left</wp:align>
                </wp:positionH>
                <wp:positionV relativeFrom="line">
                  <wp:align>top</wp:align>
                </wp:positionV>
                <wp:extent cx="127000" cy="525780"/>
                <wp:effectExtent l="0" t="0" r="0" b="0"/>
                <wp:wrapSquare wrapText="right"/>
                <wp:docPr id="414" name="Frame28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the pro rata target bonus for the year of termination;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14">
                <wp:simplePos x="0" y="0"/>
                <wp:positionH relativeFrom="column">
                  <wp:align>left</wp:align>
                </wp:positionH>
                <wp:positionV relativeFrom="line">
                  <wp:align>top</wp:align>
                </wp:positionV>
                <wp:extent cx="127000" cy="525780"/>
                <wp:effectExtent l="0" t="0" r="0" b="0"/>
                <wp:wrapSquare wrapText="right"/>
                <wp:docPr id="415" name="Frame28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any bonus that Mr. Bates earned prior to, but is unpaid as of, the date of termination, and that the company has notified Mr. Bates of in writing;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15">
                <wp:simplePos x="0" y="0"/>
                <wp:positionH relativeFrom="column">
                  <wp:align>left</wp:align>
                </wp:positionH>
                <wp:positionV relativeFrom="line">
                  <wp:align>top</wp:align>
                </wp:positionV>
                <wp:extent cx="127000" cy="525780"/>
                <wp:effectExtent l="0" t="0" r="0" b="0"/>
                <wp:wrapSquare wrapText="right"/>
                <wp:docPr id="416" name="Frame29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Medical and dental coverage for a period of 24 months from the date of termination.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16">
                <wp:simplePos x="0" y="0"/>
                <wp:positionH relativeFrom="column">
                  <wp:align>left</wp:align>
                </wp:positionH>
                <wp:positionV relativeFrom="line">
                  <wp:align>top</wp:align>
                </wp:positionV>
                <wp:extent cx="127000" cy="525780"/>
                <wp:effectExtent l="0" t="0" r="0" b="0"/>
                <wp:wrapSquare wrapText="right"/>
                <wp:docPr id="417" name="Frame29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Ms. Cassity’s NEO Agreement</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Non-Change of Control</w:t>
      </w:r>
      <w:r>
        <w:rPr>
          <w:rFonts w:ascii="Helvetica;Arial Narrow;sans-serif" w:hAnsi="Helvetica;Arial Narrow;sans-serif"/>
          <w:b w:val="false"/>
          <w:i w:val="false"/>
          <w:caps w:val="false"/>
          <w:smallCaps w:val="false"/>
          <w:color w:val="000000"/>
          <w:spacing w:val="-2"/>
          <w:sz w:val="18"/>
        </w:rPr>
        <w:t>. If the company terminates Ms. Cassity’s employment without cause as defined in the Severance Agreement, either prior to or more than two years following a Change of Control of the company, Ms. Cassity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2"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payment, payable in equal installments over the 12-month period following the date of termination, equal to the sum of: (i) 12 months of Ms. Cassity’s base salary in effect on the date of termination; and (ii) the target bonus in effect on the date of termination, provided, however, that certain monies earned by Ms. Cassity while she is receiving such payments shall reduce, on a dollar-for-dollar basis, the amount we are obligated to pay her;</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17">
                <wp:simplePos x="0" y="0"/>
                <wp:positionH relativeFrom="column">
                  <wp:align>left</wp:align>
                </wp:positionH>
                <wp:positionV relativeFrom="line">
                  <wp:align>top</wp:align>
                </wp:positionV>
                <wp:extent cx="127000" cy="525780"/>
                <wp:effectExtent l="0" t="0" r="0" b="0"/>
                <wp:wrapSquare wrapText="right"/>
                <wp:docPr id="418" name="Frame29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the pro rata target bonus for the year of termination;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18">
                <wp:simplePos x="0" y="0"/>
                <wp:positionH relativeFrom="column">
                  <wp:align>left</wp:align>
                </wp:positionH>
                <wp:positionV relativeFrom="line">
                  <wp:align>top</wp:align>
                </wp:positionV>
                <wp:extent cx="127000" cy="525780"/>
                <wp:effectExtent l="0" t="0" r="0" b="0"/>
                <wp:wrapSquare wrapText="right"/>
                <wp:docPr id="419" name="Frame29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Medical and dental coverage for a period of six months from the date of termination, or, if earlier, until Ms. Cassity becomes eligible for medical and dental benefits through another employer.</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19">
                <wp:simplePos x="0" y="0"/>
                <wp:positionH relativeFrom="column">
                  <wp:align>left</wp:align>
                </wp:positionH>
                <wp:positionV relativeFrom="line">
                  <wp:align>top</wp:align>
                </wp:positionV>
                <wp:extent cx="127000" cy="525780"/>
                <wp:effectExtent l="0" t="0" r="0" b="0"/>
                <wp:wrapSquare wrapText="right"/>
                <wp:docPr id="420" name="Frame29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Change of Control</w:t>
      </w:r>
      <w:r>
        <w:rPr>
          <w:rFonts w:ascii="Helvetica;Arial Narrow;sans-serif" w:hAnsi="Helvetica;Arial Narrow;sans-serif"/>
          <w:b w:val="false"/>
          <w:i w:val="false"/>
          <w:caps w:val="false"/>
          <w:smallCaps w:val="false"/>
          <w:color w:val="000000"/>
          <w:spacing w:val="-2"/>
          <w:sz w:val="18"/>
        </w:rPr>
        <w:t>. If the company terminates Ms. Cassity’s employment without cause or she resigns for good reason as defined in the Severance Agreement, in either event, upon or within the two-year period following a Change of Control of the company, Ms. Cassity will be entitled to the following severance payments and benefits (subject to any delay required by Section 409A of the Code):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2"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two times the sum of her base salary and the target bonus;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20">
                <wp:simplePos x="0" y="0"/>
                <wp:positionH relativeFrom="column">
                  <wp:align>left</wp:align>
                </wp:positionH>
                <wp:positionV relativeFrom="line">
                  <wp:align>top</wp:align>
                </wp:positionV>
                <wp:extent cx="127000" cy="525780"/>
                <wp:effectExtent l="0" t="0" r="0" b="0"/>
                <wp:wrapSquare wrapText="right"/>
                <wp:docPr id="421" name="Frame29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the pro rata target bonus for the year of termination;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21">
                <wp:simplePos x="0" y="0"/>
                <wp:positionH relativeFrom="column">
                  <wp:align>left</wp:align>
                </wp:positionH>
                <wp:positionV relativeFrom="line">
                  <wp:align>top</wp:align>
                </wp:positionV>
                <wp:extent cx="127000" cy="525780"/>
                <wp:effectExtent l="0" t="0" r="0" b="0"/>
                <wp:wrapSquare wrapText="right"/>
                <wp:docPr id="422" name="Frame29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 cash lump-sum payment equal to any annual bonus that Ms. Cassity earned prior to, but is unpaid as of, the date of termination, and that the company has notified Ms. Cassity of in writing;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22">
                <wp:simplePos x="0" y="0"/>
                <wp:positionH relativeFrom="column">
                  <wp:align>left</wp:align>
                </wp:positionH>
                <wp:positionV relativeFrom="line">
                  <wp:align>top</wp:align>
                </wp:positionV>
                <wp:extent cx="127000" cy="525780"/>
                <wp:effectExtent l="0" t="0" r="0" b="0"/>
                <wp:wrapSquare wrapText="right"/>
                <wp:docPr id="423" name="Frame29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5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Medical and dental coverage for a period of 24 months from the date of termination.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7470" distB="0" distL="254000" distR="0" simplePos="0" locked="0" layoutInCell="1" allowOverlap="1" relativeHeight="423">
                <wp:simplePos x="0" y="0"/>
                <wp:positionH relativeFrom="column">
                  <wp:align>left</wp:align>
                </wp:positionH>
                <wp:positionV relativeFrom="line">
                  <wp:align>top</wp:align>
                </wp:positionV>
                <wp:extent cx="127000" cy="525780"/>
                <wp:effectExtent l="0" t="0" r="0" b="0"/>
                <wp:wrapSquare wrapText="right"/>
                <wp:docPr id="424" name="Frame29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Clawbacks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Under the NEO Agreements for each of Messrs. Jacobs and Harik, the applicable NEO is subject to certain LTI compensation forfeiture and clawback provisions in the event of: (i) a breach of the restrictive covenants, (ii) termination of employment by our company for cause, or (iii) engagement in fraud or willful misconduct that contributes materially to any financial restatement or material loss to our company or its affiliates.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Furthermore, under their NEO Agreements, each of Messrs. Jacobs and Harik is subject to certain annual bonus forfeiture and clawback provisions in the event of engagement in fraud or other willful misconduct that contributes materially to any financial restatement or material loss to our company.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addition, in the event of the applicable NEO breaching any restrictive covenant, such NEO will be required, upon written notice from us, to forfeit or repay to our company his or her severance payments, extended non-compete payments, and, with respect to Mr. Jacobs, the Non-Compete Payment (as defined below).</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certain circumstances, the triggering event must have occurred within a certain period in order for us to be able to cause the forfeiture or clawback equity-based awards, annual bonus, severance payments, extended non-compete payments, and the Non-Compete Payment, as applicable.</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53</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ECPI"/>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Each NEO shall also be subject to any other clawback or recoupment policy of the company as may be in effect from time to time or any clawback or recoupment as may be required by applicable law. See </w:t>
      </w:r>
      <w:r>
        <w:rPr>
          <w:rFonts w:ascii="Helvetica;Arial Narrow;sans-serif" w:hAnsi="Helvetica;Arial Narrow;sans-serif"/>
          <w:b w:val="false"/>
          <w:i/>
          <w:caps w:val="false"/>
          <w:smallCaps w:val="false"/>
          <w:color w:val="000000"/>
          <w:sz w:val="18"/>
        </w:rPr>
        <w:t>Other Compensation-Related Items — Clawback Policy</w:t>
      </w:r>
      <w:r>
        <w:rPr>
          <w:rFonts w:ascii="Helvetica;Arial Narrow;sans-serif" w:hAnsi="Helvetica;Arial Narrow;sans-serif"/>
          <w:b w:val="false"/>
          <w:i w:val="false"/>
          <w:caps w:val="false"/>
          <w:smallCaps w:val="false"/>
          <w:color w:val="000000"/>
          <w:spacing w:val="-2"/>
          <w:sz w:val="18"/>
        </w:rPr>
        <w:t xml:space="preserve"> for further details regarding our clawback policy.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Restrictive Covenants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Under the NEO Agreements, the applicable NEO is generally subject to the following restrictive covenants: employee and customer non-solicitation during employment and for a period of two years thereafter; confidentiality and non-disparagement during employment and thereafter; and non-competition during employment and for a period of three years thereafter (in the case of Messrs. Jacobs and Harik), 18 months thereafter (in the case of Messrs. Bates and Wismans), or 12 months thereafter (in the case of Ms. Cassity).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Non-Compete Payments</w:t>
      </w:r>
      <w:r>
        <w:rPr>
          <w:rFonts w:ascii="Helvetica;Arial Narrow;sans-serif" w:hAnsi="Helvetica;Arial Narrow;sans-serif"/>
          <w:b w:val="false"/>
          <w:i w:val="false"/>
          <w:caps w:val="false"/>
          <w:smallCaps w:val="false"/>
          <w:color w:val="000000"/>
          <w:spacing w:val="-2"/>
          <w:sz w:val="18"/>
        </w:rPr>
        <w:t>. In the event Mr. Jacobs’ employment is terminated for any reason (including due to mutual agreement by the company and Mr. Jacobs) other than: (i) due to his death, (ii) by the company for cause, (iii) by Mr. Jacobs’ voluntary resignation prior to or more than two years following a Change of Control other than due to certain events of good reason, or (iv) by Mr. Jacobs’ voluntary resignation upon or within the two years following a Change of Control other than for good reason, then Mr. Jacobs will be entitled to receive payments for each year of his three year non-compete period in an amount equal to one times the sum of his base salary and target bonus, both as in effect on the date of termination (collectively, the “Non-Compete Payment”).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Extended Non-Compete Payments</w:t>
      </w:r>
      <w:r>
        <w:rPr>
          <w:rFonts w:ascii="Helvetica;Arial Narrow;sans-serif" w:hAnsi="Helvetica;Arial Narrow;sans-serif"/>
          <w:b w:val="false"/>
          <w:i w:val="false"/>
          <w:caps w:val="false"/>
          <w:smallCaps w:val="false"/>
          <w:color w:val="000000"/>
          <w:spacing w:val="-2"/>
          <w:sz w:val="18"/>
        </w:rPr>
        <w:t>. The company has the option to extend the non-competition period in Messrs. Jacobs and Harik’s and Ms. Cassity’s NEO Agreements for up to an additional 12 months and in Messrs. Wismans’ and Bates’ NEO Agreements for up to an additional 18 months; provided, however, that, in the case of Messrs. Harik, Wismans and Bates and Ms. Cassity, the company continues to pay the applicable NEO’s base salary as in effect on the date of termination during each month of the extended non-competition period, and, in the case of Mr. Jacobs, the company continues to pay him an amount equal to one-twelfth of the Non-Compete Payment during each month of the extended non-compete period. The extended non-compete payments for Messrs. Harik, Wismans and Bates and Ms. Cassity will be offset by any monies the applicable NEO earns from any other work during such period. The company’s right to extend the non-competition period for each NEO lapses upon a Change of Control.</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EQUITY COMPENSATION PLAN INFORMATION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provides information as of December 31, 2024, with respect to the company’s compensation plans, under which equity securities are authorized for issuance.</w:t>
      </w:r>
      <w:r>
        <w:rPr>
          <w:rFonts w:ascii="Helvetica;Arial Narrow;sans-serif" w:hAnsi="Helvetica;Arial Narrow;sans-serif"/>
          <w:b w:val="false"/>
          <w:i w:val="false"/>
          <w:caps w:val="false"/>
          <w:smallCaps w:val="false"/>
          <w:color w:val="000000"/>
          <w:spacing w:val="4"/>
          <w:sz w:val="18"/>
        </w:rPr>
        <w:t xml:space="preserve"> </w:t>
      </w:r>
    </w:p>
    <w:tbl>
      <w:tblPr>
        <w:tblW w:w="9285" w:type="dxa"/>
        <w:jc w:val="left"/>
        <w:tblInd w:w="920" w:type="dxa"/>
        <w:tblLayout w:type="fixed"/>
        <w:tblCellMar>
          <w:top w:w="0" w:type="dxa"/>
          <w:left w:w="0" w:type="dxa"/>
          <w:bottom w:w="28" w:type="dxa"/>
          <w:right w:w="0" w:type="dxa"/>
        </w:tblCellMar>
      </w:tblPr>
      <w:tblGrid>
        <w:gridCol w:w="124"/>
        <w:gridCol w:w="2259"/>
        <w:gridCol w:w="109"/>
        <w:gridCol w:w="109"/>
        <w:gridCol w:w="109"/>
        <w:gridCol w:w="131"/>
        <w:gridCol w:w="131"/>
        <w:gridCol w:w="1379"/>
        <w:gridCol w:w="131"/>
        <w:gridCol w:w="109"/>
        <w:gridCol w:w="109"/>
        <w:gridCol w:w="109"/>
        <w:gridCol w:w="337"/>
        <w:gridCol w:w="337"/>
        <w:gridCol w:w="1074"/>
        <w:gridCol w:w="341"/>
        <w:gridCol w:w="109"/>
        <w:gridCol w:w="109"/>
        <w:gridCol w:w="109"/>
        <w:gridCol w:w="137"/>
        <w:gridCol w:w="137"/>
        <w:gridCol w:w="1489"/>
        <w:gridCol w:w="137"/>
        <w:gridCol w:w="160"/>
      </w:tblGrid>
      <w:tr>
        <w:trPr/>
        <w:tc>
          <w:tcPr>
            <w:tcW w:w="124" w:type="dxa"/>
            <w:tcBorders>
              <w:bottom w:val="single" w:sz="2" w:space="0" w:color="7F7F7F"/>
            </w:tcBorders>
            <w:vAlign w:val="center"/>
          </w:tcPr>
          <w:p>
            <w:pPr>
              <w:pStyle w:val="TableContents"/>
              <w:bidi w:val="0"/>
              <w:spacing w:before="0" w:after="283"/>
              <w:jc w:val="left"/>
              <w:rPr/>
            </w:pPr>
            <w:r>
              <w:rPr/>
              <w:t>​</w:t>
            </w:r>
          </w:p>
        </w:tc>
        <w:tc>
          <w:tcPr>
            <w:tcW w:w="2259" w:type="dxa"/>
            <w:tcBorders>
              <w:bottom w:val="single" w:sz="2" w:space="0" w:color="7F7F7F"/>
            </w:tcBorders>
            <w:tcMar>
              <w:bottom w:w="43" w:type="dxa"/>
            </w:tcMar>
            <w:vAlign w:val="center"/>
          </w:tcPr>
          <w:p>
            <w:pPr>
              <w:pStyle w:val="TableContents"/>
              <w:bidi w:val="0"/>
              <w:spacing w:before="0" w:after="0"/>
              <w:jc w:val="left"/>
              <w:rPr/>
            </w:pPr>
            <w:r>
              <w:rPr/>
              <w:t xml:space="preserve">Plan Category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772" w:type="dxa"/>
            <w:gridSpan w:val="4"/>
            <w:tcBorders>
              <w:bottom w:val="single" w:sz="2" w:space="0" w:color="7F7F7F"/>
            </w:tcBorders>
            <w:tcMar>
              <w:bottom w:w="43" w:type="dxa"/>
            </w:tcMar>
            <w:vAlign w:val="center"/>
          </w:tcPr>
          <w:p>
            <w:pPr>
              <w:pStyle w:val="TableContents"/>
              <w:bidi w:val="0"/>
              <w:spacing w:before="0" w:after="0"/>
              <w:jc w:val="center"/>
              <w:rPr/>
            </w:pPr>
            <w:r>
              <w:rPr/>
              <w:t>Number of Securities to Be Issued</w:t>
              <w:br/>
              <w:t>Upon Exercise of Outstanding</w:t>
              <w:br/>
              <w:t>Options, Warrants and Rights</w:t>
              <w:br/>
              <w:t xml:space="preserve">(a)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2089" w:type="dxa"/>
            <w:gridSpan w:val="4"/>
            <w:tcBorders>
              <w:bottom w:val="single" w:sz="2" w:space="0" w:color="7F7F7F"/>
            </w:tcBorders>
            <w:tcMar>
              <w:bottom w:w="43" w:type="dxa"/>
            </w:tcMar>
            <w:vAlign w:val="center"/>
          </w:tcPr>
          <w:p>
            <w:pPr>
              <w:pStyle w:val="TableContents"/>
              <w:bidi w:val="0"/>
              <w:spacing w:before="0" w:after="0"/>
              <w:jc w:val="center"/>
              <w:rPr/>
            </w:pPr>
            <w:r>
              <w:rPr/>
              <w:t>Weighted-Average Exercise</w:t>
              <w:br/>
              <w:t>Price of Outstanding Options,</w:t>
              <w:br/>
              <w:t>Warrants and Rights</w:t>
              <w:br/>
              <w:t xml:space="preserve">(b)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900" w:type="dxa"/>
            <w:gridSpan w:val="4"/>
            <w:tcBorders>
              <w:bottom w:val="single" w:sz="2" w:space="0" w:color="7F7F7F"/>
            </w:tcBorders>
            <w:tcMar>
              <w:bottom w:w="43" w:type="dxa"/>
            </w:tcMar>
            <w:vAlign w:val="center"/>
          </w:tcPr>
          <w:p>
            <w:pPr>
              <w:pStyle w:val="TableContents"/>
              <w:bidi w:val="0"/>
              <w:spacing w:before="0" w:after="0"/>
              <w:jc w:val="center"/>
              <w:rPr/>
            </w:pPr>
            <w:r>
              <w:rPr/>
              <w:t>Number of Securities Remaining</w:t>
              <w:br/>
              <w:t>Available for Future Issuance under</w:t>
              <w:br/>
              <w:t>Equity Compensation Plans (Excluding</w:t>
              <w:br/>
              <w:t>Securities Reflected in Column (a))</w:t>
              <w:br/>
              <w:t xml:space="preserve">(c) </w:t>
            </w:r>
          </w:p>
        </w:tc>
        <w:tc>
          <w:tcPr>
            <w:tcW w:w="160"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259" w:type="dxa"/>
            <w:tcBorders/>
            <w:shd w:fill="D8D8D8" w:val="clear"/>
            <w:tcMar>
              <w:bottom w:w="0" w:type="dxa"/>
            </w:tcMar>
            <w:vAlign w:val="center"/>
          </w:tcPr>
          <w:p>
            <w:pPr>
              <w:pStyle w:val="TableContents"/>
              <w:bidi w:val="0"/>
              <w:spacing w:lineRule="atLeast" w:line="204" w:before="0" w:after="0"/>
              <w:ind w:left="170" w:right="0" w:hanging="170"/>
              <w:jc w:val="left"/>
              <w:rPr/>
            </w:pPr>
            <w:r>
              <w:rPr/>
              <w:t xml:space="preserve">Equity compensation plans approved by security holders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1" w:type="dxa"/>
            <w:tcBorders/>
            <w:shd w:fill="D8D8D8" w:val="clear"/>
            <w:tcMar>
              <w:bottom w:w="0" w:type="dxa"/>
            </w:tcMar>
            <w:vAlign w:val="center"/>
          </w:tcPr>
          <w:p>
            <w:pPr>
              <w:pStyle w:val="TableContents"/>
              <w:bidi w:val="0"/>
              <w:spacing w:before="0" w:after="283"/>
              <w:jc w:val="left"/>
              <w:rPr/>
            </w:pPr>
            <w:r>
              <w:rPr/>
              <w:t>​</w:t>
            </w:r>
          </w:p>
        </w:tc>
        <w:tc>
          <w:tcPr>
            <w:tcW w:w="131" w:type="dxa"/>
            <w:tcBorders/>
            <w:shd w:fill="D8D8D8" w:val="clear"/>
            <w:tcMar>
              <w:bottom w:w="0" w:type="dxa"/>
            </w:tcMar>
            <w:vAlign w:val="center"/>
          </w:tcPr>
          <w:p>
            <w:pPr>
              <w:pStyle w:val="TableContents"/>
              <w:bidi w:val="0"/>
              <w:spacing w:before="0" w:after="283"/>
              <w:jc w:val="right"/>
              <w:rPr/>
            </w:pPr>
            <w:r>
              <w:rPr/>
              <w:t>​</w:t>
            </w:r>
          </w:p>
        </w:tc>
        <w:tc>
          <w:tcPr>
            <w:tcW w:w="1379" w:type="dxa"/>
            <w:tcBorders/>
            <w:shd w:fill="D8D8D8" w:val="clear"/>
            <w:tcMar>
              <w:bottom w:w="0" w:type="dxa"/>
            </w:tcMar>
            <w:vAlign w:val="center"/>
          </w:tcPr>
          <w:p>
            <w:pPr>
              <w:pStyle w:val="TableContents"/>
              <w:bidi w:val="0"/>
              <w:spacing w:before="0" w:after="283"/>
              <w:jc w:val="right"/>
              <w:rPr/>
            </w:pPr>
            <w:r>
              <w:rPr/>
              <w:t>2,251,114</w:t>
            </w:r>
            <w:r>
              <w:rPr>
                <w:sz w:val="11"/>
              </w:rPr>
              <w:t>(1)</w:t>
            </w:r>
            <w:r>
              <w:rPr/>
              <w:t xml:space="preserve"> </w:t>
            </w:r>
          </w:p>
        </w:tc>
        <w:tc>
          <w:tcPr>
            <w:tcW w:w="13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337" w:type="dxa"/>
            <w:tcBorders/>
            <w:shd w:fill="D8D8D8" w:val="clear"/>
            <w:tcMar>
              <w:bottom w:w="0" w:type="dxa"/>
            </w:tcMar>
            <w:vAlign w:val="center"/>
          </w:tcPr>
          <w:p>
            <w:pPr>
              <w:pStyle w:val="TableContents"/>
              <w:bidi w:val="0"/>
              <w:spacing w:before="0" w:after="283"/>
              <w:jc w:val="left"/>
              <w:rPr/>
            </w:pPr>
            <w:r>
              <w:rPr/>
              <w:t>​</w:t>
            </w:r>
          </w:p>
        </w:tc>
        <w:tc>
          <w:tcPr>
            <w:tcW w:w="337" w:type="dxa"/>
            <w:tcBorders/>
            <w:shd w:fill="D8D8D8" w:val="clear"/>
            <w:tcMar>
              <w:bottom w:w="0" w:type="dxa"/>
            </w:tcMar>
            <w:vAlign w:val="center"/>
          </w:tcPr>
          <w:p>
            <w:pPr>
              <w:pStyle w:val="TableContents"/>
              <w:bidi w:val="0"/>
              <w:spacing w:before="0" w:after="283"/>
              <w:jc w:val="right"/>
              <w:rPr/>
            </w:pPr>
            <w:r>
              <w:rPr/>
              <w:t>​</w:t>
            </w:r>
          </w:p>
        </w:tc>
        <w:tc>
          <w:tcPr>
            <w:tcW w:w="1074" w:type="dxa"/>
            <w:tcBorders/>
            <w:shd w:fill="D8D8D8" w:val="clear"/>
            <w:tcMar>
              <w:bottom w:w="0" w:type="dxa"/>
            </w:tcMar>
            <w:vAlign w:val="center"/>
          </w:tcPr>
          <w:p>
            <w:pPr>
              <w:pStyle w:val="TableContents"/>
              <w:bidi w:val="0"/>
              <w:spacing w:before="0" w:after="283"/>
              <w:jc w:val="right"/>
              <w:rPr/>
            </w:pPr>
            <w:r>
              <w:rPr/>
              <w:t>—</w:t>
            </w:r>
          </w:p>
        </w:tc>
        <w:tc>
          <w:tcPr>
            <w:tcW w:w="341"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7" w:type="dxa"/>
            <w:tcBorders/>
            <w:shd w:fill="D8D8D8" w:val="clear"/>
            <w:tcMar>
              <w:bottom w:w="0" w:type="dxa"/>
            </w:tcMar>
            <w:vAlign w:val="center"/>
          </w:tcPr>
          <w:p>
            <w:pPr>
              <w:pStyle w:val="TableContents"/>
              <w:bidi w:val="0"/>
              <w:spacing w:before="0" w:after="283"/>
              <w:jc w:val="left"/>
              <w:rPr/>
            </w:pPr>
            <w:r>
              <w:rPr/>
              <w:t>​</w:t>
            </w:r>
          </w:p>
        </w:tc>
        <w:tc>
          <w:tcPr>
            <w:tcW w:w="137" w:type="dxa"/>
            <w:tcBorders/>
            <w:shd w:fill="D8D8D8" w:val="clear"/>
            <w:tcMar>
              <w:bottom w:w="0" w:type="dxa"/>
            </w:tcMar>
            <w:vAlign w:val="center"/>
          </w:tcPr>
          <w:p>
            <w:pPr>
              <w:pStyle w:val="TableContents"/>
              <w:bidi w:val="0"/>
              <w:spacing w:before="0" w:after="283"/>
              <w:jc w:val="right"/>
              <w:rPr/>
            </w:pPr>
            <w:r>
              <w:rPr/>
              <w:t>​</w:t>
            </w:r>
          </w:p>
        </w:tc>
        <w:tc>
          <w:tcPr>
            <w:tcW w:w="1489" w:type="dxa"/>
            <w:tcBorders/>
            <w:shd w:fill="D8D8D8" w:val="clear"/>
            <w:tcMar>
              <w:bottom w:w="0" w:type="dxa"/>
            </w:tcMar>
            <w:vAlign w:val="center"/>
          </w:tcPr>
          <w:p>
            <w:pPr>
              <w:pStyle w:val="TableContents"/>
              <w:bidi w:val="0"/>
              <w:spacing w:before="0" w:after="283"/>
              <w:jc w:val="right"/>
              <w:rPr/>
            </w:pPr>
            <w:r>
              <w:rPr/>
              <w:t>7,579,724</w:t>
            </w:r>
            <w:r>
              <w:rPr>
                <w:sz w:val="11"/>
              </w:rPr>
              <w:t>(2)</w:t>
            </w:r>
            <w:r>
              <w:rPr/>
              <w:t xml:space="preserve"> </w:t>
            </w:r>
          </w:p>
        </w:tc>
        <w:tc>
          <w:tcPr>
            <w:tcW w:w="137"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59" w:type="dxa"/>
            <w:tcBorders/>
            <w:tcMar>
              <w:bottom w:w="0" w:type="dxa"/>
            </w:tcMar>
            <w:vAlign w:val="center"/>
          </w:tcPr>
          <w:p>
            <w:pPr>
              <w:pStyle w:val="TableContents"/>
              <w:bidi w:val="0"/>
              <w:spacing w:lineRule="atLeast" w:line="204" w:before="0" w:after="0"/>
              <w:ind w:left="170" w:right="0" w:hanging="170"/>
              <w:jc w:val="left"/>
              <w:rPr/>
            </w:pPr>
            <w:r>
              <w:rPr/>
              <w:t xml:space="preserve">Equity compensation plans not approved by security 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379"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 w:type="dxa"/>
            <w:tcBorders/>
            <w:tcMar>
              <w:bottom w:w="0" w:type="dxa"/>
            </w:tcMar>
            <w:vAlign w:val="center"/>
          </w:tcPr>
          <w:p>
            <w:pPr>
              <w:pStyle w:val="TableContents"/>
              <w:bidi w:val="0"/>
              <w:spacing w:before="0" w:after="283"/>
              <w:jc w:val="left"/>
              <w:rPr/>
            </w:pPr>
            <w:r>
              <w:rPr/>
              <w:t>​</w:t>
            </w:r>
          </w:p>
        </w:tc>
        <w:tc>
          <w:tcPr>
            <w:tcW w:w="337"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w:t>
            </w:r>
          </w:p>
        </w:tc>
        <w:tc>
          <w:tcPr>
            <w:tcW w:w="3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489"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7F7F7F"/>
            </w:tcBorders>
            <w:shd w:fill="D8D8D8" w:val="clear"/>
            <w:vAlign w:val="center"/>
          </w:tcPr>
          <w:p>
            <w:pPr>
              <w:pStyle w:val="TableContents"/>
              <w:bidi w:val="0"/>
              <w:spacing w:before="0" w:after="283"/>
              <w:jc w:val="left"/>
              <w:rPr/>
            </w:pPr>
            <w:r>
              <w:rPr/>
              <w:t>​</w:t>
            </w:r>
          </w:p>
        </w:tc>
        <w:tc>
          <w:tcPr>
            <w:tcW w:w="2259" w:type="dxa"/>
            <w:tcBorders>
              <w:bottom w:val="single" w:sz="2" w:space="0" w:color="7F7F7F"/>
            </w:tcBorders>
            <w:shd w:fill="D8D8D8" w:val="clear"/>
            <w:tcMar>
              <w:bottom w:w="55" w:type="dxa"/>
            </w:tcMar>
            <w:vAlign w:val="center"/>
          </w:tcPr>
          <w:p>
            <w:pPr>
              <w:pStyle w:val="TableContents"/>
              <w:bidi w:val="0"/>
              <w:spacing w:before="0" w:after="283"/>
              <w:jc w:val="left"/>
              <w:rPr/>
            </w:pPr>
            <w:r>
              <w:rPr/>
              <w:t>Total</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31" w:type="dxa"/>
            <w:tcBorders>
              <w:bottom w:val="single" w:sz="2" w:space="0" w:color="7F7F7F"/>
            </w:tcBorders>
            <w:shd w:fill="D8D8D8" w:val="clear"/>
            <w:vAlign w:val="center"/>
          </w:tcPr>
          <w:p>
            <w:pPr>
              <w:pStyle w:val="TableContents"/>
              <w:bidi w:val="0"/>
              <w:spacing w:before="0" w:after="283"/>
              <w:jc w:val="left"/>
              <w:rPr/>
            </w:pPr>
            <w:r>
              <w:rPr/>
              <w:t>​</w:t>
            </w:r>
          </w:p>
        </w:tc>
        <w:tc>
          <w:tcPr>
            <w:tcW w:w="131"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379" w:type="dxa"/>
            <w:tcBorders>
              <w:bottom w:val="single" w:sz="2" w:space="0" w:color="7F7F7F"/>
            </w:tcBorders>
            <w:shd w:fill="D8D8D8" w:val="clear"/>
            <w:tcMar>
              <w:bottom w:w="55" w:type="dxa"/>
            </w:tcMar>
            <w:vAlign w:val="center"/>
          </w:tcPr>
          <w:p>
            <w:pPr>
              <w:pStyle w:val="TableContents"/>
              <w:bidi w:val="0"/>
              <w:spacing w:before="0" w:after="283"/>
              <w:jc w:val="right"/>
              <w:rPr/>
            </w:pPr>
            <w:r>
              <w:rPr/>
              <w:t>2,251,114</w:t>
            </w:r>
          </w:p>
        </w:tc>
        <w:tc>
          <w:tcPr>
            <w:tcW w:w="131"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337" w:type="dxa"/>
            <w:tcBorders>
              <w:bottom w:val="single" w:sz="2" w:space="0" w:color="7F7F7F"/>
            </w:tcBorders>
            <w:shd w:fill="D8D8D8" w:val="clear"/>
            <w:vAlign w:val="center"/>
          </w:tcPr>
          <w:p>
            <w:pPr>
              <w:pStyle w:val="TableContents"/>
              <w:bidi w:val="0"/>
              <w:spacing w:before="0" w:after="283"/>
              <w:jc w:val="left"/>
              <w:rPr/>
            </w:pPr>
            <w:r>
              <w:rPr/>
              <w:t>​</w:t>
            </w:r>
          </w:p>
        </w:tc>
        <w:tc>
          <w:tcPr>
            <w:tcW w:w="337"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074"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341"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shd w:fill="D8D8D8" w:val="clear"/>
            <w:vAlign w:val="center"/>
          </w:tcPr>
          <w:p>
            <w:pPr>
              <w:pStyle w:val="TableContents"/>
              <w:bidi w:val="0"/>
              <w:spacing w:before="0" w:after="283"/>
              <w:jc w:val="left"/>
              <w:rPr/>
            </w:pPr>
            <w:r>
              <w:rPr/>
              <w:t>​</w:t>
            </w:r>
          </w:p>
        </w:tc>
        <w:tc>
          <w:tcPr>
            <w:tcW w:w="137" w:type="dxa"/>
            <w:tcBorders>
              <w:bottom w:val="single" w:sz="2" w:space="0" w:color="7F7F7F"/>
            </w:tcBorders>
            <w:shd w:fill="D8D8D8" w:val="clear"/>
            <w:vAlign w:val="center"/>
          </w:tcPr>
          <w:p>
            <w:pPr>
              <w:pStyle w:val="TableContents"/>
              <w:bidi w:val="0"/>
              <w:spacing w:before="0" w:after="283"/>
              <w:jc w:val="left"/>
              <w:rPr/>
            </w:pPr>
            <w:r>
              <w:rPr/>
              <w:t>​</w:t>
            </w:r>
          </w:p>
        </w:tc>
        <w:tc>
          <w:tcPr>
            <w:tcW w:w="137" w:type="dxa"/>
            <w:tcBorders>
              <w:bottom w:val="single" w:sz="2" w:space="0" w:color="7F7F7F"/>
            </w:tcBorders>
            <w:shd w:fill="D8D8D8" w:val="clear"/>
            <w:tcMar>
              <w:bottom w:w="55" w:type="dxa"/>
            </w:tcMar>
            <w:vAlign w:val="center"/>
          </w:tcPr>
          <w:p>
            <w:pPr>
              <w:pStyle w:val="TableContents"/>
              <w:bidi w:val="0"/>
              <w:spacing w:before="0" w:after="283"/>
              <w:jc w:val="right"/>
              <w:rPr/>
            </w:pPr>
            <w:r>
              <w:rPr/>
              <w:t>​</w:t>
            </w:r>
          </w:p>
        </w:tc>
        <w:tc>
          <w:tcPr>
            <w:tcW w:w="1489" w:type="dxa"/>
            <w:tcBorders>
              <w:bottom w:val="single" w:sz="2" w:space="0" w:color="7F7F7F"/>
            </w:tcBorders>
            <w:shd w:fill="D8D8D8" w:val="clear"/>
            <w:tcMar>
              <w:bottom w:w="55" w:type="dxa"/>
            </w:tcMar>
            <w:vAlign w:val="center"/>
          </w:tcPr>
          <w:p>
            <w:pPr>
              <w:pStyle w:val="TableContents"/>
              <w:bidi w:val="0"/>
              <w:spacing w:before="0" w:after="283"/>
              <w:jc w:val="right"/>
              <w:rPr/>
            </w:pPr>
            <w:r>
              <w:rPr/>
              <w:t>7,579,724</w:t>
            </w:r>
          </w:p>
        </w:tc>
        <w:tc>
          <w:tcPr>
            <w:tcW w:w="137" w:type="dxa"/>
            <w:tcBorders>
              <w:bottom w:val="single" w:sz="2" w:space="0" w:color="7F7F7F"/>
            </w:tcBorders>
            <w:shd w:fill="D8D8D8" w:val="clear"/>
            <w:vAlign w:val="center"/>
          </w:tcPr>
          <w:p>
            <w:pPr>
              <w:pStyle w:val="TableContents"/>
              <w:bidi w:val="0"/>
              <w:spacing w:before="0" w:after="283"/>
              <w:jc w:val="left"/>
              <w:rPr/>
            </w:pPr>
            <w:r>
              <w:rPr/>
              <w:t>​</w:t>
            </w:r>
          </w:p>
        </w:tc>
        <w:tc>
          <w:tcPr>
            <w:tcW w:w="160" w:type="dxa"/>
            <w:tcBorders>
              <w:bottom w:val="single" w:sz="2" w:space="0" w:color="7F7F7F"/>
            </w:tcBorders>
            <w:shd w:fill="D8D8D8" w:val="cle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11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Consists of 2,251,114 RSUs and PSUs granted under the XPO Logistics, Inc. 2016 Omnibus Incentive Compensation Plan.</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69850" distB="0" distL="0" distR="0" simplePos="0" locked="0" layoutInCell="1" allowOverlap="1" relativeHeight="424">
                <wp:simplePos x="0" y="0"/>
                <wp:positionH relativeFrom="column">
                  <wp:align>left</wp:align>
                </wp:positionH>
                <wp:positionV relativeFrom="line">
                  <wp:align>top</wp:align>
                </wp:positionV>
                <wp:extent cx="254000" cy="241300"/>
                <wp:effectExtent l="0" t="0" r="0" b="0"/>
                <wp:wrapSquare wrapText="right"/>
                <wp:docPr id="425" name="Frame299"/>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1"/>
                              </w:rPr>
                              <w:t>(1)</w:t>
                            </w:r>
                            <w:r>
                              <w:rPr>
                                <w:rFonts w:ascii="Arial Narrow;Helvetica;sans-serif" w:hAnsi="Arial Narrow;Helvetica;sans-serif"/>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90" w:before="0" w:after="283"/>
                        <w:jc w:val="left"/>
                        <w:rPr>
                          <w:rFonts w:ascii="Arial Narrow;Helvetica;sans-serif" w:hAnsi="Arial Narrow;Helvetica;sans-serif"/>
                          <w:sz w:val="15"/>
                        </w:rPr>
                      </w:pPr>
                      <w:r>
                        <w:rPr>
                          <w:rFonts w:ascii="Arial Narrow;Helvetica;sans-serif" w:hAnsi="Arial Narrow;Helvetica;sans-serif"/>
                          <w:sz w:val="11"/>
                        </w:rPr>
                        <w:t>(1)</w:t>
                      </w:r>
                      <w:r>
                        <w:rPr>
                          <w:rFonts w:ascii="Arial Narrow;Helvetica;sans-serif" w:hAnsi="Arial Narrow;Helvetica;sans-serif"/>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Includes 3,239,028 securities available for issuance under the XPO Logistics, Inc. 2016 Omnibus Incentive Compensation Plan and 4,340,696 securities available for issuance under the XPO Logistics, Inc. Employee Stock Purchase Plan. Securities available for future issuance under both equity compensation plans have been equitably adjusted as a result of the GXO and RXO spin-offs in accordance with the terms of the plan. During 2024, the Compensation and Human Capital Committee of the Board of Directors approved the reinstatement of our Employee Stock Purchase Plan, with the first offering period commencing on December 1, 2024.</w:t>
      </w:r>
      <w:r>
        <mc:AlternateContent>
          <mc:Choice Requires="wps">
            <w:drawing>
              <wp:anchor behindDoc="0" distT="50800" distB="0" distL="0" distR="0" simplePos="0" locked="0" layoutInCell="1" allowOverlap="1" relativeHeight="425">
                <wp:simplePos x="0" y="0"/>
                <wp:positionH relativeFrom="column">
                  <wp:align>left</wp:align>
                </wp:positionH>
                <wp:positionV relativeFrom="line">
                  <wp:align>top</wp:align>
                </wp:positionV>
                <wp:extent cx="254000" cy="241300"/>
                <wp:effectExtent l="0" t="0" r="0" b="0"/>
                <wp:wrapSquare wrapText="right"/>
                <wp:docPr id="426" name="Frame300"/>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(2)</w:t>
                            </w:r>
                            <w:r>
                              <w:rPr>
                                <w:rFonts w:ascii="Arial Narrow;Helvetica;sans-serif" w:hAnsi="Arial Narrow;Helvetica;sans-serif"/>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rFonts w:ascii="Arial Narrow;Helvetica;sans-serif" w:hAnsi="Arial Narrow;Helvetica;sans-serif"/>
                          <w:sz w:val="15"/>
                        </w:rPr>
                      </w:pPr>
                      <w:r>
                        <w:rPr>
                          <w:rFonts w:ascii="Arial Narrow;Helvetica;sans-serif" w:hAnsi="Arial Narrow;Helvetica;sans-serif"/>
                          <w:sz w:val="11"/>
                        </w:rPr>
                        <w:t>(2)</w:t>
                      </w:r>
                      <w:r>
                        <w:rPr>
                          <w:rFonts w:ascii="Arial Narrow;Helvetica;sans-serif" w:hAnsi="Arial Narrow;Helvetica;sans-serif"/>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54</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AUMA"/>
      <w:bookmarkEnd w:id="37"/>
      <w:r>
        <w:rPr>
          <w:rFonts w:ascii="calibri;arial;sans-serif" w:hAnsi="calibri;arial;sans-serif"/>
          <w:b w:val="false"/>
          <w:i w:val="false"/>
          <w:caps w:val="false"/>
          <w:smallCaps w:val="false"/>
          <w:color w:val="000000"/>
          <w:sz w:val="16"/>
        </w:rPr>
        <w:t>​</w:t>
      </w:r>
      <w:bookmarkStart w:id="38" w:name="tACR"/>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3320" w:type="dxa"/>
        <w:jc w:val="left"/>
        <w:tblInd w:w="920" w:type="dxa"/>
        <w:tblLayout w:type="fixed"/>
        <w:tblCellMar>
          <w:top w:w="28" w:type="dxa"/>
          <w:left w:w="28" w:type="dxa"/>
          <w:bottom w:w="28" w:type="dxa"/>
          <w:right w:w="28" w:type="dxa"/>
        </w:tblCellMar>
      </w:tblPr>
      <w:tblGrid>
        <w:gridCol w:w="3166"/>
        <w:gridCol w:w="154"/>
      </w:tblGrid>
      <w:tr>
        <w:trPr/>
        <w:tc>
          <w:tcPr>
            <w:tcW w:w="3166" w:type="dxa"/>
            <w:tcBorders/>
            <w:vAlign w:val="center"/>
          </w:tcPr>
          <w:p>
            <w:pPr>
              <w:pStyle w:val="TableContents"/>
              <w:bidi w:val="0"/>
              <w:spacing w:before="0" w:after="283"/>
              <w:jc w:val="left"/>
              <w:rPr/>
            </w:pPr>
            <w:r>
              <w:rPr>
                <w:spacing w:val="-10"/>
              </w:rPr>
              <w:t>AUDIT-RELATED MATTERS</w:t>
            </w:r>
            <w:r>
              <w:rPr/>
              <w:t xml:space="preserve"> </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p>
      <w:pPr>
        <w:pStyle w:val="TextBody"/>
        <w:bidi w:val="0"/>
        <w:spacing w:lineRule="atLeast" w:line="240" w:before="24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AUDIT COMMITTEE REPORT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caps w:val="false"/>
          <w:smallCaps w:val="false"/>
          <w:color w:val="404040"/>
          <w:sz w:val="18"/>
        </w:rPr>
      </w:pPr>
      <w:r>
        <w:rPr>
          <w:rFonts w:ascii="Helvetica;Arial Narrow;sans-serif" w:hAnsi="Helvetica;Arial Narrow;sans-serif"/>
          <w:b w:val="false"/>
          <w:i/>
          <w:caps w:val="false"/>
          <w:smallCaps w:val="false"/>
          <w:color w:val="404040"/>
          <w:sz w:val="18"/>
        </w:rPr>
        <w:t>The following statement made by our Audit Committee does not constitute soliciting material and should not be deemed filed or incorporated by reference into any filing under the Securities Act or the Exchange Act, except to the extent that we specifically incorporate such statement by reference.</w:t>
      </w:r>
      <w:r>
        <w:rPr>
          <w:rFonts w:ascii="Helvetica;Arial Narrow;sans-serif" w:hAnsi="Helvetica;Arial Narrow;sans-serif"/>
          <w:b w:val="false"/>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The Audit Committee (“we” in this Audit Committee Report) currently consists of Ms. Moshouris (chair), Mr. Jesselson and Ms. Landry.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The Board of Directors has determined that each current member of the Audit Committee has the requisite independence and other qualifications for audit committee membership under the SEC rules, the NYSE listing standards, our Audit Committee charter, and the independence standards set forth in the XPO, Inc. Corporate Governance Guidelines. The Board of Directors has also determined that Ms. Moshouris qualifies as an “audit committee financial expert” as defined under Item 407(d)(5) of Regulation S-K of the Exchange Act. As described more fully below, in carrying out its responsibilities, the Audit Committee relies on management and XPO’s independent registered public accounting firm (“KPMG” or the “outside auditor”). The Audit Committee members are not professionally engaged in the practice of accounting or auditing. The Audit Committee operates under a written charter that is reviewed annually and is available on our Investor Relations website at </w:t>
      </w:r>
      <w:r>
        <w:rPr>
          <w:rFonts w:ascii="Helvetica;Arial Narrow;sans-serif" w:hAnsi="Helvetica;Arial Narrow;sans-serif"/>
          <w:b w:val="false"/>
          <w:i w:val="false"/>
          <w:caps w:val="false"/>
          <w:smallCaps w:val="false"/>
          <w:color w:val="000000"/>
          <w:spacing w:val="-2"/>
          <w:sz w:val="18"/>
          <w:u w:val="single"/>
        </w:rPr>
        <w:t>investors.xpo.com</w:t>
      </w:r>
      <w:r>
        <w:rPr>
          <w:rFonts w:ascii="Helvetica;Arial Narrow;sans-serif" w:hAnsi="Helvetica;Arial Narrow;sans-serif"/>
          <w:b w:val="false"/>
          <w:i w:val="false"/>
          <w:caps w:val="false"/>
          <w:smallCaps w:val="false"/>
          <w:color w:val="000000"/>
          <w:spacing w:val="-2"/>
          <w:sz w:val="18"/>
        </w:rPr>
        <w:t xml:space="preserve">, under the heading </w:t>
      </w:r>
      <w:r>
        <w:rPr>
          <w:rFonts w:ascii="Helvetica;Arial Narrow;sans-serif" w:hAnsi="Helvetica;Arial Narrow;sans-serif"/>
          <w:b w:val="false"/>
          <w:i/>
          <w:caps w:val="false"/>
          <w:smallCaps w:val="false"/>
          <w:color w:val="000000"/>
          <w:sz w:val="18"/>
        </w:rPr>
        <w:t>Corporate Governance —  Highlights</w:t>
      </w:r>
      <w:r>
        <w:rPr>
          <w:rFonts w:ascii="Helvetica;Arial Narrow;sans-serif" w:hAnsi="Helvetica;Arial Narrow;sans-serif"/>
          <w:b w:val="false"/>
          <w:i w:val="false"/>
          <w:caps w:val="false"/>
          <w:smallCaps w:val="false"/>
          <w:color w:val="000000"/>
          <w:spacing w:val="-2"/>
          <w:sz w:val="18"/>
        </w:rPr>
        <w: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accordance with our charter, the Audit Committee assists the Board of Directors in fulfilling its responsibilities in a number of areas. These responsibilities include, among others, oversight of: (i) XPO’s accounting and financial reporting processes, including the company’s systems of internal controls over financial reporting and disclosure controls; (ii) the integrity of XPO’s financial statements; (iii) XPO’s compliance with legal and regulatory requirements; (iv) the qualifications and independence of XPO’s outside auditors; and (v) the performance of XPO’s outside auditors and internal audit function. Management is responsible for XPO’s financial statements and the financial reporting process, including the system of internal controls over financial reporting. We are solely responsible for selecting and reviewing the performance of XPO’s outside auditors and, if we deem appropriate in our sole discretion, terminating and replacing the outside auditors. We also are responsible for reviewing and approving the terms of the annual engagement of XPO’s outside auditors, including the scope of audit and non-audit services to be provided by the outside auditors and the fees to be paid for such services, and discussing with the outside auditors any relationships or services that may impact the objectivity and independence of the outside auditors.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fulfilling our oversight role, we met and held discussions, both together and separately, with the company’s management and our outside auditor KPMG. Management advised us that the company’s consolidated financial statements were prepared in accordance with generally accepted accounting principles, and we reviewed and discussed the consolidated financial statements and key accounting and reporting issues with management and KPMG, both together and separately, in advance of the public release of operating results and filing of annual and quarterly reports with the SEC. We discussed with KPMG the matters required to be discussed by the applicable requirements of the Public Company Accounting Oversight Board (“PCAOB”) and the SEC and reviewed written communications from KPMG disclosing such matters.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KPMG also provided us with the written disclosures required by applicable requirements of the PCAOB regarding the outside auditor’s communications with the Audit Committee concerning independence, and we discussed with KPMG matters relating to their independence and considered whether their provision of certain non-audit services is compatible with maintaining their independence. KPMG has confirmed its independence, and we determined that KPMG’s provision of non-audit services to XPO is compatible with maintaining its independence. We also reviewed a report by KPMG describing the firm’s internal quality-control procedures and any material issues raised in the most recent internal quality-control review or external peer review or inspection performed by the PCAOB.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Based on our review and discussion of XPO’s audited consolidated financial statements with management and KPMG, and KPMG’s report on such financial statements, and based on the discussions and written disclosures described above, and our business judgment, we recommended to the Board of Directors, and the Board approved, that the audited consolidated financial statements be included in XPO’s 2024 Form 10-K, for filing with the SEC.</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AUDIT COMMITTEE: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caps w:val="false"/>
          <w:smallCaps w:val="false"/>
          <w:color w:val="404040"/>
          <w:sz w:val="18"/>
        </w:rPr>
      </w:pPr>
      <w:r>
        <w:rPr>
          <w:rFonts w:ascii="Helvetica;Arial Narrow;sans-serif" w:hAnsi="Helvetica;Arial Narrow;sans-serif"/>
          <w:b w:val="false"/>
          <w:i/>
          <w:caps w:val="false"/>
          <w:smallCaps w:val="false"/>
          <w:color w:val="404040"/>
          <w:sz w:val="18"/>
        </w:rPr>
        <w:t>Irene Moshouris, chair</w:t>
      </w:r>
      <w:r>
        <w:rPr>
          <w:rFonts w:ascii="Helvetica;Arial Narrow;sans-serif" w:hAnsi="Helvetica;Arial Narrow;sans-serif"/>
          <w:b w:val="false"/>
          <w:i/>
          <w:caps w:val="false"/>
          <w:smallCaps w:val="false"/>
          <w:color w:val="000000"/>
          <w:spacing w:val="4"/>
          <w:sz w:val="18"/>
        </w:rPr>
        <w:t xml:space="preserve"> </w:t>
      </w:r>
    </w:p>
    <w:p>
      <w:pPr>
        <w:pStyle w:val="TextBody"/>
        <w:bidi w:val="0"/>
        <w:spacing w:lineRule="atLeast" w:line="220" w:before="40" w:after="283"/>
        <w:jc w:val="both"/>
        <w:rPr>
          <w:rFonts w:ascii="Helvetica;Arial Narrow;sans-serif" w:hAnsi="Helvetica;Arial Narrow;sans-serif"/>
          <w:b w:val="false"/>
          <w:i/>
          <w:caps w:val="false"/>
          <w:smallCaps w:val="false"/>
          <w:color w:val="404040"/>
          <w:sz w:val="18"/>
        </w:rPr>
      </w:pPr>
      <w:r>
        <w:rPr>
          <w:rFonts w:ascii="Helvetica;Arial Narrow;sans-serif" w:hAnsi="Helvetica;Arial Narrow;sans-serif"/>
          <w:b w:val="false"/>
          <w:i/>
          <w:caps w:val="false"/>
          <w:smallCaps w:val="false"/>
          <w:color w:val="404040"/>
          <w:sz w:val="18"/>
        </w:rPr>
        <w:t>Michael G. Jesselson, member</w:t>
      </w:r>
      <w:r>
        <w:rPr>
          <w:rFonts w:ascii="Helvetica;Arial Narrow;sans-serif" w:hAnsi="Helvetica;Arial Narrow;sans-serif"/>
          <w:b w:val="false"/>
          <w:i/>
          <w:caps w:val="false"/>
          <w:smallCaps w:val="false"/>
          <w:color w:val="000000"/>
          <w:spacing w:val="4"/>
          <w:sz w:val="18"/>
        </w:rPr>
        <w:t xml:space="preserve"> </w:t>
      </w:r>
    </w:p>
    <w:p>
      <w:pPr>
        <w:pStyle w:val="TextBody"/>
        <w:bidi w:val="0"/>
        <w:spacing w:lineRule="atLeast" w:line="220" w:before="40" w:after="283"/>
        <w:jc w:val="both"/>
        <w:rPr>
          <w:rFonts w:ascii="Helvetica;Arial Narrow;sans-serif" w:hAnsi="Helvetica;Arial Narrow;sans-serif"/>
          <w:b w:val="false"/>
          <w:i/>
          <w:caps w:val="false"/>
          <w:smallCaps w:val="false"/>
          <w:color w:val="404040"/>
          <w:sz w:val="18"/>
        </w:rPr>
      </w:pPr>
      <w:r>
        <w:rPr>
          <w:rFonts w:ascii="Helvetica;Arial Narrow;sans-serif" w:hAnsi="Helvetica;Arial Narrow;sans-serif"/>
          <w:b w:val="false"/>
          <w:i/>
          <w:caps w:val="false"/>
          <w:smallCaps w:val="false"/>
          <w:color w:val="404040"/>
          <w:sz w:val="18"/>
        </w:rPr>
        <w:t xml:space="preserve">Allison Landry, member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55</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PRPO"/>
      <w:bookmarkEnd w:id="39"/>
      <w:r>
        <w:rPr>
          <w:rFonts w:ascii="calibri;arial;sans-serif" w:hAnsi="calibri;arial;sans-serif"/>
          <w:b w:val="false"/>
          <w:i w:val="false"/>
          <w:caps w:val="false"/>
          <w:smallCaps w:val="false"/>
          <w:color w:val="000000"/>
          <w:sz w:val="16"/>
        </w:rPr>
        <w:t>​</w:t>
      </w:r>
      <w:bookmarkStart w:id="40" w:name="tSPBT"/>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POLICY REGARDING PRE-APPROVAL OF SERVICES PROVIDED BY OUTSIDE AUDITORS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Audit Committee’s charter requires review and pre-approval by the Audit Committee of all audit services provided by our outside auditors and, subject to the de minimis exception under applicable SEC rules, all permissible non-audit services provided by our outside auditors. The Audit Committee has delegated to its chair the authority to approve, within guidelines and limits established by the Audit Committee, specific services to be provided by our outside auditors and the fees to be paid. Any such approval must be reported to the Audit Committee at the next scheduled meeting. As required by Section 10A of the Exchange Act, the Audit Committee preapproved all audit and non-audit services provided by our outside auditors during 2024 and 2023 and the fees paid for such services.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SERVICES PROVIDED BY THE OUTSIDE AUDITORS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described above, the Audit Committee is responsible for the appointment, compensation, oversight, evaluation and termination of our outside auditors. Accordingly, the Audit Committee appointed KPMG to serve as our independent registered public accounting firm for fiscal year 2025 on March 28, 2025.</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table shows the fees for audit and other services provided by KPMG for fiscal years 2024 and 2023.</w:t>
      </w:r>
      <w:r>
        <w:rPr>
          <w:rFonts w:ascii="Helvetica;Arial Narrow;sans-serif" w:hAnsi="Helvetica;Arial Narrow;sans-serif"/>
          <w:b w:val="false"/>
          <w:i w:val="false"/>
          <w:caps w:val="false"/>
          <w:smallCaps w:val="false"/>
          <w:color w:val="000000"/>
          <w:spacing w:val="4"/>
          <w:sz w:val="18"/>
        </w:rPr>
        <w:t xml:space="preserve"> </w:t>
      </w:r>
    </w:p>
    <w:tbl>
      <w:tblPr>
        <w:tblW w:w="5948" w:type="dxa"/>
        <w:jc w:val="left"/>
        <w:tblInd w:w="920" w:type="dxa"/>
        <w:tblLayout w:type="fixed"/>
        <w:tblCellMar>
          <w:top w:w="0" w:type="dxa"/>
          <w:left w:w="0" w:type="dxa"/>
          <w:bottom w:w="28" w:type="dxa"/>
          <w:right w:w="0" w:type="dxa"/>
        </w:tblCellMar>
      </w:tblPr>
      <w:tblGrid>
        <w:gridCol w:w="124"/>
        <w:gridCol w:w="1996"/>
        <w:gridCol w:w="109"/>
        <w:gridCol w:w="109"/>
        <w:gridCol w:w="109"/>
        <w:gridCol w:w="109"/>
        <w:gridCol w:w="226"/>
        <w:gridCol w:w="1066"/>
        <w:gridCol w:w="109"/>
        <w:gridCol w:w="109"/>
        <w:gridCol w:w="109"/>
        <w:gridCol w:w="109"/>
        <w:gridCol w:w="109"/>
        <w:gridCol w:w="226"/>
        <w:gridCol w:w="1066"/>
        <w:gridCol w:w="109"/>
        <w:gridCol w:w="154"/>
      </w:tblGrid>
      <w:tr>
        <w:trPr/>
        <w:tc>
          <w:tcPr>
            <w:tcW w:w="124" w:type="dxa"/>
            <w:tcBorders>
              <w:bottom w:val="single" w:sz="2" w:space="0" w:color="7F7F7F"/>
            </w:tcBorders>
            <w:vAlign w:val="center"/>
          </w:tcPr>
          <w:p>
            <w:pPr>
              <w:pStyle w:val="TableContents"/>
              <w:bidi w:val="0"/>
              <w:spacing w:before="0" w:after="283"/>
              <w:jc w:val="left"/>
              <w:rPr/>
            </w:pPr>
            <w:r>
              <w:rPr/>
              <w:t>​</w:t>
            </w:r>
          </w:p>
        </w:tc>
        <w:tc>
          <w:tcPr>
            <w:tcW w:w="1996" w:type="dxa"/>
            <w:tcBorders>
              <w:bottom w:val="single" w:sz="2" w:space="0" w:color="7F7F7F"/>
            </w:tcBorders>
            <w:tcMar>
              <w:bottom w:w="50" w:type="dxa"/>
            </w:tcMar>
            <w:vAlign w:val="center"/>
          </w:tcPr>
          <w:p>
            <w:pPr>
              <w:pStyle w:val="TableContents"/>
              <w:bidi w:val="0"/>
              <w:spacing w:before="0" w:after="0"/>
              <w:jc w:val="left"/>
              <w:rPr/>
            </w:pPr>
            <w:r>
              <w:rPr/>
              <w:t xml:space="preserve">Fee Category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0" w:type="dxa"/>
            <w:gridSpan w:val="4"/>
            <w:tcBorders>
              <w:bottom w:val="single" w:sz="2" w:space="0" w:color="7F7F7F"/>
            </w:tcBorders>
            <w:tcMar>
              <w:bottom w:w="50" w:type="dxa"/>
            </w:tcMar>
            <w:vAlign w:val="center"/>
          </w:tcPr>
          <w:p>
            <w:pPr>
              <w:pStyle w:val="TableContents"/>
              <w:bidi w:val="0"/>
              <w:spacing w:before="0" w:after="0"/>
              <w:jc w:val="center"/>
              <w:rPr/>
            </w:pPr>
            <w:r>
              <w:rPr/>
              <w:t xml:space="preserve">2024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10" w:type="dxa"/>
            <w:gridSpan w:val="4"/>
            <w:tcBorders>
              <w:bottom w:val="single" w:sz="2" w:space="0" w:color="7F7F7F"/>
            </w:tcBorders>
            <w:tcMar>
              <w:bottom w:w="50" w:type="dxa"/>
            </w:tcMar>
            <w:vAlign w:val="center"/>
          </w:tcPr>
          <w:p>
            <w:pPr>
              <w:pStyle w:val="TableContents"/>
              <w:bidi w:val="0"/>
              <w:spacing w:before="0" w:after="0"/>
              <w:jc w:val="center"/>
              <w:rPr/>
            </w:pPr>
            <w:r>
              <w:rPr/>
              <w:t xml:space="preserve">2023 </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996" w:type="dxa"/>
            <w:tcBorders/>
            <w:shd w:fill="D8D8D8" w:val="clear"/>
            <w:tcMar>
              <w:bottom w:w="0" w:type="dxa"/>
            </w:tcMar>
            <w:vAlign w:val="center"/>
          </w:tcPr>
          <w:p>
            <w:pPr>
              <w:pStyle w:val="TableContents"/>
              <w:bidi w:val="0"/>
              <w:spacing w:before="0" w:after="283"/>
              <w:jc w:val="left"/>
              <w:rPr/>
            </w:pPr>
            <w:r>
              <w:rPr/>
              <w:t xml:space="preserve">Audit Fees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6,236,135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6,407,500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283"/>
              <w:jc w:val="left"/>
              <w:rPr/>
            </w:pPr>
            <w:r>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93,250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91,750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996" w:type="dxa"/>
            <w:tcBorders/>
            <w:shd w:fill="D8D8D8" w:val="clear"/>
            <w:tcMar>
              <w:bottom w:w="0" w:type="dxa"/>
            </w:tcMar>
            <w:vAlign w:val="center"/>
          </w:tcPr>
          <w:p>
            <w:pPr>
              <w:pStyle w:val="TableContents"/>
              <w:bidi w:val="0"/>
              <w:spacing w:before="0" w:after="283"/>
              <w:jc w:val="left"/>
              <w:rPr/>
            </w:pPr>
            <w:r>
              <w:rPr/>
              <w:t xml:space="preserve">Tax Fees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283"/>
              <w:jc w:val="left"/>
              <w:rPr/>
            </w:pPr>
            <w:r>
              <w:rPr/>
              <w:t xml:space="preserve">All Other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7F7F7F"/>
            </w:tcBorders>
            <w:shd w:fill="D8D8D8" w:val="clear"/>
            <w:vAlign w:val="center"/>
          </w:tcPr>
          <w:p>
            <w:pPr>
              <w:pStyle w:val="TableContents"/>
              <w:bidi w:val="0"/>
              <w:spacing w:before="0" w:after="283"/>
              <w:jc w:val="left"/>
              <w:rPr/>
            </w:pPr>
            <w:r>
              <w:rPr/>
              <w:t>​</w:t>
            </w:r>
          </w:p>
        </w:tc>
        <w:tc>
          <w:tcPr>
            <w:tcW w:w="1996" w:type="dxa"/>
            <w:tcBorders>
              <w:bottom w:val="single" w:sz="6" w:space="0" w:color="7F7F7F"/>
            </w:tcBorders>
            <w:shd w:fill="D8D8D8" w:val="clear"/>
            <w:tcMar>
              <w:bottom w:w="80" w:type="dxa"/>
            </w:tcMar>
            <w:vAlign w:val="center"/>
          </w:tcPr>
          <w:p>
            <w:pPr>
              <w:pStyle w:val="TableContents"/>
              <w:bidi w:val="0"/>
              <w:spacing w:before="0" w:after="283"/>
              <w:jc w:val="left"/>
              <w:rPr/>
            </w:pPr>
            <w:r>
              <w:rPr/>
              <w:t>Total Fees</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226"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1066" w:type="dxa"/>
            <w:tcBorders>
              <w:bottom w:val="single" w:sz="6" w:space="0" w:color="7F7F7F"/>
            </w:tcBorders>
            <w:shd w:fill="D8D8D8" w:val="clear"/>
            <w:tcMar>
              <w:bottom w:w="80" w:type="dxa"/>
            </w:tcMar>
            <w:vAlign w:val="center"/>
          </w:tcPr>
          <w:p>
            <w:pPr>
              <w:pStyle w:val="TableContents"/>
              <w:bidi w:val="0"/>
              <w:spacing w:before="0" w:after="283"/>
              <w:jc w:val="right"/>
              <w:rPr/>
            </w:pPr>
            <w:r>
              <w:rPr/>
              <w:t>6,329,385</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226" w:type="dxa"/>
            <w:tcBorders>
              <w:bottom w:val="single" w:sz="6" w:space="0" w:color="7F7F7F"/>
            </w:tcBorders>
            <w:shd w:fill="D8D8D8" w:val="clear"/>
            <w:tcMar>
              <w:bottom w:w="80" w:type="dxa"/>
            </w:tcMar>
            <w:vAlign w:val="center"/>
          </w:tcPr>
          <w:p>
            <w:pPr>
              <w:pStyle w:val="TableContents"/>
              <w:bidi w:val="0"/>
              <w:spacing w:before="0" w:after="283"/>
              <w:jc w:val="right"/>
              <w:rPr/>
            </w:pPr>
            <w:r>
              <w:rPr/>
              <w:t>$</w:t>
            </w:r>
          </w:p>
        </w:tc>
        <w:tc>
          <w:tcPr>
            <w:tcW w:w="1066" w:type="dxa"/>
            <w:tcBorders>
              <w:bottom w:val="single" w:sz="6" w:space="0" w:color="7F7F7F"/>
            </w:tcBorders>
            <w:shd w:fill="D8D8D8" w:val="clear"/>
            <w:tcMar>
              <w:bottom w:w="80" w:type="dxa"/>
            </w:tcMar>
            <w:vAlign w:val="center"/>
          </w:tcPr>
          <w:p>
            <w:pPr>
              <w:pStyle w:val="TableContents"/>
              <w:bidi w:val="0"/>
              <w:spacing w:before="0" w:after="283"/>
              <w:jc w:val="right"/>
              <w:rPr/>
            </w:pPr>
            <w:r>
              <w:rPr/>
              <w:t>6,499,250</w:t>
            </w:r>
          </w:p>
        </w:tc>
        <w:tc>
          <w:tcPr>
            <w:tcW w:w="109" w:type="dxa"/>
            <w:tcBorders>
              <w:bottom w:val="single" w:sz="6" w:space="0" w:color="7F7F7F"/>
            </w:tcBorders>
            <w:shd w:fill="D8D8D8" w:val="clear"/>
            <w:vAlign w:val="center"/>
          </w:tcPr>
          <w:p>
            <w:pPr>
              <w:pStyle w:val="TableContents"/>
              <w:bidi w:val="0"/>
              <w:spacing w:before="0" w:after="283"/>
              <w:jc w:val="left"/>
              <w:rPr/>
            </w:pPr>
            <w:r>
              <w:rPr/>
              <w:t>​</w:t>
            </w:r>
          </w:p>
        </w:tc>
        <w:tc>
          <w:tcPr>
            <w:tcW w:w="154" w:type="dxa"/>
            <w:tcBorders>
              <w:bottom w:val="single" w:sz="6" w:space="0" w:color="7F7F7F"/>
            </w:tcBorders>
            <w:shd w:fill="D8D8D8" w:val="clear"/>
            <w:vAlign w:val="center"/>
          </w:tcPr>
          <w:p>
            <w:pPr>
              <w:pStyle w:val="TableContents"/>
              <w:bidi w:val="0"/>
              <w:spacing w:before="0" w:after="283"/>
              <w:jc w:val="left"/>
              <w:rPr/>
            </w:pPr>
            <w:r>
              <w:rPr/>
              <w:t>​</w:t>
            </w:r>
          </w:p>
        </w:tc>
      </w:tr>
    </w:tbl>
    <w:p>
      <w:pPr>
        <w:pStyle w:val="TextBody"/>
        <w:bidi w:val="0"/>
        <w:spacing w:lineRule="atLeast" w:line="220" w:before="23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caps w:val="false"/>
          <w:smallCaps w:val="false"/>
          <w:color w:val="000000"/>
          <w:sz w:val="18"/>
        </w:rPr>
        <w:t>Audit Fees.</w:t>
      </w:r>
      <w:r>
        <w:rPr>
          <w:rFonts w:ascii="Helvetica;Arial Narrow;sans-serif" w:hAnsi="Helvetica;Arial Narrow;sans-serif"/>
          <w:b w:val="false"/>
          <w:i w:val="false"/>
          <w:caps w:val="false"/>
          <w:smallCaps w:val="false"/>
          <w:color w:val="000000"/>
          <w:spacing w:val="-2"/>
          <w:sz w:val="18"/>
        </w:rPr>
        <w:t xml:space="preserve"> This category includes fees for professional services rendered by KPMG for the audits of our financial statements included in our 2024 Form 10-K and our Annual Report on Form 10-K for the fiscal year ended December 31, 2023, and reviews of the financial statements included in our Quarterly Reports on Form 10-Q for the years 2024 and 2023. Audit fees also include comfort letter fees.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caps w:val="false"/>
          <w:smallCaps w:val="false"/>
          <w:color w:val="000000"/>
          <w:sz w:val="18"/>
        </w:rPr>
        <w:t>Audit-Related Fees.</w:t>
      </w:r>
      <w:r>
        <w:rPr>
          <w:rFonts w:ascii="Helvetica;Arial Narrow;sans-serif" w:hAnsi="Helvetica;Arial Narrow;sans-serif"/>
          <w:b w:val="false"/>
          <w:i w:val="false"/>
          <w:caps w:val="false"/>
          <w:smallCaps w:val="false"/>
          <w:color w:val="000000"/>
          <w:spacing w:val="-2"/>
          <w:sz w:val="18"/>
        </w:rPr>
        <w:t xml:space="preserve"> This category includes fees for other audit-related services for the years 2024 and 2023.</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caps w:val="false"/>
          <w:smallCaps w:val="false"/>
          <w:color w:val="000000"/>
          <w:sz w:val="18"/>
        </w:rPr>
        <w:t>Tax Fees.</w:t>
      </w:r>
      <w:r>
        <w:rPr>
          <w:rFonts w:ascii="Helvetica;Arial Narrow;sans-serif" w:hAnsi="Helvetica;Arial Narrow;sans-serif"/>
          <w:b w:val="false"/>
          <w:i w:val="false"/>
          <w:caps w:val="false"/>
          <w:smallCaps w:val="false"/>
          <w:color w:val="000000"/>
          <w:spacing w:val="-2"/>
          <w:sz w:val="18"/>
        </w:rPr>
        <w:t xml:space="preserve"> This category includes fees for professional services rendered in connection with general tax consulting services. There were no such fees in 2024 and 2023.</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caps w:val="false"/>
          <w:smallCaps w:val="false"/>
          <w:color w:val="000000"/>
          <w:sz w:val="18"/>
        </w:rPr>
        <w:t>All Other Fees.</w:t>
      </w:r>
      <w:r>
        <w:rPr>
          <w:rFonts w:ascii="Helvetica;Arial Narrow;sans-serif" w:hAnsi="Helvetica;Arial Narrow;sans-serif"/>
          <w:b w:val="false"/>
          <w:i w:val="false"/>
          <w:caps w:val="false"/>
          <w:smallCaps w:val="false"/>
          <w:color w:val="000000"/>
          <w:spacing w:val="-2"/>
          <w:sz w:val="18"/>
        </w:rPr>
        <w:t xml:space="preserve"> This category represents fees for all other services or products provided that are not covered by the categories above. There were no such fees in 2024 and 2023.</w:t>
      </w:r>
      <w:r>
        <w:rPr>
          <w:rFonts w:ascii="Helvetica;Arial Narrow;sans-serif" w:hAnsi="Helvetica;Arial Narrow;sans-serif"/>
          <w:b w:val="false"/>
          <w:i w:val="false"/>
          <w:caps w:val="false"/>
          <w:smallCaps w:val="false"/>
          <w:color w:val="000000"/>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56</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QAAO"/>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760" w:before="200" w:after="283"/>
        <w:ind w:left="920" w:right="0" w:hanging="0"/>
        <w:jc w:val="left"/>
        <w:rPr>
          <w:rFonts w:ascii="Arial Narrow;Helvetica;sans-serif" w:hAnsi="Arial Narrow;Helvetica;sans-serif"/>
          <w:b w:val="false"/>
          <w:i w:val="false"/>
          <w:caps w:val="false"/>
          <w:smallCaps w:val="false"/>
          <w:color w:val="E2231A"/>
          <w:sz w:val="72"/>
        </w:rPr>
      </w:pPr>
      <w:r>
        <w:rPr>
          <w:rFonts w:ascii="Arial Narrow;Helvetica;sans-serif" w:hAnsi="Arial Narrow;Helvetica;sans-serif"/>
          <w:b w:val="false"/>
          <w:i w:val="false"/>
          <w:caps w:val="false"/>
          <w:smallCaps w:val="false"/>
          <w:color w:val="E2231A"/>
          <w:spacing w:val="-10"/>
          <w:sz w:val="72"/>
        </w:rPr>
        <w:t>QUESTIONS AND ANSWERS</w:t>
      </w:r>
      <w:r>
        <w:rPr>
          <w:rFonts w:ascii="Arial Narrow;Helvetica;sans-serif" w:hAnsi="Arial Narrow;Helvetica;sans-serif"/>
          <w:b w:val="false"/>
          <w:i w:val="false"/>
          <w:caps w:val="false"/>
          <w:smallCaps w:val="false"/>
          <w:color w:val="E2231A"/>
          <w:sz w:val="72"/>
        </w:rPr>
        <w:t xml:space="preserve"> </w:t>
      </w:r>
    </w:p>
    <w:tbl>
      <w:tblPr>
        <w:tblW w:w="3980" w:type="dxa"/>
        <w:jc w:val="left"/>
        <w:tblInd w:w="920" w:type="dxa"/>
        <w:tblLayout w:type="fixed"/>
        <w:tblCellMar>
          <w:top w:w="28" w:type="dxa"/>
          <w:left w:w="28" w:type="dxa"/>
          <w:bottom w:w="28" w:type="dxa"/>
          <w:right w:w="28" w:type="dxa"/>
        </w:tblCellMar>
      </w:tblPr>
      <w:tblGrid>
        <w:gridCol w:w="3826"/>
        <w:gridCol w:w="154"/>
      </w:tblGrid>
      <w:tr>
        <w:trPr/>
        <w:tc>
          <w:tcPr>
            <w:tcW w:w="3826" w:type="dxa"/>
            <w:tcBorders/>
            <w:vAlign w:val="center"/>
          </w:tcPr>
          <w:p>
            <w:pPr>
              <w:pStyle w:val="TableContents"/>
              <w:bidi w:val="0"/>
              <w:spacing w:before="0" w:after="283"/>
              <w:jc w:val="left"/>
              <w:rPr/>
            </w:pPr>
            <w:r>
              <w:rPr/>
              <w:t>ABOUT OUR ANNUAL MEETING</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p>
      <w:pPr>
        <w:pStyle w:val="TextBody"/>
        <w:bidi w:val="0"/>
        <w:spacing w:lineRule="atLeast" w:line="210" w:before="16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This Proxy Statement sets forth information relating to the solicitation of proxies by XPO’s Board of Directors in connection with our Annual Meeting, which will be held as a live webcast on May 15, 2025 at 10:00 a.m. Eastern Time, or any adjournment or postponement thereof. You are required to enter your control number to access the meeting at </w:t>
      </w:r>
      <w:r>
        <w:rPr>
          <w:rFonts w:ascii="Helvetica;Arial Narrow;sans-serif" w:hAnsi="Helvetica;Arial Narrow;sans-serif"/>
          <w:b w:val="false"/>
          <w:i w:val="false"/>
          <w:caps w:val="false"/>
          <w:smallCaps w:val="false"/>
          <w:color w:val="000000"/>
          <w:spacing w:val="-2"/>
          <w:sz w:val="18"/>
          <w:u w:val="single"/>
        </w:rPr>
        <w:t>meetnow.global/M6DAT65</w:t>
      </w:r>
      <w:r>
        <w:rPr>
          <w:rFonts w:ascii="Helvetica;Arial Narrow;sans-serif" w:hAnsi="Helvetica;Arial Narrow;sans-serif"/>
          <w:b w:val="false"/>
          <w:i w:val="false"/>
          <w:caps w:val="false"/>
          <w:smallCaps w:val="false"/>
          <w:color w:val="000000"/>
          <w:spacing w:val="-2"/>
          <w:sz w:val="18"/>
        </w:rPr>
        <w:t>. Please follow the instructions below to receive your control number.</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Notice of Internet Availability of Proxy Materials (the “Notice”) is first being distributed on or about April 2, 2025, to our stockholders of record as of the close of business on March 25, 2025 (the “Record Date”).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Note that we are furnishing proxy materials and access to our Proxy Statement to our stockholders electronically and will only be mailing printed copies upon request. The Notice you receive from us will contain instructions on how to access our proxy materials and vote online, as well as instructions on how to request a printed copy of our Proxy Statement and 2024 Form 10-K. Stockholders who have communicated a preference for printed materials prior to the distribution of the Notice will not receive the Notice, and instead will receive the printed materials by mail.</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following answers address some questions you may have regarding our Annual Meeting. These questions and answers may not include all information of importance to you as a stockholder of our company. Refer to the more detailed information contained elsewhere in this Proxy Statement.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What items of business will be voted on at the Annual Meeting?</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expect that the business put forth for a vote at the Annual Meeting will be as follows: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18"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To elect eight members of our Board of Directors for a term to expire at the 2026 Annual Meeting of Stockholders or until their successors are duly qualified and elected (Proposal 1);</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426">
                <wp:simplePos x="0" y="0"/>
                <wp:positionH relativeFrom="column">
                  <wp:align>left</wp:align>
                </wp:positionH>
                <wp:positionV relativeFrom="line">
                  <wp:align>top</wp:align>
                </wp:positionV>
                <wp:extent cx="127000" cy="525780"/>
                <wp:effectExtent l="0" t="0" r="0" b="0"/>
                <wp:wrapSquare wrapText="right"/>
                <wp:docPr id="427" name="Frame30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To ratify the appointment of KPMG LLP as our independent registered public accounting firm for fiscal year 2025 (Proposal 2);</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427">
                <wp:simplePos x="0" y="0"/>
                <wp:positionH relativeFrom="column">
                  <wp:align>left</wp:align>
                </wp:positionH>
                <wp:positionV relativeFrom="line">
                  <wp:align>top</wp:align>
                </wp:positionV>
                <wp:extent cx="127000" cy="525780"/>
                <wp:effectExtent l="0" t="0" r="0" b="0"/>
                <wp:wrapSquare wrapText="right"/>
                <wp:docPr id="428" name="Frame30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To conduct an advisory vote to approve the executive compensation of our named executive officers as disclosed in this Proxy Statement (Proposal 3); and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428">
                <wp:simplePos x="0" y="0"/>
                <wp:positionH relativeFrom="column">
                  <wp:align>left</wp:align>
                </wp:positionH>
                <wp:positionV relativeFrom="line">
                  <wp:align>top</wp:align>
                </wp:positionV>
                <wp:extent cx="127000" cy="525780"/>
                <wp:effectExtent l="0" t="0" r="0" b="0"/>
                <wp:wrapSquare wrapText="right"/>
                <wp:docPr id="429" name="Frame30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To consider and transact other business as may properly come before the Annual Meeting, or any adjournment or postponement thereof.</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29">
                <wp:simplePos x="0" y="0"/>
                <wp:positionH relativeFrom="column">
                  <wp:align>left</wp:align>
                </wp:positionH>
                <wp:positionV relativeFrom="line">
                  <wp:align>top</wp:align>
                </wp:positionV>
                <wp:extent cx="127000" cy="525780"/>
                <wp:effectExtent l="0" t="0" r="0" b="0"/>
                <wp:wrapSquare wrapText="right"/>
                <wp:docPr id="430" name="Frame30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Senior management of XPO and representatives of our outside auditor, KPMG, will be available to respond to appropriate questions.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Who can attend and vote at the Annual Meeting?</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You are entitled to receive notice of, attend and vote at the Annual Meeting, or any adjournment or postponement thereof, if you were a holder of record of XPO common stock as of the close of business on March 25, 2025, the Record Date.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We have designed our virtual Annual Meeting format to provide substantially the same opportunities to participate as stockholders would have at an in-person meeting. Our virtual Annual Meeting will be conducted on the internet via live webcast at </w:t>
      </w:r>
      <w:r>
        <w:rPr>
          <w:rFonts w:ascii="Helvetica;Arial Narrow;sans-serif" w:hAnsi="Helvetica;Arial Narrow;sans-serif"/>
          <w:b w:val="false"/>
          <w:i w:val="false"/>
          <w:caps w:val="false"/>
          <w:smallCaps w:val="false"/>
          <w:color w:val="000000"/>
          <w:spacing w:val="-2"/>
          <w:sz w:val="18"/>
          <w:u w:val="single"/>
        </w:rPr>
        <w:t>meetnow.global/M6DAT65</w:t>
      </w:r>
      <w:r>
        <w:rPr>
          <w:rFonts w:ascii="Helvetica;Arial Narrow;sans-serif" w:hAnsi="Helvetica;Arial Narrow;sans-serif"/>
          <w:b w:val="false"/>
          <w:i w:val="false"/>
          <w:caps w:val="false"/>
          <w:smallCaps w:val="false"/>
          <w:color w:val="000000"/>
          <w:spacing w:val="-2"/>
          <w:sz w:val="18"/>
        </w:rPr>
        <w:t xml:space="preserve">. You will be required to provide the control number on your proxy card to access the Annual Meeting. If the shares of common stock you hold are in an account at a broker, dealer, commercial bank, trust company or other nominee (i.e., in “street name”), you must register in advance to participate in the Annual Meeting, vote electronically and submit questions during the live webcast of the meeting. To register, you will need to obtain a legal proxy from the bank, broker or other nominee that holds your shares, giving you the right to vote the shares. Requests for registration should be directed to Computershare by email at </w:t>
      </w:r>
      <w:r>
        <w:rPr>
          <w:rFonts w:ascii="Helvetica;Arial Narrow;sans-serif" w:hAnsi="Helvetica;Arial Narrow;sans-serif"/>
          <w:b w:val="false"/>
          <w:i w:val="false"/>
          <w:caps w:val="false"/>
          <w:smallCaps w:val="false"/>
          <w:color w:val="000000"/>
          <w:spacing w:val="-2"/>
          <w:sz w:val="18"/>
          <w:u w:val="single"/>
        </w:rPr>
        <w:t>legalproxy@computershare.com</w:t>
      </w:r>
      <w:r>
        <w:rPr>
          <w:rFonts w:ascii="Helvetica;Arial Narrow;sans-serif" w:hAnsi="Helvetica;Arial Narrow;sans-serif"/>
          <w:b w:val="false"/>
          <w:i w:val="false"/>
          <w:caps w:val="false"/>
          <w:smallCaps w:val="false"/>
          <w:color w:val="000000"/>
          <w:spacing w:val="-2"/>
          <w:sz w:val="18"/>
        </w:rPr>
        <w:t xml:space="preserve"> no later than 5:00 p.m. Eastern Time on Monday, May 5, 2025. You will receive confirmation of your registration and your control number by email from Computershare. At the time of the Annual Meeting, go to </w:t>
      </w:r>
      <w:r>
        <w:rPr>
          <w:rFonts w:ascii="Helvetica;Arial Narrow;sans-serif" w:hAnsi="Helvetica;Arial Narrow;sans-serif"/>
          <w:b w:val="false"/>
          <w:i w:val="false"/>
          <w:caps w:val="false"/>
          <w:smallCaps w:val="false"/>
          <w:color w:val="000000"/>
          <w:spacing w:val="-2"/>
          <w:sz w:val="18"/>
          <w:u w:val="single"/>
        </w:rPr>
        <w:t>meetnow.global/M6DAT65</w:t>
      </w:r>
      <w:r>
        <w:rPr>
          <w:rFonts w:ascii="Helvetica;Arial Narrow;sans-serif" w:hAnsi="Helvetica;Arial Narrow;sans-serif"/>
          <w:b w:val="false"/>
          <w:i w:val="false"/>
          <w:caps w:val="false"/>
          <w:smallCaps w:val="false"/>
          <w:color w:val="000000"/>
          <w:spacing w:val="-2"/>
          <w:sz w:val="18"/>
        </w:rPr>
        <w:t xml:space="preserve"> and enter your control number.</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Can I ask questions during the Annual Meeting?</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The virtual meeting format allows stockholders to communicate with XPO during the Annual Meeting so they can ask questions of XPO’s management and Board of Directors, as appropriate. Stockholders (or their proxy holders) may submit questions in advance for the Annual Meeting’s question and answer session by logging on to the meeting website at </w:t>
      </w:r>
      <w:r>
        <w:rPr>
          <w:rFonts w:ascii="Helvetica;Arial Narrow;sans-serif" w:hAnsi="Helvetica;Arial Narrow;sans-serif"/>
          <w:b w:val="false"/>
          <w:i w:val="false"/>
          <w:caps w:val="false"/>
          <w:smallCaps w:val="false"/>
          <w:color w:val="000000"/>
          <w:spacing w:val="-2"/>
          <w:sz w:val="18"/>
          <w:u w:val="single"/>
        </w:rPr>
        <w:t>meetnow.global/M6DAT65</w:t>
      </w:r>
      <w:r>
        <w:rPr>
          <w:rFonts w:ascii="Helvetica;Arial Narrow;sans-serif" w:hAnsi="Helvetica;Arial Narrow;sans-serif"/>
          <w:b w:val="false"/>
          <w:i w:val="false"/>
          <w:caps w:val="false"/>
          <w:smallCaps w:val="false"/>
          <w:color w:val="000000"/>
          <w:spacing w:val="-2"/>
          <w:sz w:val="18"/>
        </w:rPr>
        <w:t xml:space="preserve">. You will need the control number on your proxy card or in the confirmation email from Computershare in order to submit a question. Click on the “Q&amp;A” icon in the top right corner of the screen and type in your question. You may provide your name, address and organization, and, if applicable, the specific proposal to which your question relates. Questions can be submitted in advance of the Annual Meeting beginning at 9:00 a.m. Eastern Time on May 12, 2025. Questions may also be submitted during the Annual Meeting through the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57</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1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Annual Meeting website. We will answer as many questions during the Annual Meeting as time allows and will group questions together where appropriate. We reserve the right to exclude questions regarding topics that are not pertinent to the Annual Meeting matters or company business or are inappropriate.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What if I have trouble accessing the Annual Meeting virtually?</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virtual meeting platform is fully supported across browsers (MS Edge, Firefox, Chrome and Safari) and devices (desktop, laptop, tablet and cell phone) that run up-to-date versions of these software applications and related plugins. Note: Internet Explorer is not a supported browser. You should ensure that you have a strong WiFi connection at the location where you intend to log into the meeting. We encourage you to access the meeting prior to the start time. Should you need further assistance, you may call U.S. 1-888-724-2416 or International +1 781-575-2748.</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How many shares of XPO common stock must be present to conduct business at the Annual Meeting?</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of the Record Date, there were 117,787,124 shares of XPO common stock issued and outstanding, which includes 117,772,572 shares of outstanding common stock and 14,552 shares of issued restricted stock, with each share entitled to one vote on each matter to come before the Annual Meeting. Therefore, 117,787,124 votes are eligible to be cast at the Annual Meeting.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A quorum is necessary to hold a valid meeting of stockholders. Pursuant to the company’s bylaws, holders of a majority of the shares of our common stock issued and outstanding and entitled to vote must be present, in person or by proxy, for each of the proposals to be presented at our annual meetings. Accordingly, holders of shares of our common stock representing 58,893,563 votes must be present at this year’s Annual Meeting. If you vote by internet, telephone or proxy card, the shares you vote will be counted toward the quorum for the Annual Meeting. Abstentions and broker non-votes are counted as present for the purpose of determining a quorum.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What are my voting choices?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With respect to Proposal 1, the election of directors, you may vote “</w:t>
      </w:r>
      <w:r>
        <w:rPr>
          <w:rFonts w:ascii="Helvetica;Arial Narrow;sans-serif" w:hAnsi="Helvetica;Arial Narrow;sans-serif"/>
          <w:b/>
          <w:i w:val="false"/>
          <w:caps w:val="false"/>
          <w:smallCaps w:val="false"/>
          <w:color w:val="000000"/>
          <w:spacing w:val="-2"/>
          <w:sz w:val="18"/>
        </w:rPr>
        <w:t>FOR”</w:t>
      </w:r>
      <w:r>
        <w:rPr>
          <w:rFonts w:ascii="Helvetica;Arial Narrow;sans-serif" w:hAnsi="Helvetica;Arial Narrow;sans-serif"/>
          <w:b w:val="false"/>
          <w:i w:val="false"/>
          <w:caps w:val="false"/>
          <w:smallCaps w:val="false"/>
          <w:color w:val="000000"/>
          <w:spacing w:val="-2"/>
          <w:sz w:val="18"/>
        </w:rPr>
        <w:t xml:space="preserve"> or “</w:t>
      </w:r>
      <w:r>
        <w:rPr>
          <w:rFonts w:ascii="Helvetica;Arial Narrow;sans-serif" w:hAnsi="Helvetica;Arial Narrow;sans-serif"/>
          <w:b/>
          <w:i w:val="false"/>
          <w:caps w:val="false"/>
          <w:smallCaps w:val="false"/>
          <w:color w:val="000000"/>
          <w:spacing w:val="-2"/>
          <w:sz w:val="18"/>
        </w:rPr>
        <w:t>AGAINST”</w:t>
      </w:r>
      <w:r>
        <w:rPr>
          <w:rFonts w:ascii="Helvetica;Arial Narrow;sans-serif" w:hAnsi="Helvetica;Arial Narrow;sans-serif"/>
          <w:b w:val="false"/>
          <w:i w:val="false"/>
          <w:caps w:val="false"/>
          <w:smallCaps w:val="false"/>
          <w:color w:val="000000"/>
          <w:spacing w:val="-2"/>
          <w:sz w:val="18"/>
        </w:rPr>
        <w:t xml:space="preserve"> each of the director nominees, or you may “</w:t>
      </w:r>
      <w:r>
        <w:rPr>
          <w:rFonts w:ascii="Helvetica;Arial Narrow;sans-serif" w:hAnsi="Helvetica;Arial Narrow;sans-serif"/>
          <w:b/>
          <w:i w:val="false"/>
          <w:caps w:val="false"/>
          <w:smallCaps w:val="false"/>
          <w:color w:val="000000"/>
          <w:spacing w:val="-2"/>
          <w:sz w:val="18"/>
        </w:rPr>
        <w:t>ABSTAIN”</w:t>
      </w:r>
      <w:r>
        <w:rPr>
          <w:rFonts w:ascii="Helvetica;Arial Narrow;sans-serif" w:hAnsi="Helvetica;Arial Narrow;sans-serif"/>
          <w:b w:val="false"/>
          <w:i w:val="false"/>
          <w:caps w:val="false"/>
          <w:smallCaps w:val="false"/>
          <w:color w:val="000000"/>
          <w:spacing w:val="-2"/>
          <w:sz w:val="18"/>
        </w:rPr>
        <w:t xml:space="preserve"> from voting for one or more of such nominees. With respect to Proposals 2 and 3, you may vote “</w:t>
      </w:r>
      <w:r>
        <w:rPr>
          <w:rFonts w:ascii="Helvetica;Arial Narrow;sans-serif" w:hAnsi="Helvetica;Arial Narrow;sans-serif"/>
          <w:b/>
          <w:i w:val="false"/>
          <w:caps w:val="false"/>
          <w:smallCaps w:val="false"/>
          <w:color w:val="000000"/>
          <w:spacing w:val="-2"/>
          <w:sz w:val="18"/>
        </w:rPr>
        <w:t>FOR”</w:t>
      </w:r>
      <w:r>
        <w:rPr>
          <w:rFonts w:ascii="Helvetica;Arial Narrow;sans-serif" w:hAnsi="Helvetica;Arial Narrow;sans-serif"/>
          <w:b w:val="false"/>
          <w:i w:val="false"/>
          <w:caps w:val="false"/>
          <w:smallCaps w:val="false"/>
          <w:color w:val="000000"/>
          <w:spacing w:val="-2"/>
          <w:sz w:val="18"/>
        </w:rPr>
        <w:t xml:space="preserve"> or “</w:t>
      </w:r>
      <w:r>
        <w:rPr>
          <w:rFonts w:ascii="Helvetica;Arial Narrow;sans-serif" w:hAnsi="Helvetica;Arial Narrow;sans-serif"/>
          <w:b/>
          <w:i w:val="false"/>
          <w:caps w:val="false"/>
          <w:smallCaps w:val="false"/>
          <w:color w:val="000000"/>
          <w:spacing w:val="-2"/>
          <w:sz w:val="18"/>
        </w:rPr>
        <w:t>AGAINST”</w:t>
      </w:r>
      <w:r>
        <w:rPr>
          <w:rFonts w:ascii="Helvetica;Arial Narrow;sans-serif" w:hAnsi="Helvetica;Arial Narrow;sans-serif"/>
          <w:b w:val="false"/>
          <w:i w:val="false"/>
          <w:caps w:val="false"/>
          <w:smallCaps w:val="false"/>
          <w:color w:val="000000"/>
          <w:spacing w:val="-2"/>
          <w:sz w:val="18"/>
        </w:rPr>
        <w:t xml:space="preserve"> or you may “</w:t>
      </w:r>
      <w:r>
        <w:rPr>
          <w:rFonts w:ascii="Helvetica;Arial Narrow;sans-serif" w:hAnsi="Helvetica;Arial Narrow;sans-serif"/>
          <w:b/>
          <w:i w:val="false"/>
          <w:caps w:val="false"/>
          <w:smallCaps w:val="false"/>
          <w:color w:val="000000"/>
          <w:spacing w:val="-2"/>
          <w:sz w:val="18"/>
        </w:rPr>
        <w:t>ABSTAIN”</w:t>
      </w:r>
      <w:r>
        <w:rPr>
          <w:rFonts w:ascii="Helvetica;Arial Narrow;sans-serif" w:hAnsi="Helvetica;Arial Narrow;sans-serif"/>
          <w:b w:val="false"/>
          <w:i w:val="false"/>
          <w:caps w:val="false"/>
          <w:smallCaps w:val="false"/>
          <w:color w:val="000000"/>
          <w:spacing w:val="-2"/>
          <w:sz w:val="18"/>
        </w:rPr>
        <w:t xml:space="preserve"> from voting on these proposals. If you sign your proxy without giving specific instructions, your shares will be voted in accordance with the recommendations of our Board of Directors with respect to the specific proposals described in this Proxy Statement and at the discretion of the proxy holders on any other matters that properly come before the Annual Meeting.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What vote is required to approve the proposals being considered at the Annual Meeting?</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18"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Proposal 1: Election of eight directors.</w:t>
      </w:r>
      <w:r>
        <w:rPr>
          <w:rFonts w:ascii="Helvetica;Arial Narrow;sans-serif" w:hAnsi="Helvetica;Arial Narrow;sans-serif"/>
          <w:b w:val="false"/>
          <w:i w:val="false"/>
          <w:caps w:val="false"/>
          <w:smallCaps w:val="false"/>
          <w:color w:val="000000"/>
          <w:spacing w:val="-2"/>
          <w:sz w:val="18"/>
        </w:rPr>
        <w:t xml:space="preserve"> The re-election of each of the eight incumbent director nominees named in this Proxy Statement requires the affirmative vote of a majority of the votes cast (meaning the number of shares voted “for” a nominee must exceed the number of shares voted “against” such nominee) by holders of shares of our common stock at the Annual Meeting at which a quorum is present. If any director standing for election receives a greater number of votes “against” his or her election than votes “for” such election, our bylaws require that such person must promptly tender his or her resignation to our Board of Directors. You may not accumulate your votes for the election of directors.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430">
                <wp:simplePos x="0" y="0"/>
                <wp:positionH relativeFrom="column">
                  <wp:align>left</wp:align>
                </wp:positionH>
                <wp:positionV relativeFrom="line">
                  <wp:align>top</wp:align>
                </wp:positionV>
                <wp:extent cx="127000" cy="525780"/>
                <wp:effectExtent l="0" t="0" r="0" b="0"/>
                <wp:wrapSquare wrapText="right"/>
                <wp:docPr id="431" name="Frame30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Brokers may not use discretionary authority to vote shares of our common stock on the election of directors if they have not received specific instructions from their clients. If you are a beneficial owner of shares of our common stock, in order for your vote to be counted in the election of directors, you will need to communicate your voting decisions to your bank, broker or other nominee before the date of the Annual Meeting in accordance with their specific instructions. Abstentions and broker non-votes are not considered votes cast for purposes of tabulation and will have no effect on the election of director nominees.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18"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Proposal 2: Ratification of the appointment of KPMG LLP as our independent registered public accounting firm for fiscal year 2025.</w:t>
      </w:r>
      <w:r>
        <w:rPr>
          <w:rFonts w:ascii="Helvetica;Arial Narrow;sans-serif" w:hAnsi="Helvetica;Arial Narrow;sans-serif"/>
          <w:b w:val="false"/>
          <w:i w:val="false"/>
          <w:caps w:val="false"/>
          <w:smallCaps w:val="false"/>
          <w:color w:val="000000"/>
          <w:spacing w:val="-2"/>
          <w:sz w:val="18"/>
        </w:rPr>
        <w:t xml:space="preserve"> Ratification of the appointment of KPMG as our company’s independent registered public accounting firm for the year ending December 31, 2025 requires the affirmative vote of a majority of the votes cast (meaning the number of shares voted “for” such proposal must exceed the number of shares voted “against” such proposal) by holders of shares of our common stock at the Annual Meeting at which a quorum is present. Abstentions are not considered votes cast for purposes of tabulation and will have no effect on the proposed ratification of KPMG. We do not expect any broker non-votes, as brokers have discretionary authority to vote on this proposal.</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431">
                <wp:simplePos x="0" y="0"/>
                <wp:positionH relativeFrom="column">
                  <wp:align>left</wp:align>
                </wp:positionH>
                <wp:positionV relativeFrom="line">
                  <wp:align>top</wp:align>
                </wp:positionV>
                <wp:extent cx="127000" cy="525780"/>
                <wp:effectExtent l="0" t="0" r="0" b="0"/>
                <wp:wrapSquare wrapText="right"/>
                <wp:docPr id="432" name="Frame30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Proposal 3: Advisory vote to approve executive compensation.</w:t>
      </w:r>
      <w:r>
        <w:rPr>
          <w:rFonts w:ascii="Helvetica;Arial Narrow;sans-serif" w:hAnsi="Helvetica;Arial Narrow;sans-serif"/>
          <w:b w:val="false"/>
          <w:i w:val="false"/>
          <w:caps w:val="false"/>
          <w:smallCaps w:val="false"/>
          <w:color w:val="000000"/>
          <w:spacing w:val="-2"/>
          <w:sz w:val="18"/>
        </w:rPr>
        <w:t xml:space="preserve"> Advisory approval of the resolution on executive compensation of our NEOs as disclosed in this Proxy Statement requires the affirmative vote of a majority of the votes cast (meaning the number of shares voted “for” such proposal must exceed the number of shares voted “against” such proposal) by holders of shares of our common stock at the Annual Meeting at which a quorum is present. This resolution, commonly referred to as a “say-on-pay” resolution, is not binding on our Board of Directors. Although it is non-binding, our Board and its Compensation and Human Capital Committee will consider the voting results when making future decisions regarding our executive compensation program.</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432">
                <wp:simplePos x="0" y="0"/>
                <wp:positionH relativeFrom="column">
                  <wp:align>left</wp:align>
                </wp:positionH>
                <wp:positionV relativeFrom="line">
                  <wp:align>top</wp:align>
                </wp:positionV>
                <wp:extent cx="127000" cy="525780"/>
                <wp:effectExtent l="0" t="0" r="0" b="0"/>
                <wp:wrapSquare wrapText="right"/>
                <wp:docPr id="433" name="Frame30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color w:val="E2231A"/>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both"/>
                        <w:rPr/>
                      </w:pPr>
                      <w:r>
                        <w:rPr>
                          <w:color w:val="E2231A"/>
                          <w:spacing w:val="-1"/>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120" w:right="0" w:hanging="0"/>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Brokers may not use discretionary authority to vote shares of our common stock on the advisory vote to approve executive compensation if they have not received specific instructions from their clients. If you are a beneficial owner of shares of our common stock, in order for your vote to be counted in the advisory vote to approve executive compensation, you will need to communicate your voting decisions to your bank, broker or other nominee before the date of the Annual Meeting in accordance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58</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10" w:before="200" w:after="283"/>
        <w:ind w:left="11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with their specific instructions. Abstentions and broker non-votes are not considered votes cast for purposes of tabulation and will have no effect on the advisory vote to approve executive compensation.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general, other business properly brought before the Annual Meeting at which a quorum is present requires the affirmative vote of a majority of the votes cast (meaning the number of shares voted “for” such proposal must exceed the number of shares voted “against” such proposal) by holders of shares of our common stock.</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How does the Board of Directors recommend that I vote?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of Directors, after careful consideration, recommends that our stockholders vote “</w:t>
      </w:r>
      <w:r>
        <w:rPr>
          <w:rFonts w:ascii="Helvetica;Arial Narrow;sans-serif" w:hAnsi="Helvetica;Arial Narrow;sans-serif"/>
          <w:b/>
          <w:i w:val="false"/>
          <w:caps w:val="false"/>
          <w:smallCaps w:val="false"/>
          <w:color w:val="000000"/>
          <w:spacing w:val="-2"/>
          <w:sz w:val="18"/>
        </w:rPr>
        <w:t>FOR”</w:t>
      </w:r>
      <w:r>
        <w:rPr>
          <w:rFonts w:ascii="Helvetica;Arial Narrow;sans-serif" w:hAnsi="Helvetica;Arial Narrow;sans-serif"/>
          <w:b w:val="false"/>
          <w:i w:val="false"/>
          <w:caps w:val="false"/>
          <w:smallCaps w:val="false"/>
          <w:color w:val="000000"/>
          <w:spacing w:val="-2"/>
          <w:sz w:val="18"/>
        </w:rPr>
        <w:t xml:space="preserve"> the election of each director nominee named in this Proxy Statement, “</w:t>
      </w:r>
      <w:r>
        <w:rPr>
          <w:rFonts w:ascii="Helvetica;Arial Narrow;sans-serif" w:hAnsi="Helvetica;Arial Narrow;sans-serif"/>
          <w:b/>
          <w:i w:val="false"/>
          <w:caps w:val="false"/>
          <w:smallCaps w:val="false"/>
          <w:color w:val="000000"/>
          <w:spacing w:val="-2"/>
          <w:sz w:val="18"/>
        </w:rPr>
        <w:t>FOR”</w:t>
      </w:r>
      <w:r>
        <w:rPr>
          <w:rFonts w:ascii="Helvetica;Arial Narrow;sans-serif" w:hAnsi="Helvetica;Arial Narrow;sans-serif"/>
          <w:b w:val="false"/>
          <w:i w:val="false"/>
          <w:caps w:val="false"/>
          <w:smallCaps w:val="false"/>
          <w:color w:val="000000"/>
          <w:spacing w:val="-2"/>
          <w:sz w:val="18"/>
        </w:rPr>
        <w:t xml:space="preserve"> the ratification of KPMG as our independent registered public accounting firm for fiscal year 2025, and “</w:t>
      </w:r>
      <w:r>
        <w:rPr>
          <w:rFonts w:ascii="Helvetica;Arial Narrow;sans-serif" w:hAnsi="Helvetica;Arial Narrow;sans-serif"/>
          <w:b/>
          <w:i w:val="false"/>
          <w:caps w:val="false"/>
          <w:smallCaps w:val="false"/>
          <w:color w:val="000000"/>
          <w:spacing w:val="-2"/>
          <w:sz w:val="18"/>
        </w:rPr>
        <w:t>FOR”</w:t>
      </w:r>
      <w:r>
        <w:rPr>
          <w:rFonts w:ascii="Helvetica;Arial Narrow;sans-serif" w:hAnsi="Helvetica;Arial Narrow;sans-serif"/>
          <w:b w:val="false"/>
          <w:i w:val="false"/>
          <w:caps w:val="false"/>
          <w:smallCaps w:val="false"/>
          <w:color w:val="000000"/>
          <w:spacing w:val="-2"/>
          <w:sz w:val="18"/>
        </w:rPr>
        <w:t xml:space="preserve"> the advisory approval of the resolution to approve executive compensation.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What do I need to do now?</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urge you to read this Proxy Statement carefully and then vote via the internet, by telephone or by mail. Follow the instructions on the proxy card to vote via the internet or by telephone, or mail your completed, dated and signed proxy card in the enclosed return envelope as soon as possible so that your votes will be counted at the Annual Meeting.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How do I cast my votes?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Registered Stockholders.</w:t>
      </w:r>
      <w:r>
        <w:rPr>
          <w:rFonts w:ascii="Helvetica;Arial Narrow;sans-serif" w:hAnsi="Helvetica;Arial Narrow;sans-serif"/>
          <w:b w:val="false"/>
          <w:i w:val="false"/>
          <w:caps w:val="false"/>
          <w:smallCaps w:val="false"/>
          <w:color w:val="000000"/>
          <w:spacing w:val="-2"/>
          <w:sz w:val="18"/>
        </w:rPr>
        <w:t xml:space="preserve"> If you are a registered stockholder (i.e., if you own XPO shares in your own name and not through a bank, broker or other nominee that holds shares for your account in “street name”), you may vote by proxy via the internet, by telephone or by mail. Follow the instructions provided on the proxy card to vote via the internet or by telephone, or mail your completed, dated and signed proxy card in the enclosed return envelope. Proxies submitted via the internet or by telephone must be received by 11:59 p.m. Eastern Time on May 14, 2025. Stockholders of record who attend the Annual Meeting may vote directly at the Annual Meeting by following the instructions provided during the Annual Meeting.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Beneficial Owners.</w:t>
      </w:r>
      <w:r>
        <w:rPr>
          <w:rFonts w:ascii="Helvetica;Arial Narrow;sans-serif" w:hAnsi="Helvetica;Arial Narrow;sans-serif"/>
          <w:b w:val="false"/>
          <w:i w:val="false"/>
          <w:caps w:val="false"/>
          <w:smallCaps w:val="false"/>
          <w:color w:val="000000"/>
          <w:spacing w:val="-2"/>
          <w:sz w:val="18"/>
        </w:rPr>
        <w:t xml:space="preserve"> If you are a beneficial owner of shares (i.e., if your XPO shares are held in the name of a brokerage firm, bank or a trustee), you may vote by proxy by following the instructions provided in the voting instruction form or other materials provided to you by the brokerage firm, bank or other nominee that holds your shares. Votes must be received by 11:59 p.m. Eastern Time on May 14, 2025. To vote directly at the Annual Meeting, you must obtain a legal proxy from the brokerage firm, bank or other nominee that holds your shares. Follow the instructions provided on page 1 to obtain your control number for access to the meeting website, and where voting instructions will be provided during the Annual Meeting.</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What is the deadline to vote?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If you hold shares as the stockholder of record, your vote by proxy must be received before the polls close at the Annual Meeting. As indicated on the proxy card provided to you, proxies submitted prior to the Annual Meeting via internet or by telephone must be received by 11:59 p.m. Eastern Time on May 14, 2025. You may vote by mail by promptly completing, signing, and dating a proxy card provided to you and return it in the envelope provided; it will be voted in accordance with your instructions. The enclosed envelope requires no additional postage if mailed in the United States.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If you are the beneficial owner of shares of our common stock, follow the voting instructions provided by your broker, trustee or other nominee.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What happens if I do not respond, or if I respond and fail to indicate my voting preference, or if I abstain from voting?</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If you fail to vote via internet or by telephone as indicated on your proxy card, or fail to properly sign, date and return your proxy card, your shares will not be counted toward establishing a quorum for the Annual Meeting, which requires holders representing a majority of the outstanding shares of our common stock to be present in person or by proxy.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Failure to vote, assuming the presence of a quorum, will have no effect on the tabulation of the votes on the proposals. If you are a stockholder of record and you properly sign, date and return your proxy card, but do not indicate your voting preference, we will count your proxy as a vote “</w:t>
      </w:r>
      <w:r>
        <w:rPr>
          <w:rFonts w:ascii="Helvetica;Arial Narrow;sans-serif" w:hAnsi="Helvetica;Arial Narrow;sans-serif"/>
          <w:b/>
          <w:i w:val="false"/>
          <w:caps w:val="false"/>
          <w:smallCaps w:val="false"/>
          <w:color w:val="000000"/>
          <w:spacing w:val="-2"/>
          <w:sz w:val="18"/>
        </w:rPr>
        <w:t>FOR”</w:t>
      </w:r>
      <w:r>
        <w:rPr>
          <w:rFonts w:ascii="Helvetica;Arial Narrow;sans-serif" w:hAnsi="Helvetica;Arial Narrow;sans-serif"/>
          <w:b w:val="false"/>
          <w:i w:val="false"/>
          <w:caps w:val="false"/>
          <w:smallCaps w:val="false"/>
          <w:color w:val="000000"/>
          <w:spacing w:val="-2"/>
          <w:sz w:val="18"/>
        </w:rPr>
        <w:t xml:space="preserve"> the election of all eight nominees for director (Proposal 1), “</w:t>
      </w:r>
      <w:r>
        <w:rPr>
          <w:rFonts w:ascii="Helvetica;Arial Narrow;sans-serif" w:hAnsi="Helvetica;Arial Narrow;sans-serif"/>
          <w:b/>
          <w:i w:val="false"/>
          <w:caps w:val="false"/>
          <w:smallCaps w:val="false"/>
          <w:color w:val="000000"/>
          <w:spacing w:val="-2"/>
          <w:sz w:val="18"/>
        </w:rPr>
        <w:t>FOR”</w:t>
      </w:r>
      <w:r>
        <w:rPr>
          <w:rFonts w:ascii="Helvetica;Arial Narrow;sans-serif" w:hAnsi="Helvetica;Arial Narrow;sans-serif"/>
          <w:b w:val="false"/>
          <w:i w:val="false"/>
          <w:caps w:val="false"/>
          <w:smallCaps w:val="false"/>
          <w:color w:val="000000"/>
          <w:spacing w:val="-2"/>
          <w:sz w:val="18"/>
        </w:rPr>
        <w:t xml:space="preserve"> the ratification of KPMG as our independent registered public accounting firm for fiscal year 2025 (Proposal 2), and “</w:t>
      </w:r>
      <w:r>
        <w:rPr>
          <w:rFonts w:ascii="Helvetica;Arial Narrow;sans-serif" w:hAnsi="Helvetica;Arial Narrow;sans-serif"/>
          <w:b/>
          <w:i w:val="false"/>
          <w:caps w:val="false"/>
          <w:smallCaps w:val="false"/>
          <w:color w:val="000000"/>
          <w:spacing w:val="-2"/>
          <w:sz w:val="18"/>
        </w:rPr>
        <w:t>FOR”</w:t>
      </w:r>
      <w:r>
        <w:rPr>
          <w:rFonts w:ascii="Helvetica;Arial Narrow;sans-serif" w:hAnsi="Helvetica;Arial Narrow;sans-serif"/>
          <w:b w:val="false"/>
          <w:i w:val="false"/>
          <w:caps w:val="false"/>
          <w:smallCaps w:val="false"/>
          <w:color w:val="000000"/>
          <w:spacing w:val="-2"/>
          <w:sz w:val="18"/>
        </w:rPr>
        <w:t xml:space="preserve"> the advisory approval of the resolution to approve executive compensation (Proposal 3).</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1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If my shares are held in “street name” by my broker, dealer, commercial bank, trust company or other nominee, will my broker or other nominee vote my shares for me?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1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You should instruct your broker or other nominee on how to vote your shares of our common stock using the instructions they provide to you. Brokers or other nominees who hold shares of XPO common stock in “street name” for customers are prevented by the NYSE Rules from exercising voting discretion with respect to non-routine or contested matters (i.e., they must receive specific voting instructions from a stockholder in order to vote that stockholder’s shares on non-routine or contested matters). Shares not voted by a broker or other nominee, because they did not receive specific voting instructions from the stockholder on one or more proposals, are referred to as “broker non-votes.”</w:t>
      </w:r>
      <w:r>
        <w:rPr>
          <w:rFonts w:ascii="Helvetica;Arial Narrow;sans-serif" w:hAnsi="Helvetica;Arial Narrow;sans-serif"/>
          <w:b w:val="false"/>
          <w:i w:val="false"/>
          <w:caps w:val="false"/>
          <w:smallCaps w:val="false"/>
          <w:color w:val="000000"/>
          <w:spacing w:val="4"/>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59</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expect that when the NYSE determines whether each of the three proposals to be voted on at our Annual Meeting is a routine or non-routine matter, only “Proposal 2 — Ratification of the Appointment of KPMG LLP as Our Independent Registered Public Accounting Firm for Fiscal Year 2025” will be determined to be routine. It is important that you instruct your broker or other nominee on how to vote your shares of our common stock held in “street name” by following their instructions.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What if I want to change my vote?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Whether you attend the Annual Meeting or not, you may revoke a proxy at any time before your proxy is voted at the Annual Meeting. You may do so by properly delivering a later-dated proxy either via internet, by telephone, by mail, or by attending the Annual Meeting virtually and voting. Note, however, that your attendance at the Annual Meeting will not automatically revoke any prior proxy, unless you vote again at the Annual Meeting or specifically request in writing that your prior proxy be revoked. You also may revoke your proxy by delivering a notice of revocation to: Corporate Secretary, XPO, Inc., Five American Lane, Greenwich, Connecticut 06831 prior to the vote at the Annual Meeting. If you hold your shares through a broker, dealer, commercial bank, trust company or other nominee, you should follow the instructions of your broker or other nominee regarding revocation of proxies.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How will the persons named as proxies vote?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If you are a registered stockholder (i.e., if you hold your shares of XPO common stock in your own name and not through a bank, broker or other nominee that holds shares for your account in “street name”) and you complete and submit a proxy, the persons named as proxies will follow your instructions. If you submit a proxy but do not provide voting instructions, or if your instructions are unclear, the persons named as proxies will vote as recommended by our Board of Directors or, if no recommendation is given, by using their own discretion.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Where can I find the results of the voting?</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We intend to announce preliminary voting results at the Annual Meeting and will publish final results on a Current Report on Form 8-K to be filed with the SEC within four business days after the Annual Meeting. The Current Report on Form 8-K will also be available on our Investor Relations website at </w:t>
      </w:r>
      <w:r>
        <w:rPr>
          <w:rFonts w:ascii="Helvetica;Arial Narrow;sans-serif" w:hAnsi="Helvetica;Arial Narrow;sans-serif"/>
          <w:b w:val="false"/>
          <w:i w:val="false"/>
          <w:caps w:val="false"/>
          <w:smallCaps w:val="false"/>
          <w:color w:val="000000"/>
          <w:spacing w:val="-2"/>
          <w:sz w:val="18"/>
          <w:u w:val="single"/>
        </w:rPr>
        <w:t>investors.xpo.com.</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Who will pay for the cost of soliciting proxies?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company will pay for the cost of soliciting proxies. We have engaged Okapi Partners LLC to assist us in soliciting proxies in connection with the Annual Meeting and have agreed to pay them a fee of $18,500 plus reimbursement of out-of-pocket expenses for providing such services. As is customary, we will reimburse brokerage firms, fiduciaries, voting trustees and other nominees for forwarding our proxy materials to each beneficial owner of shares of our common stock held through them as of the Record Date. Our directors, officers and other employees, without additional compensation, may solicit proxies personally, in writing, by telephone, by email or otherwise.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Why did I receive a “Notice of Internet Availability of Proxy Materials” but no proxy materials?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are distributing our proxy materials to stockholders via the internet under the “Notice and Access” approach permitted by the rules of the SEC. This approach expedites stockholders’ receipt of proxy materials while conserving natural resources and reducing our distribution costs. On or about April 2, 2025, we distributed a Notice of Internet Availability of Proxy Materials to participating stockholders containing instructions on how to access the proxy materials on the internet, and if desired, to request to receive a printed copy of our proxy materials by mail.</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What is “householding” and how does it affect me?</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cases where multiple company stockholders share the same address and the shares are held through a bank, broker or other holder of record in a “street name” account, only one copy of our proxy materials will be delivered unless a stockholder at that address requests otherwise. This practice, known as “householding,” is intended to reduce printing and postage costs. However, any street-name stockholders residing at the same address who wish to receive a separate copy of our proxy materials may request a copy by contacting their bank, broker or other holder of record, or by mailing a written request to Investor Relations, XPO, Inc., Five American Lane, Greenwich, Connecticut 06831, or by contacting Investor Relations by email at investors@xpo.com, or telephone: (855) 976-6951. The voting instruction form sent to a “street name” stockholder should provide information on how to request a separate copy of future materials for each XPO stockholder at the “household” address, if that is your preference. If you currently receive separate copies of our proxy materials but wish to participate in householding, please contact us through one of the methods described above.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 Narrow;sans-serif" w:hAnsi="Helvetica;Arial Narrow;sans-serif"/>
          <w:b/>
          <w:i/>
          <w:caps w:val="false"/>
          <w:smallCaps w:val="false"/>
          <w:color w:val="E2231A"/>
          <w:sz w:val="18"/>
        </w:rPr>
      </w:pPr>
      <w:r>
        <w:rPr>
          <w:rFonts w:ascii="Helvetica;Arial Narrow;sans-serif" w:hAnsi="Helvetica;Arial Narrow;sans-serif"/>
          <w:b/>
          <w:i/>
          <w:caps w:val="false"/>
          <w:smallCaps w:val="false"/>
          <w:color w:val="E2231A"/>
          <w:sz w:val="18"/>
        </w:rPr>
        <w:t>Can I obtain an electronic copy of the company’s proxy materials?</w:t>
      </w:r>
      <w:r>
        <w:rPr>
          <w:rFonts w:ascii="Helvetica;Arial Narrow;sans-serif" w:hAnsi="Helvetica;Arial Narrow;sans-serif"/>
          <w:b/>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Yes, this Proxy Statement and our 2024 Annual Report are available on our Investor Relations website at </w:t>
      </w:r>
      <w:r>
        <w:rPr>
          <w:rFonts w:ascii="Helvetica;Arial Narrow;sans-serif" w:hAnsi="Helvetica;Arial Narrow;sans-serif"/>
          <w:b w:val="false"/>
          <w:i w:val="false"/>
          <w:caps w:val="false"/>
          <w:smallCaps w:val="false"/>
          <w:color w:val="000000"/>
          <w:spacing w:val="-2"/>
          <w:sz w:val="18"/>
          <w:u w:val="single"/>
        </w:rPr>
        <w:t>investors.xpo.com</w:t>
      </w:r>
      <w:r>
        <w:rPr>
          <w:rFonts w:ascii="Helvetica;Arial Narrow;sans-serif" w:hAnsi="Helvetica;Arial Narrow;sans-serif"/>
          <w:b w:val="false"/>
          <w:i w:val="false"/>
          <w:caps w:val="false"/>
          <w:smallCaps w:val="false"/>
          <w:color w:val="000000"/>
          <w:spacing w:val="-2"/>
          <w:sz w:val="18"/>
        </w:rPr>
        <w:t>.</w:t>
      </w:r>
      <w:r>
        <w:rPr>
          <w:rFonts w:ascii="Helvetica;Arial Narrow;sans-serif" w:hAnsi="Helvetica;Arial Narrow;sans-serif"/>
          <w:b w:val="false"/>
          <w:i w:val="false"/>
          <w:caps w:val="false"/>
          <w:smallCaps w:val="false"/>
          <w:color w:val="000000"/>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60</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PTBP"/>
      <w:bookmarkEnd w:id="42"/>
      <w:r>
        <w:rPr>
          <w:rFonts w:ascii="calibri;arial;sans-serif" w:hAnsi="calibri;arial;sans-serif"/>
          <w:b w:val="false"/>
          <w:i w:val="false"/>
          <w:caps w:val="false"/>
          <w:smallCaps w:val="false"/>
          <w:color w:val="000000"/>
          <w:sz w:val="16"/>
        </w:rPr>
        <w:t>​</w:t>
      </w:r>
      <w:bookmarkStart w:id="43" w:name="tP1EO"/>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760" w:before="200" w:after="283"/>
        <w:ind w:left="920" w:right="0" w:hanging="0"/>
        <w:jc w:val="left"/>
        <w:rPr>
          <w:rFonts w:ascii="Arial Narrow;Helvetica;sans-serif" w:hAnsi="Arial Narrow;Helvetica;sans-serif"/>
          <w:b w:val="false"/>
          <w:i w:val="false"/>
          <w:caps w:val="false"/>
          <w:smallCaps w:val="false"/>
          <w:color w:val="E2231A"/>
          <w:sz w:val="72"/>
        </w:rPr>
      </w:pPr>
      <w:r>
        <w:rPr>
          <w:rFonts w:ascii="Arial Narrow;Helvetica;sans-serif" w:hAnsi="Arial Narrow;Helvetica;sans-serif"/>
          <w:b w:val="false"/>
          <w:i w:val="false"/>
          <w:caps w:val="false"/>
          <w:smallCaps w:val="false"/>
          <w:color w:val="E2231A"/>
          <w:spacing w:val="-10"/>
          <w:sz w:val="72"/>
        </w:rPr>
        <w:t>PROPOSALS TO BE PRESENTED</w:t>
      </w:r>
      <w:r>
        <w:rPr>
          <w:rFonts w:ascii="Arial Narrow;Helvetica;sans-serif" w:hAnsi="Arial Narrow;Helvetica;sans-serif"/>
          <w:b w:val="false"/>
          <w:i w:val="false"/>
          <w:caps w:val="false"/>
          <w:smallCaps w:val="false"/>
          <w:color w:val="E2231A"/>
          <w:sz w:val="72"/>
        </w:rPr>
        <w:t xml:space="preserve"> </w:t>
      </w:r>
    </w:p>
    <w:tbl>
      <w:tblPr>
        <w:tblW w:w="3410" w:type="dxa"/>
        <w:jc w:val="left"/>
        <w:tblInd w:w="920" w:type="dxa"/>
        <w:tblLayout w:type="fixed"/>
        <w:tblCellMar>
          <w:top w:w="28" w:type="dxa"/>
          <w:left w:w="28" w:type="dxa"/>
          <w:bottom w:w="28" w:type="dxa"/>
          <w:right w:w="28" w:type="dxa"/>
        </w:tblCellMar>
      </w:tblPr>
      <w:tblGrid>
        <w:gridCol w:w="3256"/>
        <w:gridCol w:w="154"/>
      </w:tblGrid>
      <w:tr>
        <w:trPr/>
        <w:tc>
          <w:tcPr>
            <w:tcW w:w="3256" w:type="dxa"/>
            <w:tcBorders/>
            <w:vAlign w:val="center"/>
          </w:tcPr>
          <w:p>
            <w:pPr>
              <w:pStyle w:val="TableContents"/>
              <w:bidi w:val="0"/>
              <w:spacing w:before="0" w:after="283"/>
              <w:jc w:val="left"/>
              <w:rPr/>
            </w:pPr>
            <w:r>
              <w:rPr/>
              <w:t>AT THE ANNUAL MEETING</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p>
      <w:pPr>
        <w:pStyle w:val="TextBody"/>
        <w:bidi w:val="0"/>
        <w:spacing w:lineRule="atLeast" w:line="280" w:before="240" w:after="283"/>
        <w:ind w:left="920" w:right="0" w:hanging="0"/>
        <w:jc w:val="left"/>
        <w:rPr>
          <w:rFonts w:ascii="Helvetica;Arial Narrow;sans-serif" w:hAnsi="Helvetica;Arial Narrow;sans-serif"/>
          <w:b/>
          <w:i w:val="false"/>
          <w:caps w:val="false"/>
          <w:smallCaps w:val="false"/>
          <w:color w:val="E2231A"/>
          <w:sz w:val="24"/>
        </w:rPr>
      </w:pPr>
      <w:r>
        <w:rPr>
          <w:rFonts w:ascii="Helvetica;Arial Narrow;sans-serif" w:hAnsi="Helvetica;Arial Narrow;sans-serif"/>
          <w:b/>
          <w:i w:val="false"/>
          <w:caps w:val="false"/>
          <w:smallCaps w:val="false"/>
          <w:color w:val="E2231A"/>
          <w:spacing w:val="-2"/>
          <w:sz w:val="24"/>
        </w:rPr>
        <w:t>Proposal 1: Election of Directors</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Board of Directors has nominated for re-election each of the following persons to serve until the 2026 Annual Meeting of Stockholders or until their successors are duly qualified and elected. All eight of the nominees were elected as directors by our stockholders at our 2024 Annual Meeting of Stockholders: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 xml:space="preserve">Brad Jacobs </w:t>
        <w:br/>
        <w:t xml:space="preserve">Bella Allaire </w:t>
        <w:br/>
        <w:t xml:space="preserve">J. Wes Frye </w:t>
        <w:br/>
        <w:t xml:space="preserve">Mario Harik </w:t>
        <w:br/>
        <w:t xml:space="preserve">Michael G. Jesselson </w:t>
        <w:br/>
        <w:t xml:space="preserve">Allison Landry </w:t>
        <w:br/>
        <w:t xml:space="preserve">Irene Moshouris </w:t>
        <w:br/>
        <w:t>Johnny C. Taylor, Jr.</w:t>
      </w:r>
      <w:r>
        <w:rPr>
          <w:rFonts w:ascii="Helvetica;Arial Narrow;sans-serif" w:hAnsi="Helvetica;Arial Narrow;sans-serif"/>
          <w:b w:val="false"/>
          <w:i/>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In the event that any of these nominees is unable or declines to serve as a director at the time of the Annual Meeting, the proxies voting for his or her election will be voted for any nominee who shall be designated by the Board of Directors to fill the vacancy. As of the date of this Proxy Statement, we are not aware that any nominee is unable or will decline to serve as a director if elected.</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REQUIRED VOTE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The election of each of the eight director nominees named in this Proxy Statement requires the affirmative vote of a majority of the votes cast (meaning the number of shares voted “for” a nominee must exceed the number of shares voted “against” such nominee) by holders of shares of our common stock at the Annual Meeting at which a quorum is present. If any incumbent director standing for election receives a greater number of votes “against” his or her election than votes “for” his or her election, our bylaws require that such person must promptly tender his or her resignation to the Board of Directors, subject to acceptance by the Board of Directors.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RECOMMENDATION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i w:val="false"/>
          <w:caps w:val="false"/>
          <w:smallCaps w:val="false"/>
          <w:color w:val="E2231A"/>
          <w:spacing w:val="-2"/>
          <w:sz w:val="18"/>
        </w:rPr>
      </w:pPr>
      <w:r>
        <w:rPr>
          <w:rFonts w:ascii="Helvetica;Arial Narrow;sans-serif" w:hAnsi="Helvetica;Arial Narrow;sans-serif"/>
          <w:b/>
          <w:i w:val="false"/>
          <w:caps w:val="false"/>
          <w:smallCaps w:val="false"/>
          <w:color w:val="E2231A"/>
          <w:spacing w:val="-2"/>
          <w:sz w:val="18"/>
        </w:rPr>
        <w:t xml:space="preserve">Our Board of Directors recommends a vote “FOR” the election of each of the nominees listed above.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61</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P2RO"/>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80" w:before="200" w:after="283"/>
        <w:ind w:left="920" w:right="0" w:hanging="0"/>
        <w:jc w:val="left"/>
        <w:rPr>
          <w:rFonts w:ascii="Helvetica;Arial Narrow;sans-serif" w:hAnsi="Helvetica;Arial Narrow;sans-serif"/>
          <w:b/>
          <w:i w:val="false"/>
          <w:caps w:val="false"/>
          <w:smallCaps w:val="false"/>
          <w:color w:val="E2231A"/>
          <w:sz w:val="24"/>
        </w:rPr>
      </w:pPr>
      <w:r>
        <w:rPr>
          <w:rFonts w:ascii="Helvetica;Arial Narrow;sans-serif" w:hAnsi="Helvetica;Arial Narrow;sans-serif"/>
          <w:b/>
          <w:i w:val="false"/>
          <w:caps w:val="false"/>
          <w:smallCaps w:val="false"/>
          <w:color w:val="E2231A"/>
          <w:spacing w:val="-2"/>
          <w:sz w:val="24"/>
        </w:rPr>
        <w:t>Proposal 2: Ratification of the Appointment of KPMG LLP as Our Independent Registered Public Accounting Firm for Fiscal Year 2025</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Audit Committee of our Board of Directors has appointed KPMG LLP (“KPMG”) to serve as our company’s independent registered public accounting firm for the year ending December 31, 2025. KPMG has served in this capacity since 2011.</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Our stockholders are being asked to ratify the appointment of KPMG as XPO’s independent registered public accounting firm for the year ending December 31, 2025. Although ratification is not required by our bylaws or otherwise, our Board of Directors is submitting the appointment of KPMG to our stockholders for ratification as a matter of good corporate governance. If our stockholders fail to ratify the appointment of KPMG, the Audit Committee will consider whether it is appropriate and advisable to appoint a different independent registered public accounting firm. Even if our stockholders ratify the appointment of KPMG, the Audit Committee in its discretion may appoint a different registered public accounting firm at any time if it determines that such a change would be in the best interests of our company and our stockholders.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Representatives of KPMG are expected to be present at the Annual Meeting and will have an opportunity to make a statement if they desire to do so, and to respond to appropriate questions.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REQUIRED VOTE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Ratification of the appointment of KPMG as our independent registered public accounting firm for the year ending December 31, 2025 requires the affirmative vote of a majority of the votes cast (meaning the number of shares voted “for” such proposal must exceed the number of shares voted “against” such proposal) by holders of shares of our common stock at the Annual Meeting at which a quorum is present.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RECOMMENDATION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i w:val="false"/>
          <w:caps w:val="false"/>
          <w:smallCaps w:val="false"/>
          <w:color w:val="E2231A"/>
          <w:spacing w:val="-2"/>
          <w:sz w:val="18"/>
        </w:rPr>
      </w:pPr>
      <w:r>
        <w:rPr>
          <w:rFonts w:ascii="Helvetica;Arial Narrow;sans-serif" w:hAnsi="Helvetica;Arial Narrow;sans-serif"/>
          <w:b/>
          <w:i w:val="false"/>
          <w:caps w:val="false"/>
          <w:smallCaps w:val="false"/>
          <w:color w:val="E2231A"/>
          <w:spacing w:val="-2"/>
          <w:sz w:val="18"/>
        </w:rPr>
        <w:t xml:space="preserve">Our Board of Directors recommends a vote “FOR” the ratification of the appointment of KPMG as our independent registered public accounting firm for fiscal year 2025.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62</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P3AV"/>
      <w:bookmarkEnd w:id="45"/>
      <w:r>
        <w:rPr>
          <w:rFonts w:ascii="calibri;arial;sans-serif" w:hAnsi="calibri;arial;sans-serif"/>
          <w:b w:val="false"/>
          <w:i w:val="false"/>
          <w:caps w:val="false"/>
          <w:smallCaps w:val="false"/>
          <w:color w:val="000000"/>
          <w:sz w:val="16"/>
        </w:rPr>
        <w:t>​</w:t>
      </w:r>
      <w:bookmarkStart w:id="46" w:name="tOTMA"/>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80" w:before="200" w:after="283"/>
        <w:ind w:left="920" w:right="0" w:hanging="0"/>
        <w:jc w:val="left"/>
        <w:rPr>
          <w:rFonts w:ascii="Helvetica;Arial Narrow;sans-serif" w:hAnsi="Helvetica;Arial Narrow;sans-serif"/>
          <w:b/>
          <w:i w:val="false"/>
          <w:caps w:val="false"/>
          <w:smallCaps w:val="false"/>
          <w:color w:val="E2231A"/>
          <w:sz w:val="24"/>
        </w:rPr>
      </w:pPr>
      <w:r>
        <w:rPr>
          <w:rFonts w:ascii="Helvetica;Arial Narrow;sans-serif" w:hAnsi="Helvetica;Arial Narrow;sans-serif"/>
          <w:b/>
          <w:i w:val="false"/>
          <w:caps w:val="false"/>
          <w:smallCaps w:val="false"/>
          <w:color w:val="E2231A"/>
          <w:spacing w:val="-2"/>
          <w:sz w:val="24"/>
        </w:rPr>
        <w:t>Proposal 3: Advisory Vote to Approve Executive Compensation</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Dodd-Frank Wall Street Reform and Consumer Protection Act, enacted in July 2010, and Section 14A of the Exchange Act, require that we provide our stockholders with the opportunity to vote to approve, on a non-binding advisory basis, the compensation of our NEOs as disclosed in this Proxy Statement in accordance with the compensation disclosure rules of the SEC. Accordingly, we are asking our stockholders to approve the following advisory resolution: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ind w:left="1320" w:right="0" w:hanging="0"/>
        <w:jc w:val="both"/>
        <w:rPr>
          <w:caps w:val="false"/>
          <w:smallCaps w:val="false"/>
          <w:color w:val="000000"/>
        </w:rPr>
      </w:pPr>
      <w:r>
        <w:rPr>
          <w:caps w:val="false"/>
          <w:smallCaps w:val="false"/>
          <w:color w:val="000000"/>
          <w:spacing w:val="-2"/>
        </w:rPr>
        <w:t>“</w:t>
      </w:r>
      <w:r>
        <w:rPr>
          <w:rFonts w:ascii="Helvetica;Arial Narrow;sans-serif" w:hAnsi="Helvetica;Arial Narrow;sans-serif"/>
          <w:b/>
          <w:i w:val="false"/>
          <w:caps w:val="false"/>
          <w:smallCaps w:val="false"/>
          <w:color w:val="000000"/>
          <w:spacing w:val="-2"/>
          <w:sz w:val="18"/>
        </w:rPr>
        <w:t>RESOLVED</w:t>
      </w:r>
      <w:r>
        <w:rPr>
          <w:rFonts w:ascii="Helvetica;Arial Narrow;sans-serif" w:hAnsi="Helvetica;Arial Narrow;sans-serif"/>
          <w:b w:val="false"/>
          <w:i w:val="false"/>
          <w:caps w:val="false"/>
          <w:smallCaps w:val="false"/>
          <w:color w:val="000000"/>
          <w:spacing w:val="-2"/>
          <w:sz w:val="18"/>
        </w:rPr>
        <w:t>, that the stockholders of XPO, Inc. (the “company”) hereby approve, on an advisory basis, the compensation of the company’s named executive officers, as disclosed pursuant to Item 402 of Regulation S-K, including the Compensation Discussion and Analysis, compensation tables and narrative discussion set forth in the Proxy Statement for the company’s 2025 Annual Meeting of Stockholders.”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We encourage stockholders to review the Compensation Discussion and Analysis, the compensation tables and the related narrative disclosures included in this Proxy Statement. As described in detail under the heading </w:t>
      </w:r>
      <w:r>
        <w:rPr>
          <w:rFonts w:ascii="Helvetica;Arial Narrow;sans-serif" w:hAnsi="Helvetica;Arial Narrow;sans-serif"/>
          <w:b w:val="false"/>
          <w:i/>
          <w:caps w:val="false"/>
          <w:smallCaps w:val="false"/>
          <w:color w:val="000000"/>
          <w:sz w:val="18"/>
        </w:rPr>
        <w:t>Executive Compensation — Compensation Discussion and Analysis</w:t>
      </w:r>
      <w:r>
        <w:rPr>
          <w:rFonts w:ascii="Helvetica;Arial Narrow;sans-serif" w:hAnsi="Helvetica;Arial Narrow;sans-serif"/>
          <w:b w:val="false"/>
          <w:i w:val="false"/>
          <w:caps w:val="false"/>
          <w:smallCaps w:val="false"/>
          <w:color w:val="000000"/>
          <w:spacing w:val="-2"/>
          <w:sz w:val="18"/>
        </w:rPr>
        <w:t>, we believe that our compensation programs appropriately reward executive performance and align the interests of our NEOs and key employees with the long-term interests of our stockholders, while also enabling us to attract and retain talented executives.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This resolution, commonly referred to as a “say-on-pay” resolution, is non-binding on our Board of Directors. However, our Board of Directors and its Compensation and Human Capital Committee will consider the voting results when making future decisions regarding our executive compensation program.</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caps w:val="false"/>
          <w:smallCaps w:val="false"/>
          <w:color w:val="000000"/>
          <w:sz w:val="18"/>
        </w:rPr>
        <w:t>Note about Frequency:</w:t>
      </w:r>
      <w:r>
        <w:rPr>
          <w:rFonts w:ascii="Helvetica;Arial Narrow;sans-serif" w:hAnsi="Helvetica;Arial Narrow;sans-serif"/>
          <w:b w:val="false"/>
          <w:i w:val="false"/>
          <w:caps w:val="false"/>
          <w:smallCaps w:val="false"/>
          <w:color w:val="000000"/>
          <w:spacing w:val="-2"/>
          <w:sz w:val="18"/>
        </w:rPr>
        <w:t>   At the 2024 Annual Meeting of Stockholders, our stockholders voted to approve an annual holding of the advisory vote on executive compensation. The annual frequency will continue until the next required non-binding, advisory vote on the frequency of advisory votes on executive compensation is held in 2030.</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REQUIRED VOTE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Approval of this advisory resolution, commonly referred to as a “say-on-pay” resolution, requires the affirmative vote of a majority of the votes cast (meaning the number of shares voted “for” such proposal must exceed the number of shares voted “against” such proposal) by holders of shares of our common stock at the Annual Meeting at which a quorum is present.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RECOMMENDATION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i w:val="false"/>
          <w:caps w:val="false"/>
          <w:smallCaps w:val="false"/>
          <w:color w:val="E2231A"/>
          <w:sz w:val="18"/>
        </w:rPr>
      </w:pPr>
      <w:r>
        <w:rPr>
          <w:rFonts w:ascii="Helvetica;Arial Narrow;sans-serif" w:hAnsi="Helvetica;Arial Narrow;sans-serif"/>
          <w:b/>
          <w:i w:val="false"/>
          <w:caps w:val="false"/>
          <w:smallCaps w:val="false"/>
          <w:color w:val="E2231A"/>
          <w:spacing w:val="-2"/>
          <w:sz w:val="18"/>
        </w:rPr>
        <w:t>Our Board of Directors recommends a vote “FOR” approval of the advisory resolution to approve executive compensation set forth above.</w:t>
      </w:r>
      <w:r>
        <w:rPr>
          <w:rFonts w:ascii="Helvetica;Arial Narrow;sans-serif" w:hAnsi="Helvetica;Arial Narrow;sans-serif"/>
          <w:b/>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OTHER MATTERS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do not expect that any matter other than the foregoing proposals will be brought before the Annual Meeting. If, however, such a matter is properly presented at the Annual Meeting or any adjournment or postponement of the Annual Meeting, the persons appointed as proxies will vote as recommended by our Board of Directors or, if no recommendation is given, in accordance with their judgment.</w:t>
      </w:r>
      <w:r>
        <w:rPr>
          <w:rFonts w:ascii="Helvetica;Arial Narrow;sans-serif" w:hAnsi="Helvetica;Arial Narrow;sans-serif"/>
          <w:b w:val="false"/>
          <w:i w:val="false"/>
          <w:caps w:val="false"/>
          <w:smallCaps w:val="false"/>
          <w:color w:val="000000"/>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63</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ADIN"/>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tbl>
      <w:tblPr>
        <w:tblW w:w="3445" w:type="dxa"/>
        <w:jc w:val="left"/>
        <w:tblInd w:w="920" w:type="dxa"/>
        <w:tblLayout w:type="fixed"/>
        <w:tblCellMar>
          <w:top w:w="28" w:type="dxa"/>
          <w:left w:w="28" w:type="dxa"/>
          <w:bottom w:w="28" w:type="dxa"/>
          <w:right w:w="28" w:type="dxa"/>
        </w:tblCellMar>
      </w:tblPr>
      <w:tblGrid>
        <w:gridCol w:w="3291"/>
        <w:gridCol w:w="154"/>
      </w:tblGrid>
      <w:tr>
        <w:trPr/>
        <w:tc>
          <w:tcPr>
            <w:tcW w:w="3291" w:type="dxa"/>
            <w:tcBorders/>
            <w:vAlign w:val="center"/>
          </w:tcPr>
          <w:p>
            <w:pPr>
              <w:pStyle w:val="TableContents"/>
              <w:bidi w:val="0"/>
              <w:spacing w:before="0" w:after="283"/>
              <w:jc w:val="left"/>
              <w:rPr/>
            </w:pPr>
            <w:r>
              <w:rPr>
                <w:spacing w:val="-10"/>
              </w:rPr>
              <w:t>ADDITIONAL INFORMATION</w:t>
            </w:r>
            <w:r>
              <w:rPr/>
              <w:t xml:space="preserve"> </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p>
      <w:pPr>
        <w:pStyle w:val="TextBody"/>
        <w:bidi w:val="0"/>
        <w:spacing w:lineRule="atLeast" w:line="240" w:before="24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AVAILABILITY OF ANNUAL REPORT AND PROXY STATEMENT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If you would like to receive a paper copy of our 2024 Annual Report or this Proxy Statement, please contact us at Investor Relations, XPO, Inc., Five American Lane, Greenwich, Connecticut 06831 or by email at </w:t>
      </w:r>
      <w:r>
        <w:rPr>
          <w:rFonts w:ascii="Helvetica;Arial Narrow;sans-serif" w:hAnsi="Helvetica;Arial Narrow;sans-serif"/>
          <w:b w:val="false"/>
          <w:i w:val="false"/>
          <w:caps w:val="false"/>
          <w:smallCaps w:val="false"/>
          <w:color w:val="000000"/>
          <w:spacing w:val="-2"/>
          <w:sz w:val="18"/>
          <w:u w:val="single"/>
        </w:rPr>
        <w:t>investors@xpo.com</w:t>
      </w:r>
      <w:r>
        <w:rPr>
          <w:rFonts w:ascii="Helvetica;Arial Narrow;sans-serif" w:hAnsi="Helvetica;Arial Narrow;sans-serif"/>
          <w:b w:val="false"/>
          <w:i w:val="false"/>
          <w:caps w:val="false"/>
          <w:smallCaps w:val="false"/>
          <w:color w:val="000000"/>
          <w:spacing w:val="-2"/>
          <w:sz w:val="18"/>
        </w:rPr>
        <w:t>, and we will send a copy to you without charge.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A NOTE ABOUT OUR WEBSITE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xml:space="preserve">Although we include references to our website, </w:t>
      </w:r>
      <w:r>
        <w:rPr>
          <w:rFonts w:ascii="Helvetica;Arial Narrow;sans-serif" w:hAnsi="Helvetica;Arial Narrow;sans-serif"/>
          <w:b w:val="false"/>
          <w:i w:val="false"/>
          <w:caps w:val="false"/>
          <w:smallCaps w:val="false"/>
          <w:color w:val="000000"/>
          <w:spacing w:val="-2"/>
          <w:sz w:val="18"/>
          <w:u w:val="single"/>
        </w:rPr>
        <w:t>www.xpo.com</w:t>
      </w:r>
      <w:r>
        <w:rPr>
          <w:rFonts w:ascii="Helvetica;Arial Narrow;sans-serif" w:hAnsi="Helvetica;Arial Narrow;sans-serif"/>
          <w:b w:val="false"/>
          <w:i w:val="false"/>
          <w:caps w:val="false"/>
          <w:smallCaps w:val="false"/>
          <w:color w:val="000000"/>
          <w:spacing w:val="-2"/>
          <w:sz w:val="18"/>
        </w:rPr>
        <w:t xml:space="preserve">, including the Investor Relations section of our website, </w:t>
      </w:r>
      <w:r>
        <w:rPr>
          <w:rFonts w:ascii="Helvetica;Arial Narrow;sans-serif" w:hAnsi="Helvetica;Arial Narrow;sans-serif"/>
          <w:b w:val="false"/>
          <w:i w:val="false"/>
          <w:caps w:val="false"/>
          <w:smallCaps w:val="false"/>
          <w:color w:val="000000"/>
          <w:spacing w:val="-2"/>
          <w:sz w:val="18"/>
          <w:u w:val="single"/>
        </w:rPr>
        <w:t>investors.xpo.com</w:t>
      </w:r>
      <w:r>
        <w:rPr>
          <w:rFonts w:ascii="Helvetica;Arial Narrow;sans-serif" w:hAnsi="Helvetica;Arial Narrow;sans-serif"/>
          <w:b w:val="false"/>
          <w:i w:val="false"/>
          <w:caps w:val="false"/>
          <w:smallCaps w:val="false"/>
          <w:color w:val="000000"/>
          <w:spacing w:val="-2"/>
          <w:sz w:val="18"/>
        </w:rPr>
        <w:t>, and certain additional third-party websites throughout this Proxy Statement, information that is included on our website is not incorporated by reference into, and is not a part of, this Proxy Statement. The address of our website is included as an inactive textual reference only.</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use our website as one means of disclosing material non-public information and for complying with our disclosure obligations under the SEC’s Regulation FD. Such disclosures typically will be included within the Investor Relations section of our website. Accordingly, investors should monitor the Investor Relations section of our website, in addition to following our press releases, SEC filings and public conference calls and webcasts.</w:t>
      </w:r>
      <w:r>
        <w:rPr>
          <w:rFonts w:ascii="Helvetica;Arial Narrow;sans-serif" w:hAnsi="Helvetica;Arial Narrow;sans-serif"/>
          <w:b w:val="false"/>
          <w:i w:val="false"/>
          <w:caps w:val="false"/>
          <w:smallCaps w:val="false"/>
          <w:color w:val="000000"/>
          <w:sz w:val="18"/>
        </w:rPr>
        <w:t xml:space="preserve">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64</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AARO"/>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640" w:before="200" w:after="283"/>
        <w:ind w:left="920" w:right="0" w:hanging="0"/>
        <w:jc w:val="left"/>
        <w:rPr>
          <w:rFonts w:ascii="Arial Narrow;Helvetica;sans-serif" w:hAnsi="Arial Narrow;Helvetica;sans-serif"/>
          <w:b w:val="false"/>
          <w:i w:val="false"/>
          <w:caps w:val="false"/>
          <w:smallCaps w:val="false"/>
          <w:color w:val="E2231A"/>
          <w:sz w:val="60"/>
        </w:rPr>
      </w:pPr>
      <w:r>
        <w:rPr>
          <w:rFonts w:ascii="Arial Narrow;Helvetica;sans-serif" w:hAnsi="Arial Narrow;Helvetica;sans-serif"/>
          <w:b w:val="false"/>
          <w:i w:val="false"/>
          <w:caps w:val="false"/>
          <w:smallCaps w:val="false"/>
          <w:color w:val="E2231A"/>
          <w:spacing w:val="-10"/>
          <w:sz w:val="60"/>
        </w:rPr>
        <w:t>ANNEX A—</w:t>
      </w:r>
      <w:r>
        <w:rPr>
          <w:rFonts w:ascii="Arial Narrow;Helvetica;sans-serif" w:hAnsi="Arial Narrow;Helvetica;sans-serif"/>
          <w:b w:val="false"/>
          <w:i w:val="false"/>
          <w:caps w:val="false"/>
          <w:smallCaps w:val="false"/>
          <w:color w:val="E2231A"/>
          <w:sz w:val="60"/>
        </w:rPr>
        <w:t xml:space="preserve"> </w:t>
      </w:r>
    </w:p>
    <w:tbl>
      <w:tblPr>
        <w:tblW w:w="5435" w:type="dxa"/>
        <w:jc w:val="left"/>
        <w:tblInd w:w="920" w:type="dxa"/>
        <w:tblLayout w:type="fixed"/>
        <w:tblCellMar>
          <w:top w:w="28" w:type="dxa"/>
          <w:left w:w="28" w:type="dxa"/>
          <w:bottom w:w="28" w:type="dxa"/>
          <w:right w:w="28" w:type="dxa"/>
        </w:tblCellMar>
      </w:tblPr>
      <w:tblGrid>
        <w:gridCol w:w="5281"/>
        <w:gridCol w:w="154"/>
      </w:tblGrid>
      <w:tr>
        <w:trPr/>
        <w:tc>
          <w:tcPr>
            <w:tcW w:w="5281" w:type="dxa"/>
            <w:tcBorders/>
            <w:vAlign w:val="center"/>
          </w:tcPr>
          <w:p>
            <w:pPr>
              <w:pStyle w:val="TableContents"/>
              <w:bidi w:val="0"/>
              <w:spacing w:before="0" w:after="283"/>
              <w:jc w:val="left"/>
              <w:rPr/>
            </w:pPr>
            <w:r>
              <w:rPr/>
              <w:t>RECONCILIATION OF NON-GAAP MEASURES</w:t>
            </w:r>
          </w:p>
        </w:tc>
        <w:tc>
          <w:tcPr>
            <w:tcW w:w="154" w:type="dxa"/>
            <w:tcBorders/>
            <w:tcMar>
              <w:top w:w="0" w:type="dxa"/>
              <w:left w:w="0" w:type="dxa"/>
              <w:bottom w:w="0" w:type="dxa"/>
              <w:right w:w="0" w:type="dxa"/>
            </w:tcMar>
            <w:vAlign w:val="center"/>
          </w:tcPr>
          <w:p>
            <w:pPr>
              <w:pStyle w:val="TableContents"/>
              <w:bidi w:val="0"/>
              <w:spacing w:before="0" w:after="283"/>
              <w:ind w:left="240" w:right="0" w:hanging="0"/>
              <w:jc w:val="right"/>
              <w:rPr>
                <w:bdr w:val="single" w:sz="8" w:space="1" w:color="7F7F7F"/>
              </w:rPr>
            </w:pPr>
            <w:r>
              <w:rPr>
                <w:bdr w:val="single" w:sz="8" w:space="1" w:color="7F7F7F"/>
              </w:rPr>
              <w:t>​</w:t>
            </w:r>
          </w:p>
        </w:tc>
      </w:tr>
    </w:tbl>
    <w:p>
      <w:pPr>
        <w:pStyle w:val="TextBody"/>
        <w:bidi w:val="0"/>
        <w:spacing w:lineRule="atLeast" w:line="240" w:before="24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RECONCILIATION OF NET INCOME (LOSS) FROM CONTINUING OPERATIONS TO ADJUSTED EBITDA</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 xml:space="preserve">(Unaudited) </w:t>
        <w:br/>
        <w:t>(In millions)</w:t>
      </w:r>
      <w:r>
        <w:rPr>
          <w:rFonts w:ascii="Helvetica;Arial Narrow;sans-serif" w:hAnsi="Helvetica;Arial Narrow;sans-serif"/>
          <w:b w:val="false"/>
          <w:i/>
          <w:caps w:val="false"/>
          <w:smallCaps w:val="false"/>
          <w:color w:val="000000"/>
          <w:spacing w:val="4"/>
          <w:sz w:val="18"/>
        </w:rPr>
        <w:t xml:space="preserve"> </w:t>
      </w:r>
    </w:p>
    <w:tbl>
      <w:tblPr>
        <w:tblW w:w="9285" w:type="dxa"/>
        <w:jc w:val="left"/>
        <w:tblInd w:w="920" w:type="dxa"/>
        <w:tblLayout w:type="fixed"/>
        <w:tblCellMar>
          <w:top w:w="0" w:type="dxa"/>
          <w:left w:w="0" w:type="dxa"/>
          <w:bottom w:w="28" w:type="dxa"/>
          <w:right w:w="0" w:type="dxa"/>
        </w:tblCellMar>
      </w:tblPr>
      <w:tblGrid>
        <w:gridCol w:w="124"/>
        <w:gridCol w:w="2449"/>
        <w:gridCol w:w="109"/>
        <w:gridCol w:w="109"/>
        <w:gridCol w:w="109"/>
        <w:gridCol w:w="109"/>
        <w:gridCol w:w="226"/>
        <w:gridCol w:w="664"/>
        <w:gridCol w:w="109"/>
        <w:gridCol w:w="109"/>
        <w:gridCol w:w="109"/>
        <w:gridCol w:w="109"/>
        <w:gridCol w:w="109"/>
        <w:gridCol w:w="226"/>
        <w:gridCol w:w="484"/>
        <w:gridCol w:w="109"/>
        <w:gridCol w:w="109"/>
        <w:gridCol w:w="109"/>
        <w:gridCol w:w="109"/>
        <w:gridCol w:w="109"/>
        <w:gridCol w:w="226"/>
        <w:gridCol w:w="484"/>
        <w:gridCol w:w="109"/>
        <w:gridCol w:w="109"/>
        <w:gridCol w:w="109"/>
        <w:gridCol w:w="109"/>
        <w:gridCol w:w="109"/>
        <w:gridCol w:w="226"/>
        <w:gridCol w:w="484"/>
        <w:gridCol w:w="109"/>
        <w:gridCol w:w="109"/>
        <w:gridCol w:w="109"/>
        <w:gridCol w:w="109"/>
        <w:gridCol w:w="109"/>
        <w:gridCol w:w="226"/>
        <w:gridCol w:w="583"/>
        <w:gridCol w:w="109"/>
        <w:gridCol w:w="158"/>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244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4" w:space="0" w:color="E2231A"/>
            </w:tcBorders>
            <w:vAlign w:val="center"/>
          </w:tcPr>
          <w:p>
            <w:pPr>
              <w:pStyle w:val="TableContents"/>
              <w:bidi w:val="0"/>
              <w:spacing w:before="0" w:after="283"/>
              <w:jc w:val="left"/>
              <w:rPr/>
            </w:pPr>
            <w:r>
              <w:rPr/>
              <w:t>​</w:t>
            </w:r>
          </w:p>
        </w:tc>
        <w:tc>
          <w:tcPr>
            <w:tcW w:w="6227" w:type="dxa"/>
            <w:gridSpan w:val="32"/>
            <w:tcBorders>
              <w:bottom w:val="single" w:sz="4" w:space="0" w:color="E2231A"/>
            </w:tcBorders>
            <w:tcMar>
              <w:bottom w:w="50" w:type="dxa"/>
            </w:tcMar>
            <w:vAlign w:val="center"/>
          </w:tcPr>
          <w:p>
            <w:pPr>
              <w:pStyle w:val="TableContents"/>
              <w:bidi w:val="0"/>
              <w:spacing w:before="0" w:after="0"/>
              <w:jc w:val="center"/>
              <w:rPr/>
            </w:pPr>
            <w:r>
              <w:rPr/>
              <w:t xml:space="preserve">Years Ended December 31, </w:t>
            </w:r>
          </w:p>
        </w:tc>
        <w:tc>
          <w:tcPr>
            <w:tcW w:w="158" w:type="dxa"/>
            <w:tcBorders>
              <w:bottom w:val="single" w:sz="4" w:space="0" w:color="E2231A"/>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8" w:type="dxa"/>
            <w:gridSpan w:val="4"/>
            <w:tcBorders/>
            <w:tcMar>
              <w:bottom w:w="0" w:type="dxa"/>
            </w:tcMar>
            <w:vAlign w:val="center"/>
          </w:tcPr>
          <w:p>
            <w:pPr>
              <w:pStyle w:val="TableContents"/>
              <w:bidi w:val="0"/>
              <w:spacing w:before="0" w:after="0"/>
              <w:jc w:val="center"/>
              <w:rPr/>
            </w:pPr>
            <w:r>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8" w:type="dxa"/>
            <w:gridSpan w:val="4"/>
            <w:tcBorders/>
            <w:tcMar>
              <w:bottom w:w="0" w:type="dxa"/>
            </w:tcMar>
            <w:vAlign w:val="center"/>
          </w:tcPr>
          <w:p>
            <w:pPr>
              <w:pStyle w:val="TableContents"/>
              <w:bidi w:val="0"/>
              <w:spacing w:before="0" w:after="0"/>
              <w:jc w:val="center"/>
              <w:rPr/>
            </w:pPr>
            <w:r>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8" w:type="dxa"/>
            <w:gridSpan w:val="4"/>
            <w:tcBorders/>
            <w:tcMar>
              <w:bottom w:w="0" w:type="dxa"/>
            </w:tcMar>
            <w:vAlign w:val="center"/>
          </w:tcPr>
          <w:p>
            <w:pPr>
              <w:pStyle w:val="TableContents"/>
              <w:bidi w:val="0"/>
              <w:spacing w:before="0" w:after="0"/>
              <w:jc w:val="center"/>
              <w:rPr/>
            </w:pPr>
            <w:r>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8" w:type="dxa"/>
            <w:gridSpan w:val="4"/>
            <w:tcBorders/>
            <w:tcMar>
              <w:bottom w:w="0" w:type="dxa"/>
            </w:tcMar>
            <w:vAlign w:val="center"/>
          </w:tcPr>
          <w:p>
            <w:pPr>
              <w:pStyle w:val="TableContents"/>
              <w:bidi w:val="0"/>
              <w:spacing w:before="0" w:after="0"/>
              <w:jc w:val="center"/>
              <w:rPr/>
            </w:pPr>
            <w:r>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gridSpan w:val="4"/>
            <w:tcBorders/>
            <w:tcMar>
              <w:bottom w:w="0" w:type="dxa"/>
            </w:tcMar>
            <w:vAlign w:val="center"/>
          </w:tcPr>
          <w:p>
            <w:pPr>
              <w:pStyle w:val="TableContents"/>
              <w:bidi w:val="0"/>
              <w:spacing w:before="0" w:after="0"/>
              <w:jc w:val="center"/>
              <w:rPr/>
            </w:pPr>
            <w:r>
              <w:rPr/>
              <w:t xml:space="preserve">2020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449" w:type="dxa"/>
            <w:tcBorders/>
            <w:shd w:fill="D8D8D8" w:val="clear"/>
            <w:tcMar>
              <w:bottom w:w="0" w:type="dxa"/>
            </w:tcMar>
            <w:vAlign w:val="center"/>
          </w:tcPr>
          <w:p>
            <w:pPr>
              <w:pStyle w:val="TableContents"/>
              <w:bidi w:val="0"/>
              <w:spacing w:before="0" w:after="283"/>
              <w:jc w:val="left"/>
              <w:rPr/>
            </w:pPr>
            <w:r>
              <w:rPr/>
              <w:t xml:space="preserve">Net income (loss) from continuing operations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664" w:type="dxa"/>
            <w:tcBorders/>
            <w:shd w:fill="D8D8D8" w:val="clear"/>
            <w:tcMar>
              <w:bottom w:w="0" w:type="dxa"/>
            </w:tcMar>
            <w:vAlign w:val="center"/>
          </w:tcPr>
          <w:p>
            <w:pPr>
              <w:pStyle w:val="TableContents"/>
              <w:bidi w:val="0"/>
              <w:spacing w:before="0" w:after="283"/>
              <w:jc w:val="right"/>
              <w:rPr/>
            </w:pPr>
            <w:r>
              <w:rPr/>
              <w:t xml:space="preserve">387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192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184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96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583" w:type="dxa"/>
            <w:tcBorders/>
            <w:shd w:fill="D8D8D8" w:val="clear"/>
            <w:tcMar>
              <w:bottom w:w="0" w:type="dxa"/>
            </w:tcMar>
            <w:vAlign w:val="center"/>
          </w:tcPr>
          <w:p>
            <w:pPr>
              <w:pStyle w:val="TableContents"/>
              <w:bidi w:val="0"/>
              <w:spacing w:before="0" w:after="283"/>
              <w:jc w:val="right"/>
              <w:rPr/>
            </w:pPr>
            <w:r>
              <w:rPr/>
              <w:t xml:space="preserve">(110)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8"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9" w:type="dxa"/>
            <w:tcBorders/>
            <w:tcMar>
              <w:bottom w:w="0" w:type="dxa"/>
            </w:tcMar>
            <w:vAlign w:val="center"/>
          </w:tcPr>
          <w:p>
            <w:pPr>
              <w:pStyle w:val="TableContents"/>
              <w:bidi w:val="0"/>
              <w:spacing w:before="0" w:after="283"/>
              <w:jc w:val="left"/>
              <w:rPr/>
            </w:pPr>
            <w:r>
              <w:rPr/>
              <w:t xml:space="preserve">Debt extinguishment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4"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449" w:type="dxa"/>
            <w:tcBorders/>
            <w:shd w:fill="D8D8D8" w:val="clear"/>
            <w:tcMar>
              <w:bottom w:w="0" w:type="dxa"/>
            </w:tcMar>
            <w:vAlign w:val="center"/>
          </w:tcPr>
          <w:p>
            <w:pPr>
              <w:pStyle w:val="TableContents"/>
              <w:bidi w:val="0"/>
              <w:spacing w:before="0" w:after="283"/>
              <w:jc w:val="left"/>
              <w:rPr/>
            </w:pPr>
            <w:r>
              <w:rPr/>
              <w:t xml:space="preserve">Interest expense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664" w:type="dxa"/>
            <w:tcBorders/>
            <w:shd w:fill="D8D8D8" w:val="clear"/>
            <w:tcMar>
              <w:bottom w:w="0" w:type="dxa"/>
            </w:tcMar>
            <w:vAlign w:val="center"/>
          </w:tcPr>
          <w:p>
            <w:pPr>
              <w:pStyle w:val="TableContents"/>
              <w:bidi w:val="0"/>
              <w:spacing w:before="0" w:after="283"/>
              <w:jc w:val="right"/>
              <w:rPr/>
            </w:pPr>
            <w:r>
              <w:rPr/>
              <w:t xml:space="preserve">223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168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135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211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583" w:type="dxa"/>
            <w:tcBorders/>
            <w:shd w:fill="D8D8D8" w:val="clear"/>
            <w:tcMar>
              <w:bottom w:w="0" w:type="dxa"/>
            </w:tcMar>
            <w:vAlign w:val="center"/>
          </w:tcPr>
          <w:p>
            <w:pPr>
              <w:pStyle w:val="TableContents"/>
              <w:bidi w:val="0"/>
              <w:spacing w:before="0" w:after="283"/>
              <w:jc w:val="right"/>
              <w:rPr/>
            </w:pPr>
            <w:r>
              <w:rPr/>
              <w:t xml:space="preserve">308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8"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9" w:type="dxa"/>
            <w:tcBorders/>
            <w:tcMar>
              <w:bottom w:w="0" w:type="dxa"/>
            </w:tcMar>
            <w:vAlign w:val="center"/>
          </w:tcPr>
          <w:p>
            <w:pPr>
              <w:pStyle w:val="TableContents"/>
              <w:bidi w:val="0"/>
              <w:spacing w:before="0" w:after="283"/>
              <w:jc w:val="left"/>
              <w:rPr/>
            </w:pPr>
            <w:r>
              <w:rPr/>
              <w:t xml:space="preserve">Income tax provision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4" w:type="dxa"/>
            <w:tcBorders/>
            <w:tcMar>
              <w:bottom w:w="0" w:type="dxa"/>
            </w:tcMar>
            <w:vAlign w:val="center"/>
          </w:tcPr>
          <w:p>
            <w:pPr>
              <w:pStyle w:val="TableContents"/>
              <w:bidi w:val="0"/>
              <w:spacing w:before="0" w:after="283"/>
              <w:jc w:val="right"/>
              <w:rPr/>
            </w:pPr>
            <w:r>
              <w:rPr/>
              <w:t xml:space="preserve">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74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 xml:space="preserve">(54)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449" w:type="dxa"/>
            <w:tcBorders/>
            <w:shd w:fill="D8D8D8" w:val="clear"/>
            <w:tcMar>
              <w:bottom w:w="0" w:type="dxa"/>
            </w:tcMar>
            <w:vAlign w:val="center"/>
          </w:tcPr>
          <w:p>
            <w:pPr>
              <w:pStyle w:val="TableContents"/>
              <w:bidi w:val="0"/>
              <w:spacing w:before="0" w:after="283"/>
              <w:jc w:val="left"/>
              <w:rPr/>
            </w:pPr>
            <w:r>
              <w:rPr/>
              <w:t xml:space="preserve">Depreciation and amortization expense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664" w:type="dxa"/>
            <w:tcBorders/>
            <w:shd w:fill="D8D8D8" w:val="clear"/>
            <w:tcMar>
              <w:bottom w:w="0" w:type="dxa"/>
            </w:tcMar>
            <w:vAlign w:val="center"/>
          </w:tcPr>
          <w:p>
            <w:pPr>
              <w:pStyle w:val="TableContents"/>
              <w:bidi w:val="0"/>
              <w:spacing w:before="0" w:after="283"/>
              <w:jc w:val="right"/>
              <w:rPr/>
            </w:pPr>
            <w:r>
              <w:rPr/>
              <w:t xml:space="preserve">490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432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392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385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583" w:type="dxa"/>
            <w:tcBorders/>
            <w:shd w:fill="D8D8D8" w:val="clear"/>
            <w:tcMar>
              <w:bottom w:w="0" w:type="dxa"/>
            </w:tcMar>
            <w:vAlign w:val="center"/>
          </w:tcPr>
          <w:p>
            <w:pPr>
              <w:pStyle w:val="TableContents"/>
              <w:bidi w:val="0"/>
              <w:spacing w:before="0" w:after="283"/>
              <w:jc w:val="right"/>
              <w:rPr/>
            </w:pPr>
            <w:r>
              <w:rPr/>
              <w:t xml:space="preserve">378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8"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9" w:type="dxa"/>
            <w:tcBorders/>
            <w:tcMar>
              <w:bottom w:w="0" w:type="dxa"/>
            </w:tcMar>
            <w:vAlign w:val="center"/>
          </w:tcPr>
          <w:p>
            <w:pPr>
              <w:pStyle w:val="TableContents"/>
              <w:bidi w:val="0"/>
              <w:spacing w:before="0" w:after="283"/>
              <w:jc w:val="left"/>
              <w:rPr/>
            </w:pPr>
            <w:r>
              <w:rPr/>
              <w:t xml:space="preserve">Goodwill impairment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4"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449" w:type="dxa"/>
            <w:tcBorders/>
            <w:shd w:fill="D8D8D8" w:val="clear"/>
            <w:tcMar>
              <w:bottom w:w="0" w:type="dxa"/>
            </w:tcMar>
            <w:vAlign w:val="center"/>
          </w:tcPr>
          <w:p>
            <w:pPr>
              <w:pStyle w:val="TableContents"/>
              <w:bidi w:val="0"/>
              <w:spacing w:before="0" w:after="283"/>
              <w:jc w:val="left"/>
              <w:rPr/>
            </w:pPr>
            <w:r>
              <w:rPr/>
              <w:t>Litigation matter</w:t>
            </w:r>
            <w:r>
              <w:rPr>
                <w:sz w:val="11"/>
              </w:rPr>
              <w:t>(1)</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664"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583"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8"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9" w:type="dxa"/>
            <w:tcBorders/>
            <w:tcMar>
              <w:bottom w:w="0" w:type="dxa"/>
            </w:tcMar>
            <w:vAlign w:val="center"/>
          </w:tcPr>
          <w:p>
            <w:pPr>
              <w:pStyle w:val="TableContents"/>
              <w:bidi w:val="0"/>
              <w:spacing w:before="0" w:after="283"/>
              <w:jc w:val="left"/>
              <w:rPr/>
            </w:pPr>
            <w:r>
              <w:rPr/>
              <w:t xml:space="preserve">Transaction and integration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4" w:type="dxa"/>
            <w:tcBorders/>
            <w:tcMar>
              <w:bottom w:w="0" w:type="dxa"/>
            </w:tcMar>
            <w:vAlign w:val="center"/>
          </w:tcPr>
          <w:p>
            <w:pPr>
              <w:pStyle w:val="TableContents"/>
              <w:bidi w:val="0"/>
              <w:spacing w:before="0" w:after="283"/>
              <w:jc w:val="right"/>
              <w:rPr/>
            </w:pPr>
            <w:r>
              <w:rPr/>
              <w:t xml:space="preserve">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84" w:type="dxa"/>
            <w:tcBorders/>
            <w:tcMar>
              <w:bottom w:w="0" w:type="dxa"/>
            </w:tcMar>
            <w:vAlign w:val="center"/>
          </w:tcPr>
          <w:p>
            <w:pPr>
              <w:pStyle w:val="TableContents"/>
              <w:bidi w:val="0"/>
              <w:spacing w:before="0" w:after="283"/>
              <w:jc w:val="right"/>
              <w:rPr/>
            </w:pPr>
            <w:r>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449" w:type="dxa"/>
            <w:tcBorders/>
            <w:shd w:fill="D8D8D8" w:val="clear"/>
            <w:tcMar>
              <w:bottom w:w="0" w:type="dxa"/>
            </w:tcMar>
            <w:vAlign w:val="center"/>
          </w:tcPr>
          <w:p>
            <w:pPr>
              <w:pStyle w:val="TableContents"/>
              <w:bidi w:val="0"/>
              <w:spacing w:before="0" w:after="283"/>
              <w:jc w:val="left"/>
              <w:rPr/>
            </w:pPr>
            <w:r>
              <w:rPr/>
              <w:t xml:space="preserve">Restructuring costs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664" w:type="dxa"/>
            <w:tcBorders/>
            <w:shd w:fill="D8D8D8" w:val="clear"/>
            <w:tcMar>
              <w:bottom w:w="0" w:type="dxa"/>
            </w:tcMar>
            <w:vAlign w:val="center"/>
          </w:tcPr>
          <w:p>
            <w:pPr>
              <w:pStyle w:val="TableContents"/>
              <w:bidi w:val="0"/>
              <w:spacing w:before="0" w:after="283"/>
              <w:jc w:val="right"/>
              <w:rPr/>
            </w:pPr>
            <w:r>
              <w:rPr/>
              <w:t xml:space="preserve">27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44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50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484" w:type="dxa"/>
            <w:tcBorders/>
            <w:shd w:fill="D8D8D8" w:val="clear"/>
            <w:tcMar>
              <w:bottom w:w="0" w:type="dxa"/>
            </w:tcMar>
            <w:vAlign w:val="center"/>
          </w:tcPr>
          <w:p>
            <w:pPr>
              <w:pStyle w:val="TableContents"/>
              <w:bidi w:val="0"/>
              <w:spacing w:before="0" w:after="283"/>
              <w:jc w:val="right"/>
              <w:rPr/>
            </w:pPr>
            <w:r>
              <w:rPr/>
              <w:t xml:space="preserve">19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583" w:type="dxa"/>
            <w:tcBorders/>
            <w:shd w:fill="D8D8D8" w:val="clear"/>
            <w:tcMar>
              <w:bottom w:w="0" w:type="dxa"/>
            </w:tcMar>
            <w:vAlign w:val="center"/>
          </w:tcPr>
          <w:p>
            <w:pPr>
              <w:pStyle w:val="TableContents"/>
              <w:bidi w:val="0"/>
              <w:spacing w:before="0" w:after="283"/>
              <w:jc w:val="right"/>
              <w:rPr/>
            </w:pPr>
            <w:r>
              <w:rPr/>
              <w:t xml:space="preserve">22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8"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49" w:type="dxa"/>
            <w:tcBorders>
              <w:bottom w:val="single" w:sz="2" w:space="0" w:color="FFFFFF"/>
            </w:tcBorders>
            <w:tcMar>
              <w:bottom w:w="55" w:type="dxa"/>
            </w:tcMar>
            <w:vAlign w:val="center"/>
          </w:tcPr>
          <w:p>
            <w:pPr>
              <w:pStyle w:val="TableContents"/>
              <w:bidi w:val="0"/>
              <w:spacing w:before="0" w:after="283"/>
              <w:jc w:val="left"/>
              <w:rPr/>
            </w:pPr>
            <w:r>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664" w:type="dxa"/>
            <w:tcBorders>
              <w:bottom w:val="single" w:sz="2" w:space="0" w:color="000000"/>
            </w:tcBorders>
            <w:tcMar>
              <w:bottom w:w="55"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484" w:type="dxa"/>
            <w:tcBorders>
              <w:bottom w:val="single" w:sz="2" w:space="0" w:color="000000"/>
            </w:tcBorders>
            <w:tcMar>
              <w:bottom w:w="55" w:type="dxa"/>
            </w:tcMar>
            <w:vAlign w:val="center"/>
          </w:tcPr>
          <w:p>
            <w:pPr>
              <w:pStyle w:val="TableContents"/>
              <w:bidi w:val="0"/>
              <w:spacing w:before="0" w:after="283"/>
              <w:jc w:val="right"/>
              <w:rPr/>
            </w:pPr>
            <w:r>
              <w:rPr/>
              <w:t xml:space="preserve">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484" w:type="dxa"/>
            <w:tcBorders>
              <w:bottom w:val="single" w:sz="2" w:space="0" w:color="000000"/>
            </w:tcBorders>
            <w:tcMar>
              <w:bottom w:w="55" w:type="dxa"/>
            </w:tcMar>
            <w:vAlign w:val="center"/>
          </w:tcPr>
          <w:p>
            <w:pPr>
              <w:pStyle w:val="TableContents"/>
              <w:bidi w:val="0"/>
              <w:spacing w:before="0" w:after="283"/>
              <w:jc w:val="right"/>
              <w:rPr/>
            </w:pPr>
            <w:r>
              <w:rPr/>
              <w:t xml:space="preserve">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484" w:type="dxa"/>
            <w:tcBorders>
              <w:bottom w:val="single" w:sz="2" w:space="0" w:color="000000"/>
            </w:tcBorders>
            <w:tcMar>
              <w:bottom w:w="55"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583" w:type="dxa"/>
            <w:tcBorders>
              <w:bottom w:val="single" w:sz="2" w:space="0" w:color="000000"/>
            </w:tcBorders>
            <w:tcMar>
              <w:bottom w:w="55" w:type="dxa"/>
            </w:tcMar>
            <w:vAlign w:val="center"/>
          </w:tcPr>
          <w:p>
            <w:pPr>
              <w:pStyle w:val="TableContents"/>
              <w:bidi w:val="0"/>
              <w:spacing w:before="0" w:after="283"/>
              <w:jc w:val="right"/>
              <w:rPr/>
            </w:pPr>
            <w:r>
              <w:rPr/>
              <w:t xml:space="preserve">(2) </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449" w:type="dxa"/>
            <w:tcBorders/>
            <w:shd w:fill="D8D8D8" w:val="clear"/>
            <w:tcMar>
              <w:bottom w:w="0" w:type="dxa"/>
            </w:tcMar>
            <w:vAlign w:val="center"/>
          </w:tcPr>
          <w:p>
            <w:pPr>
              <w:pStyle w:val="TableContents"/>
              <w:bidi w:val="0"/>
              <w:spacing w:before="0" w:after="283"/>
              <w:jc w:val="left"/>
              <w:rPr/>
            </w:pPr>
            <w:r>
              <w:rPr/>
              <w:t xml:space="preserve">Adjusted EBITDA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D8D8D8" w:val="clear"/>
            <w:tcMar>
              <w:bottom w:w="55" w:type="dxa"/>
            </w:tcMar>
            <w:vAlign w:val="center"/>
          </w:tcPr>
          <w:p>
            <w:pPr>
              <w:pStyle w:val="TableContents"/>
              <w:bidi w:val="0"/>
              <w:spacing w:before="0" w:after="283"/>
              <w:jc w:val="right"/>
              <w:rPr/>
            </w:pPr>
            <w:r>
              <w:rPr/>
              <w:t>$</w:t>
            </w:r>
          </w:p>
        </w:tc>
        <w:tc>
          <w:tcPr>
            <w:tcW w:w="664" w:type="dxa"/>
            <w:tcBorders>
              <w:bottom w:val="double" w:sz="8" w:space="0" w:color="000000"/>
            </w:tcBorders>
            <w:shd w:fill="D8D8D8" w:val="clear"/>
            <w:tcMar>
              <w:bottom w:w="55" w:type="dxa"/>
            </w:tcMar>
            <w:vAlign w:val="center"/>
          </w:tcPr>
          <w:p>
            <w:pPr>
              <w:pStyle w:val="TableContents"/>
              <w:bidi w:val="0"/>
              <w:spacing w:before="0" w:after="283"/>
              <w:jc w:val="right"/>
              <w:rPr/>
            </w:pPr>
            <w:r>
              <w:rPr/>
              <w:t xml:space="preserve">1,266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4"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D8D8D8" w:val="clear"/>
            <w:tcMar>
              <w:bottom w:w="55" w:type="dxa"/>
            </w:tcMar>
            <w:vAlign w:val="center"/>
          </w:tcPr>
          <w:p>
            <w:pPr>
              <w:pStyle w:val="TableContents"/>
              <w:bidi w:val="0"/>
              <w:spacing w:before="0" w:after="283"/>
              <w:jc w:val="right"/>
              <w:rPr/>
            </w:pPr>
            <w:r>
              <w:rPr/>
              <w:t>$</w:t>
            </w:r>
          </w:p>
        </w:tc>
        <w:tc>
          <w:tcPr>
            <w:tcW w:w="484" w:type="dxa"/>
            <w:tcBorders>
              <w:bottom w:val="double" w:sz="8" w:space="0" w:color="000000"/>
            </w:tcBorders>
            <w:shd w:fill="D8D8D8" w:val="clear"/>
            <w:tcMar>
              <w:bottom w:w="55" w:type="dxa"/>
            </w:tcMar>
            <w:vAlign w:val="center"/>
          </w:tcPr>
          <w:p>
            <w:pPr>
              <w:pStyle w:val="TableContents"/>
              <w:bidi w:val="0"/>
              <w:spacing w:before="0" w:after="283"/>
              <w:jc w:val="right"/>
              <w:rPr/>
            </w:pPr>
            <w:r>
              <w:rPr/>
              <w:t xml:space="preserve">996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4"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D8D8D8" w:val="clear"/>
            <w:tcMar>
              <w:bottom w:w="55" w:type="dxa"/>
            </w:tcMar>
            <w:vAlign w:val="center"/>
          </w:tcPr>
          <w:p>
            <w:pPr>
              <w:pStyle w:val="TableContents"/>
              <w:bidi w:val="0"/>
              <w:spacing w:before="0" w:after="283"/>
              <w:jc w:val="right"/>
              <w:rPr/>
            </w:pPr>
            <w:r>
              <w:rPr/>
              <w:t>$</w:t>
            </w:r>
          </w:p>
        </w:tc>
        <w:tc>
          <w:tcPr>
            <w:tcW w:w="484" w:type="dxa"/>
            <w:tcBorders>
              <w:bottom w:val="double" w:sz="8" w:space="0" w:color="000000"/>
            </w:tcBorders>
            <w:shd w:fill="D8D8D8" w:val="clear"/>
            <w:tcMar>
              <w:bottom w:w="55" w:type="dxa"/>
            </w:tcMar>
            <w:vAlign w:val="center"/>
          </w:tcPr>
          <w:p>
            <w:pPr>
              <w:pStyle w:val="TableContents"/>
              <w:bidi w:val="0"/>
              <w:spacing w:before="0" w:after="283"/>
              <w:jc w:val="right"/>
              <w:rPr/>
            </w:pPr>
            <w:r>
              <w:rPr/>
              <w:t xml:space="preserve">997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4"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D8D8D8" w:val="clear"/>
            <w:tcMar>
              <w:bottom w:w="55" w:type="dxa"/>
            </w:tcMar>
            <w:vAlign w:val="center"/>
          </w:tcPr>
          <w:p>
            <w:pPr>
              <w:pStyle w:val="TableContents"/>
              <w:bidi w:val="0"/>
              <w:spacing w:before="0" w:after="283"/>
              <w:jc w:val="right"/>
              <w:rPr/>
            </w:pPr>
            <w:r>
              <w:rPr/>
              <w:t>$</w:t>
            </w:r>
          </w:p>
        </w:tc>
        <w:tc>
          <w:tcPr>
            <w:tcW w:w="484" w:type="dxa"/>
            <w:tcBorders>
              <w:bottom w:val="double" w:sz="8" w:space="0" w:color="000000"/>
            </w:tcBorders>
            <w:shd w:fill="D8D8D8" w:val="clear"/>
            <w:tcMar>
              <w:bottom w:w="55" w:type="dxa"/>
            </w:tcMar>
            <w:vAlign w:val="center"/>
          </w:tcPr>
          <w:p>
            <w:pPr>
              <w:pStyle w:val="TableContents"/>
              <w:bidi w:val="0"/>
              <w:spacing w:before="0" w:after="283"/>
              <w:jc w:val="right"/>
              <w:rPr/>
            </w:pPr>
            <w:r>
              <w:rPr/>
              <w:t xml:space="preserve">812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4"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D8D8D8" w:val="clear"/>
            <w:tcMar>
              <w:bottom w:w="55" w:type="dxa"/>
            </w:tcMar>
            <w:vAlign w:val="center"/>
          </w:tcPr>
          <w:p>
            <w:pPr>
              <w:pStyle w:val="TableContents"/>
              <w:bidi w:val="0"/>
              <w:spacing w:before="0" w:after="283"/>
              <w:jc w:val="right"/>
              <w:rPr/>
            </w:pPr>
            <w:r>
              <w:rPr/>
              <w:t>$</w:t>
            </w:r>
          </w:p>
        </w:tc>
        <w:tc>
          <w:tcPr>
            <w:tcW w:w="583" w:type="dxa"/>
            <w:tcBorders>
              <w:bottom w:val="double" w:sz="8" w:space="0" w:color="000000"/>
            </w:tcBorders>
            <w:shd w:fill="D8D8D8" w:val="clear"/>
            <w:tcMar>
              <w:bottom w:w="55" w:type="dxa"/>
            </w:tcMar>
            <w:vAlign w:val="center"/>
          </w:tcPr>
          <w:p>
            <w:pPr>
              <w:pStyle w:val="TableContents"/>
              <w:bidi w:val="0"/>
              <w:spacing w:before="0" w:after="283"/>
              <w:jc w:val="right"/>
              <w:rPr/>
            </w:pPr>
            <w:r>
              <w:rPr/>
              <w:t>609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8"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244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108" w:type="dxa"/>
            <w:gridSpan w:val="4"/>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928" w:type="dxa"/>
            <w:gridSpan w:val="4"/>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928" w:type="dxa"/>
            <w:gridSpan w:val="4"/>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928" w:type="dxa"/>
            <w:gridSpan w:val="4"/>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027" w:type="dxa"/>
            <w:gridSpan w:val="4"/>
            <w:tcBorders/>
            <w:shd w:fill="D8D8D8" w:val="clear"/>
            <w:tcMar>
              <w:top w:w="28" w:type="dxa"/>
              <w:left w:w="28" w:type="dxa"/>
              <w:right w:w="28" w:type="dxa"/>
            </w:tcMar>
            <w:vAlign w:val="center"/>
          </w:tcPr>
          <w:p>
            <w:pPr>
              <w:pStyle w:val="TableContents"/>
              <w:bidi w:val="0"/>
              <w:spacing w:before="0" w:after="283"/>
              <w:jc w:val="left"/>
              <w:rPr/>
            </w:pPr>
            <w:r>
              <w:rPr/>
              <w:t>​</w:t>
            </w:r>
          </w:p>
        </w:tc>
        <w:tc>
          <w:tcPr>
            <w:tcW w:w="158" w:type="dxa"/>
            <w:tcBorders/>
            <w:shd w:fill="D8D8D8" w:val="clear"/>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190" w:before="119" w:after="283"/>
        <w:ind w:left="9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Amounts may not add due to rounding.</w:t>
      </w:r>
      <w:r>
        <w:rPr>
          <w:rFonts w:ascii="Arial Narrow;Helvetica;sans-serif" w:hAnsi="Arial Narrow;Helvetica;sans-serif"/>
          <w:b w:val="false"/>
          <w:i w:val="false"/>
          <w:caps w:val="false"/>
          <w:smallCaps w:val="false"/>
          <w:color w:val="000000"/>
          <w:spacing w:val="3"/>
          <w:sz w:val="15"/>
        </w:rPr>
        <w:t xml:space="preserve"> </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Relates to California Environmental Matters as described in Note 18 to the Company’s Annual Report on Form 10-K for the year ended December 31, 2024. </w:t>
      </w:r>
      <w:r>
        <mc:AlternateContent>
          <mc:Choice Requires="wps">
            <w:drawing>
              <wp:anchor behindDoc="0" distT="50800" distB="0" distL="0" distR="0" simplePos="0" locked="0" layoutInCell="1" allowOverlap="1" relativeHeight="433">
                <wp:simplePos x="0" y="0"/>
                <wp:positionH relativeFrom="column">
                  <wp:align>left</wp:align>
                </wp:positionH>
                <wp:positionV relativeFrom="line">
                  <wp:align>top</wp:align>
                </wp:positionV>
                <wp:extent cx="254000" cy="241300"/>
                <wp:effectExtent l="0" t="0" r="0" b="0"/>
                <wp:wrapSquare wrapText="right"/>
                <wp:docPr id="434" name="Frame308"/>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65</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color w:val="E2231A"/>
          <w:spacing w:val="-2"/>
          <w:sz w:val="20"/>
        </w:rPr>
        <w:t>Reconciliation of Adjusted Net Income and Adjusted Diluted Earnings Per Share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 xml:space="preserve">(Unaudited) </w:t>
        <w:br/>
        <w:t>(In millions, except per share data)</w:t>
      </w:r>
      <w:r>
        <w:rPr>
          <w:rFonts w:ascii="Helvetica;Arial Narrow;sans-serif" w:hAnsi="Helvetica;Arial Narrow;sans-serif"/>
          <w:b w:val="false"/>
          <w:i/>
          <w:caps w:val="false"/>
          <w:smallCaps w:val="false"/>
          <w:color w:val="000000"/>
          <w:spacing w:val="4"/>
          <w:sz w:val="18"/>
        </w:rPr>
        <w:t xml:space="preserve"> </w:t>
      </w:r>
    </w:p>
    <w:tbl>
      <w:tblPr>
        <w:tblW w:w="9285" w:type="dxa"/>
        <w:jc w:val="left"/>
        <w:tblInd w:w="920" w:type="dxa"/>
        <w:tblLayout w:type="fixed"/>
        <w:tblCellMar>
          <w:top w:w="0" w:type="dxa"/>
          <w:left w:w="0" w:type="dxa"/>
          <w:bottom w:w="28" w:type="dxa"/>
          <w:right w:w="0" w:type="dxa"/>
        </w:tblCellMar>
      </w:tblPr>
      <w:tblGrid>
        <w:gridCol w:w="124"/>
        <w:gridCol w:w="5921"/>
        <w:gridCol w:w="109"/>
        <w:gridCol w:w="109"/>
        <w:gridCol w:w="109"/>
        <w:gridCol w:w="132"/>
        <w:gridCol w:w="275"/>
        <w:gridCol w:w="640"/>
        <w:gridCol w:w="132"/>
        <w:gridCol w:w="132"/>
        <w:gridCol w:w="132"/>
        <w:gridCol w:w="132"/>
        <w:gridCol w:w="132"/>
        <w:gridCol w:w="275"/>
        <w:gridCol w:w="640"/>
        <w:gridCol w:w="132"/>
        <w:gridCol w:w="159"/>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592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4" w:space="0" w:color="E2231A"/>
            </w:tcBorders>
            <w:vAlign w:val="center"/>
          </w:tcPr>
          <w:p>
            <w:pPr>
              <w:pStyle w:val="TableContents"/>
              <w:bidi w:val="0"/>
              <w:spacing w:before="0" w:after="283"/>
              <w:jc w:val="left"/>
              <w:rPr/>
            </w:pPr>
            <w:r>
              <w:rPr/>
              <w:t>​</w:t>
            </w:r>
          </w:p>
        </w:tc>
        <w:tc>
          <w:tcPr>
            <w:tcW w:w="2754" w:type="dxa"/>
            <w:gridSpan w:val="11"/>
            <w:tcBorders>
              <w:bottom w:val="single" w:sz="4" w:space="0" w:color="E2231A"/>
            </w:tcBorders>
            <w:tcMar>
              <w:bottom w:w="50" w:type="dxa"/>
            </w:tcMar>
            <w:vAlign w:val="center"/>
          </w:tcPr>
          <w:p>
            <w:pPr>
              <w:pStyle w:val="TableContents"/>
              <w:bidi w:val="0"/>
              <w:spacing w:before="0" w:after="0"/>
              <w:jc w:val="center"/>
              <w:rPr/>
            </w:pPr>
            <w:r>
              <w:rPr/>
              <w:t xml:space="preserve">Years Ended December 31, </w:t>
            </w:r>
          </w:p>
        </w:tc>
        <w:tc>
          <w:tcPr>
            <w:tcW w:w="159" w:type="dxa"/>
            <w:tcBorders>
              <w:bottom w:val="single" w:sz="4" w:space="0" w:color="E2231A"/>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gridSpan w:val="4"/>
            <w:tcBorders/>
            <w:tcMar>
              <w:bottom w:w="0" w:type="dxa"/>
            </w:tcMar>
            <w:vAlign w:val="center"/>
          </w:tcPr>
          <w:p>
            <w:pPr>
              <w:pStyle w:val="TableContents"/>
              <w:bidi w:val="0"/>
              <w:spacing w:before="0" w:after="0"/>
              <w:jc w:val="center"/>
              <w:rPr/>
            </w:pPr>
            <w:r>
              <w:rPr/>
              <w:t xml:space="preserve">2024 </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179" w:type="dxa"/>
            <w:gridSpan w:val="4"/>
            <w:tcBorders/>
            <w:tcMar>
              <w:bottom w:w="0" w:type="dxa"/>
            </w:tcMar>
            <w:vAlign w:val="center"/>
          </w:tcPr>
          <w:p>
            <w:pPr>
              <w:pStyle w:val="TableContents"/>
              <w:bidi w:val="0"/>
              <w:spacing w:before="0" w:after="0"/>
              <w:jc w:val="center"/>
              <w:rPr/>
            </w:pPr>
            <w:r>
              <w:rPr/>
              <w:t xml:space="preserve">2023 </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921" w:type="dxa"/>
            <w:tcBorders/>
            <w:shd w:fill="D8D8D8" w:val="clear"/>
            <w:tcMar>
              <w:bottom w:w="0" w:type="dxa"/>
            </w:tcMar>
            <w:vAlign w:val="center"/>
          </w:tcPr>
          <w:p>
            <w:pPr>
              <w:pStyle w:val="TableContents"/>
              <w:bidi w:val="0"/>
              <w:spacing w:before="0" w:after="283"/>
              <w:jc w:val="left"/>
              <w:rPr/>
            </w:pPr>
            <w:r>
              <w:rPr/>
              <w:t>Net income from continuing operations</w:t>
            </w:r>
            <w:r>
              <w:rPr>
                <w:sz w:val="11"/>
              </w:rPr>
              <w:t>(1)</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0"/>
              <w:jc w:val="right"/>
              <w:rPr>
                <w:b/>
              </w:rPr>
            </w:pPr>
            <w:r>
              <w:rPr>
                <w:b/>
              </w:rPr>
              <w:t>$</w:t>
            </w:r>
          </w:p>
        </w:tc>
        <w:tc>
          <w:tcPr>
            <w:tcW w:w="640" w:type="dxa"/>
            <w:tcBorders/>
            <w:shd w:fill="D8D8D8" w:val="clear"/>
            <w:tcMar>
              <w:bottom w:w="0" w:type="dxa"/>
            </w:tcMar>
            <w:vAlign w:val="center"/>
          </w:tcPr>
          <w:p>
            <w:pPr>
              <w:pStyle w:val="TableContents"/>
              <w:bidi w:val="0"/>
              <w:spacing w:before="0" w:after="0"/>
              <w:jc w:val="right"/>
              <w:rPr>
                <w:b/>
              </w:rPr>
            </w:pPr>
            <w:r>
              <w:rPr>
                <w:b/>
              </w:rPr>
              <w:t>387</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0"/>
              <w:jc w:val="right"/>
              <w:rPr>
                <w:b/>
              </w:rPr>
            </w:pPr>
            <w:r>
              <w:rPr>
                <w:b/>
              </w:rPr>
              <w:t>$</w:t>
            </w:r>
          </w:p>
        </w:tc>
        <w:tc>
          <w:tcPr>
            <w:tcW w:w="640" w:type="dxa"/>
            <w:tcBorders/>
            <w:shd w:fill="D8D8D8" w:val="clear"/>
            <w:tcMar>
              <w:bottom w:w="0" w:type="dxa"/>
            </w:tcMar>
            <w:vAlign w:val="center"/>
          </w:tcPr>
          <w:p>
            <w:pPr>
              <w:pStyle w:val="TableContents"/>
              <w:bidi w:val="0"/>
              <w:spacing w:before="0" w:after="0"/>
              <w:jc w:val="right"/>
              <w:rPr>
                <w:b/>
              </w:rPr>
            </w:pPr>
            <w:r>
              <w:rPr>
                <w:b/>
              </w:rPr>
              <w:t>192</w:t>
            </w:r>
          </w:p>
        </w:tc>
        <w:tc>
          <w:tcPr>
            <w:tcW w:w="132" w:type="dxa"/>
            <w:tcBorders/>
            <w:shd w:fill="D8D8D8" w:val="clear"/>
            <w:tcMar>
              <w:bottom w:w="0" w:type="dxa"/>
            </w:tcMar>
            <w:vAlign w:val="center"/>
          </w:tcPr>
          <w:p>
            <w:pPr>
              <w:pStyle w:val="TableContents"/>
              <w:bidi w:val="0"/>
              <w:spacing w:before="0" w:after="283"/>
              <w:jc w:val="left"/>
              <w:rPr/>
            </w:pPr>
            <w:r>
              <w:rPr/>
              <w:t>​</w:t>
            </w:r>
          </w:p>
        </w:tc>
        <w:tc>
          <w:tcPr>
            <w:tcW w:w="159"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21" w:type="dxa"/>
            <w:tcBorders/>
            <w:tcMar>
              <w:bottom w:w="0" w:type="dxa"/>
            </w:tcMar>
            <w:vAlign w:val="center"/>
          </w:tcPr>
          <w:p>
            <w:pPr>
              <w:pStyle w:val="TableContents"/>
              <w:bidi w:val="0"/>
              <w:spacing w:before="0" w:after="0"/>
              <w:ind w:left="170" w:right="0" w:hanging="0"/>
              <w:jc w:val="left"/>
              <w:rPr/>
            </w:pPr>
            <w:r>
              <w:rPr/>
              <w:t xml:space="preserve">Debt extinguishment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25</w:t>
            </w:r>
          </w:p>
        </w:tc>
        <w:tc>
          <w:tcPr>
            <w:tcW w:w="13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921" w:type="dxa"/>
            <w:tcBorders/>
            <w:shd w:fill="D8D8D8" w:val="clear"/>
            <w:tcMar>
              <w:bottom w:w="0" w:type="dxa"/>
            </w:tcMar>
            <w:vAlign w:val="center"/>
          </w:tcPr>
          <w:p>
            <w:pPr>
              <w:pStyle w:val="TableContents"/>
              <w:bidi w:val="0"/>
              <w:spacing w:before="0" w:after="0"/>
              <w:ind w:left="170" w:right="0" w:hanging="0"/>
              <w:jc w:val="left"/>
              <w:rPr/>
            </w:pPr>
            <w:r>
              <w:rPr/>
              <w:t xml:space="preserve">Amortization of acquisition-related intangible assets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283"/>
              <w:jc w:val="right"/>
              <w:rPr/>
            </w:pPr>
            <w:r>
              <w:rPr/>
              <w:t>​</w:t>
            </w:r>
          </w:p>
        </w:tc>
        <w:tc>
          <w:tcPr>
            <w:tcW w:w="640" w:type="dxa"/>
            <w:tcBorders/>
            <w:shd w:fill="D8D8D8" w:val="clear"/>
            <w:tcMar>
              <w:bottom w:w="0" w:type="dxa"/>
            </w:tcMar>
            <w:vAlign w:val="center"/>
          </w:tcPr>
          <w:p>
            <w:pPr>
              <w:pStyle w:val="TableContents"/>
              <w:bidi w:val="0"/>
              <w:spacing w:before="0" w:after="283"/>
              <w:jc w:val="right"/>
              <w:rPr/>
            </w:pPr>
            <w:r>
              <w:rPr/>
              <w:t>57</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283"/>
              <w:jc w:val="right"/>
              <w:rPr/>
            </w:pPr>
            <w:r>
              <w:rPr/>
              <w:t>​</w:t>
            </w:r>
          </w:p>
        </w:tc>
        <w:tc>
          <w:tcPr>
            <w:tcW w:w="640" w:type="dxa"/>
            <w:tcBorders/>
            <w:shd w:fill="D8D8D8" w:val="clear"/>
            <w:tcMar>
              <w:bottom w:w="0" w:type="dxa"/>
            </w:tcMar>
            <w:vAlign w:val="center"/>
          </w:tcPr>
          <w:p>
            <w:pPr>
              <w:pStyle w:val="TableContents"/>
              <w:bidi w:val="0"/>
              <w:spacing w:before="0" w:after="283"/>
              <w:jc w:val="right"/>
              <w:rPr/>
            </w:pPr>
            <w:r>
              <w:rPr/>
              <w:t>55</w:t>
            </w:r>
          </w:p>
        </w:tc>
        <w:tc>
          <w:tcPr>
            <w:tcW w:w="132" w:type="dxa"/>
            <w:tcBorders/>
            <w:shd w:fill="D8D8D8" w:val="clear"/>
            <w:tcMar>
              <w:bottom w:w="0" w:type="dxa"/>
            </w:tcMar>
            <w:vAlign w:val="center"/>
          </w:tcPr>
          <w:p>
            <w:pPr>
              <w:pStyle w:val="TableContents"/>
              <w:bidi w:val="0"/>
              <w:spacing w:before="0" w:after="283"/>
              <w:jc w:val="left"/>
              <w:rPr/>
            </w:pPr>
            <w:r>
              <w:rPr/>
              <w:t>​</w:t>
            </w:r>
          </w:p>
        </w:tc>
        <w:tc>
          <w:tcPr>
            <w:tcW w:w="159"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21" w:type="dxa"/>
            <w:tcBorders/>
            <w:tcMar>
              <w:bottom w:w="0" w:type="dxa"/>
            </w:tcMar>
            <w:vAlign w:val="center"/>
          </w:tcPr>
          <w:p>
            <w:pPr>
              <w:pStyle w:val="TableContents"/>
              <w:bidi w:val="0"/>
              <w:spacing w:before="0" w:after="0"/>
              <w:ind w:left="170" w:right="0" w:hanging="0"/>
              <w:jc w:val="left"/>
              <w:rPr/>
            </w:pPr>
            <w:r>
              <w:rPr/>
              <w:t>Litigation matter</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8</w:t>
            </w:r>
          </w:p>
        </w:tc>
        <w:tc>
          <w:tcPr>
            <w:tcW w:w="13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921" w:type="dxa"/>
            <w:tcBorders/>
            <w:shd w:fill="D8D8D8" w:val="clear"/>
            <w:tcMar>
              <w:bottom w:w="0" w:type="dxa"/>
            </w:tcMar>
            <w:vAlign w:val="center"/>
          </w:tcPr>
          <w:p>
            <w:pPr>
              <w:pStyle w:val="TableContents"/>
              <w:bidi w:val="0"/>
              <w:spacing w:before="0" w:after="0"/>
              <w:ind w:left="170" w:right="0" w:hanging="0"/>
              <w:jc w:val="left"/>
              <w:rPr/>
            </w:pPr>
            <w:r>
              <w:rPr/>
              <w:t xml:space="preserve">Transaction and integration costs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283"/>
              <w:jc w:val="right"/>
              <w:rPr/>
            </w:pPr>
            <w:r>
              <w:rPr/>
              <w:t>​</w:t>
            </w:r>
          </w:p>
        </w:tc>
        <w:tc>
          <w:tcPr>
            <w:tcW w:w="640" w:type="dxa"/>
            <w:tcBorders/>
            <w:shd w:fill="D8D8D8" w:val="clear"/>
            <w:tcMar>
              <w:bottom w:w="0" w:type="dxa"/>
            </w:tcMar>
            <w:vAlign w:val="center"/>
          </w:tcPr>
          <w:p>
            <w:pPr>
              <w:pStyle w:val="TableContents"/>
              <w:bidi w:val="0"/>
              <w:spacing w:before="0" w:after="283"/>
              <w:jc w:val="right"/>
              <w:rPr/>
            </w:pPr>
            <w:r>
              <w:rPr/>
              <w:t>53</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283"/>
              <w:jc w:val="right"/>
              <w:rPr/>
            </w:pPr>
            <w:r>
              <w:rPr/>
              <w:t>​</w:t>
            </w:r>
          </w:p>
        </w:tc>
        <w:tc>
          <w:tcPr>
            <w:tcW w:w="640" w:type="dxa"/>
            <w:tcBorders/>
            <w:shd w:fill="D8D8D8" w:val="clear"/>
            <w:tcMar>
              <w:bottom w:w="0" w:type="dxa"/>
            </w:tcMar>
            <w:vAlign w:val="center"/>
          </w:tcPr>
          <w:p>
            <w:pPr>
              <w:pStyle w:val="TableContents"/>
              <w:bidi w:val="0"/>
              <w:spacing w:before="0" w:after="283"/>
              <w:jc w:val="right"/>
              <w:rPr/>
            </w:pPr>
            <w:r>
              <w:rPr/>
              <w:t>58</w:t>
            </w:r>
          </w:p>
        </w:tc>
        <w:tc>
          <w:tcPr>
            <w:tcW w:w="132" w:type="dxa"/>
            <w:tcBorders/>
            <w:shd w:fill="D8D8D8" w:val="clear"/>
            <w:tcMar>
              <w:bottom w:w="0" w:type="dxa"/>
            </w:tcMar>
            <w:vAlign w:val="center"/>
          </w:tcPr>
          <w:p>
            <w:pPr>
              <w:pStyle w:val="TableContents"/>
              <w:bidi w:val="0"/>
              <w:spacing w:before="0" w:after="283"/>
              <w:jc w:val="left"/>
              <w:rPr/>
            </w:pPr>
            <w:r>
              <w:rPr/>
              <w:t>​</w:t>
            </w:r>
          </w:p>
        </w:tc>
        <w:tc>
          <w:tcPr>
            <w:tcW w:w="159"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21" w:type="dxa"/>
            <w:tcBorders/>
            <w:tcMar>
              <w:bottom w:w="0" w:type="dxa"/>
            </w:tcMar>
            <w:vAlign w:val="center"/>
          </w:tcPr>
          <w:p>
            <w:pPr>
              <w:pStyle w:val="TableContents"/>
              <w:bidi w:val="0"/>
              <w:spacing w:before="0" w:after="0"/>
              <w:ind w:left="170" w:right="0" w:hanging="0"/>
              <w:jc w:val="left"/>
              <w:rPr/>
            </w:pPr>
            <w:r>
              <w:rPr/>
              <w:t xml:space="preserve">Restructuring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27</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44</w:t>
            </w:r>
          </w:p>
        </w:tc>
        <w:tc>
          <w:tcPr>
            <w:tcW w:w="13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921" w:type="dxa"/>
            <w:tcBorders/>
            <w:shd w:fill="D8D8D8" w:val="clear"/>
            <w:tcMar>
              <w:bottom w:w="0" w:type="dxa"/>
            </w:tcMar>
            <w:vAlign w:val="center"/>
          </w:tcPr>
          <w:p>
            <w:pPr>
              <w:pStyle w:val="TableContents"/>
              <w:bidi w:val="0"/>
              <w:spacing w:before="0" w:after="0"/>
              <w:ind w:left="170" w:right="0" w:hanging="0"/>
              <w:jc w:val="left"/>
              <w:rPr/>
            </w:pPr>
            <w:r>
              <w:rPr/>
              <w:t>Income tax associated with the adjustments above</w:t>
            </w:r>
            <w:r>
              <w:rPr>
                <w:sz w:val="11"/>
              </w:rPr>
              <w:t>(3)</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283"/>
              <w:jc w:val="right"/>
              <w:rPr/>
            </w:pPr>
            <w:r>
              <w:rPr/>
              <w:t>​</w:t>
            </w:r>
          </w:p>
        </w:tc>
        <w:tc>
          <w:tcPr>
            <w:tcW w:w="640" w:type="dxa"/>
            <w:tcBorders/>
            <w:shd w:fill="D8D8D8" w:val="clear"/>
            <w:tcMar>
              <w:bottom w:w="0" w:type="dxa"/>
            </w:tcMar>
            <w:vAlign w:val="center"/>
          </w:tcPr>
          <w:p>
            <w:pPr>
              <w:pStyle w:val="TableContents"/>
              <w:bidi w:val="0"/>
              <w:spacing w:before="0" w:after="283"/>
              <w:jc w:val="right"/>
              <w:rPr/>
            </w:pPr>
            <w:r>
              <w:rPr/>
              <w:t>(24)</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283"/>
              <w:jc w:val="right"/>
              <w:rPr/>
            </w:pPr>
            <w:r>
              <w:rPr/>
              <w:t>​</w:t>
            </w:r>
          </w:p>
        </w:tc>
        <w:tc>
          <w:tcPr>
            <w:tcW w:w="640" w:type="dxa"/>
            <w:tcBorders/>
            <w:shd w:fill="D8D8D8" w:val="clear"/>
            <w:tcMar>
              <w:bottom w:w="0" w:type="dxa"/>
            </w:tcMar>
            <w:vAlign w:val="center"/>
          </w:tcPr>
          <w:p>
            <w:pPr>
              <w:pStyle w:val="TableContents"/>
              <w:bidi w:val="0"/>
              <w:spacing w:before="0" w:after="283"/>
              <w:jc w:val="right"/>
              <w:rPr/>
            </w:pPr>
            <w:r>
              <w:rPr/>
              <w:t>(36)</w:t>
            </w:r>
          </w:p>
        </w:tc>
        <w:tc>
          <w:tcPr>
            <w:tcW w:w="132" w:type="dxa"/>
            <w:tcBorders/>
            <w:shd w:fill="D8D8D8" w:val="clear"/>
            <w:tcMar>
              <w:bottom w:w="0" w:type="dxa"/>
            </w:tcMar>
            <w:vAlign w:val="center"/>
          </w:tcPr>
          <w:p>
            <w:pPr>
              <w:pStyle w:val="TableContents"/>
              <w:bidi w:val="0"/>
              <w:spacing w:before="0" w:after="283"/>
              <w:jc w:val="left"/>
              <w:rPr/>
            </w:pPr>
            <w:r>
              <w:rPr/>
              <w:t>​</w:t>
            </w:r>
          </w:p>
        </w:tc>
        <w:tc>
          <w:tcPr>
            <w:tcW w:w="159"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921" w:type="dxa"/>
            <w:tcBorders>
              <w:bottom w:val="single" w:sz="2" w:space="0" w:color="FFFFFF"/>
            </w:tcBorders>
            <w:tcMar>
              <w:bottom w:w="55" w:type="dxa"/>
            </w:tcMar>
            <w:vAlign w:val="center"/>
          </w:tcPr>
          <w:p>
            <w:pPr>
              <w:pStyle w:val="TableContents"/>
              <w:bidi w:val="0"/>
              <w:spacing w:lineRule="atLeast" w:line="142" w:before="0" w:after="0"/>
              <w:ind w:left="170" w:right="0" w:hanging="0"/>
              <w:jc w:val="left"/>
              <w:rPr/>
            </w:pPr>
            <w:r>
              <w:rPr/>
              <w:t>European legal entity reorganization</w:t>
            </w:r>
            <w:r>
              <w:rPr>
                <w:sz w:val="11"/>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275" w:type="dxa"/>
            <w:tcBorders>
              <w:bottom w:val="single" w:sz="2" w:space="0" w:color="000000"/>
            </w:tcBorders>
            <w:tcMar>
              <w:bottom w:w="55" w:type="dxa"/>
            </w:tcMar>
            <w:vAlign w:val="center"/>
          </w:tcPr>
          <w:p>
            <w:pPr>
              <w:pStyle w:val="TableContents"/>
              <w:bidi w:val="0"/>
              <w:spacing w:before="0" w:after="283"/>
              <w:jc w:val="right"/>
              <w:rPr/>
            </w:pPr>
            <w:r>
              <w:rPr/>
              <w:t>​</w:t>
            </w:r>
          </w:p>
        </w:tc>
        <w:tc>
          <w:tcPr>
            <w:tcW w:w="640" w:type="dxa"/>
            <w:tcBorders>
              <w:bottom w:val="single" w:sz="2" w:space="0" w:color="000000"/>
            </w:tcBorders>
            <w:tcMar>
              <w:bottom w:w="55" w:type="dxa"/>
            </w:tcMar>
            <w:vAlign w:val="center"/>
          </w:tcPr>
          <w:p>
            <w:pPr>
              <w:pStyle w:val="TableContents"/>
              <w:bidi w:val="0"/>
              <w:spacing w:before="0" w:after="283"/>
              <w:jc w:val="right"/>
              <w:rPr/>
            </w:pPr>
            <w:r>
              <w:rPr/>
              <w:t>(41)</w:t>
            </w:r>
          </w:p>
        </w:tc>
        <w:tc>
          <w:tcPr>
            <w:tcW w:w="132" w:type="dxa"/>
            <w:tcBorders>
              <w:bottom w:val="single" w:sz="2" w:space="0" w:color="FFFFFF"/>
            </w:tcBorders>
            <w:vAlign w:val="center"/>
          </w:tcPr>
          <w:p>
            <w:pPr>
              <w:pStyle w:val="TableContents"/>
              <w:bidi w:val="0"/>
              <w:spacing w:before="0" w:after="283"/>
              <w:jc w:val="lef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275" w:type="dxa"/>
            <w:tcBorders>
              <w:bottom w:val="single" w:sz="2" w:space="0" w:color="000000"/>
            </w:tcBorders>
            <w:tcMar>
              <w:bottom w:w="55" w:type="dxa"/>
            </w:tcMar>
            <w:vAlign w:val="center"/>
          </w:tcPr>
          <w:p>
            <w:pPr>
              <w:pStyle w:val="TableContents"/>
              <w:bidi w:val="0"/>
              <w:spacing w:before="0" w:after="283"/>
              <w:jc w:val="right"/>
              <w:rPr/>
            </w:pPr>
            <w:r>
              <w:rPr/>
              <w:t>​</w:t>
            </w:r>
          </w:p>
        </w:tc>
        <w:tc>
          <w:tcPr>
            <w:tcW w:w="640" w:type="dxa"/>
            <w:tcBorders>
              <w:bottom w:val="single" w:sz="2" w:space="0" w:color="000000"/>
            </w:tcBorders>
            <w:tcMar>
              <w:bottom w:w="55" w:type="dxa"/>
            </w:tcMar>
            <w:vAlign w:val="center"/>
          </w:tcPr>
          <w:p>
            <w:pPr>
              <w:pStyle w:val="TableContents"/>
              <w:bidi w:val="0"/>
              <w:spacing w:before="0" w:after="283"/>
              <w:jc w:val="righ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921" w:type="dxa"/>
            <w:tcBorders/>
            <w:shd w:fill="D8D8D8" w:val="clear"/>
            <w:tcMar>
              <w:bottom w:w="0" w:type="dxa"/>
            </w:tcMar>
            <w:vAlign w:val="center"/>
          </w:tcPr>
          <w:p>
            <w:pPr>
              <w:pStyle w:val="TableContents"/>
              <w:bidi w:val="0"/>
              <w:spacing w:before="0" w:after="283"/>
              <w:jc w:val="left"/>
              <w:rPr/>
            </w:pPr>
            <w:r>
              <w:rPr/>
              <w:t>Adjusted net income from continuing operations</w:t>
            </w:r>
            <w:r>
              <w:rPr>
                <w:sz w:val="11"/>
              </w:rPr>
              <w:t>(1)</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bottom w:val="double" w:sz="8" w:space="0" w:color="000000"/>
            </w:tcBorders>
            <w:shd w:fill="D8D8D8" w:val="clear"/>
            <w:tcMar>
              <w:bottom w:w="55" w:type="dxa"/>
            </w:tcMar>
            <w:vAlign w:val="center"/>
          </w:tcPr>
          <w:p>
            <w:pPr>
              <w:pStyle w:val="TableContents"/>
              <w:bidi w:val="0"/>
              <w:spacing w:before="0" w:after="283"/>
              <w:jc w:val="right"/>
              <w:rPr/>
            </w:pPr>
            <w:r>
              <w:rPr/>
              <w:t>$</w:t>
            </w:r>
          </w:p>
        </w:tc>
        <w:tc>
          <w:tcPr>
            <w:tcW w:w="640" w:type="dxa"/>
            <w:tcBorders>
              <w:bottom w:val="double" w:sz="8" w:space="0" w:color="000000"/>
            </w:tcBorders>
            <w:shd w:fill="D8D8D8" w:val="clear"/>
            <w:tcMar>
              <w:bottom w:w="55" w:type="dxa"/>
            </w:tcMar>
            <w:vAlign w:val="center"/>
          </w:tcPr>
          <w:p>
            <w:pPr>
              <w:pStyle w:val="TableContents"/>
              <w:bidi w:val="0"/>
              <w:spacing w:before="0" w:after="283"/>
              <w:jc w:val="right"/>
              <w:rPr/>
            </w:pPr>
            <w:r>
              <w:rPr/>
              <w:t>460</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bottom w:val="single" w:sz="24" w:space="0" w:color="7F7F7F"/>
            </w:tcBorders>
            <w:shd w:fill="7F7F7F" w:val="cle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bottom w:val="double" w:sz="8" w:space="0" w:color="000000"/>
            </w:tcBorders>
            <w:shd w:fill="D8D8D8" w:val="clear"/>
            <w:tcMar>
              <w:bottom w:w="55" w:type="dxa"/>
            </w:tcMar>
            <w:vAlign w:val="center"/>
          </w:tcPr>
          <w:p>
            <w:pPr>
              <w:pStyle w:val="TableContents"/>
              <w:bidi w:val="0"/>
              <w:spacing w:before="0" w:after="283"/>
              <w:jc w:val="right"/>
              <w:rPr/>
            </w:pPr>
            <w:r>
              <w:rPr/>
              <w:t>$</w:t>
            </w:r>
          </w:p>
        </w:tc>
        <w:tc>
          <w:tcPr>
            <w:tcW w:w="640" w:type="dxa"/>
            <w:tcBorders>
              <w:bottom w:val="double" w:sz="8" w:space="0" w:color="000000"/>
            </w:tcBorders>
            <w:shd w:fill="D8D8D8" w:val="clear"/>
            <w:tcMar>
              <w:bottom w:w="55" w:type="dxa"/>
            </w:tcMar>
            <w:vAlign w:val="center"/>
          </w:tcPr>
          <w:p>
            <w:pPr>
              <w:pStyle w:val="TableContents"/>
              <w:bidi w:val="0"/>
              <w:spacing w:before="0" w:after="283"/>
              <w:jc w:val="right"/>
              <w:rPr/>
            </w:pPr>
            <w:r>
              <w:rPr/>
              <w:t>346</w:t>
            </w:r>
          </w:p>
        </w:tc>
        <w:tc>
          <w:tcPr>
            <w:tcW w:w="132" w:type="dxa"/>
            <w:tcBorders/>
            <w:shd w:fill="D8D8D8" w:val="clear"/>
            <w:tcMar>
              <w:bottom w:w="0" w:type="dxa"/>
            </w:tcMar>
            <w:vAlign w:val="center"/>
          </w:tcPr>
          <w:p>
            <w:pPr>
              <w:pStyle w:val="TableContents"/>
              <w:bidi w:val="0"/>
              <w:spacing w:before="0" w:after="283"/>
              <w:jc w:val="left"/>
              <w:rPr/>
            </w:pPr>
            <w:r>
              <w:rPr/>
              <w:t>​</w:t>
            </w:r>
          </w:p>
        </w:tc>
        <w:tc>
          <w:tcPr>
            <w:tcW w:w="159"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21" w:type="dxa"/>
            <w:tcBorders/>
            <w:tcMar>
              <w:bottom w:w="0" w:type="dxa"/>
            </w:tcMar>
            <w:vAlign w:val="center"/>
          </w:tcPr>
          <w:p>
            <w:pPr>
              <w:pStyle w:val="TableContents"/>
              <w:bidi w:val="0"/>
              <w:spacing w:before="0" w:after="283"/>
              <w:jc w:val="left"/>
              <w:rPr/>
            </w:pPr>
            <w:r>
              <w:rPr/>
              <w:t>Adjusted diluted earnings from continuing operations per share</w:t>
            </w:r>
            <w:r>
              <w:rPr>
                <w:sz w:val="11"/>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3.83</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2.92</w:t>
            </w:r>
          </w:p>
        </w:tc>
        <w:tc>
          <w:tcPr>
            <w:tcW w:w="13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921" w:type="dxa"/>
            <w:tcBorders/>
            <w:shd w:fill="D8D8D8" w:val="clear"/>
            <w:tcMar>
              <w:bottom w:w="0" w:type="dxa"/>
            </w:tcMar>
            <w:vAlign w:val="center"/>
          </w:tcPr>
          <w:p>
            <w:pPr>
              <w:pStyle w:val="TableContents"/>
              <w:bidi w:val="0"/>
              <w:spacing w:before="0" w:after="283"/>
              <w:jc w:val="left"/>
              <w:rPr/>
            </w:pPr>
            <w:r>
              <w:rPr/>
              <w:t>Weighted-average common shares outstanding</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283"/>
              <w:jc w:val="right"/>
              <w:rPr/>
            </w:pPr>
            <w:r>
              <w:rPr/>
              <w:t>​</w:t>
            </w:r>
          </w:p>
        </w:tc>
        <w:tc>
          <w:tcPr>
            <w:tcW w:w="640" w:type="dxa"/>
            <w:tcBorders/>
            <w:shd w:fill="D8D8D8" w:val="clear"/>
            <w:tcMar>
              <w:bottom w:w="0" w:type="dxa"/>
            </w:tcMar>
            <w:vAlign w:val="center"/>
          </w:tcPr>
          <w:p>
            <w:pPr>
              <w:pStyle w:val="TableContents"/>
              <w:bidi w:val="0"/>
              <w:spacing w:before="0" w:after="283"/>
              <w:jc w:val="righ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275" w:type="dxa"/>
            <w:tcBorders/>
            <w:shd w:fill="D8D8D8" w:val="clear"/>
            <w:tcMar>
              <w:bottom w:w="0" w:type="dxa"/>
            </w:tcMar>
            <w:vAlign w:val="center"/>
          </w:tcPr>
          <w:p>
            <w:pPr>
              <w:pStyle w:val="TableContents"/>
              <w:bidi w:val="0"/>
              <w:spacing w:before="0" w:after="283"/>
              <w:jc w:val="right"/>
              <w:rPr/>
            </w:pPr>
            <w:r>
              <w:rPr/>
              <w:t>​</w:t>
            </w:r>
          </w:p>
        </w:tc>
        <w:tc>
          <w:tcPr>
            <w:tcW w:w="640" w:type="dxa"/>
            <w:tcBorders/>
            <w:shd w:fill="D8D8D8" w:val="clear"/>
            <w:tcMar>
              <w:bottom w:w="0" w:type="dxa"/>
            </w:tcMar>
            <w:vAlign w:val="center"/>
          </w:tcPr>
          <w:p>
            <w:pPr>
              <w:pStyle w:val="TableContents"/>
              <w:bidi w:val="0"/>
              <w:spacing w:before="0" w:after="283"/>
              <w:jc w:val="right"/>
              <w:rPr/>
            </w:pPr>
            <w:r>
              <w:rPr/>
              <w:t>​</w:t>
            </w:r>
          </w:p>
        </w:tc>
        <w:tc>
          <w:tcPr>
            <w:tcW w:w="132" w:type="dxa"/>
            <w:tcBorders/>
            <w:shd w:fill="D8D8D8" w:val="clear"/>
            <w:tcMar>
              <w:bottom w:w="0" w:type="dxa"/>
            </w:tcMar>
            <w:vAlign w:val="center"/>
          </w:tcPr>
          <w:p>
            <w:pPr>
              <w:pStyle w:val="TableContents"/>
              <w:bidi w:val="0"/>
              <w:spacing w:before="0" w:after="283"/>
              <w:jc w:val="left"/>
              <w:rPr/>
            </w:pPr>
            <w:r>
              <w:rPr/>
              <w:t>​</w:t>
            </w:r>
          </w:p>
        </w:tc>
        <w:tc>
          <w:tcPr>
            <w:tcW w:w="159"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7F7F7F"/>
            </w:tcBorders>
            <w:vAlign w:val="center"/>
          </w:tcPr>
          <w:p>
            <w:pPr>
              <w:pStyle w:val="TableContents"/>
              <w:bidi w:val="0"/>
              <w:spacing w:before="0" w:after="283"/>
              <w:jc w:val="left"/>
              <w:rPr/>
            </w:pPr>
            <w:r>
              <w:rPr/>
              <w:t>​</w:t>
            </w:r>
          </w:p>
        </w:tc>
        <w:tc>
          <w:tcPr>
            <w:tcW w:w="5921" w:type="dxa"/>
            <w:tcBorders>
              <w:bottom w:val="single" w:sz="6" w:space="0" w:color="7F7F7F"/>
            </w:tcBorders>
            <w:tcMar>
              <w:bottom w:w="120" w:type="dxa"/>
            </w:tcMar>
            <w:vAlign w:val="center"/>
          </w:tcPr>
          <w:p>
            <w:pPr>
              <w:pStyle w:val="TableContents"/>
              <w:bidi w:val="0"/>
              <w:spacing w:before="0" w:after="0"/>
              <w:ind w:left="170" w:right="0" w:hanging="0"/>
              <w:jc w:val="left"/>
              <w:rPr/>
            </w:pPr>
            <w:r>
              <w:rPr/>
              <w:t xml:space="preserve">Diluted weighted-average common shares outstanding </w:t>
            </w:r>
          </w:p>
        </w:tc>
        <w:tc>
          <w:tcPr>
            <w:tcW w:w="109" w:type="dxa"/>
            <w:tcBorders>
              <w:bottom w:val="single" w:sz="6" w:space="0" w:color="7F7F7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6" w:space="0" w:color="7F7F7F"/>
            </w:tcBorders>
            <w:vAlign w:val="center"/>
          </w:tcPr>
          <w:p>
            <w:pPr>
              <w:pStyle w:val="TableContents"/>
              <w:bidi w:val="0"/>
              <w:spacing w:before="0" w:after="283"/>
              <w:jc w:val="left"/>
              <w:rPr/>
            </w:pPr>
            <w:r>
              <w:rPr/>
              <w:t>​</w:t>
            </w:r>
          </w:p>
        </w:tc>
        <w:tc>
          <w:tcPr>
            <w:tcW w:w="132" w:type="dxa"/>
            <w:tcBorders>
              <w:bottom w:val="single" w:sz="6" w:space="0" w:color="7F7F7F"/>
            </w:tcBorders>
            <w:vAlign w:val="center"/>
          </w:tcPr>
          <w:p>
            <w:pPr>
              <w:pStyle w:val="TableContents"/>
              <w:bidi w:val="0"/>
              <w:spacing w:before="0" w:after="283"/>
              <w:jc w:val="left"/>
              <w:rPr/>
            </w:pPr>
            <w:r>
              <w:rPr/>
              <w:t>​</w:t>
            </w:r>
          </w:p>
        </w:tc>
        <w:tc>
          <w:tcPr>
            <w:tcW w:w="275" w:type="dxa"/>
            <w:tcBorders>
              <w:bottom w:val="single" w:sz="6" w:space="0" w:color="7F7F7F"/>
            </w:tcBorders>
            <w:tcMar>
              <w:bottom w:w="120" w:type="dxa"/>
            </w:tcMar>
            <w:vAlign w:val="center"/>
          </w:tcPr>
          <w:p>
            <w:pPr>
              <w:pStyle w:val="TableContents"/>
              <w:bidi w:val="0"/>
              <w:spacing w:before="0" w:after="283"/>
              <w:jc w:val="right"/>
              <w:rPr/>
            </w:pPr>
            <w:r>
              <w:rPr/>
              <w:t>​</w:t>
            </w:r>
          </w:p>
        </w:tc>
        <w:tc>
          <w:tcPr>
            <w:tcW w:w="640" w:type="dxa"/>
            <w:tcBorders>
              <w:bottom w:val="single" w:sz="6" w:space="0" w:color="7F7F7F"/>
            </w:tcBorders>
            <w:tcMar>
              <w:bottom w:w="120" w:type="dxa"/>
            </w:tcMar>
            <w:vAlign w:val="center"/>
          </w:tcPr>
          <w:p>
            <w:pPr>
              <w:pStyle w:val="TableContents"/>
              <w:bidi w:val="0"/>
              <w:spacing w:before="0" w:after="283"/>
              <w:jc w:val="right"/>
              <w:rPr/>
            </w:pPr>
            <w:r>
              <w:rPr/>
              <w:t>120</w:t>
            </w:r>
          </w:p>
        </w:tc>
        <w:tc>
          <w:tcPr>
            <w:tcW w:w="132" w:type="dxa"/>
            <w:tcBorders>
              <w:bottom w:val="single" w:sz="6" w:space="0" w:color="7F7F7F"/>
            </w:tcBorders>
            <w:vAlign w:val="center"/>
          </w:tcPr>
          <w:p>
            <w:pPr>
              <w:pStyle w:val="TableContents"/>
              <w:bidi w:val="0"/>
              <w:spacing w:before="0" w:after="283"/>
              <w:jc w:val="left"/>
              <w:rPr/>
            </w:pPr>
            <w:r>
              <w:rPr/>
              <w:t>​</w:t>
            </w:r>
          </w:p>
        </w:tc>
        <w:tc>
          <w:tcPr>
            <w:tcW w:w="132" w:type="dxa"/>
            <w:tcBorders>
              <w:bottom w:val="single" w:sz="6" w:space="0" w:color="7F7F7F"/>
            </w:tcBorders>
            <w:vAlign w:val="center"/>
          </w:tcPr>
          <w:p>
            <w:pPr>
              <w:pStyle w:val="TableContents"/>
              <w:bidi w:val="0"/>
              <w:spacing w:before="0" w:after="283"/>
              <w:jc w:val="left"/>
              <w:rPr/>
            </w:pPr>
            <w:r>
              <w:rPr/>
              <w:t>​</w:t>
            </w:r>
          </w:p>
        </w:tc>
        <w:tc>
          <w:tcPr>
            <w:tcW w:w="132" w:type="dxa"/>
            <w:tcBorders>
              <w:bottom w:val="single" w:sz="2" w:space="0" w:color="7F7F7F"/>
            </w:tcBorders>
            <w:shd w:fill="7F7F7F" w:val="clear"/>
            <w:vAlign w:val="center"/>
          </w:tcPr>
          <w:p>
            <w:pPr>
              <w:pStyle w:val="TableContents"/>
              <w:bidi w:val="0"/>
              <w:spacing w:before="0" w:after="283"/>
              <w:jc w:val="left"/>
              <w:rPr/>
            </w:pPr>
            <w:r>
              <w:rPr/>
              <w:t>​</w:t>
            </w:r>
          </w:p>
        </w:tc>
        <w:tc>
          <w:tcPr>
            <w:tcW w:w="132" w:type="dxa"/>
            <w:tcBorders>
              <w:bottom w:val="single" w:sz="6" w:space="0" w:color="7F7F7F"/>
            </w:tcBorders>
            <w:vAlign w:val="center"/>
          </w:tcPr>
          <w:p>
            <w:pPr>
              <w:pStyle w:val="TableContents"/>
              <w:bidi w:val="0"/>
              <w:spacing w:before="0" w:after="283"/>
              <w:jc w:val="left"/>
              <w:rPr/>
            </w:pPr>
            <w:r>
              <w:rPr/>
              <w:t>​</w:t>
            </w:r>
          </w:p>
        </w:tc>
        <w:tc>
          <w:tcPr>
            <w:tcW w:w="132" w:type="dxa"/>
            <w:tcBorders>
              <w:bottom w:val="single" w:sz="6" w:space="0" w:color="7F7F7F"/>
            </w:tcBorders>
            <w:vAlign w:val="center"/>
          </w:tcPr>
          <w:p>
            <w:pPr>
              <w:pStyle w:val="TableContents"/>
              <w:bidi w:val="0"/>
              <w:spacing w:before="0" w:after="283"/>
              <w:jc w:val="left"/>
              <w:rPr/>
            </w:pPr>
            <w:r>
              <w:rPr/>
              <w:t>​</w:t>
            </w:r>
          </w:p>
        </w:tc>
        <w:tc>
          <w:tcPr>
            <w:tcW w:w="275" w:type="dxa"/>
            <w:tcBorders>
              <w:bottom w:val="single" w:sz="6" w:space="0" w:color="7F7F7F"/>
            </w:tcBorders>
            <w:tcMar>
              <w:bottom w:w="120" w:type="dxa"/>
            </w:tcMar>
            <w:vAlign w:val="center"/>
          </w:tcPr>
          <w:p>
            <w:pPr>
              <w:pStyle w:val="TableContents"/>
              <w:bidi w:val="0"/>
              <w:spacing w:before="0" w:after="283"/>
              <w:jc w:val="right"/>
              <w:rPr/>
            </w:pPr>
            <w:r>
              <w:rPr/>
              <w:t>​</w:t>
            </w:r>
          </w:p>
        </w:tc>
        <w:tc>
          <w:tcPr>
            <w:tcW w:w="640" w:type="dxa"/>
            <w:tcBorders>
              <w:bottom w:val="single" w:sz="6" w:space="0" w:color="7F7F7F"/>
            </w:tcBorders>
            <w:tcMar>
              <w:bottom w:w="120" w:type="dxa"/>
            </w:tcMar>
            <w:vAlign w:val="center"/>
          </w:tcPr>
          <w:p>
            <w:pPr>
              <w:pStyle w:val="TableContents"/>
              <w:bidi w:val="0"/>
              <w:spacing w:before="0" w:after="283"/>
              <w:jc w:val="right"/>
              <w:rPr/>
            </w:pPr>
            <w:r>
              <w:rPr/>
              <w:t>118</w:t>
            </w:r>
          </w:p>
        </w:tc>
        <w:tc>
          <w:tcPr>
            <w:tcW w:w="132" w:type="dxa"/>
            <w:tcBorders>
              <w:bottom w:val="single" w:sz="6" w:space="0" w:color="7F7F7F"/>
            </w:tcBorders>
            <w:vAlign w:val="center"/>
          </w:tcPr>
          <w:p>
            <w:pPr>
              <w:pStyle w:val="TableContents"/>
              <w:bidi w:val="0"/>
              <w:spacing w:before="0" w:after="283"/>
              <w:jc w:val="left"/>
              <w:rPr/>
            </w:pPr>
            <w:r>
              <w:rPr/>
              <w:t>​</w:t>
            </w:r>
          </w:p>
        </w:tc>
        <w:tc>
          <w:tcPr>
            <w:tcW w:w="159" w:type="dxa"/>
            <w:tcBorders>
              <w:bottom w:val="single" w:sz="6" w:space="0" w:color="7F7F7F"/>
            </w:tcBorders>
            <w:vAlign w:val="center"/>
          </w:tcPr>
          <w:p>
            <w:pPr>
              <w:pStyle w:val="TableContents"/>
              <w:bidi w:val="0"/>
              <w:spacing w:before="0" w:after="283"/>
              <w:jc w:val="left"/>
              <w:rPr/>
            </w:pPr>
            <w:r>
              <w:rPr/>
              <w:t>​</w:t>
            </w:r>
          </w:p>
        </w:tc>
      </w:tr>
    </w:tbl>
    <w:p>
      <w:pPr>
        <w:pStyle w:val="TextBody"/>
        <w:bidi w:val="0"/>
        <w:spacing w:lineRule="atLeast" w:line="190" w:before="70" w:after="283"/>
        <w:ind w:left="9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Amounts may not add due to rounding.</w:t>
      </w:r>
      <w:r>
        <w:rPr>
          <w:rFonts w:ascii="Arial Narrow;Helvetica;sans-serif" w:hAnsi="Arial Narrow;Helvetica;sans-serif"/>
          <w:b w:val="false"/>
          <w:i w:val="false"/>
          <w:caps w:val="false"/>
          <w:smallCaps w:val="false"/>
          <w:color w:val="000000"/>
          <w:spacing w:val="3"/>
          <w:sz w:val="15"/>
        </w:rPr>
        <w:t xml:space="preserve"> </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Includes gains from sales of real estate of  $26 million ($34 million pre-tax) or $0.21 per diluted share in the fourth quarter of 2024</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434">
                <wp:simplePos x="0" y="0"/>
                <wp:positionH relativeFrom="column">
                  <wp:align>left</wp:align>
                </wp:positionH>
                <wp:positionV relativeFrom="line">
                  <wp:align>top</wp:align>
                </wp:positionV>
                <wp:extent cx="254000" cy="241300"/>
                <wp:effectExtent l="0" t="0" r="0" b="0"/>
                <wp:wrapSquare wrapText="right"/>
                <wp:docPr id="435" name="Frame309"/>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Relates to California Environmental Matters as described in Note 18 to the Company’s Annual Report on Form 10-K for the year ended December 31, 2024</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435">
                <wp:simplePos x="0" y="0"/>
                <wp:positionH relativeFrom="column">
                  <wp:align>left</wp:align>
                </wp:positionH>
                <wp:positionV relativeFrom="line">
                  <wp:align>top</wp:align>
                </wp:positionV>
                <wp:extent cx="254000" cy="241300"/>
                <wp:effectExtent l="0" t="0" r="0" b="0"/>
                <wp:wrapSquare wrapText="right"/>
                <wp:docPr id="436" name="Frame310"/>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(2)</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(2)</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The income tax rate applied to reconciling items is based on the GAAP annual effective tax rate, excluding discrete items, non-deductible compensation, and contribution- and margin-based taxes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436">
                <wp:simplePos x="0" y="0"/>
                <wp:positionH relativeFrom="column">
                  <wp:align>left</wp:align>
                </wp:positionH>
                <wp:positionV relativeFrom="line">
                  <wp:align>top</wp:align>
                </wp:positionV>
                <wp:extent cx="254000" cy="241300"/>
                <wp:effectExtent l="0" t="0" r="0" b="0"/>
                <wp:wrapSquare wrapText="right"/>
                <wp:docPr id="437" name="Frame311"/>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(3)</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(3)</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 xml:space="preserve">Reflects a tax benefit recognized in the second quarter of 2024 and the subsequent adjustments recognized during the second half of 2024 related to a legal entity reorganization within our European Transportation business </w:t>
      </w:r>
      <w:r>
        <mc:AlternateContent>
          <mc:Choice Requires="wps">
            <w:drawing>
              <wp:anchor behindDoc="0" distT="50800" distB="0" distL="0" distR="0" simplePos="0" locked="0" layoutInCell="1" allowOverlap="1" relativeHeight="437">
                <wp:simplePos x="0" y="0"/>
                <wp:positionH relativeFrom="column">
                  <wp:align>left</wp:align>
                </wp:positionH>
                <wp:positionV relativeFrom="line">
                  <wp:align>top</wp:align>
                </wp:positionV>
                <wp:extent cx="254000" cy="241300"/>
                <wp:effectExtent l="0" t="0" r="0" b="0"/>
                <wp:wrapSquare wrapText="right"/>
                <wp:docPr id="438" name="Frame312"/>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(4)</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(4)</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66</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both"/>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RECONCILIATION OF NORTH AMERICAN LTL SEGMENT ADJUSTED OPERATING INCOME, ADJUSTED OPERATING RATIO, AND ADJUSTED EBITDA</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 xml:space="preserve">(Unaudited) </w:t>
        <w:br/>
        <w:t>(In millions)</w:t>
      </w:r>
      <w:r>
        <w:rPr>
          <w:rFonts w:ascii="Helvetica;Arial Narrow;sans-serif" w:hAnsi="Helvetica;Arial Narrow;sans-serif"/>
          <w:b w:val="false"/>
          <w:i/>
          <w:caps w:val="false"/>
          <w:smallCaps w:val="false"/>
          <w:color w:val="000000"/>
          <w:spacing w:val="4"/>
          <w:sz w:val="18"/>
        </w:rPr>
        <w:t xml:space="preserve"> </w:t>
      </w:r>
    </w:p>
    <w:tbl>
      <w:tblPr>
        <w:tblW w:w="8252" w:type="dxa"/>
        <w:jc w:val="left"/>
        <w:tblInd w:w="920" w:type="dxa"/>
        <w:tblLayout w:type="fixed"/>
        <w:tblCellMar>
          <w:top w:w="0" w:type="dxa"/>
          <w:left w:w="0" w:type="dxa"/>
          <w:bottom w:w="28" w:type="dxa"/>
          <w:right w:w="0" w:type="dxa"/>
        </w:tblCellMar>
      </w:tblPr>
      <w:tblGrid>
        <w:gridCol w:w="124"/>
        <w:gridCol w:w="4861"/>
        <w:gridCol w:w="109"/>
        <w:gridCol w:w="109"/>
        <w:gridCol w:w="109"/>
        <w:gridCol w:w="114"/>
        <w:gridCol w:w="237"/>
        <w:gridCol w:w="757"/>
        <w:gridCol w:w="114"/>
        <w:gridCol w:w="114"/>
        <w:gridCol w:w="114"/>
        <w:gridCol w:w="114"/>
        <w:gridCol w:w="114"/>
        <w:gridCol w:w="237"/>
        <w:gridCol w:w="757"/>
        <w:gridCol w:w="114"/>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486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4" w:space="0" w:color="E2231A"/>
            </w:tcBorders>
            <w:vAlign w:val="center"/>
          </w:tcPr>
          <w:p>
            <w:pPr>
              <w:pStyle w:val="TableContents"/>
              <w:bidi w:val="0"/>
              <w:spacing w:before="0" w:after="283"/>
              <w:jc w:val="left"/>
              <w:rPr/>
            </w:pPr>
            <w:r>
              <w:rPr/>
              <w:t>​</w:t>
            </w:r>
          </w:p>
        </w:tc>
        <w:tc>
          <w:tcPr>
            <w:tcW w:w="2786" w:type="dxa"/>
            <w:gridSpan w:val="11"/>
            <w:tcBorders>
              <w:bottom w:val="single" w:sz="4" w:space="0" w:color="E2231A"/>
            </w:tcBorders>
            <w:tcMar>
              <w:bottom w:w="50" w:type="dxa"/>
            </w:tcMar>
            <w:vAlign w:val="center"/>
          </w:tcPr>
          <w:p>
            <w:pPr>
              <w:pStyle w:val="TableContents"/>
              <w:bidi w:val="0"/>
              <w:spacing w:before="0" w:after="0"/>
              <w:jc w:val="center"/>
              <w:rPr/>
            </w:pPr>
            <w:r>
              <w:rPr/>
              <w:t xml:space="preserve">Years Ended December 31, </w:t>
            </w:r>
          </w:p>
        </w:tc>
        <w:tc>
          <w:tcPr>
            <w:tcW w:w="154" w:type="dxa"/>
            <w:tcBorders>
              <w:bottom w:val="single" w:sz="4" w:space="0" w:color="E2231A"/>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2" w:type="dxa"/>
            <w:gridSpan w:val="4"/>
            <w:tcBorders/>
            <w:tcMar>
              <w:bottom w:w="0" w:type="dxa"/>
            </w:tcMar>
            <w:vAlign w:val="center"/>
          </w:tcPr>
          <w:p>
            <w:pPr>
              <w:pStyle w:val="TableContents"/>
              <w:bidi w:val="0"/>
              <w:spacing w:before="0" w:after="0"/>
              <w:jc w:val="center"/>
              <w:rPr/>
            </w:pPr>
            <w:r>
              <w:rPr/>
              <w:t xml:space="preserve">2024 </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222" w:type="dxa"/>
            <w:gridSpan w:val="4"/>
            <w:tcBorders/>
            <w:tcMar>
              <w:bottom w:w="0" w:type="dxa"/>
            </w:tcMar>
            <w:vAlign w:val="center"/>
          </w:tcPr>
          <w:p>
            <w:pPr>
              <w:pStyle w:val="TableContents"/>
              <w:bidi w:val="0"/>
              <w:spacing w:before="0" w:after="0"/>
              <w:jc w:val="center"/>
              <w:rPr/>
            </w:pPr>
            <w:r>
              <w:rPr/>
              <w:t xml:space="preserve">2023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4861" w:type="dxa"/>
            <w:tcBorders/>
            <w:shd w:fill="D8D8D8" w:val="clear"/>
            <w:tcMar>
              <w:bottom w:w="0" w:type="dxa"/>
            </w:tcMar>
            <w:vAlign w:val="center"/>
          </w:tcPr>
          <w:p>
            <w:pPr>
              <w:pStyle w:val="TableContents"/>
              <w:bidi w:val="0"/>
              <w:spacing w:before="0" w:after="283"/>
              <w:jc w:val="left"/>
              <w:rPr/>
            </w:pPr>
            <w:r>
              <w:rPr/>
              <w:t xml:space="preserve">Revenue (excluding fuel surcharge revenue)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4,115</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3,814</w:t>
            </w:r>
          </w:p>
        </w:tc>
        <w:tc>
          <w:tcPr>
            <w:tcW w:w="11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861" w:type="dxa"/>
            <w:tcBorders>
              <w:bottom w:val="single" w:sz="2" w:space="0" w:color="FFFFFF"/>
            </w:tcBorders>
            <w:tcMar>
              <w:bottom w:w="55" w:type="dxa"/>
            </w:tcMar>
            <w:vAlign w:val="center"/>
          </w:tcPr>
          <w:p>
            <w:pPr>
              <w:pStyle w:val="TableContents"/>
              <w:bidi w:val="0"/>
              <w:spacing w:before="0" w:after="283"/>
              <w:jc w:val="left"/>
              <w:rPr/>
            </w:pPr>
            <w:r>
              <w:rPr/>
              <w:t xml:space="preserve">Fuel surcharge 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tcMar>
              <w:bottom w:w="55" w:type="dxa"/>
            </w:tcMar>
            <w:vAlign w:val="center"/>
          </w:tcPr>
          <w:p>
            <w:pPr>
              <w:pStyle w:val="TableContents"/>
              <w:bidi w:val="0"/>
              <w:spacing w:before="0" w:after="283"/>
              <w:jc w:val="right"/>
              <w:rPr/>
            </w:pPr>
            <w:r>
              <w:rPr/>
              <w:t>785</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tcMar>
              <w:bottom w:w="55" w:type="dxa"/>
            </w:tcMar>
            <w:vAlign w:val="center"/>
          </w:tcPr>
          <w:p>
            <w:pPr>
              <w:pStyle w:val="TableContents"/>
              <w:bidi w:val="0"/>
              <w:spacing w:before="0" w:after="283"/>
              <w:jc w:val="right"/>
              <w:rPr/>
            </w:pPr>
            <w:r>
              <w:rPr/>
              <w:t>857</w:t>
            </w:r>
          </w:p>
        </w:tc>
        <w:tc>
          <w:tcPr>
            <w:tcW w:w="11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4861" w:type="dxa"/>
            <w:tcBorders/>
            <w:shd w:fill="D8D8D8" w:val="clear"/>
            <w:tcMar>
              <w:bottom w:w="0" w:type="dxa"/>
            </w:tcMar>
            <w:vAlign w:val="center"/>
          </w:tcPr>
          <w:p>
            <w:pPr>
              <w:pStyle w:val="TableContents"/>
              <w:bidi w:val="0"/>
              <w:spacing w:before="0" w:after="283"/>
              <w:jc w:val="left"/>
              <w:rPr/>
            </w:pPr>
            <w:r>
              <w:rPr/>
              <w:t>Revenue</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4,899</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4,671</w:t>
            </w:r>
          </w:p>
        </w:tc>
        <w:tc>
          <w:tcPr>
            <w:tcW w:w="11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 xml:space="preserve">Salaries, wages and employee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2,515</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2,346</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4861" w:type="dxa"/>
            <w:tcBorders/>
            <w:shd w:fill="D8D8D8" w:val="clear"/>
            <w:tcMar>
              <w:bottom w:w="0" w:type="dxa"/>
            </w:tcMar>
            <w:vAlign w:val="center"/>
          </w:tcPr>
          <w:p>
            <w:pPr>
              <w:pStyle w:val="TableContents"/>
              <w:bidi w:val="0"/>
              <w:spacing w:before="0" w:after="283"/>
              <w:jc w:val="left"/>
              <w:rPr/>
            </w:pPr>
            <w:r>
              <w:rPr/>
              <w:t xml:space="preserve">Purchased transportation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248</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366</w:t>
            </w:r>
          </w:p>
        </w:tc>
        <w:tc>
          <w:tcPr>
            <w:tcW w:w="11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Fuel, operating expenses and supplies</w:t>
            </w:r>
            <w:r>
              <w:rPr>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928</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956</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4861" w:type="dxa"/>
            <w:tcBorders/>
            <w:shd w:fill="D8D8D8" w:val="clear"/>
            <w:tcMar>
              <w:bottom w:w="0" w:type="dxa"/>
            </w:tcMar>
            <w:vAlign w:val="center"/>
          </w:tcPr>
          <w:p>
            <w:pPr>
              <w:pStyle w:val="TableContents"/>
              <w:bidi w:val="0"/>
              <w:spacing w:before="0" w:after="283"/>
              <w:jc w:val="left"/>
              <w:rPr/>
            </w:pPr>
            <w:r>
              <w:rPr/>
              <w:t xml:space="preserve">Operating taxes and licenses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65</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48</w:t>
            </w:r>
          </w:p>
        </w:tc>
        <w:tc>
          <w:tcPr>
            <w:tcW w:w="11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 xml:space="preserve">Insurance and claims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80</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102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4861" w:type="dxa"/>
            <w:tcBorders/>
            <w:shd w:fill="D8D8D8" w:val="clear"/>
            <w:tcMar>
              <w:bottom w:w="0" w:type="dxa"/>
            </w:tcMar>
            <w:vAlign w:val="center"/>
          </w:tcPr>
          <w:p>
            <w:pPr>
              <w:pStyle w:val="TableContents"/>
              <w:bidi w:val="0"/>
              <w:spacing w:before="0" w:after="283"/>
              <w:jc w:val="left"/>
              <w:rPr/>
            </w:pPr>
            <w:r>
              <w:rPr/>
              <w:t xml:space="preserve">(Gains) losses on sales of property and equipment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(27)</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8</w:t>
            </w:r>
          </w:p>
        </w:tc>
        <w:tc>
          <w:tcPr>
            <w:tcW w:w="11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346</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291</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4861" w:type="dxa"/>
            <w:tcBorders/>
            <w:shd w:fill="D8D8D8" w:val="clear"/>
            <w:tcMar>
              <w:bottom w:w="0" w:type="dxa"/>
            </w:tcMar>
            <w:vAlign w:val="center"/>
          </w:tcPr>
          <w:p>
            <w:pPr>
              <w:pStyle w:val="TableContents"/>
              <w:bidi w:val="0"/>
              <w:spacing w:before="0" w:after="283"/>
              <w:jc w:val="left"/>
              <w:rPr/>
            </w:pPr>
            <w:r>
              <w:rPr/>
              <w:t xml:space="preserve">Transaction and integration costs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1</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861" w:type="dxa"/>
            <w:tcBorders>
              <w:bottom w:val="single" w:sz="2" w:space="0" w:color="FFFFFF"/>
            </w:tcBorders>
            <w:tcMar>
              <w:bottom w:w="55" w:type="dxa"/>
            </w:tcMar>
            <w:vAlign w:val="center"/>
          </w:tcPr>
          <w:p>
            <w:pPr>
              <w:pStyle w:val="TableContents"/>
              <w:bidi w:val="0"/>
              <w:spacing w:before="0" w:after="283"/>
              <w:jc w:val="left"/>
              <w:rPr/>
            </w:pPr>
            <w:r>
              <w:rPr/>
              <w:t xml:space="preserve">Restructuring costs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tcMar>
              <w:bottom w:w="55" w:type="dxa"/>
            </w:tcMar>
            <w:vAlign w:val="center"/>
          </w:tcPr>
          <w:p>
            <w:pPr>
              <w:pStyle w:val="TableContents"/>
              <w:bidi w:val="0"/>
              <w:spacing w:before="0" w:after="283"/>
              <w:jc w:val="right"/>
              <w:rPr/>
            </w:pPr>
            <w:r>
              <w:rPr/>
              <w:t>7</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tcMar>
              <w:bottom w:w="55" w:type="dxa"/>
            </w:tcMar>
            <w:vAlign w:val="center"/>
          </w:tcPr>
          <w:p>
            <w:pPr>
              <w:pStyle w:val="TableContents"/>
              <w:bidi w:val="0"/>
              <w:spacing w:before="0" w:after="283"/>
              <w:jc w:val="right"/>
              <w:rPr/>
            </w:pPr>
            <w:r>
              <w:rPr/>
              <w:t>12</w:t>
            </w:r>
          </w:p>
        </w:tc>
        <w:tc>
          <w:tcPr>
            <w:tcW w:w="11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vAlign w:val="center"/>
          </w:tcPr>
          <w:p>
            <w:pPr>
              <w:pStyle w:val="TableContents"/>
              <w:bidi w:val="0"/>
              <w:spacing w:before="0" w:after="283"/>
              <w:jc w:val="left"/>
              <w:rPr/>
            </w:pPr>
            <w:r>
              <w:rPr/>
              <w:t>​</w:t>
            </w:r>
          </w:p>
        </w:tc>
        <w:tc>
          <w:tcPr>
            <w:tcW w:w="4861" w:type="dxa"/>
            <w:tcBorders>
              <w:bottom w:val="single" w:sz="2" w:space="0" w:color="D8D8D8"/>
            </w:tcBorders>
            <w:shd w:fill="D8D8D8" w:val="clear"/>
            <w:tcMar>
              <w:bottom w:w="55" w:type="dxa"/>
            </w:tcMar>
            <w:vAlign w:val="center"/>
          </w:tcPr>
          <w:p>
            <w:pPr>
              <w:pStyle w:val="TableContents"/>
              <w:bidi w:val="0"/>
              <w:spacing w:before="0" w:after="283"/>
              <w:jc w:val="left"/>
              <w:rPr/>
            </w:pPr>
            <w:r>
              <w:rPr/>
              <w:t xml:space="preserve">Operating income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735</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542</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861" w:type="dxa"/>
            <w:tcBorders>
              <w:bottom w:val="single" w:sz="2" w:space="0" w:color="FFFFFF"/>
            </w:tcBorders>
            <w:tcMar>
              <w:bottom w:w="55" w:type="dxa"/>
            </w:tcMar>
            <w:vAlign w:val="center"/>
          </w:tcPr>
          <w:p>
            <w:pPr>
              <w:pStyle w:val="TableContents"/>
              <w:bidi w:val="0"/>
              <w:spacing w:lineRule="atLeast" w:line="142" w:before="0" w:after="283"/>
              <w:jc w:val="left"/>
              <w:rPr/>
            </w:pPr>
            <w:r>
              <w:rPr/>
              <w:t>Operating ratio</w:t>
            </w:r>
            <w:r>
              <w:rPr>
                <w:sz w:val="11"/>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tcMar>
              <w:bottom w:w="55" w:type="dxa"/>
            </w:tcMar>
            <w:vAlign w:val="center"/>
          </w:tcPr>
          <w:p>
            <w:pPr>
              <w:pStyle w:val="TableContents"/>
              <w:bidi w:val="0"/>
              <w:spacing w:before="0" w:after="283"/>
              <w:jc w:val="right"/>
              <w:rPr/>
            </w:pPr>
            <w:r>
              <w:rPr/>
              <w:t>85.0%</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tcMar>
              <w:bottom w:w="55" w:type="dxa"/>
            </w:tcMar>
            <w:vAlign w:val="center"/>
          </w:tcPr>
          <w:p>
            <w:pPr>
              <w:pStyle w:val="TableContents"/>
              <w:bidi w:val="0"/>
              <w:spacing w:before="0" w:after="283"/>
              <w:jc w:val="right"/>
              <w:rPr/>
            </w:pPr>
            <w:r>
              <w:rPr/>
              <w:t>88.4%</w:t>
            </w:r>
          </w:p>
        </w:tc>
        <w:tc>
          <w:tcPr>
            <w:tcW w:w="11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4861" w:type="dxa"/>
            <w:tcBorders/>
            <w:shd w:fill="D8D8D8" w:val="clear"/>
            <w:tcMar>
              <w:bottom w:w="0" w:type="dxa"/>
            </w:tcMar>
            <w:vAlign w:val="center"/>
          </w:tcPr>
          <w:p>
            <w:pPr>
              <w:pStyle w:val="TableContents"/>
              <w:bidi w:val="0"/>
              <w:spacing w:before="0" w:after="283"/>
              <w:jc w:val="left"/>
              <w:rPr/>
            </w:pPr>
            <w:r>
              <w:rPr/>
              <w:t xml:space="preserve">Other income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1</w:t>
            </w:r>
          </w:p>
        </w:tc>
        <w:tc>
          <w:tcPr>
            <w:tcW w:w="11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 xml:space="preserve">Amortization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36</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34</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4861" w:type="dxa"/>
            <w:tcBorders/>
            <w:shd w:fill="D8D8D8" w:val="clear"/>
            <w:tcMar>
              <w:bottom w:w="0" w:type="dxa"/>
            </w:tcMar>
            <w:vAlign w:val="center"/>
          </w:tcPr>
          <w:p>
            <w:pPr>
              <w:pStyle w:val="TableContents"/>
              <w:bidi w:val="0"/>
              <w:spacing w:before="0" w:after="283"/>
              <w:jc w:val="left"/>
              <w:rPr/>
            </w:pPr>
            <w:r>
              <w:rPr/>
              <w:t xml:space="preserve">Transaction and integration costs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1</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 xml:space="preserve">Restructuring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7</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12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vAlign w:val="center"/>
          </w:tcPr>
          <w:p>
            <w:pPr>
              <w:pStyle w:val="TableContents"/>
              <w:bidi w:val="0"/>
              <w:spacing w:before="0" w:after="283"/>
              <w:jc w:val="left"/>
              <w:rPr/>
            </w:pPr>
            <w:r>
              <w:rPr/>
              <w:t>​</w:t>
            </w:r>
          </w:p>
        </w:tc>
        <w:tc>
          <w:tcPr>
            <w:tcW w:w="4861" w:type="dxa"/>
            <w:tcBorders>
              <w:bottom w:val="single" w:sz="2" w:space="0" w:color="D8D8D8"/>
            </w:tcBorders>
            <w:shd w:fill="D8D8D8" w:val="clear"/>
            <w:tcMar>
              <w:bottom w:w="55" w:type="dxa"/>
            </w:tcMar>
            <w:vAlign w:val="center"/>
          </w:tcPr>
          <w:p>
            <w:pPr>
              <w:pStyle w:val="TableContents"/>
              <w:bidi w:val="0"/>
              <w:spacing w:before="0" w:after="283"/>
              <w:jc w:val="left"/>
              <w:rPr/>
            </w:pPr>
            <w:r>
              <w:rPr/>
              <w:t xml:space="preserve">Gains on real estate transactions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(34)</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 xml:space="preserve">Adjusted operating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bottom w:val="double" w:sz="8" w:space="0" w:color="000000"/>
            </w:tcBorders>
            <w:tcMar>
              <w:bottom w:w="55" w:type="dxa"/>
            </w:tcMar>
            <w:vAlign w:val="center"/>
          </w:tcPr>
          <w:p>
            <w:pPr>
              <w:pStyle w:val="TableContents"/>
              <w:bidi w:val="0"/>
              <w:spacing w:before="0" w:after="283"/>
              <w:jc w:val="right"/>
              <w:rPr/>
            </w:pPr>
            <w:r>
              <w:rPr/>
              <w:t>$</w:t>
            </w:r>
          </w:p>
        </w:tc>
        <w:tc>
          <w:tcPr>
            <w:tcW w:w="757" w:type="dxa"/>
            <w:tcBorders>
              <w:bottom w:val="double" w:sz="8" w:space="0" w:color="000000"/>
            </w:tcBorders>
            <w:tcMar>
              <w:bottom w:w="55" w:type="dxa"/>
            </w:tcMar>
            <w:vAlign w:val="center"/>
          </w:tcPr>
          <w:p>
            <w:pPr>
              <w:pStyle w:val="TableContents"/>
              <w:bidi w:val="0"/>
              <w:spacing w:before="0" w:after="283"/>
              <w:jc w:val="right"/>
              <w:rPr/>
            </w:pPr>
            <w:r>
              <w:rPr/>
              <w:t>746</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4"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bottom w:val="double" w:sz="8" w:space="0" w:color="000000"/>
            </w:tcBorders>
            <w:tcMar>
              <w:bottom w:w="55" w:type="dxa"/>
            </w:tcMar>
            <w:vAlign w:val="center"/>
          </w:tcPr>
          <w:p>
            <w:pPr>
              <w:pStyle w:val="TableContents"/>
              <w:bidi w:val="0"/>
              <w:spacing w:before="0" w:after="283"/>
              <w:jc w:val="right"/>
              <w:rPr/>
            </w:pPr>
            <w:r>
              <w:rPr/>
              <w:t>$</w:t>
            </w:r>
          </w:p>
        </w:tc>
        <w:tc>
          <w:tcPr>
            <w:tcW w:w="757" w:type="dxa"/>
            <w:tcBorders>
              <w:bottom w:val="double" w:sz="8" w:space="0" w:color="000000"/>
            </w:tcBorders>
            <w:tcMar>
              <w:bottom w:w="55" w:type="dxa"/>
            </w:tcMar>
            <w:vAlign w:val="center"/>
          </w:tcPr>
          <w:p>
            <w:pPr>
              <w:pStyle w:val="TableContents"/>
              <w:bidi w:val="0"/>
              <w:spacing w:before="0" w:after="283"/>
              <w:jc w:val="right"/>
              <w:rPr/>
            </w:pPr>
            <w:r>
              <w:rPr/>
              <w:t>589</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vAlign w:val="center"/>
          </w:tcPr>
          <w:p>
            <w:pPr>
              <w:pStyle w:val="TableContents"/>
              <w:bidi w:val="0"/>
              <w:spacing w:before="0" w:after="283"/>
              <w:jc w:val="left"/>
              <w:rPr/>
            </w:pPr>
            <w:r>
              <w:rPr/>
              <w:t>​</w:t>
            </w:r>
          </w:p>
        </w:tc>
        <w:tc>
          <w:tcPr>
            <w:tcW w:w="4861" w:type="dxa"/>
            <w:tcBorders>
              <w:bottom w:val="single" w:sz="2" w:space="0" w:color="D8D8D8"/>
            </w:tcBorders>
            <w:shd w:fill="D8D8D8" w:val="clear"/>
            <w:tcMar>
              <w:bottom w:w="55" w:type="dxa"/>
            </w:tcMar>
            <w:vAlign w:val="center"/>
          </w:tcPr>
          <w:p>
            <w:pPr>
              <w:pStyle w:val="TableContents"/>
              <w:bidi w:val="0"/>
              <w:spacing w:before="0" w:after="283"/>
              <w:jc w:val="left"/>
              <w:rPr/>
            </w:pPr>
            <w:r>
              <w:rPr/>
              <w:t>Adjusted operating ratio</w:t>
            </w:r>
            <w:r>
              <w:rPr>
                <w:sz w:val="11"/>
              </w:rPr>
              <w:t>(3)</w:t>
            </w:r>
            <w:r>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84.8%</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87.4%</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 xml:space="preserve">Depreciation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310</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257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4861" w:type="dxa"/>
            <w:tcBorders/>
            <w:shd w:fill="D8D8D8" w:val="clear"/>
            <w:tcMar>
              <w:bottom w:w="0" w:type="dxa"/>
            </w:tcMar>
            <w:vAlign w:val="center"/>
          </w:tcPr>
          <w:p>
            <w:pPr>
              <w:pStyle w:val="TableContents"/>
              <w:bidi w:val="0"/>
              <w:spacing w:before="0" w:after="283"/>
              <w:jc w:val="left"/>
              <w:rPr/>
            </w:pPr>
            <w:r>
              <w:rPr/>
              <w:t xml:space="preserve">Pension income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25</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237" w:type="dxa"/>
            <w:tcBorders/>
            <w:shd w:fill="D8D8D8" w:val="clear"/>
            <w:tcMar>
              <w:bottom w:w="0" w:type="dxa"/>
            </w:tcMar>
            <w:vAlign w:val="center"/>
          </w:tcPr>
          <w:p>
            <w:pPr>
              <w:pStyle w:val="TableContents"/>
              <w:bidi w:val="0"/>
              <w:spacing w:before="0" w:after="283"/>
              <w:jc w:val="right"/>
              <w:rPr/>
            </w:pPr>
            <w:r>
              <w:rPr/>
              <w:t>​</w:t>
            </w:r>
          </w:p>
        </w:tc>
        <w:tc>
          <w:tcPr>
            <w:tcW w:w="757" w:type="dxa"/>
            <w:tcBorders/>
            <w:shd w:fill="D8D8D8" w:val="clear"/>
            <w:tcMar>
              <w:bottom w:w="0" w:type="dxa"/>
            </w:tcMar>
            <w:vAlign w:val="center"/>
          </w:tcPr>
          <w:p>
            <w:pPr>
              <w:pStyle w:val="TableContents"/>
              <w:bidi w:val="0"/>
              <w:spacing w:before="0" w:after="283"/>
              <w:jc w:val="right"/>
              <w:rPr/>
            </w:pPr>
            <w:r>
              <w:rPr/>
              <w:t>17</w:t>
            </w:r>
          </w:p>
        </w:tc>
        <w:tc>
          <w:tcPr>
            <w:tcW w:w="114"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 xml:space="preserve">Gains on real estate 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34</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vAlign w:val="center"/>
          </w:tcPr>
          <w:p>
            <w:pPr>
              <w:pStyle w:val="TableContents"/>
              <w:bidi w:val="0"/>
              <w:spacing w:before="0" w:after="283"/>
              <w:jc w:val="left"/>
              <w:rPr/>
            </w:pPr>
            <w:r>
              <w:rPr/>
              <w:t>​</w:t>
            </w:r>
          </w:p>
        </w:tc>
        <w:tc>
          <w:tcPr>
            <w:tcW w:w="4861" w:type="dxa"/>
            <w:tcBorders>
              <w:bottom w:val="single" w:sz="2" w:space="0" w:color="D8D8D8"/>
            </w:tcBorders>
            <w:shd w:fill="D8D8D8" w:val="clear"/>
            <w:tcMar>
              <w:bottom w:w="55" w:type="dxa"/>
            </w:tcMar>
            <w:vAlign w:val="center"/>
          </w:tcPr>
          <w:p>
            <w:pPr>
              <w:pStyle w:val="TableContents"/>
              <w:bidi w:val="0"/>
              <w:spacing w:before="0" w:after="283"/>
              <w:jc w:val="left"/>
              <w:rPr/>
            </w:pPr>
            <w:r>
              <w:rPr/>
              <w:t xml:space="preserve">Other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1</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61" w:type="dxa"/>
            <w:tcBorders/>
            <w:tcMar>
              <w:bottom w:w="0" w:type="dxa"/>
            </w:tcMar>
            <w:vAlign w:val="center"/>
          </w:tcPr>
          <w:p>
            <w:pPr>
              <w:pStyle w:val="TableContents"/>
              <w:bidi w:val="0"/>
              <w:spacing w:before="0" w:after="283"/>
              <w:jc w:val="left"/>
              <w:rPr/>
            </w:pPr>
            <w:r>
              <w:rPr/>
              <w:t>Adjusted EBITDA</w:t>
            </w:r>
            <w:r>
              <w:rPr>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bottom w:val="double" w:sz="8" w:space="0" w:color="000000"/>
            </w:tcBorders>
            <w:tcMar>
              <w:bottom w:w="55" w:type="dxa"/>
            </w:tcMar>
            <w:vAlign w:val="center"/>
          </w:tcPr>
          <w:p>
            <w:pPr>
              <w:pStyle w:val="TableContents"/>
              <w:bidi w:val="0"/>
              <w:spacing w:before="0" w:after="283"/>
              <w:jc w:val="right"/>
              <w:rPr/>
            </w:pPr>
            <w:r>
              <w:rPr/>
              <w:t>$</w:t>
            </w:r>
          </w:p>
        </w:tc>
        <w:tc>
          <w:tcPr>
            <w:tcW w:w="757" w:type="dxa"/>
            <w:tcBorders>
              <w:bottom w:val="double" w:sz="8" w:space="0" w:color="000000"/>
            </w:tcBorders>
            <w:tcMar>
              <w:bottom w:w="55" w:type="dxa"/>
            </w:tcMar>
            <w:vAlign w:val="center"/>
          </w:tcPr>
          <w:p>
            <w:pPr>
              <w:pStyle w:val="TableContents"/>
              <w:bidi w:val="0"/>
              <w:spacing w:before="0" w:after="283"/>
              <w:jc w:val="right"/>
              <w:rPr/>
            </w:pPr>
            <w:r>
              <w:rPr/>
              <w:t>1,115</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bottom w:val="single" w:sz="24" w:space="0" w:color="7F7F7F"/>
            </w:tcBorders>
            <w:shd w:fill="7F7F7F" w:val="cle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bottom w:val="double" w:sz="8" w:space="0" w:color="000000"/>
            </w:tcBorders>
            <w:tcMar>
              <w:bottom w:w="55" w:type="dxa"/>
            </w:tcMar>
            <w:vAlign w:val="center"/>
          </w:tcPr>
          <w:p>
            <w:pPr>
              <w:pStyle w:val="TableContents"/>
              <w:bidi w:val="0"/>
              <w:spacing w:before="0" w:after="283"/>
              <w:jc w:val="right"/>
              <w:rPr/>
            </w:pPr>
            <w:r>
              <w:rPr/>
              <w:t>$</w:t>
            </w:r>
          </w:p>
        </w:tc>
        <w:tc>
          <w:tcPr>
            <w:tcW w:w="757" w:type="dxa"/>
            <w:tcBorders>
              <w:bottom w:val="double" w:sz="8" w:space="0" w:color="000000"/>
            </w:tcBorders>
            <w:tcMar>
              <w:bottom w:w="55" w:type="dxa"/>
            </w:tcMar>
            <w:vAlign w:val="center"/>
          </w:tcPr>
          <w:p>
            <w:pPr>
              <w:pStyle w:val="TableContents"/>
              <w:bidi w:val="0"/>
              <w:spacing w:before="0" w:after="283"/>
              <w:jc w:val="right"/>
              <w:rPr/>
            </w:pPr>
            <w:r>
              <w:rPr/>
              <w:t>864</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vAlign w:val="center"/>
          </w:tcPr>
          <w:p>
            <w:pPr>
              <w:pStyle w:val="TableContents"/>
              <w:bidi w:val="0"/>
              <w:spacing w:before="0" w:after="283"/>
              <w:jc w:val="left"/>
              <w:rPr/>
            </w:pPr>
            <w:r>
              <w:rPr/>
              <w:t>​</w:t>
            </w:r>
          </w:p>
        </w:tc>
        <w:tc>
          <w:tcPr>
            <w:tcW w:w="4861" w:type="dxa"/>
            <w:tcBorders>
              <w:bottom w:val="single" w:sz="2" w:space="0" w:color="D8D8D8"/>
            </w:tcBorders>
            <w:shd w:fill="D8D8D8" w:val="clear"/>
            <w:tcMar>
              <w:bottom w:w="55" w:type="dxa"/>
            </w:tcMar>
            <w:vAlign w:val="center"/>
          </w:tcPr>
          <w:p>
            <w:pPr>
              <w:pStyle w:val="TableContents"/>
              <w:bidi w:val="0"/>
              <w:spacing w:before="0" w:after="283"/>
              <w:jc w:val="left"/>
              <w:rPr/>
            </w:pPr>
            <w:r>
              <w:rPr/>
              <w:t>Adjusted EBITDA margin</w:t>
            </w:r>
            <w:r>
              <w:rPr>
                <w:sz w:val="11"/>
              </w:rPr>
              <w:t>(4)</w:t>
            </w:r>
            <w:r>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22.8%</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237" w:type="dxa"/>
            <w:tcBorders>
              <w:bottom w:val="single" w:sz="2" w:space="0" w:color="000000"/>
            </w:tcBorders>
            <w:shd w:fill="D8D8D8" w:val="clear"/>
            <w:tcMar>
              <w:bottom w:w="55" w:type="dxa"/>
            </w:tcMar>
            <w:vAlign w:val="center"/>
          </w:tcPr>
          <w:p>
            <w:pPr>
              <w:pStyle w:val="TableContents"/>
              <w:bidi w:val="0"/>
              <w:spacing w:before="0" w:after="283"/>
              <w:jc w:val="right"/>
              <w:rPr/>
            </w:pPr>
            <w:r>
              <w:rPr/>
              <w:t>​</w:t>
            </w:r>
          </w:p>
        </w:tc>
        <w:tc>
          <w:tcPr>
            <w:tcW w:w="757" w:type="dxa"/>
            <w:tcBorders>
              <w:bottom w:val="single" w:sz="2" w:space="0" w:color="000000"/>
            </w:tcBorders>
            <w:shd w:fill="D8D8D8" w:val="clear"/>
            <w:tcMar>
              <w:bottom w:w="55" w:type="dxa"/>
            </w:tcMar>
            <w:vAlign w:val="center"/>
          </w:tcPr>
          <w:p>
            <w:pPr>
              <w:pStyle w:val="TableContents"/>
              <w:bidi w:val="0"/>
              <w:spacing w:before="0" w:after="283"/>
              <w:jc w:val="right"/>
              <w:rPr/>
            </w:pPr>
            <w:r>
              <w:rPr/>
              <w:t>18.5%</w:t>
            </w:r>
          </w:p>
        </w:tc>
        <w:tc>
          <w:tcPr>
            <w:tcW w:w="114"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4861"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09" w:type="dxa"/>
            <w:tcBorders>
              <w:bottom w:val="single" w:sz="2" w:space="0" w:color="7F7F7F"/>
            </w:tcBorders>
            <w:shd w:fill="7F7F7F" w:val="clear"/>
            <w:vAlign w:val="center"/>
          </w:tcPr>
          <w:p>
            <w:pPr>
              <w:pStyle w:val="TableContents"/>
              <w:bidi w:val="0"/>
              <w:spacing w:before="0" w:after="283"/>
              <w:jc w:val="left"/>
              <w:rPr/>
            </w:pPr>
            <w:r>
              <w:rPr/>
              <w:t>​</w:t>
            </w:r>
          </w:p>
        </w:tc>
        <w:tc>
          <w:tcPr>
            <w:tcW w:w="109"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222" w:type="dxa"/>
            <w:gridSpan w:val="4"/>
            <w:tcBorders/>
            <w:shd w:fill="D8D8D8" w:val="clear"/>
            <w:tcMar>
              <w:top w:w="28" w:type="dxa"/>
              <w:left w:w="28" w:type="dxa"/>
              <w:right w:w="28" w:type="dxa"/>
            </w:tcMar>
            <w:vAlign w:val="center"/>
          </w:tcPr>
          <w:p>
            <w:pPr>
              <w:pStyle w:val="TableContents"/>
              <w:bidi w:val="0"/>
              <w:spacing w:before="0" w:after="283"/>
              <w:jc w:val="left"/>
              <w:rPr/>
            </w:pPr>
            <w:r>
              <w:rPr/>
              <w:t>​</w:t>
            </w:r>
          </w:p>
        </w:tc>
        <w:tc>
          <w:tcPr>
            <w:tcW w:w="114"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14" w:type="dxa"/>
            <w:tcBorders>
              <w:bottom w:val="single" w:sz="2" w:space="0" w:color="7F7F7F"/>
            </w:tcBorders>
            <w:shd w:fill="7F7F7F" w:val="clear"/>
            <w:vAlign w:val="center"/>
          </w:tcPr>
          <w:p>
            <w:pPr>
              <w:pStyle w:val="TableContents"/>
              <w:bidi w:val="0"/>
              <w:spacing w:before="0" w:after="283"/>
              <w:jc w:val="left"/>
              <w:rPr/>
            </w:pPr>
            <w:r>
              <w:rPr/>
              <w:t>​</w:t>
            </w:r>
          </w:p>
        </w:tc>
        <w:tc>
          <w:tcPr>
            <w:tcW w:w="114" w:type="dxa"/>
            <w:tcBorders/>
            <w:shd w:fill="D8D8D8" w:val="clear"/>
            <w:tcMar>
              <w:top w:w="28" w:type="dxa"/>
              <w:left w:w="28" w:type="dxa"/>
              <w:right w:w="28" w:type="dxa"/>
            </w:tcMar>
            <w:vAlign w:val="center"/>
          </w:tcPr>
          <w:p>
            <w:pPr>
              <w:pStyle w:val="TableContents"/>
              <w:bidi w:val="0"/>
              <w:spacing w:before="0" w:after="283"/>
              <w:jc w:val="left"/>
              <w:rPr/>
            </w:pPr>
            <w:r>
              <w:rPr/>
              <w:t>​</w:t>
            </w:r>
          </w:p>
        </w:tc>
        <w:tc>
          <w:tcPr>
            <w:tcW w:w="1222" w:type="dxa"/>
            <w:gridSpan w:val="4"/>
            <w:tcBorders/>
            <w:shd w:fill="D8D8D8" w:val="clear"/>
            <w:tcMar>
              <w:top w:w="28" w:type="dxa"/>
              <w:left w:w="28" w:type="dxa"/>
              <w:right w:w="28" w:type="dxa"/>
            </w:tcMar>
            <w:vAlign w:val="center"/>
          </w:tcPr>
          <w:p>
            <w:pPr>
              <w:pStyle w:val="TableContents"/>
              <w:bidi w:val="0"/>
              <w:spacing w:before="0" w:after="283"/>
              <w:jc w:val="left"/>
              <w:rPr/>
            </w:pPr>
            <w:r>
              <w:rPr/>
              <w:t>​</w:t>
            </w:r>
          </w:p>
        </w:tc>
        <w:tc>
          <w:tcPr>
            <w:tcW w:w="154" w:type="dxa"/>
            <w:tcBorders/>
            <w:shd w:fill="D8D8D8" w:val="clear"/>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190" w:before="70" w:after="283"/>
        <w:ind w:left="9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Amounts may not add due to rounding.</w:t>
      </w:r>
      <w:r>
        <w:rPr>
          <w:rFonts w:ascii="Arial Narrow;Helvetica;sans-serif" w:hAnsi="Arial Narrow;Helvetica;sans-serif"/>
          <w:b w:val="false"/>
          <w:i w:val="false"/>
          <w:caps w:val="false"/>
          <w:smallCaps w:val="false"/>
          <w:color w:val="000000"/>
          <w:spacing w:val="3"/>
          <w:sz w:val="15"/>
        </w:rPr>
        <w:t xml:space="preserve"> </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Fuel, operating expenses and supplies includes fuel-related taxes.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438">
                <wp:simplePos x="0" y="0"/>
                <wp:positionH relativeFrom="column">
                  <wp:align>left</wp:align>
                </wp:positionH>
                <wp:positionV relativeFrom="line">
                  <wp:align>top</wp:align>
                </wp:positionV>
                <wp:extent cx="254000" cy="241300"/>
                <wp:effectExtent l="0" t="0" r="0" b="0"/>
                <wp:wrapSquare wrapText="right"/>
                <wp:docPr id="439" name="Frame313"/>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(1)</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(1)</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left"/>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Operating ratio is calculated as (1 – (Operating income divided by Revenue)) using the underlying unrounded amounts.</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439">
                <wp:simplePos x="0" y="0"/>
                <wp:positionH relativeFrom="column">
                  <wp:align>left</wp:align>
                </wp:positionH>
                <wp:positionV relativeFrom="line">
                  <wp:align>top</wp:align>
                </wp:positionV>
                <wp:extent cx="254000" cy="241300"/>
                <wp:effectExtent l="0" t="0" r="0" b="0"/>
                <wp:wrapSquare wrapText="right"/>
                <wp:docPr id="440" name="Frame314"/>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left"/>
                              <w:rPr>
                                <w:sz w:val="15"/>
                              </w:rPr>
                            </w:pPr>
                            <w:r>
                              <w:rPr>
                                <w:sz w:val="11"/>
                              </w:rPr>
                              <w:t>(2)</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left"/>
                        <w:rPr>
                          <w:sz w:val="15"/>
                        </w:rPr>
                      </w:pPr>
                      <w:r>
                        <w:rPr>
                          <w:sz w:val="11"/>
                        </w:rPr>
                        <w:t>(2)</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Adjusted operating ratio is calculated as (1 – (Adjusted operating income divided by Revenue)) using the underlying unrounded amounts; adjusted operating margin is the inverse of adjusted operating ratio.</w:t>
      </w:r>
      <w:r>
        <w:rPr>
          <w:rFonts w:ascii="Arial Narrow;Helvetica;sans-serif" w:hAnsi="Arial Narrow;Helvetica;sans-serif"/>
          <w:b w:val="false"/>
          <w:i w:val="false"/>
          <w:caps w:val="false"/>
          <w:smallCaps w:val="false"/>
          <w:color w:val="000000"/>
          <w:spacing w:val="3"/>
          <w:sz w:val="15"/>
        </w:rPr>
        <w:t xml:space="preserve"> </w:t>
      </w:r>
      <w:r>
        <mc:AlternateContent>
          <mc:Choice Requires="wps">
            <w:drawing>
              <wp:anchor behindDoc="0" distT="50800" distB="0" distL="0" distR="0" simplePos="0" locked="0" layoutInCell="1" allowOverlap="1" relativeHeight="440">
                <wp:simplePos x="0" y="0"/>
                <wp:positionH relativeFrom="column">
                  <wp:align>left</wp:align>
                </wp:positionH>
                <wp:positionV relativeFrom="line">
                  <wp:align>top</wp:align>
                </wp:positionV>
                <wp:extent cx="254000" cy="241300"/>
                <wp:effectExtent l="0" t="0" r="0" b="0"/>
                <wp:wrapSquare wrapText="right"/>
                <wp:docPr id="441" name="Frame315"/>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(3)</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(3)</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190" w:before="80" w:after="0"/>
        <w:ind w:left="1320" w:right="0" w:hanging="0"/>
        <w:jc w:val="both"/>
        <w:rPr>
          <w:rFonts w:ascii="Arial Narrow;Helvetica;sans-serif" w:hAnsi="Arial Narrow;Helvetica;sans-serif"/>
          <w:b w:val="false"/>
          <w:i w:val="false"/>
          <w:caps w:val="false"/>
          <w:smallCaps w:val="false"/>
          <w:color w:val="000000"/>
          <w:sz w:val="15"/>
        </w:rPr>
      </w:pPr>
      <w:r>
        <w:rPr>
          <w:rFonts w:ascii="Arial Narrow;Helvetica;sans-serif" w:hAnsi="Arial Narrow;Helvetica;sans-serif"/>
          <w:b w:val="false"/>
          <w:i w:val="false"/>
          <w:caps w:val="false"/>
          <w:smallCaps w:val="false"/>
          <w:color w:val="000000"/>
          <w:sz w:val="15"/>
        </w:rPr>
        <w:t>Adjusted EBITDA is used by our chief operating decision maker to evaluate segment profit (loss) in accordance with ASC 280. Adjusted EBITDA margin is calculated as Adjusted EBITDA divided by Revenue using the underlying unrounded amounts.</w:t>
      </w:r>
      <w:r>
        <mc:AlternateContent>
          <mc:Choice Requires="wps">
            <w:drawing>
              <wp:anchor behindDoc="0" distT="50800" distB="0" distL="0" distR="0" simplePos="0" locked="0" layoutInCell="1" allowOverlap="1" relativeHeight="441">
                <wp:simplePos x="0" y="0"/>
                <wp:positionH relativeFrom="column">
                  <wp:align>left</wp:align>
                </wp:positionH>
                <wp:positionV relativeFrom="line">
                  <wp:align>top</wp:align>
                </wp:positionV>
                <wp:extent cx="254000" cy="241300"/>
                <wp:effectExtent l="0" t="0" r="0" b="0"/>
                <wp:wrapSquare wrapText="right"/>
                <wp:docPr id="442" name="Frame316"/>
                <a:graphic xmlns:a="http://schemas.openxmlformats.org/drawingml/2006/main">
                  <a:graphicData uri="http://schemas.microsoft.com/office/word/2010/wordprocessingShape">
                    <wps:wsp>
                      <wps:cNvSpPr txBox="1"/>
                      <wps:spPr>
                        <a:xfrm>
                          <a:off x="0" y="0"/>
                          <a:ext cx="254000" cy="241300"/>
                        </a:xfrm>
                        <a:prstGeom prst="rect"/>
                        <a:solidFill>
                          <a:srgbClr val="FFFFFF"/>
                        </a:solidFill>
                      </wps:spPr>
                      <wps:txbx>
                        <w:txbxContent>
                          <w:p>
                            <w:pPr>
                              <w:pStyle w:val="TextBody"/>
                              <w:bidi w:val="0"/>
                              <w:spacing w:lineRule="atLeast" w:line="190" w:before="0" w:after="283"/>
                              <w:jc w:val="both"/>
                              <w:rPr>
                                <w:sz w:val="15"/>
                              </w:rPr>
                            </w:pPr>
                            <w:r>
                              <w:rPr>
                                <w:sz w:val="11"/>
                              </w:rPr>
                              <w:t>(4)</w:t>
                            </w:r>
                            <w:r>
                              <w:rPr>
                                <w:sz w:val="15"/>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0" w:before="0" w:after="283"/>
                        <w:jc w:val="both"/>
                        <w:rPr>
                          <w:sz w:val="15"/>
                        </w:rPr>
                      </w:pPr>
                      <w:r>
                        <w:rPr>
                          <w:sz w:val="11"/>
                        </w:rPr>
                        <w:t>(4)</w:t>
                      </w:r>
                      <w:r>
                        <w:rPr>
                          <w:sz w:val="15"/>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67</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200" w:after="283"/>
        <w:ind w:left="920" w:right="0" w:hanging="0"/>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NON-GAAP FINANCIAL MEASURES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0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As required by the SEC rules we provide reconciliations of the non-GAAP financial measures contained in this Proxy Statement to the most directly comparable measure under GAAP, which are set forth in the financial tables above.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XPO’s non-GAAP financial measures used in this Proxy Statement include: adjusted earnings before interest, taxes, depreciation and amortization (“adjusted EBITDA”) on a consolidated basis; adjusted net income from continuing operations; adjusted diluted earnings from continuing operations per share (“adjusted EPS”); adjusted operating income for our North American LTL segment; and adjusted operating ratio for our North American LTL segment.</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believe that the above adjusted financial measures facilitate analysis of our ongoing business operations because they exclude items that may not be reflective of, or are unrelated to, XPO and its business segments’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 Adjusted EBITDA, adjusted net income from continuing operations, adjusted EPS, adjusted operating income and adjusted operating ratio include adjustments for transaction and integration costs, as well as restructuring costs and other adjustments as set forth in the tables above. Transaction and integration adjustments are generally incremental costs that result from an actual or planned acquisition, divestiture or spin-off and may include transaction costs, consulting fees, stock-based compensation, retention awards, internal salaries and wages (to the extent the individuals are assigned full-time to integration and transformation activities) and certain costs related to integrating and converging IT systems. Restructuring costs primarily relate to severance costs associated with business optimization initiatives. Management uses these non-GAAP financial measures in making financial, operating and planning decisions and evaluating XPO’s and each business segment’s ongoing performance.</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We believe that adjusted EBITDA improves comparability from period to period by removing the impact of our capital structure (interest and financing expenses), asset base (depreciation and amortization), tax impacts and other adjustments as set out in the above tables that management has determined are not reflective of core operating activities and thereby assist investors with assessing trends in our underlying businesses. We believe that adjusted net income from continuing operations and adjusted EPS improve the comparability of our operating results from period to period by removing the impact of certain costs and gains that management has determined are not reflective of our core operating activities, including amortization of acquisition-related intangible assets, transaction and integration costs, restructuring costs and other adjustments as set out in the attached tables. We believe that adjusted operating income and adjusted operating ratio for our North American LTL business improve the comparability of our operating results from period to period by removing the impact of certain transaction and integration costs and restructuring costs, as well as amortization expenses.</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E2231A"/>
          <w:sz w:val="20"/>
        </w:rPr>
      </w:pPr>
      <w:r>
        <w:rPr>
          <w:rFonts w:ascii="Helvetica;Arial Narrow;sans-serif" w:hAnsi="Helvetica;Arial Narrow;sans-serif"/>
          <w:b/>
          <w:i w:val="false"/>
          <w:caps w:val="false"/>
          <w:smallCaps w:val="false"/>
          <w:color w:val="E2231A"/>
          <w:spacing w:val="-2"/>
          <w:sz w:val="20"/>
        </w:rPr>
        <w:t>FORWARD-LOOKING STATEMENTS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00" w:after="283"/>
        <w:jc w:val="both"/>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This Proxy Statement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r>
        <w:rPr>
          <w:rFonts w:ascii="Helvetica;Arial Narrow;sans-serif" w:hAnsi="Helvetica;Arial Narrow;sans-serif"/>
          <w:b w:val="false"/>
          <w:i/>
          <w:caps w:val="false"/>
          <w:smallCaps w:val="false"/>
          <w:color w:val="000000"/>
          <w:spacing w:val="4"/>
          <w:sz w:val="18"/>
        </w:rPr>
        <w:t xml:space="preserve"> </w:t>
      </w:r>
    </w:p>
    <w:p>
      <w:pPr>
        <w:pStyle w:val="TextBody"/>
        <w:bidi w:val="0"/>
        <w:spacing w:lineRule="atLeast" w:line="220" w:before="100" w:after="283"/>
        <w:jc w:val="both"/>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 xml:space="preserve">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the effects of business, economic, political, legal, and regulatory impacts or conflicts upon our operations; supply chain disruptions and shortages, strains on production or extraction of raw materials, cost inflation and labor and equipment shortages; our ability to align our investments in capital assets, including equipment, service centers, and warehouses to our customers’ demands; our ability to implement our cost and revenue initiatives; the effectiveness of our action plan; and other management actions to improve our North American LTL business; our ability to continue insourcing linehaul in ways that enhance our network efficiency and service; the anticipated impact of a freight market recovery on our business; our ability to benefit from a sale, spin-off or other divestiture of one or more business units or to successfully integrate and realize anticipated synergies, cost savings and profit opportunities from acquired companies; goodwill impairment; issues related to compliance with data protection laws, competition laws, and intellectual property laws; fluctuations in currency exchange rates, fuel prices and fuel surcharges; the expected benefits of the spin-offs of GXO Logistics, Inc. and RXO, Inc.; our ability to develop and implement suitable information technology systems; the impact of potential cyber-attacks and information technology or data security breaches or failures; our indebtedness; our ability to raise debt and equity capital; fluctuations in interest rates; seasonal fluctuations; our ability to maintain positive relationships with our network of third-party transportation providers; our ability to attract and retain management talent and key employees including qualified drivers; labor matters; litigation; and competition and pricing pressures. </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68</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200" w:after="283"/>
        <w:ind w:left="920" w:right="0" w:hanging="0"/>
        <w:jc w:val="both"/>
        <w:rPr>
          <w:rFonts w:ascii="Helvetica;Arial Narrow;sans-serif" w:hAnsi="Helvetica;Arial Narrow;sans-serif"/>
          <w:b w:val="false"/>
          <w:i/>
          <w:caps w:val="false"/>
          <w:smallCaps w:val="false"/>
          <w:color w:val="000000"/>
          <w:sz w:val="18"/>
        </w:rPr>
      </w:pPr>
      <w:r>
        <w:rPr>
          <w:rFonts w:ascii="Helvetica;Arial Narrow;sans-serif" w:hAnsi="Helvetica;Arial Narrow;sans-serif"/>
          <w:b w:val="false"/>
          <w:i/>
          <w:caps w:val="false"/>
          <w:smallCaps w:val="false"/>
          <w:color w:val="000000"/>
          <w:sz w:val="18"/>
        </w:rPr>
        <w:t>All forward-looking statements set forth in this Proxy Statement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Proxy Statement speak only as of the date hereof, and we do not undertake any obligation to update forward-looking statements to reflect subsequent events or circumstances, changes in expectations or the occurrence of unanticipated events, except to the extent required by law.</w:t>
      </w:r>
    </w:p>
    <w:tbl>
      <w:tblPr>
        <w:tblW w:w="3499" w:type="dxa"/>
        <w:jc w:val="left"/>
        <w:tblInd w:w="920" w:type="dxa"/>
        <w:tblLayout w:type="fixed"/>
        <w:tblCellMar>
          <w:top w:w="0" w:type="dxa"/>
          <w:left w:w="0" w:type="dxa"/>
          <w:bottom w:w="28" w:type="dxa"/>
          <w:right w:w="0" w:type="dxa"/>
        </w:tblCellMar>
      </w:tblPr>
      <w:tblGrid>
        <w:gridCol w:w="124"/>
        <w:gridCol w:w="226"/>
        <w:gridCol w:w="109"/>
        <w:gridCol w:w="109"/>
        <w:gridCol w:w="346"/>
        <w:gridCol w:w="109"/>
        <w:gridCol w:w="109"/>
        <w:gridCol w:w="226"/>
        <w:gridCol w:w="109"/>
        <w:gridCol w:w="109"/>
        <w:gridCol w:w="176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346" w:type="dxa"/>
            <w:tcBorders>
              <w:bottom w:val="single" w:sz="2" w:space="0" w:color="E2231A"/>
            </w:tcBorders>
            <w:shd w:fill="E2231A" w:val="clear"/>
            <w:vAlign w:val="center"/>
          </w:tcPr>
          <w:p>
            <w:pPr>
              <w:pStyle w:val="TableContents"/>
              <w:bidi w:val="0"/>
              <w:spacing w:before="0" w:after="0"/>
              <w:jc w:val="center"/>
              <w:rPr>
                <w:color w:val="FEFEFE"/>
              </w:rPr>
            </w:pPr>
            <w:r>
              <w:rPr>
                <w:color w:val="FEFEFE"/>
              </w:rPr>
              <w:t>69</w:t>
            </w:r>
          </w:p>
        </w:tc>
        <w:tc>
          <w:tcPr>
            <w:tcW w:w="109" w:type="dxa"/>
            <w:tcBorders>
              <w:bottom w:val="single" w:sz="2" w:space="0" w:color="E2231A"/>
            </w:tcBorders>
            <w:shd w:fill="E2231A"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tcBorders>
              <w:bottom w:val="single" w:sz="2" w:space="0" w:color="FFFFFF"/>
            </w:tcBorders>
            <w:vAlign w:val="center"/>
          </w:tcPr>
          <w:p>
            <w:pPr>
              <w:pStyle w:val="TableContents"/>
              <w:bidi w:val="0"/>
              <w:spacing w:before="0" w:after="0"/>
              <w:jc w:val="left"/>
              <w:rPr/>
            </w:pPr>
            <w:r>
              <w:rPr>
                <w:sz w:val="12"/>
              </w:rPr>
              <w:t>©</w:t>
            </w:r>
            <w:r>
              <w:rPr/>
              <w:t xml:space="preserve"> 2025 </w:t>
            </w:r>
            <w:r>
              <w:rPr>
                <w:b/>
                <w:spacing w:val="-1"/>
              </w:rPr>
              <w:t>XPO</w:t>
            </w:r>
            <w:r>
              <w:rPr/>
              <w:t>, Inc.</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2231A" w:val="clear"/>
            <w:tcMar>
              <w:bottom w:w="0" w:type="dxa"/>
            </w:tcMar>
            <w:vAlign w:val="center"/>
          </w:tcPr>
          <w:p>
            <w:pPr>
              <w:pStyle w:val="TableContents"/>
              <w:bidi w:val="0"/>
              <w:spacing w:before="0" w:after="283"/>
              <w:jc w:val="left"/>
              <w:rPr/>
            </w:pPr>
            <w:r>
              <w:rPr/>
              <w:t>​</w:t>
            </w:r>
          </w:p>
        </w:tc>
        <w:tc>
          <w:tcPr>
            <w:tcW w:w="346" w:type="dxa"/>
            <w:tcBorders/>
            <w:shd w:fill="E2231A" w:val="clear"/>
            <w:tcMar>
              <w:bottom w:w="0" w:type="dxa"/>
            </w:tcMar>
            <w:vAlign w:val="center"/>
          </w:tcPr>
          <w:p>
            <w:pPr>
              <w:pStyle w:val="TableContents"/>
              <w:bidi w:val="0"/>
              <w:spacing w:before="0" w:after="0"/>
              <w:jc w:val="center"/>
              <w:rPr>
                <w:color w:val="FEFEFE"/>
              </w:rPr>
            </w:pPr>
            <w:r>
              <w:rPr>
                <w:color w:val="FEFEFE"/>
              </w:rPr>
              <w:t> </w:t>
            </w:r>
          </w:p>
        </w:tc>
        <w:tc>
          <w:tcPr>
            <w:tcW w:w="109" w:type="dxa"/>
            <w:tcBorders/>
            <w:shd w:fill="E2231A"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9"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44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123" descr=""/>
                    <pic:cNvPicPr>
                      <a:picLocks noChangeAspect="1" noChangeArrowheads="1"/>
                    </pic:cNvPicPr>
                  </pic:nvPicPr>
                  <pic:blipFill>
                    <a:blip r:embed="rId128"/>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Helvetica;Arial Narrow;sans-serif" w:hAnsi="Helvetica;Arial Narrow;sans-serif"/>
          <w:b w:val="false"/>
          <w:i w:val="false"/>
          <w:caps w:val="false"/>
          <w:smallCaps w:val="false"/>
          <w:color w:val="FFFFFF"/>
          <w:sz w:val="2"/>
        </w:rPr>
      </w:pPr>
      <w:r>
        <w:rPr>
          <w:rFonts w:ascii="Helvetica;Arial Narrow;sans-serif" w:hAnsi="Helvetica;Arial Narrow;sans-serif"/>
          <w:b w:val="false"/>
          <w:i w:val="false"/>
          <w:caps w:val="false"/>
          <w:smallCaps w:val="false"/>
          <w:color w:val="FFFFFF"/>
          <w:spacing w:val="0"/>
          <w:sz w:val="2"/>
        </w:rPr>
        <w:t>Using a black ink pen, mark your votes with an X as shown in this example. Please do not write outside the designated areas. Your vote matters – here’s how to vote!You may vote online or by phone instead of mailing this card.OnlineGo to www.investorvote.com/XPO or scan the QR code — login details are located in the shaded bar below.PhoneCall toll free 1-800-652-VOTE (8683) within the USA, US territories and CanadaSave paper, time and money! Sign up for electronic delivery at www.investorvote.com/XPO T IF VOTING BY MAIL, SIGN, DETACH AND RETURN THE BOTTOM PORTION IN THE ENCLOSED ENVELOPE.TThe Board of Directors recommends a vote FOR all director nominees listed below. 1.Election of Directors: ForAgainst AbstainForAgainst AbstainForAgainst Abstain 01- Brad Jacobs 04 - Mario Harik07 - Irene Moshouris 02- Bella Allaire05 - Michael G. Jesselson 08 - Johnny C. Taylor, Jr. 03- J. Wes Frye 06 - Allison Landry The Board of Directors recommends a vote FOR proposals 2 and 3.ForAgainst AbstainForAgainst Abstain 2.Ratification of the appointment of KPMG as our independent registered public accounting firm for fiscal year 2025. 3.Advisory vote to approve executive compensation. 1 U P X</w:t>
      </w:r>
      <w:r>
        <w:rPr>
          <w:rFonts w:ascii="Helvetica;Arial Narrow;sans-serif" w:hAnsi="Helvetica;Arial Narrow;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44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124" descr=""/>
                    <pic:cNvPicPr>
                      <a:picLocks noChangeAspect="1" noChangeArrowheads="1"/>
                    </pic:cNvPicPr>
                  </pic:nvPicPr>
                  <pic:blipFill>
                    <a:blip r:embed="rId129"/>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36" w:after="283"/>
        <w:jc w:val="both"/>
        <w:rPr>
          <w:rFonts w:ascii="Helvetica;Arial Narrow;sans-serif" w:hAnsi="Helvetica;Arial Narrow;sans-serif"/>
          <w:b w:val="false"/>
          <w:i w:val="false"/>
          <w:caps w:val="false"/>
          <w:smallCaps w:val="false"/>
          <w:color w:val="FFFFFF"/>
          <w:sz w:val="2"/>
        </w:rPr>
      </w:pPr>
      <w:r>
        <w:rPr>
          <w:rFonts w:ascii="Helvetica;Arial Narrow;sans-serif" w:hAnsi="Helvetica;Arial Narrow;sans-serif"/>
          <w:b w:val="false"/>
          <w:i w:val="false"/>
          <w:caps w:val="false"/>
          <w:smallCaps w:val="false"/>
          <w:color w:val="FFFFFF"/>
          <w:spacing w:val="0"/>
          <w:sz w:val="2"/>
        </w:rPr>
        <w:t>YOUR VOTE IS IMPORTANTRegardless of whether you plan to attend the Annual Meeting of Stockholders,you can be sure your shares are represented at the meeting by promptly returning your proxy in the enclosed envelope.The 2025 Annual Meeting of Stockholders of XPO, Inc. will be held onMay 15, 2025 at 10:00 a.m. Eastern Time virtually via the internet at meetnow.global/M6DAT65To access the virtual meeting, you must have the information that is printed in the shaded bar located on the reverse side of this form.Important notice regarding the internet availability of proxy materials for the Annual Meeting of Stockholders to be held on May 15, 2025:The Notice of 2025 Annual Meeting, Proxy Statement, and our Annual Report on Form 10-K for the Year Ended on December 31, 2024 are available at www.investorvote.com/XPOT IF VOTING BY MAIL, SIGN, DETACH AND RETURN THE BOTTOM PORTION IN THE ENCLOSED ENVELOPE.TPROXY FOR THE ANNUAL MEETING OF STOCKHOLDERS TO BE HELD ON MAY 15, 2025This Proxy is solicited on behalf of the Board of Directors of XPO, Inc.The undersigned hereby acknowledges receipt of the XPO, Inc. Notice of Annual Meeting and Proxy Statement and hereby constitutes and appoints Brad Jacobs and Wendy Cassity, and each of them, its true and lawful agents and proxies, with full power of substitution in each, to attend the Annual Meeting of Stockholders of XPO, Inc. on Thursday, May 15, 2025 held as a virtual meeting via webcast, and any postponement or adjournment thereof, and to vote on the matters indicated all shares of Common Stock, par value $0.001, that the undersigned would be entitled to vote if personally present. You can access the meeting at meetnow.global/M6DAT65. You will need to enter your control number to access the meeting. The control number is located in the shaded area on the opposite side of this proxy card.THIS PROXY, WHEN PROPERLY EXECUTED, WILL BE VOTED IN THE MANNER DIRECTED HEREIN. IF NO DIRECTION IS MADE, THIS PROXY WILL BE VOTED IN ACCORDANCE WITH THE BOARD OF DIRECTORS’ RECOMMENDATIONS.PLEASE PROMPTLY COMPLETE, SIGN AND DATE THIS PROXY ON THE REVERSE SIDE AND MAIL IN THE ENCLOSED POSTAGE-PAID ENVELOPE.Please sign exactly as name(s) appears hereon. Joint owners should each sign. When signing as attorney, executor, administrator, corporate officer, trustee, guardian, or custodian, please give full title.Date (mm/dd/yyyy) — Please print date below.Signature 1 — Please keep signature within the box.Signature 2 — Please keep signature within the box.Change of Address — Please print new address below.Comments — Please print your comments below.</w:t>
      </w:r>
      <w:r>
        <w:rPr>
          <w:rFonts w:ascii="Helvetica;Arial Narrow;sans-serif" w:hAnsi="Helvetica;Arial Narrow;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Arial Narrow">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gif"/><Relationship Id="rId8" Type="http://schemas.openxmlformats.org/officeDocument/2006/relationships/image" Target="media/image6.gif"/><Relationship Id="rId9" Type="http://schemas.openxmlformats.org/officeDocument/2006/relationships/image" Target="media/image6.gif"/><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gif"/><Relationship Id="rId13" Type="http://schemas.openxmlformats.org/officeDocument/2006/relationships/image" Target="media/image9.gif"/><Relationship Id="rId14" Type="http://schemas.openxmlformats.org/officeDocument/2006/relationships/image" Target="media/image9.gif"/><Relationship Id="rId15" Type="http://schemas.openxmlformats.org/officeDocument/2006/relationships/image" Target="media/image9.gif"/><Relationship Id="rId16" Type="http://schemas.openxmlformats.org/officeDocument/2006/relationships/image" Target="media/image9.gif"/><Relationship Id="rId17" Type="http://schemas.openxmlformats.org/officeDocument/2006/relationships/image" Target="media/image9.gif"/><Relationship Id="rId18" Type="http://schemas.openxmlformats.org/officeDocument/2006/relationships/image" Target="media/image9.gif"/><Relationship Id="rId19" Type="http://schemas.openxmlformats.org/officeDocument/2006/relationships/image" Target="media/image9.gif"/><Relationship Id="rId20" Type="http://schemas.openxmlformats.org/officeDocument/2006/relationships/image" Target="media/image9.gif"/><Relationship Id="rId21" Type="http://schemas.openxmlformats.org/officeDocument/2006/relationships/image" Target="media/image9.gif"/><Relationship Id="rId22" Type="http://schemas.openxmlformats.org/officeDocument/2006/relationships/image" Target="media/image9.gif"/><Relationship Id="rId23" Type="http://schemas.openxmlformats.org/officeDocument/2006/relationships/image" Target="media/image9.gif"/><Relationship Id="rId24" Type="http://schemas.openxmlformats.org/officeDocument/2006/relationships/image" Target="media/image9.gif"/><Relationship Id="rId25" Type="http://schemas.openxmlformats.org/officeDocument/2006/relationships/image" Target="media/image9.gif"/><Relationship Id="rId26" Type="http://schemas.openxmlformats.org/officeDocument/2006/relationships/image" Target="media/image9.gif"/><Relationship Id="rId27" Type="http://schemas.openxmlformats.org/officeDocument/2006/relationships/image" Target="media/image9.gif"/><Relationship Id="rId28" Type="http://schemas.openxmlformats.org/officeDocument/2006/relationships/image" Target="media/image9.gif"/><Relationship Id="rId29" Type="http://schemas.openxmlformats.org/officeDocument/2006/relationships/image" Target="media/image9.gif"/><Relationship Id="rId30" Type="http://schemas.openxmlformats.org/officeDocument/2006/relationships/image" Target="media/image9.gif"/><Relationship Id="rId31" Type="http://schemas.openxmlformats.org/officeDocument/2006/relationships/image" Target="media/image9.gif"/><Relationship Id="rId32" Type="http://schemas.openxmlformats.org/officeDocument/2006/relationships/image" Target="media/image9.gif"/><Relationship Id="rId33" Type="http://schemas.openxmlformats.org/officeDocument/2006/relationships/image" Target="media/image9.gif"/><Relationship Id="rId34" Type="http://schemas.openxmlformats.org/officeDocument/2006/relationships/image" Target="media/image9.gif"/><Relationship Id="rId35" Type="http://schemas.openxmlformats.org/officeDocument/2006/relationships/image" Target="media/image9.gif"/><Relationship Id="rId36" Type="http://schemas.openxmlformats.org/officeDocument/2006/relationships/image" Target="media/image9.gif"/><Relationship Id="rId37" Type="http://schemas.openxmlformats.org/officeDocument/2006/relationships/image" Target="media/image9.gif"/><Relationship Id="rId38" Type="http://schemas.openxmlformats.org/officeDocument/2006/relationships/image" Target="media/image9.gif"/><Relationship Id="rId39" Type="http://schemas.openxmlformats.org/officeDocument/2006/relationships/image" Target="media/image9.gif"/><Relationship Id="rId40" Type="http://schemas.openxmlformats.org/officeDocument/2006/relationships/image" Target="media/image9.gif"/><Relationship Id="rId41" Type="http://schemas.openxmlformats.org/officeDocument/2006/relationships/image" Target="media/image9.gif"/><Relationship Id="rId42" Type="http://schemas.openxmlformats.org/officeDocument/2006/relationships/image" Target="media/image9.gif"/><Relationship Id="rId43" Type="http://schemas.openxmlformats.org/officeDocument/2006/relationships/image" Target="media/image9.gif"/><Relationship Id="rId44" Type="http://schemas.openxmlformats.org/officeDocument/2006/relationships/image" Target="media/image9.gif"/><Relationship Id="rId45" Type="http://schemas.openxmlformats.org/officeDocument/2006/relationships/image" Target="media/image9.gif"/><Relationship Id="rId46" Type="http://schemas.openxmlformats.org/officeDocument/2006/relationships/image" Target="media/image9.gif"/><Relationship Id="rId47" Type="http://schemas.openxmlformats.org/officeDocument/2006/relationships/image" Target="media/image9.gif"/><Relationship Id="rId48" Type="http://schemas.openxmlformats.org/officeDocument/2006/relationships/image" Target="media/image9.gif"/><Relationship Id="rId49" Type="http://schemas.openxmlformats.org/officeDocument/2006/relationships/image" Target="media/image9.gif"/><Relationship Id="rId50" Type="http://schemas.openxmlformats.org/officeDocument/2006/relationships/image" Target="media/image9.gif"/><Relationship Id="rId51" Type="http://schemas.openxmlformats.org/officeDocument/2006/relationships/image" Target="media/image9.gif"/><Relationship Id="rId52" Type="http://schemas.openxmlformats.org/officeDocument/2006/relationships/image" Target="media/image9.gif"/><Relationship Id="rId53" Type="http://schemas.openxmlformats.org/officeDocument/2006/relationships/image" Target="media/image9.gif"/><Relationship Id="rId54" Type="http://schemas.openxmlformats.org/officeDocument/2006/relationships/image" Target="media/image9.gif"/><Relationship Id="rId55" Type="http://schemas.openxmlformats.org/officeDocument/2006/relationships/image" Target="media/image9.gif"/><Relationship Id="rId56" Type="http://schemas.openxmlformats.org/officeDocument/2006/relationships/image" Target="media/image9.gif"/><Relationship Id="rId57" Type="http://schemas.openxmlformats.org/officeDocument/2006/relationships/image" Target="media/image9.gif"/><Relationship Id="rId58" Type="http://schemas.openxmlformats.org/officeDocument/2006/relationships/image" Target="media/image9.gif"/><Relationship Id="rId59" Type="http://schemas.openxmlformats.org/officeDocument/2006/relationships/image" Target="media/image9.gif"/><Relationship Id="rId60" Type="http://schemas.openxmlformats.org/officeDocument/2006/relationships/image" Target="media/image9.gif"/><Relationship Id="rId61" Type="http://schemas.openxmlformats.org/officeDocument/2006/relationships/image" Target="media/image9.gif"/><Relationship Id="rId62" Type="http://schemas.openxmlformats.org/officeDocument/2006/relationships/image" Target="media/image9.gif"/><Relationship Id="rId63" Type="http://schemas.openxmlformats.org/officeDocument/2006/relationships/image" Target="media/image9.gif"/><Relationship Id="rId64" Type="http://schemas.openxmlformats.org/officeDocument/2006/relationships/image" Target="media/image9.gif"/><Relationship Id="rId65" Type="http://schemas.openxmlformats.org/officeDocument/2006/relationships/image" Target="media/image9.gif"/><Relationship Id="rId66" Type="http://schemas.openxmlformats.org/officeDocument/2006/relationships/image" Target="media/image9.gif"/><Relationship Id="rId67" Type="http://schemas.openxmlformats.org/officeDocument/2006/relationships/image" Target="media/image9.gif"/><Relationship Id="rId68" Type="http://schemas.openxmlformats.org/officeDocument/2006/relationships/image" Target="media/image9.gif"/><Relationship Id="rId69" Type="http://schemas.openxmlformats.org/officeDocument/2006/relationships/image" Target="media/image9.gif"/><Relationship Id="rId70" Type="http://schemas.openxmlformats.org/officeDocument/2006/relationships/image" Target="media/image9.gif"/><Relationship Id="rId71" Type="http://schemas.openxmlformats.org/officeDocument/2006/relationships/image" Target="media/image9.gif"/><Relationship Id="rId72" Type="http://schemas.openxmlformats.org/officeDocument/2006/relationships/image" Target="media/image9.gif"/><Relationship Id="rId73" Type="http://schemas.openxmlformats.org/officeDocument/2006/relationships/image" Target="media/image9.gif"/><Relationship Id="rId74" Type="http://schemas.openxmlformats.org/officeDocument/2006/relationships/image" Target="media/image9.gif"/><Relationship Id="rId75" Type="http://schemas.openxmlformats.org/officeDocument/2006/relationships/image" Target="media/image9.gif"/><Relationship Id="rId76" Type="http://schemas.openxmlformats.org/officeDocument/2006/relationships/image" Target="media/image9.gif"/><Relationship Id="rId77" Type="http://schemas.openxmlformats.org/officeDocument/2006/relationships/image" Target="media/image9.gif"/><Relationship Id="rId78" Type="http://schemas.openxmlformats.org/officeDocument/2006/relationships/image" Target="media/image9.gif"/><Relationship Id="rId79" Type="http://schemas.openxmlformats.org/officeDocument/2006/relationships/image" Target="media/image9.gif"/><Relationship Id="rId80" Type="http://schemas.openxmlformats.org/officeDocument/2006/relationships/image" Target="media/image9.gif"/><Relationship Id="rId81" Type="http://schemas.openxmlformats.org/officeDocument/2006/relationships/image" Target="media/image9.gif"/><Relationship Id="rId82" Type="http://schemas.openxmlformats.org/officeDocument/2006/relationships/image" Target="media/image9.gif"/><Relationship Id="rId83" Type="http://schemas.openxmlformats.org/officeDocument/2006/relationships/image" Target="media/image9.gif"/><Relationship Id="rId84" Type="http://schemas.openxmlformats.org/officeDocument/2006/relationships/image" Target="media/image9.gif"/><Relationship Id="rId85" Type="http://schemas.openxmlformats.org/officeDocument/2006/relationships/image" Target="media/image9.gif"/><Relationship Id="rId86" Type="http://schemas.openxmlformats.org/officeDocument/2006/relationships/image" Target="media/image9.gif"/><Relationship Id="rId87" Type="http://schemas.openxmlformats.org/officeDocument/2006/relationships/image" Target="media/image10.jpeg"/><Relationship Id="rId88" Type="http://schemas.openxmlformats.org/officeDocument/2006/relationships/image" Target="media/image11.jpeg"/><Relationship Id="rId89" Type="http://schemas.openxmlformats.org/officeDocument/2006/relationships/image" Target="media/image12.jpeg"/><Relationship Id="rId90" Type="http://schemas.openxmlformats.org/officeDocument/2006/relationships/image" Target="media/image13.jpeg"/><Relationship Id="rId91" Type="http://schemas.openxmlformats.org/officeDocument/2006/relationships/image" Target="media/image14.jpeg"/><Relationship Id="rId92" Type="http://schemas.openxmlformats.org/officeDocument/2006/relationships/image" Target="media/image15.jpeg"/><Relationship Id="rId93" Type="http://schemas.openxmlformats.org/officeDocument/2006/relationships/image" Target="media/image16.jpeg"/><Relationship Id="rId94" Type="http://schemas.openxmlformats.org/officeDocument/2006/relationships/image" Target="media/image17.jpeg"/><Relationship Id="rId95" Type="http://schemas.openxmlformats.org/officeDocument/2006/relationships/image" Target="media/image18.jpeg"/><Relationship Id="rId96" Type="http://schemas.openxmlformats.org/officeDocument/2006/relationships/image" Target="media/image11.jpeg"/><Relationship Id="rId97" Type="http://schemas.openxmlformats.org/officeDocument/2006/relationships/image" Target="media/image14.jpeg"/><Relationship Id="rId98" Type="http://schemas.openxmlformats.org/officeDocument/2006/relationships/image" Target="media/image19.jpeg"/><Relationship Id="rId99" Type="http://schemas.openxmlformats.org/officeDocument/2006/relationships/image" Target="media/image20.jpeg"/><Relationship Id="rId100" Type="http://schemas.openxmlformats.org/officeDocument/2006/relationships/image" Target="media/image21.jpeg"/><Relationship Id="rId101" Type="http://schemas.openxmlformats.org/officeDocument/2006/relationships/image" Target="media/image7.jpeg"/><Relationship Id="rId102" Type="http://schemas.openxmlformats.org/officeDocument/2006/relationships/image" Target="media/image10.jpeg"/><Relationship Id="rId103" Type="http://schemas.openxmlformats.org/officeDocument/2006/relationships/image" Target="media/image22.jpeg"/><Relationship Id="rId104" Type="http://schemas.openxmlformats.org/officeDocument/2006/relationships/image" Target="media/image23.jpeg"/><Relationship Id="rId105" Type="http://schemas.openxmlformats.org/officeDocument/2006/relationships/image" Target="media/image22.jpeg"/><Relationship Id="rId106" Type="http://schemas.openxmlformats.org/officeDocument/2006/relationships/image" Target="media/image23.jpeg"/><Relationship Id="rId107" Type="http://schemas.openxmlformats.org/officeDocument/2006/relationships/image" Target="media/image22.jpeg"/><Relationship Id="rId108" Type="http://schemas.openxmlformats.org/officeDocument/2006/relationships/image" Target="media/image23.jpeg"/><Relationship Id="rId109" Type="http://schemas.openxmlformats.org/officeDocument/2006/relationships/image" Target="media/image22.jpeg"/><Relationship Id="rId110" Type="http://schemas.openxmlformats.org/officeDocument/2006/relationships/image" Target="media/image23.jpeg"/><Relationship Id="rId111" Type="http://schemas.openxmlformats.org/officeDocument/2006/relationships/image" Target="media/image22.jpeg"/><Relationship Id="rId112" Type="http://schemas.openxmlformats.org/officeDocument/2006/relationships/image" Target="media/image23.jpeg"/><Relationship Id="rId113" Type="http://schemas.openxmlformats.org/officeDocument/2006/relationships/image" Target="media/image22.jpeg"/><Relationship Id="rId114" Type="http://schemas.openxmlformats.org/officeDocument/2006/relationships/image" Target="media/image23.jpeg"/><Relationship Id="rId115" Type="http://schemas.openxmlformats.org/officeDocument/2006/relationships/image" Target="media/image24.jpeg"/><Relationship Id="rId116" Type="http://schemas.openxmlformats.org/officeDocument/2006/relationships/image" Target="media/image25.jpeg"/><Relationship Id="rId117" Type="http://schemas.openxmlformats.org/officeDocument/2006/relationships/image" Target="media/image25.jpeg"/><Relationship Id="rId118" Type="http://schemas.openxmlformats.org/officeDocument/2006/relationships/image" Target="media/image25.jpeg"/><Relationship Id="rId119" Type="http://schemas.openxmlformats.org/officeDocument/2006/relationships/image" Target="media/image25.jpeg"/><Relationship Id="rId120" Type="http://schemas.openxmlformats.org/officeDocument/2006/relationships/image" Target="media/image25.jpeg"/><Relationship Id="rId121" Type="http://schemas.openxmlformats.org/officeDocument/2006/relationships/image" Target="media/image25.jpeg"/><Relationship Id="rId122" Type="http://schemas.openxmlformats.org/officeDocument/2006/relationships/image" Target="media/image25.jpeg"/><Relationship Id="rId123" Type="http://schemas.openxmlformats.org/officeDocument/2006/relationships/image" Target="media/image25.jpeg"/><Relationship Id="rId124" Type="http://schemas.openxmlformats.org/officeDocument/2006/relationships/image" Target="media/image26.jpeg"/><Relationship Id="rId125" Type="http://schemas.openxmlformats.org/officeDocument/2006/relationships/image" Target="media/image27.jpeg"/><Relationship Id="rId126" Type="http://schemas.openxmlformats.org/officeDocument/2006/relationships/image" Target="media/image28.jpeg"/><Relationship Id="rId127" Type="http://schemas.openxmlformats.org/officeDocument/2006/relationships/image" Target="media/image29.jpeg"/><Relationship Id="rId128" Type="http://schemas.openxmlformats.org/officeDocument/2006/relationships/image" Target="media/image30.jpeg"/><Relationship Id="rId129" Type="http://schemas.openxmlformats.org/officeDocument/2006/relationships/image" Target="media/image31.jpeg"/><Relationship Id="rId130" Type="http://schemas.openxmlformats.org/officeDocument/2006/relationships/fontTable" Target="fontTable.xml"/><Relationship Id="rId1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44191</Words>
  <Characters>243124</Characters>
  <CharactersWithSpaces>296787</CharactersWithSpaces>
  <Paragraphs>12460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