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7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1"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___________________________________________</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9"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___________________________________________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1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26" w:lineRule="exact"/>
        <w:rPr>
          <w:sz w:val="24"/>
          <w:szCs w:val="24"/>
          <w:color w:val="auto"/>
        </w:rPr>
      </w:pPr>
    </w:p>
    <w:p>
      <w:pPr>
        <w:ind w:left="3520" w:right="1620" w:hanging="3494"/>
        <w:spacing w:after="0" w:line="360" w:lineRule="auto"/>
        <w:tabs>
          <w:tab w:leader="none" w:pos="40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w:t>
      </w:r>
      <w:r>
        <w:rPr>
          <w:rFonts w:ascii="Arial" w:cs="Arial" w:eastAsia="Arial" w:hAnsi="Arial"/>
          <w:sz w:val="14"/>
          <w:szCs w:val="14"/>
          <w:b w:val="1"/>
          <w:bCs w:val="1"/>
          <w:color w:val="auto"/>
        </w:rPr>
        <w:t>____________</w:t>
      </w:r>
      <w:r>
        <w:rPr>
          <w:rFonts w:ascii="Arial" w:cs="Arial" w:eastAsia="Arial" w:hAnsi="Arial"/>
          <w:sz w:val="18"/>
          <w:szCs w:val="18"/>
          <w:b w:val="1"/>
          <w:bCs w:val="1"/>
          <w:color w:val="auto"/>
        </w:rPr>
        <w:t>to</w:t>
      </w:r>
      <w:r>
        <w:rPr>
          <w:rFonts w:ascii="Arial" w:cs="Arial" w:eastAsia="Arial" w:hAnsi="Arial"/>
          <w:sz w:val="14"/>
          <w:szCs w:val="14"/>
          <w:b w:val="1"/>
          <w:bCs w:val="1"/>
          <w:color w:val="auto"/>
        </w:rPr>
        <w:t>____________</w:t>
      </w:r>
    </w:p>
    <w:p>
      <w:pPr>
        <w:jc w:val="center"/>
        <w:ind w:right="-59"/>
        <w:spacing w:after="0"/>
        <w:rPr>
          <w:sz w:val="20"/>
          <w:szCs w:val="20"/>
          <w:color w:val="auto"/>
        </w:rPr>
      </w:pPr>
      <w:r>
        <w:rPr>
          <w:rFonts w:ascii="Arial" w:cs="Arial" w:eastAsia="Arial" w:hAnsi="Arial"/>
          <w:sz w:val="18"/>
          <w:szCs w:val="18"/>
          <w:b w:val="1"/>
          <w:bCs w:val="1"/>
          <w:color w:val="auto"/>
        </w:rPr>
        <w:t>Commission File Number: 001-32172</w:t>
      </w:r>
    </w:p>
    <w:p>
      <w:pPr>
        <w:spacing w:after="0" w:line="21"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73660</wp:posOffset>
            </wp:positionV>
            <wp:extent cx="2511425"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11425"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tbl>
      <w:tblPr>
        <w:tblLayout w:type="fixed"/>
        <w:tblInd w:w="0" w:type="dxa"/>
        <w:tblCellMar>
          <w:top w:w="0" w:type="dxa"/>
          <w:left w:w="0" w:type="dxa"/>
          <w:bottom w:w="0" w:type="dxa"/>
          <w:right w:w="0" w:type="dxa"/>
        </w:tblCellMar>
      </w:tblPr>
      <w:tr>
        <w:trPr>
          <w:trHeight w:val="517"/>
        </w:trPr>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80" w:type="dxa"/>
            <w:vAlign w:val="bottom"/>
            <w:gridSpan w:val="2"/>
          </w:tcPr>
          <w:p>
            <w:pPr>
              <w:jc w:val="center"/>
              <w:ind w:right="360"/>
              <w:spacing w:after="0"/>
              <w:rPr>
                <w:sz w:val="20"/>
                <w:szCs w:val="20"/>
                <w:color w:val="auto"/>
              </w:rPr>
            </w:pPr>
            <w:r>
              <w:rPr>
                <w:rFonts w:ascii="Arial" w:cs="Arial" w:eastAsia="Arial" w:hAnsi="Arial"/>
                <w:sz w:val="40"/>
                <w:szCs w:val="40"/>
                <w:b w:val="1"/>
                <w:bCs w:val="1"/>
                <w:color w:val="auto"/>
                <w:w w:val="90"/>
              </w:rPr>
              <w:t>XPO Logistics, Inc.</w:t>
            </w: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91"/>
        </w:trPr>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186"/>
        </w:trPr>
        <w:tc>
          <w:tcPr>
            <w:tcW w:w="1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_______________________________________________________</w:t>
            </w:r>
          </w:p>
        </w:tc>
        <w:tc>
          <w:tcPr>
            <w:tcW w:w="120" w:type="dxa"/>
            <w:vAlign w:val="bottom"/>
          </w:tcPr>
          <w:p>
            <w:pPr>
              <w:spacing w:after="0"/>
              <w:rPr>
                <w:sz w:val="16"/>
                <w:szCs w:val="16"/>
                <w:color w:val="auto"/>
              </w:rPr>
            </w:pPr>
          </w:p>
        </w:tc>
        <w:tc>
          <w:tcPr>
            <w:tcW w:w="3300" w:type="dxa"/>
            <w:vAlign w:val="bottom"/>
          </w:tcPr>
          <w:p>
            <w:pPr>
              <w:spacing w:after="0"/>
              <w:rPr>
                <w:sz w:val="16"/>
                <w:szCs w:val="16"/>
                <w:color w:val="auto"/>
              </w:rPr>
            </w:pPr>
          </w:p>
        </w:tc>
      </w:tr>
      <w:tr>
        <w:trPr>
          <w:trHeight w:val="340"/>
        </w:trPr>
        <w:tc>
          <w:tcPr>
            <w:tcW w:w="180" w:type="dxa"/>
            <w:vAlign w:val="bottom"/>
          </w:tcPr>
          <w:p>
            <w:pPr>
              <w:spacing w:after="0"/>
              <w:rPr>
                <w:sz w:val="24"/>
                <w:szCs w:val="24"/>
                <w:color w:val="auto"/>
              </w:rPr>
            </w:pPr>
          </w:p>
        </w:tc>
        <w:tc>
          <w:tcPr>
            <w:tcW w:w="3420" w:type="dxa"/>
            <w:vAlign w:val="bottom"/>
            <w:gridSpan w:val="2"/>
          </w:tcPr>
          <w:p>
            <w:pPr>
              <w:jc w:val="center"/>
              <w:ind w:left="1422"/>
              <w:spacing w:after="0"/>
              <w:rPr>
                <w:sz w:val="20"/>
                <w:szCs w:val="20"/>
                <w:color w:val="auto"/>
              </w:rPr>
            </w:pPr>
            <w:r>
              <w:rPr>
                <w:rFonts w:ascii="Arial" w:cs="Arial" w:eastAsia="Arial" w:hAnsi="Arial"/>
                <w:sz w:val="18"/>
                <w:szCs w:val="18"/>
                <w:b w:val="1"/>
                <w:bCs w:val="1"/>
                <w:color w:val="auto"/>
                <w:w w:val="91"/>
              </w:rPr>
              <w:t>Delaware</w:t>
            </w:r>
          </w:p>
        </w:tc>
        <w:tc>
          <w:tcPr>
            <w:tcW w:w="3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20" w:type="dxa"/>
            <w:vAlign w:val="bottom"/>
            <w:gridSpan w:val="2"/>
          </w:tcPr>
          <w:p>
            <w:pPr>
              <w:jc w:val="right"/>
              <w:ind w:right="2328"/>
              <w:spacing w:after="0"/>
              <w:rPr>
                <w:sz w:val="20"/>
                <w:szCs w:val="20"/>
                <w:color w:val="auto"/>
              </w:rPr>
            </w:pPr>
            <w:r>
              <w:rPr>
                <w:rFonts w:ascii="Arial" w:cs="Arial" w:eastAsia="Arial" w:hAnsi="Arial"/>
                <w:sz w:val="18"/>
                <w:szCs w:val="18"/>
                <w:b w:val="1"/>
                <w:bCs w:val="1"/>
                <w:color w:val="auto"/>
              </w:rPr>
              <w:t>03-0450326</w:t>
            </w:r>
          </w:p>
        </w:tc>
      </w:tr>
      <w:tr>
        <w:trPr>
          <w:trHeight w:val="144"/>
        </w:trPr>
        <w:tc>
          <w:tcPr>
            <w:tcW w:w="180" w:type="dxa"/>
            <w:vAlign w:val="bottom"/>
          </w:tcPr>
          <w:p>
            <w:pPr>
              <w:spacing w:after="0"/>
              <w:rPr>
                <w:sz w:val="12"/>
                <w:szCs w:val="12"/>
                <w:color w:val="auto"/>
              </w:rPr>
            </w:pPr>
          </w:p>
        </w:tc>
        <w:tc>
          <w:tcPr>
            <w:tcW w:w="3420" w:type="dxa"/>
            <w:vAlign w:val="bottom"/>
            <w:gridSpan w:val="2"/>
          </w:tcPr>
          <w:p>
            <w:pPr>
              <w:jc w:val="center"/>
              <w:ind w:left="1422"/>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20" w:type="dxa"/>
            <w:vAlign w:val="bottom"/>
            <w:gridSpan w:val="2"/>
          </w:tcPr>
          <w:p>
            <w:pPr>
              <w:jc w:val="center"/>
              <w:ind w:right="2168"/>
              <w:spacing w:after="0" w:line="145" w:lineRule="exact"/>
              <w:rPr>
                <w:sz w:val="20"/>
                <w:szCs w:val="20"/>
                <w:color w:val="auto"/>
              </w:rPr>
            </w:pPr>
            <w:r>
              <w:rPr>
                <w:rFonts w:ascii="Arial" w:cs="Arial" w:eastAsia="Arial" w:hAnsi="Arial"/>
                <w:sz w:val="14"/>
                <w:szCs w:val="14"/>
                <w:b w:val="1"/>
                <w:bCs w:val="1"/>
                <w:color w:val="auto"/>
                <w:w w:val="94"/>
              </w:rPr>
              <w:t>(I.R.S. Employer</w:t>
            </w:r>
          </w:p>
        </w:tc>
      </w:tr>
      <w:tr>
        <w:trPr>
          <w:trHeight w:val="184"/>
        </w:trPr>
        <w:tc>
          <w:tcPr>
            <w:tcW w:w="180" w:type="dxa"/>
            <w:vAlign w:val="bottom"/>
          </w:tcPr>
          <w:p>
            <w:pPr>
              <w:spacing w:after="0"/>
              <w:rPr>
                <w:sz w:val="16"/>
                <w:szCs w:val="16"/>
                <w:color w:val="auto"/>
              </w:rPr>
            </w:pPr>
          </w:p>
        </w:tc>
        <w:tc>
          <w:tcPr>
            <w:tcW w:w="3420" w:type="dxa"/>
            <w:vAlign w:val="bottom"/>
            <w:gridSpan w:val="2"/>
          </w:tcPr>
          <w:p>
            <w:pPr>
              <w:jc w:val="center"/>
              <w:ind w:left="1422"/>
              <w:spacing w:after="0"/>
              <w:rPr>
                <w:sz w:val="20"/>
                <w:szCs w:val="20"/>
                <w:color w:val="auto"/>
              </w:rPr>
            </w:pPr>
            <w:r>
              <w:rPr>
                <w:rFonts w:ascii="Arial" w:cs="Arial" w:eastAsia="Arial" w:hAnsi="Arial"/>
                <w:sz w:val="14"/>
                <w:szCs w:val="14"/>
                <w:b w:val="1"/>
                <w:bCs w:val="1"/>
                <w:color w:val="auto"/>
                <w:w w:val="94"/>
              </w:rPr>
              <w:t>incorporation or organization)</w:t>
            </w:r>
          </w:p>
        </w:tc>
        <w:tc>
          <w:tcPr>
            <w:tcW w:w="3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20" w:type="dxa"/>
            <w:vAlign w:val="bottom"/>
            <w:gridSpan w:val="2"/>
          </w:tcPr>
          <w:p>
            <w:pPr>
              <w:jc w:val="center"/>
              <w:ind w:right="2168"/>
              <w:spacing w:after="0"/>
              <w:rPr>
                <w:sz w:val="20"/>
                <w:szCs w:val="20"/>
                <w:color w:val="auto"/>
              </w:rPr>
            </w:pPr>
            <w:r>
              <w:rPr>
                <w:rFonts w:ascii="Arial" w:cs="Arial" w:eastAsia="Arial" w:hAnsi="Arial"/>
                <w:sz w:val="14"/>
                <w:szCs w:val="14"/>
                <w:b w:val="1"/>
                <w:bCs w:val="1"/>
                <w:color w:val="auto"/>
                <w:w w:val="96"/>
              </w:rPr>
              <w:t>Identification No.)</w:t>
            </w:r>
          </w:p>
        </w:tc>
      </w:tr>
      <w:tr>
        <w:trPr>
          <w:trHeight w:val="230"/>
        </w:trPr>
        <w:tc>
          <w:tcPr>
            <w:tcW w:w="180" w:type="dxa"/>
            <w:vAlign w:val="bottom"/>
          </w:tcPr>
          <w:p>
            <w:pPr>
              <w:spacing w:after="0"/>
              <w:rPr>
                <w:sz w:val="19"/>
                <w:szCs w:val="19"/>
                <w:color w:val="auto"/>
              </w:rPr>
            </w:pPr>
          </w:p>
        </w:tc>
        <w:tc>
          <w:tcPr>
            <w:tcW w:w="3420" w:type="dxa"/>
            <w:vAlign w:val="bottom"/>
            <w:gridSpan w:val="2"/>
          </w:tcPr>
          <w:p>
            <w:pPr>
              <w:jc w:val="center"/>
              <w:ind w:left="1422"/>
              <w:spacing w:after="0"/>
              <w:rPr>
                <w:sz w:val="20"/>
                <w:szCs w:val="20"/>
                <w:color w:val="auto"/>
              </w:rPr>
            </w:pPr>
            <w:r>
              <w:rPr>
                <w:rFonts w:ascii="Arial" w:cs="Arial" w:eastAsia="Arial" w:hAnsi="Arial"/>
                <w:sz w:val="18"/>
                <w:szCs w:val="18"/>
                <w:b w:val="1"/>
                <w:bCs w:val="1"/>
                <w:color w:val="auto"/>
                <w:w w:val="91"/>
              </w:rPr>
              <w:t>Five American Lane</w:t>
            </w:r>
          </w:p>
        </w:tc>
        <w:tc>
          <w:tcPr>
            <w:tcW w:w="3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tcPr>
          <w:p>
            <w:pPr>
              <w:spacing w:after="0"/>
              <w:rPr>
                <w:sz w:val="19"/>
                <w:szCs w:val="19"/>
                <w:color w:val="auto"/>
              </w:rPr>
            </w:pPr>
          </w:p>
        </w:tc>
      </w:tr>
      <w:tr>
        <w:trPr>
          <w:trHeight w:val="225"/>
        </w:trPr>
        <w:tc>
          <w:tcPr>
            <w:tcW w:w="180" w:type="dxa"/>
            <w:vAlign w:val="bottom"/>
          </w:tcPr>
          <w:p>
            <w:pPr>
              <w:spacing w:after="0"/>
              <w:rPr>
                <w:sz w:val="19"/>
                <w:szCs w:val="19"/>
                <w:color w:val="auto"/>
              </w:rPr>
            </w:pPr>
          </w:p>
        </w:tc>
        <w:tc>
          <w:tcPr>
            <w:tcW w:w="3420" w:type="dxa"/>
            <w:vAlign w:val="bottom"/>
            <w:gridSpan w:val="2"/>
          </w:tcPr>
          <w:p>
            <w:pPr>
              <w:ind w:left="1940"/>
              <w:spacing w:after="0"/>
              <w:rPr>
                <w:sz w:val="20"/>
                <w:szCs w:val="20"/>
                <w:color w:val="auto"/>
              </w:rPr>
            </w:pPr>
            <w:r>
              <w:rPr>
                <w:rFonts w:ascii="Arial" w:cs="Arial" w:eastAsia="Arial" w:hAnsi="Arial"/>
                <w:sz w:val="18"/>
                <w:szCs w:val="18"/>
                <w:b w:val="1"/>
                <w:bCs w:val="1"/>
                <w:color w:val="auto"/>
              </w:rPr>
              <w:t>Greenwich, CT</w:t>
            </w:r>
          </w:p>
        </w:tc>
        <w:tc>
          <w:tcPr>
            <w:tcW w:w="3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20" w:type="dxa"/>
            <w:vAlign w:val="bottom"/>
            <w:gridSpan w:val="2"/>
          </w:tcPr>
          <w:p>
            <w:pPr>
              <w:jc w:val="right"/>
              <w:ind w:right="2528"/>
              <w:spacing w:after="0"/>
              <w:rPr>
                <w:sz w:val="20"/>
                <w:szCs w:val="20"/>
                <w:color w:val="auto"/>
              </w:rPr>
            </w:pPr>
            <w:r>
              <w:rPr>
                <w:rFonts w:ascii="Arial" w:cs="Arial" w:eastAsia="Arial" w:hAnsi="Arial"/>
                <w:sz w:val="18"/>
                <w:szCs w:val="18"/>
                <w:b w:val="1"/>
                <w:bCs w:val="1"/>
                <w:color w:val="auto"/>
              </w:rPr>
              <w:t>06831</w:t>
            </w:r>
          </w:p>
        </w:tc>
      </w:tr>
      <w:tr>
        <w:trPr>
          <w:trHeight w:val="186"/>
        </w:trPr>
        <w:tc>
          <w:tcPr>
            <w:tcW w:w="180" w:type="dxa"/>
            <w:vAlign w:val="bottom"/>
          </w:tcPr>
          <w:p>
            <w:pPr>
              <w:spacing w:after="0"/>
              <w:rPr>
                <w:sz w:val="16"/>
                <w:szCs w:val="16"/>
                <w:color w:val="auto"/>
              </w:rPr>
            </w:pPr>
          </w:p>
        </w:tc>
        <w:tc>
          <w:tcPr>
            <w:tcW w:w="7460" w:type="dxa"/>
            <w:vAlign w:val="bottom"/>
            <w:gridSpan w:val="5"/>
          </w:tcPr>
          <w:p>
            <w:pPr>
              <w:jc w:val="center"/>
              <w:ind w:right="2540"/>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120" w:type="dxa"/>
            <w:vAlign w:val="bottom"/>
          </w:tcPr>
          <w:p>
            <w:pPr>
              <w:spacing w:after="0"/>
              <w:rPr>
                <w:sz w:val="16"/>
                <w:szCs w:val="16"/>
                <w:color w:val="auto"/>
              </w:rPr>
            </w:pPr>
          </w:p>
        </w:tc>
        <w:tc>
          <w:tcPr>
            <w:tcW w:w="3300" w:type="dxa"/>
            <w:vAlign w:val="bottom"/>
          </w:tcPr>
          <w:p>
            <w:pPr>
              <w:jc w:val="center"/>
              <w:ind w:right="2288"/>
              <w:spacing w:after="0"/>
              <w:rPr>
                <w:sz w:val="20"/>
                <w:szCs w:val="20"/>
                <w:color w:val="auto"/>
              </w:rPr>
            </w:pPr>
            <w:r>
              <w:rPr>
                <w:rFonts w:ascii="Arial" w:cs="Arial" w:eastAsia="Arial" w:hAnsi="Arial"/>
                <w:sz w:val="14"/>
                <w:szCs w:val="14"/>
                <w:b w:val="1"/>
                <w:bCs w:val="1"/>
                <w:color w:val="auto"/>
                <w:w w:val="95"/>
              </w:rPr>
              <w:t>(Zip Code)</w:t>
            </w:r>
          </w:p>
        </w:tc>
      </w:tr>
      <w:tr>
        <w:trPr>
          <w:trHeight w:val="309"/>
        </w:trPr>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gridSpan w:val="2"/>
          </w:tcPr>
          <w:p>
            <w:pPr>
              <w:jc w:val="center"/>
              <w:ind w:left="295"/>
              <w:spacing w:after="0"/>
              <w:rPr>
                <w:sz w:val="20"/>
                <w:szCs w:val="20"/>
                <w:color w:val="auto"/>
              </w:rPr>
            </w:pPr>
            <w:r>
              <w:rPr>
                <w:rFonts w:ascii="Arial" w:cs="Arial" w:eastAsia="Arial" w:hAnsi="Arial"/>
                <w:sz w:val="18"/>
                <w:szCs w:val="18"/>
                <w:b w:val="1"/>
                <w:bCs w:val="1"/>
                <w:color w:val="auto"/>
                <w:w w:val="90"/>
              </w:rPr>
              <w:t>(855) 976-6951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18"/>
        </w:trPr>
        <w:tc>
          <w:tcPr>
            <w:tcW w:w="1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140"/>
        </w:trPr>
        <w:tc>
          <w:tcPr>
            <w:tcW w:w="1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40" w:type="dxa"/>
            <w:vAlign w:val="bottom"/>
            <w:gridSpan w:val="3"/>
          </w:tcPr>
          <w:p>
            <w:pPr>
              <w:jc w:val="center"/>
              <w:spacing w:after="0"/>
              <w:rPr>
                <w:sz w:val="20"/>
                <w:szCs w:val="20"/>
                <w:color w:val="auto"/>
              </w:rPr>
            </w:pPr>
            <w:r>
              <w:rPr>
                <w:rFonts w:ascii="Arial" w:cs="Arial" w:eastAsia="Arial" w:hAnsi="Arial"/>
                <w:sz w:val="7"/>
                <w:szCs w:val="7"/>
                <w:b w:val="1"/>
                <w:bCs w:val="1"/>
                <w:color w:val="auto"/>
                <w:w w:val="92"/>
              </w:rPr>
              <w:t>______________________________________________________________________________________________________________</w:t>
            </w:r>
          </w:p>
        </w:tc>
        <w:tc>
          <w:tcPr>
            <w:tcW w:w="120" w:type="dxa"/>
            <w:vAlign w:val="bottom"/>
          </w:tcPr>
          <w:p>
            <w:pPr>
              <w:spacing w:after="0"/>
              <w:rPr>
                <w:sz w:val="12"/>
                <w:szCs w:val="12"/>
                <w:color w:val="auto"/>
              </w:rPr>
            </w:pPr>
          </w:p>
        </w:tc>
        <w:tc>
          <w:tcPr>
            <w:tcW w:w="3300" w:type="dxa"/>
            <w:vAlign w:val="bottom"/>
          </w:tcPr>
          <w:p>
            <w:pPr>
              <w:spacing w:after="0"/>
              <w:rPr>
                <w:sz w:val="12"/>
                <w:szCs w:val="12"/>
                <w:color w:val="auto"/>
              </w:rPr>
            </w:pPr>
          </w:p>
        </w:tc>
      </w:tr>
      <w:tr>
        <w:trPr>
          <w:trHeight w:val="205"/>
        </w:trPr>
        <w:tc>
          <w:tcPr>
            <w:tcW w:w="1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N/A</w:t>
            </w:r>
          </w:p>
        </w:tc>
        <w:tc>
          <w:tcPr>
            <w:tcW w:w="12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92"/>
        </w:trPr>
        <w:tc>
          <w:tcPr>
            <w:tcW w:w="1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40" w:type="dxa"/>
            <w:vAlign w:val="bottom"/>
            <w:gridSpan w:val="3"/>
          </w:tcPr>
          <w:p>
            <w:pPr>
              <w:jc w:val="center"/>
              <w:spacing w:after="0"/>
              <w:rPr>
                <w:sz w:val="20"/>
                <w:szCs w:val="20"/>
                <w:color w:val="auto"/>
              </w:rPr>
            </w:pPr>
            <w:r>
              <w:rPr>
                <w:rFonts w:ascii="Arial" w:cs="Arial" w:eastAsia="Arial" w:hAnsi="Arial"/>
                <w:sz w:val="7"/>
                <w:szCs w:val="7"/>
                <w:b w:val="1"/>
                <w:bCs w:val="1"/>
                <w:color w:val="auto"/>
                <w:w w:val="92"/>
              </w:rPr>
              <w:t>______________________________________________________________________________________________________________</w:t>
            </w:r>
          </w:p>
        </w:tc>
        <w:tc>
          <w:tcPr>
            <w:tcW w:w="120" w:type="dxa"/>
            <w:vAlign w:val="bottom"/>
          </w:tcPr>
          <w:p>
            <w:pPr>
              <w:spacing w:after="0"/>
              <w:rPr>
                <w:sz w:val="8"/>
                <w:szCs w:val="8"/>
                <w:color w:val="auto"/>
              </w:rPr>
            </w:pPr>
          </w:p>
        </w:tc>
        <w:tc>
          <w:tcPr>
            <w:tcW w:w="3300" w:type="dxa"/>
            <w:vAlign w:val="bottom"/>
          </w:tcPr>
          <w:p>
            <w:pPr>
              <w:spacing w:after="0"/>
              <w:rPr>
                <w:sz w:val="8"/>
                <w:szCs w:val="8"/>
                <w:color w:val="auto"/>
              </w:rPr>
            </w:pPr>
          </w:p>
        </w:tc>
      </w:tr>
      <w:tr>
        <w:trPr>
          <w:trHeight w:val="211"/>
        </w:trPr>
        <w:tc>
          <w:tcPr>
            <w:tcW w:w="180" w:type="dxa"/>
            <w:vAlign w:val="bottom"/>
          </w:tcPr>
          <w:p>
            <w:pPr>
              <w:spacing w:after="0"/>
              <w:rPr>
                <w:sz w:val="18"/>
                <w:szCs w:val="18"/>
                <w:color w:val="auto"/>
              </w:rPr>
            </w:pPr>
          </w:p>
        </w:tc>
        <w:tc>
          <w:tcPr>
            <w:tcW w:w="1088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r>
      <w:tr>
        <w:trPr>
          <w:trHeight w:val="216"/>
        </w:trPr>
        <w:tc>
          <w:tcPr>
            <w:tcW w:w="3600" w:type="dxa"/>
            <w:vAlign w:val="bottom"/>
            <w:gridSpan w:val="3"/>
          </w:tcPr>
          <w:p>
            <w:pPr>
              <w:spacing w:after="0"/>
              <w:rPr>
                <w:sz w:val="20"/>
                <w:szCs w:val="20"/>
                <w:color w:val="auto"/>
              </w:rPr>
            </w:pPr>
            <w:r>
              <w:rPr>
                <w:rFonts w:ascii="Arial" w:cs="Arial" w:eastAsia="Arial" w:hAnsi="Arial"/>
                <w:sz w:val="14"/>
                <w:szCs w:val="14"/>
                <w:b w:val="1"/>
                <w:bCs w:val="1"/>
                <w:color w:val="auto"/>
                <w:w w:val="93"/>
              </w:rPr>
              <w:t>Securities registered pursuant to Section 12(b) of the Act:</w:t>
            </w:r>
          </w:p>
        </w:tc>
        <w:tc>
          <w:tcPr>
            <w:tcW w:w="3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303"/>
        </w:trPr>
        <w:tc>
          <w:tcPr>
            <w:tcW w:w="180" w:type="dxa"/>
            <w:vAlign w:val="bottom"/>
          </w:tcPr>
          <w:p>
            <w:pPr>
              <w:spacing w:after="0"/>
              <w:rPr>
                <w:sz w:val="24"/>
                <w:szCs w:val="24"/>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360" w:type="dxa"/>
            <w:vAlign w:val="bottom"/>
          </w:tcPr>
          <w:p>
            <w:pPr>
              <w:spacing w:after="0"/>
              <w:rPr>
                <w:sz w:val="24"/>
                <w:szCs w:val="24"/>
                <w:color w:val="auto"/>
              </w:rPr>
            </w:pPr>
          </w:p>
        </w:tc>
        <w:tc>
          <w:tcPr>
            <w:tcW w:w="3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Trading symbol(s)</w:t>
            </w:r>
          </w:p>
        </w:tc>
        <w:tc>
          <w:tcPr>
            <w:tcW w:w="1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2"/>
        </w:trPr>
        <w:tc>
          <w:tcPr>
            <w:tcW w:w="180" w:type="dxa"/>
            <w:vAlign w:val="bottom"/>
          </w:tcPr>
          <w:p>
            <w:pPr>
              <w:spacing w:after="0"/>
              <w:rPr>
                <w:sz w:val="15"/>
                <w:szCs w:val="15"/>
                <w:color w:val="auto"/>
              </w:rPr>
            </w:pPr>
          </w:p>
        </w:tc>
        <w:tc>
          <w:tcPr>
            <w:tcW w:w="33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$0.001 per share</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XPO</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New York Stock Exchange</w:t>
            </w:r>
          </w:p>
        </w:tc>
      </w:tr>
    </w:tbl>
    <w:p>
      <w:pPr>
        <w:spacing w:after="0" w:line="8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ind w:right="40"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1700" w:type="dxa"/>
        <w:tblCellMar>
          <w:top w:w="0" w:type="dxa"/>
          <w:left w:w="0" w:type="dxa"/>
          <w:bottom w:w="0" w:type="dxa"/>
          <w:right w:w="0" w:type="dxa"/>
        </w:tblCellMar>
      </w:tblPr>
      <w:tr>
        <w:trPr>
          <w:trHeight w:val="283"/>
        </w:trPr>
        <w:tc>
          <w:tcPr>
            <w:tcW w:w="25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34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ind w:left="240"/>
              <w:spacing w:after="0"/>
              <w:rPr>
                <w:sz w:val="20"/>
                <w:szCs w:val="20"/>
                <w:color w:val="auto"/>
              </w:rPr>
            </w:pPr>
            <w:r>
              <w:rPr>
                <w:rFonts w:ascii="Arial" w:cs="Arial" w:eastAsia="Arial" w:hAnsi="Arial"/>
                <w:sz w:val="18"/>
                <w:szCs w:val="18"/>
                <w:color w:val="auto"/>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540" w:type="dxa"/>
            <w:vAlign w:val="bottom"/>
          </w:tcPr>
          <w:p>
            <w:pPr>
              <w:spacing w:after="0"/>
              <w:rPr>
                <w:sz w:val="20"/>
                <w:szCs w:val="20"/>
                <w:color w:val="auto"/>
              </w:rPr>
            </w:pPr>
            <w:r>
              <w:rPr>
                <w:rFonts w:ascii="Arial" w:cs="Arial" w:eastAsia="Arial" w:hAnsi="Arial"/>
                <w:sz w:val="18"/>
                <w:szCs w:val="18"/>
                <w:color w:val="auto"/>
              </w:rPr>
              <w:t>Non-accelerated filer</w:t>
            </w:r>
          </w:p>
        </w:tc>
        <w:tc>
          <w:tcPr>
            <w:tcW w:w="134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ind w:left="240"/>
              <w:spacing w:after="0"/>
              <w:rPr>
                <w:sz w:val="20"/>
                <w:szCs w:val="20"/>
                <w:color w:val="auto"/>
              </w:rPr>
            </w:pPr>
            <w:r>
              <w:rPr>
                <w:rFonts w:ascii="Arial" w:cs="Arial" w:eastAsia="Arial" w:hAnsi="Arial"/>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980" w:type="dxa"/>
            <w:vAlign w:val="bottom"/>
          </w:tcPr>
          <w:p>
            <w:pPr>
              <w:ind w:left="240"/>
              <w:spacing w:after="0"/>
              <w:rPr>
                <w:sz w:val="20"/>
                <w:szCs w:val="20"/>
                <w:color w:val="auto"/>
              </w:rPr>
            </w:pPr>
            <w:r>
              <w:rPr>
                <w:rFonts w:ascii="Arial" w:cs="Arial" w:eastAsia="Arial" w:hAnsi="Arial"/>
                <w:sz w:val="18"/>
                <w:szCs w:val="18"/>
                <w:color w:val="auto"/>
              </w:rPr>
              <w:t>Emerging growth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ind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April 27, 2021, there were 111,710,560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8" w:right="399" w:bottom="1440" w:gutter="0" w:footer="0" w:header="0"/>
        </w:sectPr>
      </w:pPr>
    </w:p>
    <w:bookmarkStart w:id="1" w:name="page2"/>
    <w:bookmarkEnd w:id="1"/>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540" w:type="dxa"/>
            <w:vAlign w:val="bottom"/>
            <w:gridSpan w:val="4"/>
          </w:tcPr>
          <w:p>
            <w:pPr>
              <w:jc w:val="center"/>
              <w:ind w:right="3380"/>
              <w:spacing w:after="0"/>
              <w:rPr>
                <w:sz w:val="20"/>
                <w:szCs w:val="20"/>
                <w:color w:val="auto"/>
              </w:rPr>
            </w:pPr>
            <w:r>
              <w:rPr>
                <w:rFonts w:ascii="Arial" w:cs="Arial" w:eastAsia="Arial" w:hAnsi="Arial"/>
                <w:sz w:val="18"/>
                <w:szCs w:val="18"/>
                <w:b w:val="1"/>
                <w:bCs w:val="1"/>
                <w:color w:val="auto"/>
                <w:w w:val="90"/>
              </w:rPr>
              <w:t>XPO Logistics, Inc.</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40" w:type="dxa"/>
            <w:vAlign w:val="bottom"/>
            <w:gridSpan w:val="5"/>
          </w:tcPr>
          <w:p>
            <w:pPr>
              <w:jc w:val="center"/>
              <w:ind w:right="3180"/>
              <w:spacing w:after="0"/>
              <w:rPr>
                <w:sz w:val="20"/>
                <w:szCs w:val="20"/>
                <w:color w:val="auto"/>
              </w:rPr>
            </w:pPr>
            <w:r>
              <w:rPr>
                <w:rFonts w:ascii="Arial" w:cs="Arial" w:eastAsia="Arial" w:hAnsi="Arial"/>
                <w:sz w:val="18"/>
                <w:szCs w:val="18"/>
                <w:b w:val="1"/>
                <w:bCs w:val="1"/>
                <w:color w:val="auto"/>
                <w:w w:val="93"/>
              </w:rPr>
              <w:t>Quarterly Report on Form 10-Q</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20" w:type="dxa"/>
            <w:vAlign w:val="bottom"/>
            <w:gridSpan w:val="7"/>
          </w:tcPr>
          <w:p>
            <w:pPr>
              <w:jc w:val="center"/>
              <w:ind w:right="2600"/>
              <w:spacing w:after="0"/>
              <w:rPr>
                <w:sz w:val="20"/>
                <w:szCs w:val="20"/>
                <w:color w:val="auto"/>
              </w:rPr>
            </w:pPr>
            <w:r>
              <w:rPr>
                <w:rFonts w:ascii="Arial" w:cs="Arial" w:eastAsia="Arial" w:hAnsi="Arial"/>
                <w:sz w:val="18"/>
                <w:szCs w:val="18"/>
                <w:b w:val="1"/>
                <w:bCs w:val="1"/>
                <w:color w:val="auto"/>
                <w:w w:val="92"/>
              </w:rPr>
              <w:t>For the Quarterly Period Ended March 31, 2021</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16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89"/>
              </w:rPr>
              <w:t>Table of Contents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20" w:type="dxa"/>
            <w:vAlign w:val="bottom"/>
          </w:tcPr>
          <w:p>
            <w:pPr>
              <w:spacing w:after="0"/>
              <w:rPr>
                <w:sz w:val="24"/>
                <w:szCs w:val="24"/>
                <w:color w:val="auto"/>
              </w:rPr>
            </w:pPr>
          </w:p>
        </w:tc>
        <w:tc>
          <w:tcPr>
            <w:tcW w:w="10060" w:type="dxa"/>
            <w:vAlign w:val="bottom"/>
            <w:gridSpan w:val="18"/>
            <w:vMerge w:val="restart"/>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I—Financial Information</w:t>
              </w:r>
            </w:hyperlink>
          </w:p>
        </w:tc>
        <w:tc>
          <w:tcPr>
            <w:tcW w:w="116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60" w:type="dxa"/>
            <w:vAlign w:val="bottom"/>
            <w:gridSpan w:val="18"/>
            <w:vMerge w:val="continue"/>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6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40" w:type="dxa"/>
            <w:vAlign w:val="bottom"/>
            <w:gridSpan w:val="17"/>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620" w:type="dxa"/>
            <w:vAlign w:val="bottom"/>
            <w:gridSpan w:val="2"/>
          </w:tcPr>
          <w:p>
            <w:pPr>
              <w:jc w:val="center"/>
              <w:ind w:left="45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20" w:type="dxa"/>
            <w:vAlign w:val="bottom"/>
            <w:gridSpan w:val="10"/>
          </w:tcPr>
          <w:p>
            <w:pPr>
              <w:ind w:left="20"/>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Income</w:t>
              </w:r>
            </w:hyperlink>
          </w:p>
        </w:tc>
        <w:tc>
          <w:tcPr>
            <w:tcW w:w="6320" w:type="dxa"/>
            <w:vAlign w:val="bottom"/>
            <w:gridSpan w:val="7"/>
          </w:tcPr>
          <w:p>
            <w:pPr>
              <w:spacing w:after="0"/>
              <w:rPr>
                <w:sz w:val="18"/>
                <w:szCs w:val="18"/>
                <w:color w:val="auto"/>
              </w:rPr>
            </w:pPr>
          </w:p>
        </w:tc>
        <w:tc>
          <w:tcPr>
            <w:tcW w:w="620" w:type="dxa"/>
            <w:vAlign w:val="bottom"/>
            <w:gridSpan w:val="2"/>
          </w:tcPr>
          <w:p>
            <w:pPr>
              <w:jc w:val="center"/>
              <w:ind w:left="45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00" w:type="dxa"/>
            <w:vAlign w:val="bottom"/>
            <w:gridSpan w:val="15"/>
          </w:tcPr>
          <w:p>
            <w:pPr>
              <w:ind w:left="20"/>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Comprehensive Income (Loss)</w:t>
              </w:r>
            </w:hyperlink>
          </w:p>
        </w:tc>
        <w:tc>
          <w:tcPr>
            <w:tcW w:w="4640" w:type="dxa"/>
            <w:vAlign w:val="bottom"/>
            <w:gridSpan w:val="2"/>
          </w:tcPr>
          <w:p>
            <w:pPr>
              <w:spacing w:after="0"/>
              <w:rPr>
                <w:sz w:val="18"/>
                <w:szCs w:val="18"/>
                <w:color w:val="auto"/>
              </w:rPr>
            </w:pPr>
          </w:p>
        </w:tc>
        <w:tc>
          <w:tcPr>
            <w:tcW w:w="620" w:type="dxa"/>
            <w:vAlign w:val="bottom"/>
            <w:gridSpan w:val="2"/>
          </w:tcPr>
          <w:p>
            <w:pPr>
              <w:jc w:val="center"/>
              <w:ind w:left="45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00" w:type="dxa"/>
            <w:vAlign w:val="bottom"/>
            <w:gridSpan w:val="15"/>
          </w:tcPr>
          <w:p>
            <w:pPr>
              <w:ind w:left="20"/>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w:t>
              </w:r>
            </w:hyperlink>
          </w:p>
        </w:tc>
        <w:tc>
          <w:tcPr>
            <w:tcW w:w="4640" w:type="dxa"/>
            <w:vAlign w:val="bottom"/>
            <w:gridSpan w:val="2"/>
          </w:tcPr>
          <w:p>
            <w:pPr>
              <w:spacing w:after="0"/>
              <w:rPr>
                <w:sz w:val="18"/>
                <w:szCs w:val="18"/>
                <w:color w:val="auto"/>
              </w:rPr>
            </w:pPr>
          </w:p>
        </w:tc>
        <w:tc>
          <w:tcPr>
            <w:tcW w:w="620" w:type="dxa"/>
            <w:vAlign w:val="bottom"/>
            <w:gridSpan w:val="2"/>
          </w:tcPr>
          <w:p>
            <w:pPr>
              <w:jc w:val="center"/>
              <w:ind w:left="45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40" w:type="dxa"/>
            <w:vAlign w:val="bottom"/>
            <w:gridSpan w:val="17"/>
          </w:tcPr>
          <w:p>
            <w:pPr>
              <w:ind w:left="20"/>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Changes in Equity</w:t>
              </w:r>
            </w:hyperlink>
          </w:p>
        </w:tc>
        <w:tc>
          <w:tcPr>
            <w:tcW w:w="620" w:type="dxa"/>
            <w:vAlign w:val="bottom"/>
            <w:gridSpan w:val="2"/>
          </w:tcPr>
          <w:p>
            <w:pPr>
              <w:jc w:val="center"/>
              <w:ind w:left="45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0" w:type="dxa"/>
            <w:vAlign w:val="bottom"/>
            <w:gridSpan w:val="13"/>
          </w:tcPr>
          <w:p>
            <w:pPr>
              <w:ind w:left="20"/>
              <w:spacing w:after="0"/>
              <w:rPr>
                <w:rFonts w:ascii="Arial" w:cs="Arial" w:eastAsia="Arial" w:hAnsi="Arial"/>
                <w:sz w:val="18"/>
                <w:szCs w:val="18"/>
                <w:color w:val="0000FF"/>
                <w:w w:val="93"/>
              </w:rPr>
            </w:pPr>
            <w:hyperlink w:anchor="page7">
              <w:r>
                <w:rPr>
                  <w:rFonts w:ascii="Arial" w:cs="Arial" w:eastAsia="Arial" w:hAnsi="Arial"/>
                  <w:sz w:val="18"/>
                  <w:szCs w:val="18"/>
                  <w:color w:val="0000FF"/>
                  <w:w w:val="93"/>
                </w:rPr>
                <w:t>Notes to Condensed Consolidated Financial Statements</w:t>
              </w:r>
            </w:hyperlink>
          </w:p>
        </w:tc>
        <w:tc>
          <w:tcPr>
            <w:tcW w:w="5540" w:type="dxa"/>
            <w:vAlign w:val="bottom"/>
            <w:gridSpan w:val="4"/>
          </w:tcPr>
          <w:p>
            <w:pPr>
              <w:spacing w:after="0"/>
              <w:rPr>
                <w:sz w:val="18"/>
                <w:szCs w:val="18"/>
                <w:color w:val="auto"/>
              </w:rPr>
            </w:pPr>
          </w:p>
        </w:tc>
        <w:tc>
          <w:tcPr>
            <w:tcW w:w="620" w:type="dxa"/>
            <w:vAlign w:val="bottom"/>
            <w:gridSpan w:val="2"/>
          </w:tcPr>
          <w:p>
            <w:pPr>
              <w:jc w:val="center"/>
              <w:ind w:left="45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20" w:type="dxa"/>
            <w:vAlign w:val="bottom"/>
            <w:gridSpan w:val="17"/>
          </w:tcPr>
          <w:p>
            <w:pPr>
              <w:spacing w:after="0"/>
              <w:rPr>
                <w:rFonts w:ascii="Arial" w:cs="Arial" w:eastAsia="Arial" w:hAnsi="Arial"/>
                <w:sz w:val="18"/>
                <w:szCs w:val="18"/>
                <w:color w:val="0000FF"/>
                <w:w w:val="91"/>
              </w:rPr>
            </w:pPr>
            <w:hyperlink w:anchor="page19">
              <w:r>
                <w:rPr>
                  <w:rFonts w:ascii="Arial" w:cs="Arial" w:eastAsia="Arial" w:hAnsi="Arial"/>
                  <w:sz w:val="18"/>
                  <w:szCs w:val="18"/>
                  <w:color w:val="0000FF"/>
                  <w:w w:val="91"/>
                </w:rPr>
                <w:t>Item 2. Management’s Discussion and Analysis of Financial Condition and Results of Operations</w:t>
              </w:r>
            </w:hyperlink>
          </w:p>
        </w:tc>
        <w:tc>
          <w:tcPr>
            <w:tcW w:w="3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center"/>
              <w:ind w:right="500"/>
              <w:spacing w:after="0"/>
              <w:rPr>
                <w:rFonts w:ascii="Arial" w:cs="Arial" w:eastAsia="Arial" w:hAnsi="Arial"/>
                <w:sz w:val="15"/>
                <w:szCs w:val="15"/>
                <w:color w:val="0000FF"/>
                <w:w w:val="71"/>
              </w:rPr>
            </w:pPr>
            <w:hyperlink w:anchor="page19">
              <w:r>
                <w:rPr>
                  <w:rFonts w:ascii="Arial" w:cs="Arial" w:eastAsia="Arial" w:hAnsi="Arial"/>
                  <w:sz w:val="15"/>
                  <w:szCs w:val="15"/>
                  <w:color w:val="0000FF"/>
                  <w:w w:val="71"/>
                </w:rPr>
                <w:t>18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gridSpan w:val="15"/>
          </w:tcPr>
          <w:p>
            <w:pPr>
              <w:spacing w:after="0"/>
              <w:rPr>
                <w:rFonts w:ascii="Arial" w:cs="Arial" w:eastAsia="Arial" w:hAnsi="Arial"/>
                <w:sz w:val="18"/>
                <w:szCs w:val="18"/>
                <w:color w:val="0000FF"/>
                <w:w w:val="91"/>
              </w:rPr>
            </w:pPr>
            <w:hyperlink w:anchor="page29">
              <w:r>
                <w:rPr>
                  <w:rFonts w:ascii="Arial" w:cs="Arial" w:eastAsia="Arial" w:hAnsi="Arial"/>
                  <w:sz w:val="18"/>
                  <w:szCs w:val="18"/>
                  <w:color w:val="0000FF"/>
                  <w:w w:val="91"/>
                </w:rPr>
                <w:t>Item 3. Quantitative and Qualitative Disclosures About Market Risk</w:t>
              </w:r>
            </w:hyperlink>
          </w:p>
        </w:tc>
        <w:tc>
          <w:tcPr>
            <w:tcW w:w="2120" w:type="dxa"/>
            <w:vAlign w:val="bottom"/>
            <w:gridSpan w:val="2"/>
          </w:tcPr>
          <w:p>
            <w:pPr>
              <w:spacing w:after="0"/>
              <w:rPr>
                <w:sz w:val="18"/>
                <w:szCs w:val="18"/>
                <w:color w:val="auto"/>
              </w:rPr>
            </w:pPr>
          </w:p>
        </w:tc>
        <w:tc>
          <w:tcPr>
            <w:tcW w:w="3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center"/>
              <w:ind w:right="500"/>
              <w:spacing w:after="0"/>
              <w:rPr>
                <w:rFonts w:ascii="Arial" w:cs="Arial" w:eastAsia="Arial" w:hAnsi="Arial"/>
                <w:sz w:val="15"/>
                <w:szCs w:val="15"/>
                <w:color w:val="0000FF"/>
                <w:w w:val="71"/>
              </w:rPr>
            </w:pPr>
            <w:hyperlink w:anchor="page29">
              <w:r>
                <w:rPr>
                  <w:rFonts w:ascii="Arial" w:cs="Arial" w:eastAsia="Arial" w:hAnsi="Arial"/>
                  <w:sz w:val="15"/>
                  <w:szCs w:val="15"/>
                  <w:color w:val="0000FF"/>
                  <w:w w:val="71"/>
                </w:rPr>
                <w:t>27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gridSpan w:val="15"/>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Item 4. Controls and Procedures</w:t>
              </w:r>
            </w:hyperlink>
          </w:p>
        </w:tc>
        <w:tc>
          <w:tcPr>
            <w:tcW w:w="5160" w:type="dxa"/>
            <w:vAlign w:val="bottom"/>
            <w:gridSpan w:val="3"/>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center"/>
              <w:ind w:right="500"/>
              <w:spacing w:after="0"/>
              <w:rPr>
                <w:rFonts w:ascii="Arial" w:cs="Arial" w:eastAsia="Arial" w:hAnsi="Arial"/>
                <w:sz w:val="15"/>
                <w:szCs w:val="15"/>
                <w:color w:val="0000FF"/>
                <w:w w:val="71"/>
              </w:rPr>
            </w:pPr>
            <w:hyperlink w:anchor="page29">
              <w:r>
                <w:rPr>
                  <w:rFonts w:ascii="Arial" w:cs="Arial" w:eastAsia="Arial" w:hAnsi="Arial"/>
                  <w:sz w:val="15"/>
                  <w:szCs w:val="15"/>
                  <w:color w:val="0000FF"/>
                  <w:w w:val="71"/>
                </w:rPr>
                <w:t>27</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60" w:type="dxa"/>
            <w:vAlign w:val="bottom"/>
            <w:tcBorders>
              <w:top w:val="single" w:sz="8" w:color="0000FF"/>
              <w:bottom w:val="single" w:sz="8" w:color="0000FF"/>
            </w:tcBorders>
            <w:gridSpan w:val="6"/>
          </w:tcPr>
          <w:p>
            <w:pPr>
              <w:spacing w:after="0"/>
              <w:rPr>
                <w:rFonts w:ascii="Arial" w:cs="Arial" w:eastAsia="Arial" w:hAnsi="Arial"/>
                <w:sz w:val="18"/>
                <w:szCs w:val="18"/>
                <w:b w:val="1"/>
                <w:bCs w:val="1"/>
                <w:color w:val="0000FF"/>
                <w:w w:val="97"/>
              </w:rPr>
            </w:pPr>
            <w:hyperlink w:anchor="page29">
              <w:r>
                <w:rPr>
                  <w:rFonts w:ascii="Arial" w:cs="Arial" w:eastAsia="Arial" w:hAnsi="Arial"/>
                  <w:sz w:val="18"/>
                  <w:szCs w:val="18"/>
                  <w:b w:val="1"/>
                  <w:bCs w:val="1"/>
                  <w:color w:val="0000FF"/>
                  <w:w w:val="97"/>
                </w:rPr>
                <w:t>Part II—Other Information</w:t>
              </w:r>
            </w:hyperlink>
          </w:p>
        </w:tc>
        <w:tc>
          <w:tcPr>
            <w:tcW w:w="160" w:type="dxa"/>
            <w:vAlign w:val="bottom"/>
            <w:tcBorders>
              <w:top w:val="single" w:sz="8" w:color="0000FF"/>
            </w:tcBorders>
          </w:tcPr>
          <w:p>
            <w:pPr>
              <w:spacing w:after="0"/>
              <w:rPr>
                <w:sz w:val="18"/>
                <w:szCs w:val="18"/>
                <w:color w:val="auto"/>
              </w:rPr>
            </w:pPr>
          </w:p>
        </w:tc>
        <w:tc>
          <w:tcPr>
            <w:tcW w:w="7740" w:type="dxa"/>
            <w:vAlign w:val="bottom"/>
            <w:gridSpan w:val="11"/>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80" w:type="dxa"/>
            <w:vAlign w:val="bottom"/>
            <w:gridSpan w:val="5"/>
          </w:tcPr>
          <w:p>
            <w:pPr>
              <w:spacing w:after="0"/>
              <w:rPr>
                <w:rFonts w:ascii="Arial" w:cs="Arial" w:eastAsia="Arial" w:hAnsi="Arial"/>
                <w:sz w:val="18"/>
                <w:szCs w:val="18"/>
                <w:color w:val="0000FF"/>
                <w:w w:val="87"/>
              </w:rPr>
            </w:pPr>
            <w:hyperlink w:anchor="page29">
              <w:r>
                <w:rPr>
                  <w:rFonts w:ascii="Arial" w:cs="Arial" w:eastAsia="Arial" w:hAnsi="Arial"/>
                  <w:sz w:val="18"/>
                  <w:szCs w:val="18"/>
                  <w:color w:val="0000FF"/>
                  <w:w w:val="87"/>
                </w:rPr>
                <w:t>Item 1. Legal Proceedings</w:t>
              </w:r>
            </w:hyperlink>
          </w:p>
        </w:tc>
        <w:tc>
          <w:tcPr>
            <w:tcW w:w="8180" w:type="dxa"/>
            <w:vAlign w:val="bottom"/>
            <w:gridSpan w:val="13"/>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center"/>
              <w:ind w:right="500"/>
              <w:spacing w:after="0"/>
              <w:rPr>
                <w:rFonts w:ascii="Arial" w:cs="Arial" w:eastAsia="Arial" w:hAnsi="Arial"/>
                <w:sz w:val="15"/>
                <w:szCs w:val="15"/>
                <w:color w:val="0000FF"/>
                <w:w w:val="71"/>
              </w:rPr>
            </w:pPr>
            <w:hyperlink w:anchor="page29">
              <w:r>
                <w:rPr>
                  <w:rFonts w:ascii="Arial" w:cs="Arial" w:eastAsia="Arial" w:hAnsi="Arial"/>
                  <w:sz w:val="15"/>
                  <w:szCs w:val="15"/>
                  <w:color w:val="0000FF"/>
                  <w:w w:val="71"/>
                </w:rPr>
                <w:t>27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5160" w:type="dxa"/>
            <w:vAlign w:val="bottom"/>
            <w:gridSpan w:val="3"/>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gridSpan w:val="4"/>
          </w:tcPr>
          <w:p>
            <w:pPr>
              <w:spacing w:after="0"/>
              <w:rPr>
                <w:rFonts w:ascii="Arial" w:cs="Arial" w:eastAsia="Arial" w:hAnsi="Arial"/>
                <w:sz w:val="18"/>
                <w:szCs w:val="18"/>
                <w:color w:val="0000FF"/>
                <w:w w:val="91"/>
              </w:rPr>
            </w:pPr>
            <w:hyperlink w:anchor="page30">
              <w:r>
                <w:rPr>
                  <w:rFonts w:ascii="Arial" w:cs="Arial" w:eastAsia="Arial" w:hAnsi="Arial"/>
                  <w:sz w:val="18"/>
                  <w:szCs w:val="18"/>
                  <w:color w:val="0000FF"/>
                  <w:w w:val="91"/>
                </w:rPr>
                <w:t>Item 1A. Risk Factors</w:t>
              </w:r>
            </w:hyperlink>
          </w:p>
        </w:tc>
        <w:tc>
          <w:tcPr>
            <w:tcW w:w="280" w:type="dxa"/>
            <w:vAlign w:val="bottom"/>
          </w:tcPr>
          <w:p>
            <w:pPr>
              <w:spacing w:after="0"/>
              <w:rPr>
                <w:sz w:val="18"/>
                <w:szCs w:val="18"/>
                <w:color w:val="auto"/>
              </w:rPr>
            </w:pPr>
          </w:p>
        </w:tc>
        <w:tc>
          <w:tcPr>
            <w:tcW w:w="8180" w:type="dxa"/>
            <w:vAlign w:val="bottom"/>
            <w:gridSpan w:val="13"/>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center"/>
              <w:ind w:right="500"/>
              <w:spacing w:after="0"/>
              <w:rPr>
                <w:rFonts w:ascii="Arial" w:cs="Arial" w:eastAsia="Arial" w:hAnsi="Arial"/>
                <w:sz w:val="15"/>
                <w:szCs w:val="15"/>
                <w:color w:val="0000FF"/>
                <w:w w:val="71"/>
              </w:rPr>
            </w:pPr>
            <w:hyperlink w:anchor="page30">
              <w:r>
                <w:rPr>
                  <w:rFonts w:ascii="Arial" w:cs="Arial" w:eastAsia="Arial" w:hAnsi="Arial"/>
                  <w:sz w:val="15"/>
                  <w:szCs w:val="15"/>
                  <w:color w:val="0000FF"/>
                  <w:w w:val="71"/>
                </w:rPr>
                <w:t>28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5160" w:type="dxa"/>
            <w:vAlign w:val="bottom"/>
            <w:gridSpan w:val="3"/>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60" w:type="dxa"/>
            <w:vAlign w:val="bottom"/>
            <w:gridSpan w:val="18"/>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2. Unregistered Sales of Equity Securities and Use of Proceeds</w:t>
              </w:r>
            </w:hyperlink>
          </w:p>
        </w:tc>
        <w:tc>
          <w:tcPr>
            <w:tcW w:w="1160" w:type="dxa"/>
            <w:vAlign w:val="bottom"/>
            <w:gridSpan w:val="3"/>
          </w:tcPr>
          <w:p>
            <w:pPr>
              <w:jc w:val="center"/>
              <w:ind w:right="20"/>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28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gridSpan w:val="15"/>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3. Defaults Upon Senior Securities</w:t>
              </w:r>
            </w:hyperlink>
          </w:p>
        </w:tc>
        <w:tc>
          <w:tcPr>
            <w:tcW w:w="5160" w:type="dxa"/>
            <w:vAlign w:val="bottom"/>
            <w:gridSpan w:val="3"/>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center"/>
              <w:ind w:right="500"/>
              <w:spacing w:after="0"/>
              <w:rPr>
                <w:rFonts w:ascii="Arial" w:cs="Arial" w:eastAsia="Arial" w:hAnsi="Arial"/>
                <w:sz w:val="15"/>
                <w:szCs w:val="15"/>
                <w:color w:val="0000FF"/>
                <w:w w:val="71"/>
              </w:rPr>
            </w:pPr>
            <w:hyperlink w:anchor="page31">
              <w:r>
                <w:rPr>
                  <w:rFonts w:ascii="Arial" w:cs="Arial" w:eastAsia="Arial" w:hAnsi="Arial"/>
                  <w:sz w:val="15"/>
                  <w:szCs w:val="15"/>
                  <w:color w:val="0000FF"/>
                  <w:w w:val="71"/>
                </w:rPr>
                <w:t>29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7180" w:type="dxa"/>
            <w:vAlign w:val="bottom"/>
            <w:gridSpan w:val="10"/>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8"/>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4. Mine Safety Disclosures</w:t>
              </w:r>
            </w:hyperlink>
          </w:p>
        </w:tc>
        <w:tc>
          <w:tcPr>
            <w:tcW w:w="7180" w:type="dxa"/>
            <w:vAlign w:val="bottom"/>
            <w:gridSpan w:val="10"/>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center"/>
              <w:ind w:right="500"/>
              <w:spacing w:after="0"/>
              <w:rPr>
                <w:rFonts w:ascii="Arial" w:cs="Arial" w:eastAsia="Arial" w:hAnsi="Arial"/>
                <w:sz w:val="15"/>
                <w:szCs w:val="15"/>
                <w:color w:val="0000FF"/>
                <w:w w:val="71"/>
              </w:rPr>
            </w:pPr>
            <w:hyperlink w:anchor="page31">
              <w:r>
                <w:rPr>
                  <w:rFonts w:ascii="Arial" w:cs="Arial" w:eastAsia="Arial" w:hAnsi="Arial"/>
                  <w:sz w:val="15"/>
                  <w:szCs w:val="15"/>
                  <w:color w:val="0000FF"/>
                  <w:w w:val="71"/>
                </w:rPr>
                <w:t>29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7740" w:type="dxa"/>
            <w:vAlign w:val="bottom"/>
            <w:gridSpan w:val="11"/>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80" w:type="dxa"/>
            <w:vAlign w:val="bottom"/>
            <w:gridSpan w:val="5"/>
          </w:tcPr>
          <w:p>
            <w:pPr>
              <w:spacing w:after="0"/>
              <w:rPr>
                <w:rFonts w:ascii="Arial" w:cs="Arial" w:eastAsia="Arial" w:hAnsi="Arial"/>
                <w:sz w:val="18"/>
                <w:szCs w:val="18"/>
                <w:color w:val="0000FF"/>
                <w:w w:val="91"/>
              </w:rPr>
            </w:pPr>
            <w:hyperlink w:anchor="page31">
              <w:r>
                <w:rPr>
                  <w:rFonts w:ascii="Arial" w:cs="Arial" w:eastAsia="Arial" w:hAnsi="Arial"/>
                  <w:sz w:val="18"/>
                  <w:szCs w:val="18"/>
                  <w:color w:val="0000FF"/>
                  <w:w w:val="91"/>
                </w:rPr>
                <w:t>Item 5. Other Information</w:t>
              </w:r>
            </w:hyperlink>
          </w:p>
        </w:tc>
        <w:tc>
          <w:tcPr>
            <w:tcW w:w="440" w:type="dxa"/>
            <w:vAlign w:val="bottom"/>
            <w:gridSpan w:val="2"/>
          </w:tcPr>
          <w:p>
            <w:pPr>
              <w:spacing w:after="0"/>
              <w:rPr>
                <w:sz w:val="18"/>
                <w:szCs w:val="18"/>
                <w:color w:val="auto"/>
              </w:rPr>
            </w:pPr>
          </w:p>
        </w:tc>
        <w:tc>
          <w:tcPr>
            <w:tcW w:w="7740" w:type="dxa"/>
            <w:vAlign w:val="bottom"/>
            <w:gridSpan w:val="11"/>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center"/>
              <w:ind w:right="500"/>
              <w:spacing w:after="0"/>
              <w:rPr>
                <w:rFonts w:ascii="Arial" w:cs="Arial" w:eastAsia="Arial" w:hAnsi="Arial"/>
                <w:sz w:val="15"/>
                <w:szCs w:val="15"/>
                <w:color w:val="0000FF"/>
                <w:w w:val="71"/>
              </w:rPr>
            </w:pPr>
            <w:hyperlink w:anchor="page31">
              <w:r>
                <w:rPr>
                  <w:rFonts w:ascii="Arial" w:cs="Arial" w:eastAsia="Arial" w:hAnsi="Arial"/>
                  <w:sz w:val="15"/>
                  <w:szCs w:val="15"/>
                  <w:color w:val="0000FF"/>
                  <w:w w:val="71"/>
                </w:rPr>
                <w:t>29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180" w:type="dxa"/>
            <w:vAlign w:val="bottom"/>
            <w:gridSpan w:val="13"/>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880" w:type="dxa"/>
            <w:vAlign w:val="bottom"/>
            <w:gridSpan w:val="5"/>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6. Exhibits</w:t>
              </w:r>
            </w:hyperlink>
          </w:p>
        </w:tc>
        <w:tc>
          <w:tcPr>
            <w:tcW w:w="8180" w:type="dxa"/>
            <w:vAlign w:val="bottom"/>
            <w:gridSpan w:val="13"/>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center"/>
              <w:ind w:right="500"/>
              <w:spacing w:after="0"/>
              <w:rPr>
                <w:rFonts w:ascii="Arial" w:cs="Arial" w:eastAsia="Arial" w:hAnsi="Arial"/>
                <w:sz w:val="15"/>
                <w:szCs w:val="15"/>
                <w:color w:val="0000FF"/>
                <w:w w:val="71"/>
              </w:rPr>
            </w:pPr>
            <w:hyperlink w:anchor="page31">
              <w:r>
                <w:rPr>
                  <w:rFonts w:ascii="Arial" w:cs="Arial" w:eastAsia="Arial" w:hAnsi="Arial"/>
                  <w:sz w:val="15"/>
                  <w:szCs w:val="15"/>
                  <w:color w:val="0000FF"/>
                  <w:w w:val="71"/>
                </w:rPr>
                <w:t>30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900" w:type="dxa"/>
            <w:vAlign w:val="bottom"/>
            <w:gridSpan w:val="15"/>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gridSpan w:val="3"/>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Signatures</w:t>
              </w:r>
            </w:hyperlink>
          </w:p>
        </w:tc>
        <w:tc>
          <w:tcPr>
            <w:tcW w:w="8900" w:type="dxa"/>
            <w:vAlign w:val="bottom"/>
            <w:gridSpan w:val="15"/>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center"/>
              <w:ind w:right="500"/>
              <w:spacing w:after="0"/>
              <w:rPr>
                <w:rFonts w:ascii="Arial" w:cs="Arial" w:eastAsia="Arial" w:hAnsi="Arial"/>
                <w:sz w:val="15"/>
                <w:szCs w:val="15"/>
                <w:color w:val="0000FF"/>
                <w:w w:val="71"/>
              </w:rPr>
            </w:pPr>
            <w:hyperlink w:anchor="page32">
              <w:r>
                <w:rPr>
                  <w:rFonts w:ascii="Arial" w:cs="Arial" w:eastAsia="Arial" w:hAnsi="Arial"/>
                  <w:sz w:val="15"/>
                  <w:szCs w:val="15"/>
                  <w:color w:val="0000FF"/>
                  <w:w w:val="71"/>
                </w:rPr>
                <w:t>31</w:t>
              </w:r>
            </w:hyperlink>
          </w:p>
        </w:tc>
        <w:tc>
          <w:tcPr>
            <w:tcW w:w="0" w:type="dxa"/>
            <w:vAlign w:val="bottom"/>
          </w:tcPr>
          <w:p>
            <w:pPr>
              <w:spacing w:after="0"/>
              <w:rPr>
                <w:sz w:val="1"/>
                <w:szCs w:val="1"/>
                <w:color w:val="auto"/>
              </w:rPr>
            </w:pPr>
          </w:p>
        </w:tc>
      </w:tr>
      <w:tr>
        <w:trPr>
          <w:trHeight w:val="1513"/>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6"/>
                <w:szCs w:val="16"/>
                <w:color w:val="auto"/>
              </w:rPr>
            </w:pPr>
          </w:p>
        </w:tc>
        <w:tc>
          <w:tcPr>
            <w:tcW w:w="1140" w:type="dxa"/>
            <w:vAlign w:val="bottom"/>
          </w:tcPr>
          <w:p>
            <w:pPr>
              <w:jc w:val="right"/>
              <w:ind w:right="15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5"/>
        </w:trPr>
        <w:tc>
          <w:tcPr>
            <w:tcW w:w="84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240" w:type="dxa"/>
            <w:vAlign w:val="bottom"/>
          </w:tcPr>
          <w:p>
            <w:pPr>
              <w:spacing w:after="0"/>
              <w:rPr>
                <w:sz w:val="16"/>
                <w:szCs w:val="16"/>
                <w:color w:val="auto"/>
              </w:rPr>
            </w:pPr>
          </w:p>
        </w:tc>
        <w:tc>
          <w:tcPr>
            <w:tcW w:w="1080" w:type="dxa"/>
            <w:vAlign w:val="bottom"/>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8380" w:type="dxa"/>
            <w:vAlign w:val="bottom"/>
            <w:tcBorders>
              <w:top w:val="single" w:sz="8" w:color="auto"/>
            </w:tcBorders>
            <w:shd w:val="clear" w:color="auto" w:fill="CCEEFF"/>
          </w:tcPr>
          <w:p>
            <w:pPr>
              <w:ind w:left="390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8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4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30"/>
        </w:trPr>
        <w:tc>
          <w:tcPr>
            <w:tcW w:w="8480" w:type="dxa"/>
            <w:vAlign w:val="bottom"/>
            <w:gridSpan w:val="2"/>
          </w:tcPr>
          <w:p>
            <w:pPr>
              <w:ind w:left="400"/>
              <w:spacing w:after="0"/>
              <w:rPr>
                <w:sz w:val="20"/>
                <w:szCs w:val="20"/>
                <w:color w:val="auto"/>
              </w:rPr>
            </w:pPr>
            <w:r>
              <w:rPr>
                <w:rFonts w:ascii="Arial" w:cs="Arial" w:eastAsia="Arial" w:hAnsi="Arial"/>
                <w:sz w:val="16"/>
                <w:szCs w:val="16"/>
                <w:color w:val="auto"/>
              </w:rPr>
              <w:t>Accounts receivable, net of allowances of $60 and $65, respectively</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gridSpan w:val="2"/>
          </w:tcPr>
          <w:p>
            <w:pPr>
              <w:ind w:left="48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196"/>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Long-term assets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80" w:type="dxa"/>
            <w:vAlign w:val="bottom"/>
            <w:gridSpan w:val="2"/>
          </w:tcPr>
          <w:p>
            <w:pPr>
              <w:ind w:left="400"/>
              <w:spacing w:after="0"/>
              <w:rPr>
                <w:sz w:val="20"/>
                <w:szCs w:val="20"/>
                <w:color w:val="auto"/>
              </w:rPr>
            </w:pPr>
            <w:r>
              <w:rPr>
                <w:rFonts w:ascii="Arial" w:cs="Arial" w:eastAsia="Arial" w:hAnsi="Arial"/>
                <w:sz w:val="16"/>
                <w:szCs w:val="16"/>
                <w:color w:val="auto"/>
              </w:rPr>
              <w:t>Property and equipment, net of $2,653 and $2,568 in accumulated depreciation, respectively</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Operating lease assets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29"/>
        </w:trPr>
        <w:tc>
          <w:tcPr>
            <w:tcW w:w="8480" w:type="dxa"/>
            <w:vAlign w:val="bottom"/>
            <w:gridSpan w:val="2"/>
          </w:tcPr>
          <w:p>
            <w:pPr>
              <w:ind w:left="40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4,599</w:t>
            </w: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Identifiable intangible assets, net of $944 and $909 in accumulated amortization, respectively</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gridSpan w:val="2"/>
          </w:tcPr>
          <w:p>
            <w:pPr>
              <w:ind w:left="400"/>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3"/>
        </w:trPr>
        <w:tc>
          <w:tcPr>
            <w:tcW w:w="8480" w:type="dxa"/>
            <w:vAlign w:val="bottom"/>
            <w:gridSpan w:val="2"/>
            <w:shd w:val="clear" w:color="auto" w:fill="CCEEFF"/>
          </w:tcPr>
          <w:p>
            <w:pPr>
              <w:ind w:left="480"/>
              <w:spacing w:after="0"/>
              <w:rPr>
                <w:sz w:val="20"/>
                <w:szCs w:val="20"/>
                <w:color w:val="auto"/>
              </w:rPr>
            </w:pPr>
            <w:r>
              <w:rPr>
                <w:rFonts w:ascii="Arial" w:cs="Arial" w:eastAsia="Arial" w:hAnsi="Arial"/>
                <w:sz w:val="16"/>
                <w:szCs w:val="16"/>
                <w:b w:val="1"/>
                <w:bCs w:val="1"/>
                <w:color w:val="auto"/>
              </w:rPr>
              <w:t>Total long-term assets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10,799</w:t>
            </w:r>
          </w:p>
        </w:tc>
        <w:tc>
          <w:tcPr>
            <w:tcW w:w="0" w:type="dxa"/>
            <w:vAlign w:val="bottom"/>
          </w:tcPr>
          <w:p>
            <w:pPr>
              <w:spacing w:after="0"/>
              <w:rPr>
                <w:sz w:val="1"/>
                <w:szCs w:val="1"/>
                <w:color w:val="auto"/>
              </w:rPr>
            </w:pPr>
          </w:p>
        </w:tc>
      </w:tr>
      <w:tr>
        <w:trPr>
          <w:trHeight w:val="223"/>
        </w:trPr>
        <w:tc>
          <w:tcPr>
            <w:tcW w:w="8480" w:type="dxa"/>
            <w:vAlign w:val="bottom"/>
            <w:gridSpan w:val="2"/>
          </w:tcPr>
          <w:p>
            <w:pPr>
              <w:ind w:left="68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16,169</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gridSpan w:val="2"/>
            <w:shd w:val="clear" w:color="auto" w:fill="CCEEFF"/>
          </w:tcPr>
          <w:p>
            <w:pPr>
              <w:ind w:left="24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48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4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30"/>
        </w:trPr>
        <w:tc>
          <w:tcPr>
            <w:tcW w:w="8480" w:type="dxa"/>
            <w:vAlign w:val="bottom"/>
            <w:gridSpan w:val="2"/>
          </w:tcPr>
          <w:p>
            <w:pPr>
              <w:ind w:left="40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Short-term borrowings and current maturities of long-term debt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29"/>
        </w:trPr>
        <w:tc>
          <w:tcPr>
            <w:tcW w:w="8480" w:type="dxa"/>
            <w:vAlign w:val="bottom"/>
            <w:gridSpan w:val="2"/>
          </w:tcPr>
          <w:p>
            <w:pPr>
              <w:ind w:left="400"/>
              <w:spacing w:after="0"/>
              <w:rPr>
                <w:sz w:val="20"/>
                <w:szCs w:val="20"/>
                <w:color w:val="auto"/>
              </w:rPr>
            </w:pPr>
            <w:r>
              <w:rPr>
                <w:rFonts w:ascii="Arial" w:cs="Arial" w:eastAsia="Arial" w:hAnsi="Arial"/>
                <w:sz w:val="16"/>
                <w:szCs w:val="16"/>
                <w:color w:val="auto"/>
              </w:rPr>
              <w:t>Short-term operating lease liabilities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gridSpan w:val="2"/>
          </w:tcPr>
          <w:p>
            <w:pPr>
              <w:ind w:left="48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w:t>
            </w:r>
          </w:p>
        </w:tc>
        <w:tc>
          <w:tcPr>
            <w:tcW w:w="0" w:type="dxa"/>
            <w:vAlign w:val="bottom"/>
          </w:tcPr>
          <w:p>
            <w:pPr>
              <w:spacing w:after="0"/>
              <w:rPr>
                <w:sz w:val="1"/>
                <w:szCs w:val="1"/>
                <w:color w:val="auto"/>
              </w:rPr>
            </w:pPr>
          </w:p>
        </w:tc>
      </w:tr>
      <w:tr>
        <w:trPr>
          <w:trHeight w:val="196"/>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Long-term liabilities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80" w:type="dxa"/>
            <w:vAlign w:val="bottom"/>
            <w:gridSpan w:val="2"/>
          </w:tcPr>
          <w:p>
            <w:pPr>
              <w:ind w:left="40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Deferred tax liability</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30"/>
        </w:trPr>
        <w:tc>
          <w:tcPr>
            <w:tcW w:w="8480" w:type="dxa"/>
            <w:vAlign w:val="bottom"/>
            <w:gridSpan w:val="2"/>
          </w:tcPr>
          <w:p>
            <w:pPr>
              <w:ind w:left="400"/>
              <w:spacing w:after="0"/>
              <w:rPr>
                <w:sz w:val="20"/>
                <w:szCs w:val="20"/>
                <w:color w:val="auto"/>
              </w:rPr>
            </w:pPr>
            <w:r>
              <w:rPr>
                <w:rFonts w:ascii="Arial" w:cs="Arial" w:eastAsia="Arial" w:hAnsi="Arial"/>
                <w:sz w:val="16"/>
                <w:szCs w:val="16"/>
                <w:color w:val="auto"/>
              </w:rPr>
              <w:t>Employee benefit obligations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Long-term operating lease liabilities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gridSpan w:val="2"/>
          </w:tcPr>
          <w:p>
            <w:pPr>
              <w:ind w:left="40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23"/>
        </w:trPr>
        <w:tc>
          <w:tcPr>
            <w:tcW w:w="8480" w:type="dxa"/>
            <w:vAlign w:val="bottom"/>
            <w:gridSpan w:val="2"/>
            <w:shd w:val="clear" w:color="auto" w:fill="CCEEFF"/>
          </w:tcPr>
          <w:p>
            <w:pPr>
              <w:ind w:left="480"/>
              <w:spacing w:after="0"/>
              <w:rPr>
                <w:sz w:val="20"/>
                <w:szCs w:val="20"/>
                <w:color w:val="auto"/>
              </w:rPr>
            </w:pPr>
            <w:r>
              <w:rPr>
                <w:rFonts w:ascii="Arial" w:cs="Arial" w:eastAsia="Arial" w:hAnsi="Arial"/>
                <w:sz w:val="16"/>
                <w:szCs w:val="16"/>
                <w:b w:val="1"/>
                <w:bCs w:val="1"/>
                <w:color w:val="auto"/>
              </w:rPr>
              <w:t>Total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8,167</w:t>
            </w:r>
          </w:p>
        </w:tc>
        <w:tc>
          <w:tcPr>
            <w:tcW w:w="0" w:type="dxa"/>
            <w:vAlign w:val="bottom"/>
          </w:tcPr>
          <w:p>
            <w:pPr>
              <w:spacing w:after="0"/>
              <w:rPr>
                <w:sz w:val="1"/>
                <w:szCs w:val="1"/>
                <w:color w:val="auto"/>
              </w:rPr>
            </w:pPr>
          </w:p>
        </w:tc>
      </w:tr>
      <w:tr>
        <w:trPr>
          <w:trHeight w:val="193"/>
        </w:trPr>
        <w:tc>
          <w:tcPr>
            <w:tcW w:w="848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8480" w:type="dxa"/>
            <w:vAlign w:val="bottom"/>
            <w:gridSpan w:val="2"/>
            <w:shd w:val="clear" w:color="auto" w:fill="CCEEFF"/>
          </w:tcPr>
          <w:p>
            <w:pPr>
              <w:ind w:left="440"/>
              <w:spacing w:after="0" w:line="168" w:lineRule="exact"/>
              <w:rPr>
                <w:sz w:val="20"/>
                <w:szCs w:val="20"/>
                <w:color w:val="auto"/>
              </w:rPr>
            </w:pPr>
            <w:r>
              <w:rPr>
                <w:rFonts w:ascii="Arial" w:cs="Arial" w:eastAsia="Arial" w:hAnsi="Arial"/>
                <w:sz w:val="16"/>
                <w:szCs w:val="16"/>
                <w:color w:val="auto"/>
                <w:w w:val="92"/>
              </w:rPr>
              <w:t>Convertible perpetual preferred stock, $0.001 par value; 10 shares authorized; — and 0.001 of Series A shares issued and</w:t>
            </w:r>
          </w:p>
        </w:tc>
        <w:tc>
          <w:tcPr>
            <w:tcW w:w="2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2"/>
        </w:trPr>
        <w:tc>
          <w:tcPr>
            <w:tcW w:w="84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outstanding as of March 31, 2021 and December 31, 2020, respectively</w:t>
            </w:r>
          </w:p>
        </w:tc>
        <w:tc>
          <w:tcPr>
            <w:tcW w:w="2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480" w:type="dxa"/>
            <w:vAlign w:val="bottom"/>
            <w:gridSpan w:val="2"/>
          </w:tcPr>
          <w:p>
            <w:pPr>
              <w:ind w:left="440"/>
              <w:spacing w:after="0" w:line="166" w:lineRule="exact"/>
              <w:rPr>
                <w:sz w:val="20"/>
                <w:szCs w:val="20"/>
                <w:color w:val="auto"/>
              </w:rPr>
            </w:pPr>
            <w:r>
              <w:rPr>
                <w:rFonts w:ascii="Arial" w:cs="Arial" w:eastAsia="Arial" w:hAnsi="Arial"/>
                <w:sz w:val="16"/>
                <w:szCs w:val="16"/>
                <w:color w:val="auto"/>
                <w:w w:val="91"/>
              </w:rPr>
              <w:t>Common stock, $0.001 par value; 300 shares authorized; 112 and 102 shares issued and outstanding as of March 31, 2021</w:t>
            </w:r>
          </w:p>
        </w:tc>
        <w:tc>
          <w:tcPr>
            <w:tcW w:w="240" w:type="dxa"/>
            <w:vAlign w:val="bottom"/>
          </w:tcPr>
          <w:p>
            <w:pPr>
              <w:spacing w:after="0"/>
              <w:rPr>
                <w:sz w:val="14"/>
                <w:szCs w:val="14"/>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480" w:type="dxa"/>
            <w:vAlign w:val="bottom"/>
            <w:gridSpan w:val="2"/>
          </w:tcPr>
          <w:p>
            <w:pPr>
              <w:ind w:left="600"/>
              <w:spacing w:after="0"/>
              <w:rPr>
                <w:sz w:val="20"/>
                <w:szCs w:val="20"/>
                <w:color w:val="auto"/>
              </w:rPr>
            </w:pPr>
            <w:r>
              <w:rPr>
                <w:rFonts w:ascii="Arial" w:cs="Arial" w:eastAsia="Arial" w:hAnsi="Arial"/>
                <w:sz w:val="16"/>
                <w:szCs w:val="16"/>
                <w:color w:val="auto"/>
              </w:rPr>
              <w:t>and December 31, 2020, respectively</w:t>
            </w:r>
          </w:p>
        </w:tc>
        <w:tc>
          <w:tcPr>
            <w:tcW w:w="2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30"/>
        </w:trPr>
        <w:tc>
          <w:tcPr>
            <w:tcW w:w="8480" w:type="dxa"/>
            <w:vAlign w:val="bottom"/>
            <w:gridSpan w:val="2"/>
          </w:tcPr>
          <w:p>
            <w:pPr>
              <w:ind w:left="40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gridSpan w:val="2"/>
          </w:tcPr>
          <w:p>
            <w:pPr>
              <w:ind w:left="480"/>
              <w:spacing w:after="0"/>
              <w:rPr>
                <w:sz w:val="20"/>
                <w:szCs w:val="20"/>
                <w:color w:val="auto"/>
              </w:rPr>
            </w:pPr>
            <w:r>
              <w:rPr>
                <w:rFonts w:ascii="Arial" w:cs="Arial" w:eastAsia="Arial" w:hAnsi="Arial"/>
                <w:sz w:val="16"/>
                <w:szCs w:val="16"/>
                <w:b w:val="1"/>
                <w:bCs w:val="1"/>
                <w:color w:val="auto"/>
              </w:rPr>
              <w:t>Total stockholders’ equity before noncontrolling interests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23"/>
        </w:trPr>
        <w:tc>
          <w:tcPr>
            <w:tcW w:w="84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gridSpan w:val="2"/>
          </w:tcPr>
          <w:p>
            <w:pPr>
              <w:ind w:left="480"/>
              <w:spacing w:after="0"/>
              <w:rPr>
                <w:sz w:val="20"/>
                <w:szCs w:val="20"/>
                <w:color w:val="auto"/>
              </w:rPr>
            </w:pPr>
            <w:r>
              <w:rPr>
                <w:rFonts w:ascii="Arial" w:cs="Arial" w:eastAsia="Arial" w:hAnsi="Arial"/>
                <w:sz w:val="16"/>
                <w:szCs w:val="16"/>
                <w:b w:val="1"/>
                <w:bCs w:val="1"/>
                <w:color w:val="auto"/>
              </w:rPr>
              <w:t>Total equity</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16,169</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3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30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224"/>
        </w:trPr>
        <w:tc>
          <w:tcPr>
            <w:tcW w:w="8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r>
      <w:tr>
        <w:trPr>
          <w:trHeight w:val="230"/>
        </w:trPr>
        <w:tc>
          <w:tcPr>
            <w:tcW w:w="8320" w:type="dxa"/>
            <w:vAlign w:val="bottom"/>
            <w:gridSpan w:val="2"/>
          </w:tcPr>
          <w:p>
            <w:pPr>
              <w:ind w:left="400"/>
              <w:spacing w:after="0"/>
              <w:rPr>
                <w:sz w:val="20"/>
                <w:szCs w:val="20"/>
                <w:color w:val="auto"/>
              </w:rPr>
            </w:pPr>
            <w:r>
              <w:rPr>
                <w:rFonts w:ascii="Arial" w:cs="Arial" w:eastAsia="Arial" w:hAnsi="Arial"/>
                <w:sz w:val="18"/>
                <w:szCs w:val="18"/>
                <w:color w:val="auto"/>
              </w:rPr>
              <w:t>Cost of transportation and services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1,898</w:t>
            </w:r>
          </w:p>
        </w:tc>
      </w:tr>
      <w:tr>
        <w:trPr>
          <w:trHeight w:val="229"/>
        </w:trPr>
        <w:tc>
          <w:tcPr>
            <w:tcW w:w="8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Direct operating expense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r>
      <w:tr>
        <w:trPr>
          <w:trHeight w:val="229"/>
        </w:trPr>
        <w:tc>
          <w:tcPr>
            <w:tcW w:w="832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Sales, general and administrative expense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r>
      <w:tr>
        <w:trPr>
          <w:trHeight w:val="223"/>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8320" w:type="dxa"/>
            <w:vAlign w:val="bottom"/>
            <w:gridSpan w:val="2"/>
          </w:tcPr>
          <w:p>
            <w:pPr>
              <w:ind w:left="40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Foreign currency gain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8320" w:type="dxa"/>
            <w:vAlign w:val="bottom"/>
            <w:gridSpan w:val="2"/>
          </w:tcPr>
          <w:p>
            <w:pPr>
              <w:ind w:left="400"/>
              <w:spacing w:after="0"/>
              <w:rPr>
                <w:sz w:val="20"/>
                <w:szCs w:val="20"/>
                <w:color w:val="auto"/>
              </w:rPr>
            </w:pPr>
            <w:r>
              <w:rPr>
                <w:rFonts w:ascii="Arial" w:cs="Arial" w:eastAsia="Arial" w:hAnsi="Arial"/>
                <w:sz w:val="18"/>
                <w:szCs w:val="18"/>
                <w:color w:val="auto"/>
              </w:rPr>
              <w:t>Debt extinguishment loss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832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before income tax provision</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8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Income tax provision</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3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8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3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attributable to XPO</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8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3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attributable to common shareholders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57"/>
        </w:trPr>
        <w:tc>
          <w:tcPr>
            <w:tcW w:w="8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30"/>
        </w:trPr>
        <w:tc>
          <w:tcPr>
            <w:tcW w:w="832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 per share data</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Basic earnings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r>
      <w:tr>
        <w:trPr>
          <w:trHeight w:val="230"/>
        </w:trPr>
        <w:tc>
          <w:tcPr>
            <w:tcW w:w="8320" w:type="dxa"/>
            <w:vAlign w:val="bottom"/>
            <w:gridSpan w:val="2"/>
          </w:tcPr>
          <w:p>
            <w:pPr>
              <w:ind w:left="400"/>
              <w:spacing w:after="0"/>
              <w:rPr>
                <w:sz w:val="20"/>
                <w:szCs w:val="20"/>
                <w:color w:val="auto"/>
              </w:rPr>
            </w:pPr>
            <w:r>
              <w:rPr>
                <w:rFonts w:ascii="Arial" w:cs="Arial" w:eastAsia="Arial" w:hAnsi="Arial"/>
                <w:sz w:val="18"/>
                <w:szCs w:val="18"/>
                <w:color w:val="auto"/>
              </w:rPr>
              <w:t>Diluted earnings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0.20</w:t>
            </w:r>
          </w:p>
        </w:tc>
      </w:tr>
      <w:tr>
        <w:trPr>
          <w:trHeight w:val="256"/>
        </w:trPr>
        <w:tc>
          <w:tcPr>
            <w:tcW w:w="8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30"/>
        </w:trPr>
        <w:tc>
          <w:tcPr>
            <w:tcW w:w="832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Basic weighted-average common shares outstanding</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8320" w:type="dxa"/>
            <w:vAlign w:val="bottom"/>
            <w:gridSpan w:val="2"/>
          </w:tcPr>
          <w:p>
            <w:pPr>
              <w:ind w:left="400"/>
              <w:spacing w:after="0"/>
              <w:rPr>
                <w:sz w:val="20"/>
                <w:szCs w:val="20"/>
                <w:color w:val="auto"/>
              </w:rPr>
            </w:pPr>
            <w:r>
              <w:rPr>
                <w:rFonts w:ascii="Arial" w:cs="Arial" w:eastAsia="Arial" w:hAnsi="Arial"/>
                <w:sz w:val="18"/>
                <w:szCs w:val="18"/>
                <w:color w:val="auto"/>
              </w:rPr>
              <w:t>Diluted weighted-average common shares outstanding</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w:t>
            </w:r>
          </w:p>
        </w:tc>
      </w:tr>
    </w:tbl>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right"/>
              <w:spacing w:after="0"/>
              <w:rPr>
                <w:sz w:val="20"/>
                <w:szCs w:val="20"/>
                <w:color w:val="auto"/>
              </w:rPr>
            </w:pPr>
            <w:r>
              <w:rPr>
                <w:rFonts w:ascii="Arial" w:cs="Arial" w:eastAsia="Arial" w:hAnsi="Arial"/>
                <w:sz w:val="14"/>
                <w:szCs w:val="14"/>
                <w:b w:val="1"/>
                <w:bCs w:val="1"/>
                <w:color w:val="auto"/>
                <w:w w:val="99"/>
              </w:rPr>
              <w:t>Three Months Ended March</w:t>
            </w:r>
          </w:p>
        </w:tc>
      </w:tr>
      <w:tr>
        <w:trPr>
          <w:trHeight w:val="186"/>
        </w:trPr>
        <w:tc>
          <w:tcPr>
            <w:tcW w:w="9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31,</w:t>
            </w:r>
          </w:p>
        </w:tc>
        <w:tc>
          <w:tcPr>
            <w:tcW w:w="680" w:type="dxa"/>
            <w:vAlign w:val="bottom"/>
            <w:tcBorders>
              <w:bottom w:val="single" w:sz="8" w:color="auto"/>
            </w:tcBorders>
          </w:tcPr>
          <w:p>
            <w:pPr>
              <w:spacing w:after="0"/>
              <w:rPr>
                <w:sz w:val="16"/>
                <w:szCs w:val="16"/>
                <w:color w:val="auto"/>
              </w:rPr>
            </w:pPr>
          </w:p>
        </w:tc>
      </w:tr>
      <w:tr>
        <w:trPr>
          <w:trHeight w:val="184"/>
        </w:trPr>
        <w:tc>
          <w:tcPr>
            <w:tcW w:w="93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5"/>
                <w:szCs w:val="15"/>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2020</w:t>
            </w:r>
          </w:p>
        </w:tc>
      </w:tr>
      <w:tr>
        <w:trPr>
          <w:trHeight w:val="224"/>
        </w:trPr>
        <w:tc>
          <w:tcPr>
            <w:tcW w:w="9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93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9340" w:type="dxa"/>
            <w:vAlign w:val="bottom"/>
            <w:gridSpan w:val="2"/>
          </w:tcPr>
          <w:p>
            <w:pPr>
              <w:ind w:left="400"/>
              <w:spacing w:after="0"/>
              <w:rPr>
                <w:sz w:val="20"/>
                <w:szCs w:val="20"/>
                <w:color w:val="auto"/>
              </w:rPr>
            </w:pPr>
            <w:r>
              <w:rPr>
                <w:rFonts w:ascii="Arial" w:cs="Arial" w:eastAsia="Arial" w:hAnsi="Arial"/>
                <w:sz w:val="18"/>
                <w:szCs w:val="18"/>
                <w:color w:val="auto"/>
              </w:rPr>
              <w:t>Foreign currency translation loss, net of tax effect of $(6) and $(11)</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93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Defined benefit plans adjustments, net of tax effect of $— and $2</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9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93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934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Less: Comprehensive loss attributable to noncontrolling interests</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9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 attributable to XPO</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8"/>
        </w:trPr>
        <w:tc>
          <w:tcPr>
            <w:tcW w:w="84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6"/>
                <w:szCs w:val="16"/>
                <w:color w:val="auto"/>
              </w:rPr>
            </w:pPr>
          </w:p>
        </w:tc>
        <w:tc>
          <w:tcPr>
            <w:tcW w:w="1100" w:type="dxa"/>
            <w:vAlign w:val="bottom"/>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gridSpan w:val="2"/>
          </w:tcPr>
          <w:p>
            <w:pPr>
              <w:ind w:left="40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Adjustments to reconcile net income to net cash from operating activities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gridSpan w:val="2"/>
          </w:tcPr>
          <w:p>
            <w:pPr>
              <w:ind w:left="520"/>
              <w:spacing w:after="0"/>
              <w:rPr>
                <w:sz w:val="20"/>
                <w:szCs w:val="20"/>
                <w:color w:val="auto"/>
              </w:rPr>
            </w:pPr>
            <w:r>
              <w:rPr>
                <w:rFonts w:ascii="Arial" w:cs="Arial" w:eastAsia="Arial" w:hAnsi="Arial"/>
                <w:sz w:val="18"/>
                <w:szCs w:val="18"/>
                <w:color w:val="auto"/>
              </w:rPr>
              <w:t>Depreciation, amortization and net lease activity</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0"/>
        </w:trPr>
        <w:tc>
          <w:tcPr>
            <w:tcW w:w="8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Stock compensation expense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8400" w:type="dxa"/>
            <w:vAlign w:val="bottom"/>
            <w:gridSpan w:val="2"/>
          </w:tcPr>
          <w:p>
            <w:pPr>
              <w:ind w:left="520"/>
              <w:spacing w:after="0"/>
              <w:rPr>
                <w:sz w:val="20"/>
                <w:szCs w:val="20"/>
                <w:color w:val="auto"/>
              </w:rPr>
            </w:pPr>
            <w:r>
              <w:rPr>
                <w:rFonts w:ascii="Arial" w:cs="Arial" w:eastAsia="Arial" w:hAnsi="Arial"/>
                <w:sz w:val="18"/>
                <w:szCs w:val="18"/>
                <w:color w:val="auto"/>
              </w:rPr>
              <w:t>Accretion of debt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Deferred tax benefit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400" w:type="dxa"/>
            <w:vAlign w:val="bottom"/>
            <w:gridSpan w:val="2"/>
          </w:tcPr>
          <w:p>
            <w:pPr>
              <w:ind w:left="520"/>
              <w:spacing w:after="0"/>
              <w:rPr>
                <w:sz w:val="20"/>
                <w:szCs w:val="20"/>
                <w:color w:val="auto"/>
              </w:rPr>
            </w:pPr>
            <w:r>
              <w:rPr>
                <w:rFonts w:ascii="Arial" w:cs="Arial" w:eastAsia="Arial" w:hAnsi="Arial"/>
                <w:sz w:val="18"/>
                <w:szCs w:val="18"/>
                <w:color w:val="auto"/>
              </w:rPr>
              <w:t>Debt extinguishment loss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Unrealized gain on foreign currency option and forward contracts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400" w:type="dxa"/>
            <w:vAlign w:val="bottom"/>
            <w:gridSpan w:val="2"/>
          </w:tcPr>
          <w:p>
            <w:pPr>
              <w:ind w:left="520"/>
              <w:spacing w:after="0"/>
              <w:rPr>
                <w:sz w:val="20"/>
                <w:szCs w:val="20"/>
                <w:color w:val="auto"/>
              </w:rPr>
            </w:pPr>
            <w:r>
              <w:rPr>
                <w:rFonts w:ascii="Arial" w:cs="Arial" w:eastAsia="Arial" w:hAnsi="Arial"/>
                <w:sz w:val="18"/>
                <w:szCs w:val="18"/>
                <w:color w:val="auto"/>
              </w:rPr>
              <w:t>Gains on sales of property and equipment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8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840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Changes in assets and liabilities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8400" w:type="dxa"/>
            <w:vAlign w:val="bottom"/>
            <w:gridSpan w:val="2"/>
          </w:tcPr>
          <w:p>
            <w:pPr>
              <w:ind w:left="52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8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9"/>
        </w:trPr>
        <w:tc>
          <w:tcPr>
            <w:tcW w:w="840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Payment for purchases of property and equipment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8400" w:type="dxa"/>
            <w:vAlign w:val="bottom"/>
            <w:gridSpan w:val="2"/>
          </w:tcPr>
          <w:p>
            <w:pPr>
              <w:ind w:left="520"/>
              <w:spacing w:after="0"/>
              <w:rPr>
                <w:sz w:val="20"/>
                <w:szCs w:val="20"/>
                <w:color w:val="auto"/>
              </w:rPr>
            </w:pPr>
            <w:r>
              <w:rPr>
                <w:rFonts w:ascii="Arial" w:cs="Arial" w:eastAsia="Arial" w:hAnsi="Arial"/>
                <w:sz w:val="18"/>
                <w:szCs w:val="18"/>
                <w:color w:val="auto"/>
              </w:rPr>
              <w:t>Proceeds from sale of property and equipment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8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gridSpan w:val="2"/>
          </w:tcPr>
          <w:p>
            <w:pPr>
              <w:ind w:left="520"/>
              <w:spacing w:after="0"/>
              <w:rPr>
                <w:sz w:val="20"/>
                <w:szCs w:val="20"/>
                <w:color w:val="auto"/>
              </w:rPr>
            </w:pPr>
            <w:r>
              <w:rPr>
                <w:rFonts w:ascii="Arial" w:cs="Arial" w:eastAsia="Arial" w:hAnsi="Arial"/>
                <w:sz w:val="18"/>
                <w:szCs w:val="18"/>
                <w:color w:val="auto"/>
              </w:rPr>
              <w:t>Proceeds from (repayment of) borrowings related to securitization program</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8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Repurchase of debt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gridSpan w:val="2"/>
          </w:tcPr>
          <w:p>
            <w:pPr>
              <w:ind w:left="520"/>
              <w:spacing w:after="0"/>
              <w:rPr>
                <w:sz w:val="20"/>
                <w:szCs w:val="20"/>
                <w:color w:val="auto"/>
              </w:rPr>
            </w:pPr>
            <w:r>
              <w:rPr>
                <w:rFonts w:ascii="Arial" w:cs="Arial" w:eastAsia="Arial" w:hAnsi="Arial"/>
                <w:sz w:val="18"/>
                <w:szCs w:val="18"/>
                <w:color w:val="auto"/>
              </w:rPr>
              <w:t>Proceeds from borrowings on ABL facility</w:t>
            </w: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30"/>
        </w:trPr>
        <w:tc>
          <w:tcPr>
            <w:tcW w:w="8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Repayment of borrowings on ABL facility</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8400" w:type="dxa"/>
            <w:vAlign w:val="bottom"/>
            <w:gridSpan w:val="2"/>
          </w:tcPr>
          <w:p>
            <w:pPr>
              <w:ind w:left="520"/>
              <w:spacing w:after="0"/>
              <w:rPr>
                <w:sz w:val="20"/>
                <w:szCs w:val="20"/>
                <w:color w:val="auto"/>
              </w:rPr>
            </w:pPr>
            <w:r>
              <w:rPr>
                <w:rFonts w:ascii="Arial" w:cs="Arial" w:eastAsia="Arial" w:hAnsi="Arial"/>
                <w:sz w:val="18"/>
                <w:szCs w:val="18"/>
                <w:color w:val="auto"/>
              </w:rPr>
              <w:t>Repayment of debt and finance leases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8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Payment for debt issuance costs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00" w:type="dxa"/>
            <w:vAlign w:val="bottom"/>
            <w:gridSpan w:val="2"/>
          </w:tcPr>
          <w:p>
            <w:pPr>
              <w:ind w:left="520"/>
              <w:spacing w:after="0"/>
              <w:rPr>
                <w:sz w:val="20"/>
                <w:szCs w:val="20"/>
                <w:color w:val="auto"/>
              </w:rPr>
            </w:pPr>
            <w:r>
              <w:rPr>
                <w:rFonts w:ascii="Arial" w:cs="Arial" w:eastAsia="Arial" w:hAnsi="Arial"/>
                <w:sz w:val="18"/>
                <w:szCs w:val="18"/>
                <w:color w:val="auto"/>
              </w:rPr>
              <w:t>Repurchase of common stock</w:t>
            </w: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8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Change in bank overdrafts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8400" w:type="dxa"/>
            <w:vAlign w:val="bottom"/>
            <w:gridSpan w:val="2"/>
          </w:tcPr>
          <w:p>
            <w:pPr>
              <w:ind w:left="520"/>
              <w:spacing w:after="0"/>
              <w:rPr>
                <w:sz w:val="20"/>
                <w:szCs w:val="20"/>
                <w:color w:val="auto"/>
              </w:rPr>
            </w:pPr>
            <w:r>
              <w:rPr>
                <w:rFonts w:ascii="Arial" w:cs="Arial" w:eastAsia="Arial" w:hAnsi="Arial"/>
                <w:sz w:val="18"/>
                <w:szCs w:val="18"/>
                <w:color w:val="auto"/>
              </w:rPr>
              <w:t>Payment for tax withholdings for restricted shares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8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23"/>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840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3"/>
        </w:trPr>
        <w:tc>
          <w:tcPr>
            <w:tcW w:w="8400" w:type="dxa"/>
            <w:vAlign w:val="bottom"/>
            <w:gridSpan w:val="2"/>
          </w:tcPr>
          <w:p>
            <w:pPr>
              <w:ind w:left="1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400" w:type="dxa"/>
            <w:vAlign w:val="bottom"/>
            <w:gridSpan w:val="2"/>
          </w:tcPr>
          <w:p>
            <w:pPr>
              <w:ind w:left="520"/>
              <w:spacing w:after="0" w:line="176" w:lineRule="exact"/>
              <w:rPr>
                <w:sz w:val="20"/>
                <w:szCs w:val="20"/>
                <w:color w:val="auto"/>
              </w:rPr>
            </w:pPr>
            <w:r>
              <w:rPr>
                <w:rFonts w:ascii="Arial" w:cs="Arial" w:eastAsia="Arial" w:hAnsi="Arial"/>
                <w:sz w:val="18"/>
                <w:szCs w:val="18"/>
                <w:color w:val="auto"/>
                <w:w w:val="95"/>
              </w:rPr>
              <w:t>Leased assets obtained in exchange for new operating lease liabilities, including $306 million related an</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8400" w:type="dxa"/>
            <w:vAlign w:val="bottom"/>
            <w:gridSpan w:val="2"/>
          </w:tcPr>
          <w:p>
            <w:pPr>
              <w:ind w:left="520"/>
              <w:spacing w:after="0"/>
              <w:rPr>
                <w:sz w:val="20"/>
                <w:szCs w:val="20"/>
                <w:color w:val="auto"/>
              </w:rPr>
            </w:pPr>
            <w:r>
              <w:rPr>
                <w:rFonts w:ascii="Arial" w:cs="Arial" w:eastAsia="Arial" w:hAnsi="Arial"/>
                <w:sz w:val="18"/>
                <w:szCs w:val="18"/>
                <w:color w:val="auto"/>
              </w:rPr>
              <w:t>acquisition</w:t>
            </w:r>
          </w:p>
        </w:tc>
        <w:tc>
          <w:tcPr>
            <w:tcW w:w="26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8400" w:type="dxa"/>
            <w:vAlign w:val="bottom"/>
            <w:gridSpan w:val="2"/>
          </w:tcPr>
          <w:p>
            <w:pPr>
              <w:ind w:left="520"/>
              <w:spacing w:after="0"/>
              <w:rPr>
                <w:sz w:val="20"/>
                <w:szCs w:val="20"/>
                <w:color w:val="auto"/>
              </w:rPr>
            </w:pPr>
            <w:r>
              <w:rPr>
                <w:rFonts w:ascii="Arial" w:cs="Arial" w:eastAsia="Arial" w:hAnsi="Arial"/>
                <w:sz w:val="18"/>
                <w:szCs w:val="18"/>
                <w:color w:val="auto"/>
              </w:rPr>
              <w:t>Cash paid for interest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8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Cash paid for income taxes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condensed4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XPO Logistics,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5"/>
          </w:tcPr>
          <w:p>
            <w:pPr>
              <w:ind w:left="100"/>
              <w:spacing w:after="0"/>
              <w:rPr>
                <w:sz w:val="20"/>
                <w:szCs w:val="20"/>
                <w:color w:val="auto"/>
              </w:rPr>
            </w:pPr>
            <w:r>
              <w:rPr>
                <w:rFonts w:ascii="Arial" w:cs="Arial" w:eastAsia="Arial" w:hAnsi="Arial"/>
                <w:sz w:val="12"/>
                <w:szCs w:val="12"/>
                <w:b w:val="1"/>
                <w:bCs w:val="1"/>
                <w:color w:val="auto"/>
              </w:rPr>
              <w:t>Series A Preferred</w:t>
            </w:r>
          </w:p>
        </w:tc>
        <w:tc>
          <w:tcPr>
            <w:tcW w:w="1040" w:type="dxa"/>
            <w:vAlign w:val="bottom"/>
            <w:gridSpan w:val="5"/>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gridSpan w:val="3"/>
          </w:tcPr>
          <w:p>
            <w:pPr>
              <w:ind w:left="420"/>
              <w:spacing w:after="0"/>
              <w:rPr>
                <w:sz w:val="20"/>
                <w:szCs w:val="20"/>
                <w:color w:val="auto"/>
              </w:rPr>
            </w:pPr>
            <w:r>
              <w:rPr>
                <w:rFonts w:ascii="Arial" w:cs="Arial" w:eastAsia="Arial" w:hAnsi="Arial"/>
                <w:sz w:val="12"/>
                <w:szCs w:val="12"/>
                <w:b w:val="1"/>
                <w:bCs w:val="1"/>
                <w:color w:val="auto"/>
              </w:rPr>
              <w:t>Stock</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gridSpan w:val="5"/>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5"/>
            <w:vMerge w:val="restart"/>
          </w:tcPr>
          <w:p>
            <w:pPr>
              <w:jc w:val="center"/>
              <w:ind w:right="100"/>
              <w:spacing w:after="0"/>
              <w:rPr>
                <w:sz w:val="20"/>
                <w:szCs w:val="20"/>
                <w:color w:val="auto"/>
              </w:rPr>
            </w:pPr>
            <w:r>
              <w:rPr>
                <w:rFonts w:ascii="Arial" w:cs="Arial" w:eastAsia="Arial" w:hAnsi="Arial"/>
                <w:sz w:val="12"/>
                <w:szCs w:val="12"/>
                <w:b w:val="1"/>
                <w:bCs w:val="1"/>
                <w:color w:val="auto"/>
                <w:w w:val="95"/>
              </w:rPr>
              <w:t>Additional</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9"/>
                <w:szCs w:val="9"/>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7"/>
              </w:rPr>
              <w:t>Total XPO</w:t>
            </w:r>
          </w:p>
        </w:tc>
        <w:tc>
          <w:tcPr>
            <w:tcW w:w="100" w:type="dxa"/>
            <w:vAlign w:val="bottom"/>
          </w:tcPr>
          <w:p>
            <w:pPr>
              <w:spacing w:after="0"/>
              <w:rPr>
                <w:sz w:val="9"/>
                <w:szCs w:val="9"/>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87"/>
              </w:rPr>
              <w:t>Non-</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auto"/>
                <w:w w:val="98"/>
              </w:rPr>
              <w:t>Retained</w:t>
            </w: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22"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center"/>
              <w:ind w:right="3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2"/>
        </w:trPr>
        <w:tc>
          <w:tcPr>
            <w:tcW w:w="37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(Shares in thousands, dollars in millions)</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4"/>
            <w:vMerge w:val="restart"/>
          </w:tcPr>
          <w:p>
            <w:pPr>
              <w:ind w:left="14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5"/>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c>
          <w:tcPr>
            <w:tcW w:w="640" w:type="dxa"/>
            <w:vAlign w:val="bottom"/>
            <w:gridSpan w:val="4"/>
          </w:tcPr>
          <w:p>
            <w:pPr>
              <w:jc w:val="center"/>
              <w:ind w:right="200"/>
              <w:spacing w:after="0" w:line="122" w:lineRule="exact"/>
              <w:rPr>
                <w:sz w:val="20"/>
                <w:szCs w:val="20"/>
                <w:color w:val="auto"/>
              </w:rPr>
            </w:pPr>
            <w:r>
              <w:rPr>
                <w:rFonts w:ascii="Arial" w:cs="Arial" w:eastAsia="Arial" w:hAnsi="Arial"/>
                <w:sz w:val="12"/>
                <w:szCs w:val="12"/>
                <w:b w:val="1"/>
                <w:bCs w:val="1"/>
                <w:color w:val="auto"/>
                <w:w w:val="99"/>
              </w:rPr>
              <w:t>Paid-In</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0" w:type="dxa"/>
            <w:vAlign w:val="bottom"/>
            <w:gridSpan w:val="3"/>
          </w:tcPr>
          <w:p>
            <w:pPr>
              <w:jc w:val="center"/>
              <w:ind w:right="100"/>
              <w:spacing w:after="0" w:line="122" w:lineRule="exact"/>
              <w:rPr>
                <w:sz w:val="20"/>
                <w:szCs w:val="20"/>
                <w:color w:val="auto"/>
              </w:rPr>
            </w:pPr>
            <w:r>
              <w:rPr>
                <w:rFonts w:ascii="Arial" w:cs="Arial" w:eastAsia="Arial" w:hAnsi="Arial"/>
                <w:sz w:val="12"/>
                <w:szCs w:val="12"/>
                <w:b w:val="1"/>
                <w:bCs w:val="1"/>
                <w:color w:val="auto"/>
                <w:w w:val="91"/>
              </w:rPr>
              <w:t>Comprehensive</w:t>
            </w:r>
          </w:p>
        </w:tc>
        <w:tc>
          <w:tcPr>
            <w:tcW w:w="880" w:type="dxa"/>
            <w:vAlign w:val="bottom"/>
            <w:gridSpan w:val="3"/>
          </w:tcPr>
          <w:p>
            <w:pPr>
              <w:jc w:val="center"/>
              <w:ind w:right="80"/>
              <w:spacing w:after="0" w:line="122" w:lineRule="exact"/>
              <w:rPr>
                <w:sz w:val="20"/>
                <w:szCs w:val="20"/>
                <w:color w:val="auto"/>
              </w:rPr>
            </w:pPr>
            <w:r>
              <w:rPr>
                <w:rFonts w:ascii="Arial" w:cs="Arial" w:eastAsia="Arial" w:hAnsi="Arial"/>
                <w:sz w:val="12"/>
                <w:szCs w:val="12"/>
                <w:b w:val="1"/>
                <w:bCs w:val="1"/>
                <w:color w:val="auto"/>
                <w:w w:val="91"/>
              </w:rPr>
              <w:t>Stockholders'</w:t>
            </w:r>
          </w:p>
        </w:tc>
        <w:tc>
          <w:tcPr>
            <w:tcW w:w="760" w:type="dxa"/>
            <w:vAlign w:val="bottom"/>
            <w:gridSpan w:val="3"/>
          </w:tcPr>
          <w:p>
            <w:pPr>
              <w:jc w:val="center"/>
              <w:ind w:right="80"/>
              <w:spacing w:after="0" w:line="122" w:lineRule="exact"/>
              <w:rPr>
                <w:sz w:val="20"/>
                <w:szCs w:val="20"/>
                <w:color w:val="auto"/>
              </w:rPr>
            </w:pPr>
            <w:r>
              <w:rPr>
                <w:rFonts w:ascii="Arial" w:cs="Arial" w:eastAsia="Arial" w:hAnsi="Arial"/>
                <w:sz w:val="12"/>
                <w:szCs w:val="12"/>
                <w:b w:val="1"/>
                <w:bCs w:val="1"/>
                <w:color w:val="auto"/>
                <w:w w:val="90"/>
              </w:rPr>
              <w:t>controlling</w:t>
            </w:r>
          </w:p>
        </w:tc>
        <w:tc>
          <w:tcPr>
            <w:tcW w:w="1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7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6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7"/>
              </w:rPr>
              <w:t>Earnings</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Loss</w:t>
            </w: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Equity</w:t>
            </w:r>
          </w:p>
        </w:tc>
        <w:tc>
          <w:tcPr>
            <w:tcW w:w="10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Interests</w:t>
            </w:r>
          </w:p>
        </w:tc>
        <w:tc>
          <w:tcPr>
            <w:tcW w:w="100" w:type="dxa"/>
            <w:vAlign w:val="bottom"/>
          </w:tcPr>
          <w:p>
            <w:pPr>
              <w:spacing w:after="0"/>
              <w:rPr>
                <w:sz w:val="14"/>
                <w:szCs w:val="14"/>
                <w:color w:val="auto"/>
              </w:rPr>
            </w:pPr>
          </w:p>
        </w:tc>
        <w:tc>
          <w:tcPr>
            <w:tcW w:w="480" w:type="dxa"/>
            <w:vAlign w:val="bottom"/>
          </w:tcPr>
          <w:p>
            <w:pPr>
              <w:jc w:val="center"/>
              <w:ind w:right="30"/>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89"/>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102,052</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8"/>
              <w:spacing w:after="0"/>
              <w:rPr>
                <w:sz w:val="20"/>
                <w:szCs w:val="20"/>
                <w:color w:val="auto"/>
              </w:rPr>
            </w:pPr>
            <w:r>
              <w:rPr>
                <w:rFonts w:ascii="Arial" w:cs="Arial" w:eastAsia="Arial" w:hAnsi="Arial"/>
                <w:sz w:val="14"/>
                <w:szCs w:val="14"/>
                <w:b w:val="1"/>
                <w:bCs w:val="1"/>
                <w:color w:val="auto"/>
                <w:w w:val="76"/>
              </w:rPr>
              <w:t>$</w:t>
            </w:r>
          </w:p>
        </w:tc>
        <w:tc>
          <w:tcPr>
            <w:tcW w:w="2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1,998</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2,709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140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2,849</w:t>
            </w:r>
          </w:p>
        </w:tc>
        <w:tc>
          <w:tcPr>
            <w:tcW w:w="0" w:type="dxa"/>
            <w:vAlign w:val="bottom"/>
          </w:tcPr>
          <w:p>
            <w:pPr>
              <w:spacing w:after="0"/>
              <w:rPr>
                <w:sz w:val="1"/>
                <w:szCs w:val="1"/>
                <w:color w:val="auto"/>
              </w:rPr>
            </w:pPr>
          </w:p>
        </w:tc>
      </w:tr>
      <w:tr>
        <w:trPr>
          <w:trHeight w:val="179"/>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9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3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Exercise and vesting of stock compensation awards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270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gridSpan w:val="4"/>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7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Tax withholdings related to vesting of stock compensation</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320" w:type="dxa"/>
            <w:vAlign w:val="bottom"/>
            <w:gridSpan w:val="4"/>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9"/>
        </w:trPr>
        <w:tc>
          <w:tcPr>
            <w:tcW w:w="37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awards</w:t>
            </w:r>
          </w:p>
        </w:tc>
        <w:tc>
          <w:tcPr>
            <w:tcW w:w="6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40" w:type="dxa"/>
            <w:vAlign w:val="bottom"/>
            <w:gridSpan w:val="4"/>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Conversion of preferred stock to common stock</w:t>
            </w: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gridSpan w:val="4"/>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Exercise of warrants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20" w:type="dxa"/>
            <w:vAlign w:val="bottom"/>
            <w:gridSpan w:val="4"/>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1"/>
        </w:trPr>
        <w:tc>
          <w:tcPr>
            <w:tcW w:w="3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2021</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111,676</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58"/>
              <w:spacing w:after="0"/>
              <w:rPr>
                <w:sz w:val="20"/>
                <w:szCs w:val="20"/>
                <w:color w:val="auto"/>
              </w:rPr>
            </w:pPr>
            <w:r>
              <w:rPr>
                <w:rFonts w:ascii="Arial" w:cs="Arial" w:eastAsia="Arial" w:hAnsi="Arial"/>
                <w:sz w:val="14"/>
                <w:szCs w:val="14"/>
                <w:b w:val="1"/>
                <w:bCs w:val="1"/>
                <w:color w:val="auto"/>
                <w:w w:val="76"/>
              </w:rPr>
              <w:t>$</w:t>
            </w:r>
          </w:p>
        </w:tc>
        <w:tc>
          <w:tcPr>
            <w:tcW w:w="2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1,988</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2,776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138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2,914</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5"/>
          </w:tcPr>
          <w:p>
            <w:pPr>
              <w:ind w:left="100"/>
              <w:spacing w:after="0"/>
              <w:rPr>
                <w:sz w:val="20"/>
                <w:szCs w:val="20"/>
                <w:color w:val="auto"/>
              </w:rPr>
            </w:pPr>
            <w:r>
              <w:rPr>
                <w:rFonts w:ascii="Arial" w:cs="Arial" w:eastAsia="Arial" w:hAnsi="Arial"/>
                <w:sz w:val="12"/>
                <w:szCs w:val="12"/>
                <w:b w:val="1"/>
                <w:bCs w:val="1"/>
                <w:color w:val="auto"/>
              </w:rPr>
              <w:t>Series A Preferred</w:t>
            </w:r>
          </w:p>
        </w:tc>
        <w:tc>
          <w:tcPr>
            <w:tcW w:w="1040" w:type="dxa"/>
            <w:vAlign w:val="bottom"/>
            <w:gridSpan w:val="5"/>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gridSpan w:val="3"/>
          </w:tcPr>
          <w:p>
            <w:pPr>
              <w:ind w:left="420"/>
              <w:spacing w:after="0"/>
              <w:rPr>
                <w:sz w:val="20"/>
                <w:szCs w:val="20"/>
                <w:color w:val="auto"/>
              </w:rPr>
            </w:pPr>
            <w:r>
              <w:rPr>
                <w:rFonts w:ascii="Arial" w:cs="Arial" w:eastAsia="Arial" w:hAnsi="Arial"/>
                <w:sz w:val="12"/>
                <w:szCs w:val="12"/>
                <w:b w:val="1"/>
                <w:bCs w:val="1"/>
                <w:color w:val="auto"/>
              </w:rPr>
              <w:t>Stock</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gridSpan w:val="5"/>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5"/>
            <w:vMerge w:val="restart"/>
          </w:tcPr>
          <w:p>
            <w:pPr>
              <w:jc w:val="center"/>
              <w:ind w:right="140"/>
              <w:spacing w:after="0"/>
              <w:rPr>
                <w:sz w:val="20"/>
                <w:szCs w:val="20"/>
                <w:color w:val="auto"/>
              </w:rPr>
            </w:pPr>
            <w:r>
              <w:rPr>
                <w:rFonts w:ascii="Arial" w:cs="Arial" w:eastAsia="Arial" w:hAnsi="Arial"/>
                <w:sz w:val="12"/>
                <w:szCs w:val="12"/>
                <w:b w:val="1"/>
                <w:bCs w:val="1"/>
                <w:color w:val="auto"/>
                <w:w w:val="95"/>
              </w:rPr>
              <w:t>Additional</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9"/>
                <w:szCs w:val="9"/>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7"/>
              </w:rPr>
              <w:t>Total XPO</w:t>
            </w:r>
          </w:p>
        </w:tc>
        <w:tc>
          <w:tcPr>
            <w:tcW w:w="100" w:type="dxa"/>
            <w:vAlign w:val="bottom"/>
          </w:tcPr>
          <w:p>
            <w:pPr>
              <w:spacing w:after="0"/>
              <w:rPr>
                <w:sz w:val="9"/>
                <w:szCs w:val="9"/>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87"/>
              </w:rPr>
              <w:t>Non-</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2"/>
                <w:szCs w:val="12"/>
                <w:b w:val="1"/>
                <w:bCs w:val="1"/>
                <w:color w:val="auto"/>
                <w:w w:val="94"/>
              </w:rPr>
              <w:t>Retained</w:t>
            </w: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22"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center"/>
              <w:ind w:right="3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2"/>
        </w:trPr>
        <w:tc>
          <w:tcPr>
            <w:tcW w:w="37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(Shares in thousands, dollars in millions)</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4"/>
            <w:vMerge w:val="restart"/>
          </w:tcPr>
          <w:p>
            <w:pPr>
              <w:ind w:left="14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5"/>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c>
          <w:tcPr>
            <w:tcW w:w="640" w:type="dxa"/>
            <w:vAlign w:val="bottom"/>
            <w:gridSpan w:val="4"/>
          </w:tcPr>
          <w:p>
            <w:pPr>
              <w:jc w:val="center"/>
              <w:ind w:right="240"/>
              <w:spacing w:after="0" w:line="122" w:lineRule="exact"/>
              <w:rPr>
                <w:sz w:val="20"/>
                <w:szCs w:val="20"/>
                <w:color w:val="auto"/>
              </w:rPr>
            </w:pPr>
            <w:r>
              <w:rPr>
                <w:rFonts w:ascii="Arial" w:cs="Arial" w:eastAsia="Arial" w:hAnsi="Arial"/>
                <w:sz w:val="12"/>
                <w:szCs w:val="12"/>
                <w:b w:val="1"/>
                <w:bCs w:val="1"/>
                <w:color w:val="auto"/>
                <w:w w:val="99"/>
              </w:rPr>
              <w:t>Paid-In</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0" w:type="dxa"/>
            <w:vAlign w:val="bottom"/>
            <w:gridSpan w:val="3"/>
          </w:tcPr>
          <w:p>
            <w:pPr>
              <w:jc w:val="center"/>
              <w:ind w:right="100"/>
              <w:spacing w:after="0" w:line="122" w:lineRule="exact"/>
              <w:rPr>
                <w:sz w:val="20"/>
                <w:szCs w:val="20"/>
                <w:color w:val="auto"/>
              </w:rPr>
            </w:pPr>
            <w:r>
              <w:rPr>
                <w:rFonts w:ascii="Arial" w:cs="Arial" w:eastAsia="Arial" w:hAnsi="Arial"/>
                <w:sz w:val="12"/>
                <w:szCs w:val="12"/>
                <w:b w:val="1"/>
                <w:bCs w:val="1"/>
                <w:color w:val="auto"/>
                <w:w w:val="91"/>
              </w:rPr>
              <w:t>Comprehensive</w:t>
            </w:r>
          </w:p>
        </w:tc>
        <w:tc>
          <w:tcPr>
            <w:tcW w:w="880" w:type="dxa"/>
            <w:vAlign w:val="bottom"/>
            <w:gridSpan w:val="3"/>
          </w:tcPr>
          <w:p>
            <w:pPr>
              <w:jc w:val="center"/>
              <w:ind w:right="80"/>
              <w:spacing w:after="0" w:line="122" w:lineRule="exact"/>
              <w:rPr>
                <w:sz w:val="20"/>
                <w:szCs w:val="20"/>
                <w:color w:val="auto"/>
              </w:rPr>
            </w:pPr>
            <w:r>
              <w:rPr>
                <w:rFonts w:ascii="Arial" w:cs="Arial" w:eastAsia="Arial" w:hAnsi="Arial"/>
                <w:sz w:val="12"/>
                <w:szCs w:val="12"/>
                <w:b w:val="1"/>
                <w:bCs w:val="1"/>
                <w:color w:val="auto"/>
                <w:w w:val="91"/>
              </w:rPr>
              <w:t>Stockholders'</w:t>
            </w:r>
          </w:p>
        </w:tc>
        <w:tc>
          <w:tcPr>
            <w:tcW w:w="760" w:type="dxa"/>
            <w:vAlign w:val="bottom"/>
            <w:gridSpan w:val="3"/>
          </w:tcPr>
          <w:p>
            <w:pPr>
              <w:jc w:val="center"/>
              <w:ind w:right="80"/>
              <w:spacing w:after="0" w:line="122" w:lineRule="exact"/>
              <w:rPr>
                <w:sz w:val="20"/>
                <w:szCs w:val="20"/>
                <w:color w:val="auto"/>
              </w:rPr>
            </w:pPr>
            <w:r>
              <w:rPr>
                <w:rFonts w:ascii="Arial" w:cs="Arial" w:eastAsia="Arial" w:hAnsi="Arial"/>
                <w:sz w:val="12"/>
                <w:szCs w:val="12"/>
                <w:b w:val="1"/>
                <w:bCs w:val="1"/>
                <w:color w:val="auto"/>
                <w:w w:val="90"/>
              </w:rPr>
              <w:t>controlling</w:t>
            </w:r>
          </w:p>
        </w:tc>
        <w:tc>
          <w:tcPr>
            <w:tcW w:w="1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7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6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4"/>
          </w:tcPr>
          <w:p>
            <w:pPr>
              <w:jc w:val="center"/>
              <w:ind w:right="220"/>
              <w:spacing w:after="0"/>
              <w:rPr>
                <w:sz w:val="20"/>
                <w:szCs w:val="20"/>
                <w:color w:val="auto"/>
              </w:rPr>
            </w:pPr>
            <w:r>
              <w:rPr>
                <w:rFonts w:ascii="Arial" w:cs="Arial" w:eastAsia="Arial" w:hAnsi="Arial"/>
                <w:sz w:val="12"/>
                <w:szCs w:val="12"/>
                <w:b w:val="1"/>
                <w:bCs w:val="1"/>
                <w:color w:val="auto"/>
                <w:w w:val="94"/>
              </w:rPr>
              <w:t>Capital</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7"/>
              </w:rPr>
              <w:t>Earnings</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Loss</w:t>
            </w: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Equity</w:t>
            </w:r>
          </w:p>
        </w:tc>
        <w:tc>
          <w:tcPr>
            <w:tcW w:w="10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Interests</w:t>
            </w:r>
          </w:p>
        </w:tc>
        <w:tc>
          <w:tcPr>
            <w:tcW w:w="100" w:type="dxa"/>
            <w:vAlign w:val="bottom"/>
          </w:tcPr>
          <w:p>
            <w:pPr>
              <w:spacing w:after="0"/>
              <w:rPr>
                <w:sz w:val="14"/>
                <w:szCs w:val="14"/>
                <w:color w:val="auto"/>
              </w:rPr>
            </w:pPr>
          </w:p>
        </w:tc>
        <w:tc>
          <w:tcPr>
            <w:tcW w:w="480" w:type="dxa"/>
            <w:vAlign w:val="bottom"/>
          </w:tcPr>
          <w:p>
            <w:pPr>
              <w:jc w:val="center"/>
              <w:ind w:right="30"/>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89"/>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2019</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92,342</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78"/>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2,061</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2,743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153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2,896</w:t>
            </w:r>
          </w:p>
        </w:tc>
        <w:tc>
          <w:tcPr>
            <w:tcW w:w="0" w:type="dxa"/>
            <w:vAlign w:val="bottom"/>
          </w:tcPr>
          <w:p>
            <w:pPr>
              <w:spacing w:after="0"/>
              <w:rPr>
                <w:sz w:val="1"/>
                <w:szCs w:val="1"/>
                <w:color w:val="auto"/>
              </w:rPr>
            </w:pPr>
          </w:p>
        </w:tc>
      </w:tr>
      <w:tr>
        <w:trPr>
          <w:trHeight w:val="179"/>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32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Exercise and vesting of stock compensation awards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417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gridSpan w:val="4"/>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7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Tax withholdings related to vesting of stock compensation</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320" w:type="dxa"/>
            <w:vAlign w:val="bottom"/>
            <w:gridSpan w:val="4"/>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9"/>
        </w:trPr>
        <w:tc>
          <w:tcPr>
            <w:tcW w:w="37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awards</w:t>
            </w:r>
          </w:p>
        </w:tc>
        <w:tc>
          <w:tcPr>
            <w:tcW w:w="6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40" w:type="dxa"/>
            <w:vAlign w:val="bottom"/>
            <w:gridSpan w:val="4"/>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Retirement of common stock</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(1,715)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gridSpan w:val="4"/>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9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 declared</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32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20" w:type="dxa"/>
            <w:vAlign w:val="bottom"/>
            <w:gridSpan w:val="4"/>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Adoption of new accounting standard and other</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32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37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March 31, 2020</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w:t>
            </w:r>
          </w:p>
        </w:tc>
        <w:tc>
          <w:tcPr>
            <w:tcW w:w="10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91,044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gridSpan w:val="2"/>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1,943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804</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(210)</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2,578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150</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2,728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XPO Logistics,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Description of Business and Basis of Presentation</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XPO Logistics, Inc., together with its subsidiaries (“XPO” or “we”), provides cutting-edge supply chain solutions to the most successful companies in the world. We use our integrated network of people, technology and physical assets to help customers manage their goods most efficiently throughout their supply chains. Our customers are multinational, national, mid-size and small enterprises. We run our business on a global basis, with two reportable segments: Transportation and Logistics. See Note 3—Segment Reporting for additional information on our operations.</w:t>
      </w:r>
    </w:p>
    <w:p>
      <w:pPr>
        <w:spacing w:after="0" w:line="6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December 2020, we announced that our Board of Directors unanimously approved a plan to pursue a spin-off of 100% of our Logistics segment as a separate publicly traded company. The spin-off, which we intend to qualify as a transaction that is generally tax-free for U.S. federal income tax purposes to XPO shareholders, would result in XPO shareholders owning stock in both companies.</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completed, the spin-off will result in separate public companies with clearly delineated service offerings. XPO will be a global provider of primarily less-than-truckload (“LTL”) transportation and truck brokerage services, and GXO Logistics, Inc. (“GXO”), the planned spin-off, will be a global provider of contract logistics services. Both companies’ stocks are expected to trade on the New York Stock Exchange, and we plan to consider a dual listing on the London Stock Exchange for GXO in due course.</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transaction is currently expected to be completed in the second half of 2021, subject to various conditions, including the approval of XPO’s board of directors. There can be no assurance that the spin-off will occur or, if it does occur, of its terms or timing.</w:t>
      </w:r>
    </w:p>
    <w:p>
      <w:pPr>
        <w:spacing w:after="0" w:line="6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prepared our Condensed Consolidated Financial Statements in accordance with U.S. generally accepted accounting principles (“GAAP”) and on the same basis as the accounting policies described in our annual report on Form 10-K for the year ended December 31, 2020 (the “2020 Form 10-K”). The interim reporting requirements of Form 10-Q allow certain information and note disclosures normally included in annual consolidated financial statements to be condensed or omitted. These Condensed Consolidated Financial Statements should be read in conjunction with the 2020 Form 10-K.</w:t>
      </w:r>
    </w:p>
    <w:p>
      <w:pPr>
        <w:spacing w:after="0" w:line="4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Condensed Consolidated Financial Statements are not audited but reflect all adjustments that are of a normal recurring nature and are necessary for a fair presentation of financial condition, operating results and cash flows for the interim periods presented. Operating results for the three months ended March 31, 2021 are not necessarily indicative of the results that may be expected for the year ending December 31, 2021.</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March 31, 2021 and December 31, 2020, our restricted cash included in Other long-term assets on our Condensed Consolidated Balance Sheets was $11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11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We sell certain of our trade accounts receivable on a non-recourse basis to third-party financial institutions under factoring agreements. We account for these transactions as sales of receivables and present cash proceeds as cash provided by operating activities in the Condensed Consolidated Statements of Cash Flows. We also sell trade accounts receivable under a securitization program described below. We use trade receivables securitization and factoring programs to help manage our cash flows and offset the impact of extended payment terms for some of our customers.</w:t>
      </w:r>
    </w:p>
    <w:p>
      <w:pPr>
        <w:spacing w:after="0" w:line="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XPO Logistics Europe SA (“XPO Logistics Europe”), one of our majority-owned subsidiaries, participates in a trade receivables securitization program co-arranged by three European banks (the “Purchasers”). Under the program, a wholly-owned bankruptcy-remote special purpose entity of XPO Logistics Europe sells trade receivables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originate with wholly-owned subsidiaries of XPO Logistics Europe in the United Kingdom and France to unaffiliated entities managed by the Purchasers.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special purpose entity is a variable interest entity and is consolidated by XPO based on our control of the entity’s activities.</w:t>
      </w:r>
    </w:p>
    <w:p>
      <w:pPr>
        <w:spacing w:after="0" w:line="10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Condensed Consolidated Balance Sheets at the date of transfer. In the securitization and factoring arrangements, our continuing involvement is limited to servicing the receivables. The fair value of any servicing assets and liabilities is immaterial. Our trade receivables securitization program permits us to borrow, on an unsecured basis, cash collected in a servicing capacity on previously sold receivables, which we report within short-term debt on our Condensed Consolidated Balance Sheets. We had no such borrowings outstanding as of March 31, 2021 and had borrowings of €41 million ($50 million) as of December 31, 2020. See Note 7—Debt for additional information on these borrowings.</w:t>
      </w:r>
    </w:p>
    <w:p>
      <w:pPr>
        <w:spacing w:after="0" w:line="6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maximum amount of net cash proceeds available at any one time under the securitization program, inclusive of any unsecured borrowings, is €400 million (approximately $469 million as of March 31, 2021). As of March 31, 2021, €82 million (approximately $96 million) was available to us, subject to having sufficient receivables available to sell to the Purchasers. The weighted average interest rate was 0.58% as of March 31, 2021. Charges for commitment fees, which are based on a percentage of available amounts, and charges for administrative fees were not material to our results of operations for the three months ended March 31, 2021 and 2020.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180" w:type="dxa"/>
            <w:vAlign w:val="bottom"/>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4"/>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Securitization programs</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r>
      <w:tr>
        <w:trPr>
          <w:trHeight w:val="230"/>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Receivables sold in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229"/>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consideration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70"/>
        </w:trPr>
        <w:tc>
          <w:tcPr>
            <w:tcW w:w="7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0"/>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Factoring programs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Receivables sold in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30"/>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consideration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6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62" w:lineRule="exact"/>
        <w:rPr>
          <w:rFonts w:ascii="Arial" w:cs="Arial" w:eastAsia="Arial" w:hAnsi="Arial"/>
          <w:sz w:val="18"/>
          <w:szCs w:val="18"/>
          <w:color w:val="auto"/>
        </w:rPr>
      </w:pPr>
    </w:p>
    <w:p>
      <w:pPr>
        <w:ind w:left="660" w:right="8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generally utilizing pricing models or other valuation techniques that reflect management’s judgment and estimates.</w:t>
      </w:r>
    </w:p>
    <w:p>
      <w:pPr>
        <w:spacing w:after="0" w:line="6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base our fair value estimates on market assumptions and available information. The carrying values of cash and cash equivalents, accounts receivable, accounts payable, accrued expenses and current maturities of long-term debt approximated their fair values as of March 31, 2021 and December 31, 2020 due to their short-term nature and/or being receivable or payable on demand. The Level 1 cash equivalents include money market funds valued using quoted prices in active markets. For information on the fair value hierarchy of our derivative instruments, see Note 6—Derivative Instruments and for information on financial liabilities, see Note 7—Debt.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of cash equivalents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Carrying Value</w:t>
            </w:r>
          </w:p>
        </w:tc>
        <w:tc>
          <w:tcPr>
            <w:tcW w:w="26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6"/>
                <w:szCs w:val="16"/>
                <w:color w:val="auto"/>
              </w:rPr>
            </w:pPr>
          </w:p>
        </w:tc>
        <w:tc>
          <w:tcPr>
            <w:tcW w:w="1140" w:type="dxa"/>
            <w:vAlign w:val="bottom"/>
          </w:tcPr>
          <w:p>
            <w:pPr>
              <w:jc w:val="right"/>
              <w:ind w:right="416"/>
              <w:spacing w:after="0"/>
              <w:rPr>
                <w:sz w:val="20"/>
                <w:szCs w:val="20"/>
                <w:color w:val="auto"/>
              </w:rPr>
            </w:pPr>
            <w:r>
              <w:rPr>
                <w:rFonts w:ascii="Arial" w:cs="Arial" w:eastAsia="Arial" w:hAnsi="Arial"/>
                <w:sz w:val="14"/>
                <w:szCs w:val="14"/>
                <w:b w:val="1"/>
                <w:bCs w:val="1"/>
                <w:color w:val="auto"/>
              </w:rPr>
              <w:t>Level 1</w:t>
            </w:r>
          </w:p>
        </w:tc>
      </w:tr>
      <w:tr>
        <w:trPr>
          <w:trHeight w:val="229"/>
        </w:trPr>
        <w:tc>
          <w:tcPr>
            <w:tcW w:w="6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30"/>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December 31, 2020</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1,738</w:t>
            </w:r>
          </w:p>
        </w:tc>
      </w:tr>
    </w:tbl>
    <w:p>
      <w:pPr>
        <w:spacing w:after="0" w:line="93"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The decrease in cash equivalents from December 31, 2020 was primarily due to the redemption of our senior notes due 2022 and the repayment of borrowings under our revolving loan credit agreement (the “ABL Facility”). For further information, See Note 7—Debt for further information.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December 2019, the Financial Accounting Standards Board (“FASB”) issued Accounting Standards Update (“ASU”) 2019-12, “Income Taxes (Topic 740): Simplifying the Accounting for Income Taxes.” The ASU is intended to simplify the accounting for income taxes by removing certain exceptions to the general principles in Topic 740. The ASU also clarifies and amends existing guidance to enhance consistency and comparability among reporting entities. We adopted this standard on January 1, 2021 on a prospective basis. The adoption did not have a material effect on our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 Issued but Not Yet Effective</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March 2020, the FASB issued ASU 2020-04, “Reference rate reform (Topic 848)—Facilitation of the effects of reference rate reform on financial reporting.” The ASU provides optional expedients and exceptions for applying GAAP to contracts, hedging relationships and other transactions affected by reference rate reform. The amendments apply only to contracts and hedging relationships that reference London Interbank Offered Rate (“LIBOR”) or another reference rate expected to be discontinued due to reference rate reform. The amendments are elective and are effective upon issuance through December 31, 2022. We are currently evaluating the impact of the new guidance.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January 2021, our XPO Logistics Europe subsidiary acquired the majority of Kuehne + Nagel’s contract logistics operations in the United Kingdom and Ireland, which generated annual revenues in 2020 of approximately £450 million ($585 million). The operations, which provide a range of logistics services, including inbound and outbound distribution, reverse logistics management and inventory management, are included in our Logistics segment from the acquisition date. Pro forma results of operations for this acquisition have not been presented as it is not material to the condensed consolidated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Reporting</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are organized into two reportable segments: Transportation and Logistics. We evaluate our performance in large part based on the various financial measures of our two reporting segments.</w:t>
      </w:r>
    </w:p>
    <w:p>
      <w:pPr>
        <w:spacing w:after="0" w:line="6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our Transportation segment, we provide multiple services to facilitate the movement of raw materials, parts and finished goods. We accomplish this by using our proprietary technology, third-party independent carriers and our transportation assets and service centers. Our transportation services include LTL, truck brokerage services and other transportation services.</w:t>
      </w:r>
    </w:p>
    <w:p>
      <w:pPr>
        <w:spacing w:after="0" w:line="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our Logistics segment, which we sometimes refer to as supply chain, we provide a wide range of services differentiated by our proprietary technology and our ability to customize solutions for individual customers. Our services include value-added warehousing and distribution, e-commerce and omnichannel fulfillment, cold-chain logistics, packaging and labeling, factory support, aftermarket support, inventory management, order personalization and supply chain optimization, such as product flow management. In addition, our Logistics segment provides reverse logistics, which is also called returns management.</w:t>
      </w:r>
    </w:p>
    <w:p>
      <w:pPr>
        <w:spacing w:after="0" w:line="8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Some of our operating units provide services to our other operating units outside of their reportable segment. Billings for such services are based on negotiated rates and are reflected as revenues of the billing segment.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adjust these rates from time to time based on market conditions. We eliminate intersegment revenues and expenses in our consolidated results.</w:t>
      </w:r>
    </w:p>
    <w:p>
      <w:pPr>
        <w:spacing w:after="0" w:line="1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Corporate includes corporate headquarters costs for executive officers and certain legal and financial functions, and other costs and credits not attributed to our reporting segments.</w:t>
      </w:r>
    </w:p>
    <w:p>
      <w:pPr>
        <w:spacing w:after="0" w:line="6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chief operating decision maker (“CODM”) regularly reviews financial information at the operating segment level to allocate resources to the segments and to assess their performance. We include items directly attributable to a segment, and those that can be allocated on a reasonable basis, in segment results reported to the CODM. We do not provide asset information by segment to the CODM.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for our segments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Logistics</w:t>
            </w: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Eliminations/Other</w:t>
            </w:r>
          </w:p>
        </w:tc>
        <w:tc>
          <w:tcPr>
            <w:tcW w:w="260" w:type="dxa"/>
            <w:vAlign w:val="bottom"/>
          </w:tcPr>
          <w:p>
            <w:pPr>
              <w:spacing w:after="0"/>
              <w:rPr>
                <w:sz w:val="16"/>
                <w:szCs w:val="16"/>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229"/>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r>
      <w:tr>
        <w:trPr>
          <w:trHeight w:val="229"/>
        </w:trPr>
        <w:tc>
          <w:tcPr>
            <w:tcW w:w="4400" w:type="dxa"/>
            <w:vAlign w:val="bottom"/>
            <w:gridSpan w:val="2"/>
          </w:tcPr>
          <w:p>
            <w:pPr>
              <w:ind w:left="14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2,989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1,818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center"/>
              <w:ind w:left="290"/>
              <w:spacing w:after="0"/>
              <w:rPr>
                <w:sz w:val="20"/>
                <w:szCs w:val="20"/>
                <w:color w:val="auto"/>
              </w:rPr>
            </w:pPr>
            <w:r>
              <w:rPr>
                <w:rFonts w:ascii="Arial" w:cs="Arial" w:eastAsia="Arial" w:hAnsi="Arial"/>
                <w:sz w:val="18"/>
                <w:szCs w:val="18"/>
                <w:color w:val="auto"/>
                <w:w w:val="93"/>
              </w:rPr>
              <w:t>(33)</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4,774</w:t>
            </w:r>
          </w:p>
        </w:tc>
      </w:tr>
      <w:tr>
        <w:trPr>
          <w:trHeight w:val="230"/>
        </w:trPr>
        <w:tc>
          <w:tcPr>
            <w:tcW w:w="440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440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70"/>
        </w:trPr>
        <w:tc>
          <w:tcPr>
            <w:tcW w:w="4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29"/>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Three months ended March 31, 2020</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3"/>
              </w:rPr>
              <w:t>(32)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w:t>
            </w:r>
          </w:p>
        </w:tc>
      </w:tr>
      <w:tr>
        <w:trPr>
          <w:trHeight w:val="229"/>
        </w:trPr>
        <w:tc>
          <w:tcPr>
            <w:tcW w:w="440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4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bl>
    <w:p>
      <w:pPr>
        <w:spacing w:after="0" w:line="89" w:lineRule="exact"/>
        <w:rPr>
          <w:sz w:val="20"/>
          <w:szCs w:val="20"/>
          <w:color w:val="auto"/>
        </w:rPr>
      </w:pPr>
    </w:p>
    <w:p>
      <w:pPr>
        <w:ind w:left="500" w:right="40" w:hanging="330"/>
        <w:spacing w:after="0" w:line="273" w:lineRule="auto"/>
        <w:tabs>
          <w:tab w:leader="none" w:pos="492" w:val="left"/>
        </w:tabs>
        <w:numPr>
          <w:ilvl w:val="0"/>
          <w:numId w:val="4"/>
        </w:numPr>
        <w:rPr>
          <w:rFonts w:ascii="Arial" w:cs="Arial" w:eastAsia="Arial" w:hAnsi="Arial"/>
          <w:sz w:val="14"/>
          <w:szCs w:val="14"/>
          <w:color w:val="auto"/>
        </w:rPr>
      </w:pPr>
      <w:r>
        <w:rPr>
          <w:rFonts w:ascii="Arial" w:cs="Arial" w:eastAsia="Arial" w:hAnsi="Arial"/>
          <w:sz w:val="14"/>
          <w:szCs w:val="14"/>
          <w:color w:val="auto"/>
        </w:rPr>
        <w:t>Consolidated operating income for the three months ended March 31, 2021 includes $18 million of transaction and integration costs and $4 million of restructuring expense. $1 million of the transaction and integration costs relate to our Transportation segment, $5 million relate to our Logistics segment and $12 million relate to Corporate.</w:t>
      </w:r>
    </w:p>
    <w:p>
      <w:pPr>
        <w:spacing w:after="0" w:line="65" w:lineRule="exact"/>
        <w:rPr>
          <w:rFonts w:ascii="Arial" w:cs="Arial" w:eastAsia="Arial" w:hAnsi="Arial"/>
          <w:sz w:val="14"/>
          <w:szCs w:val="14"/>
          <w:color w:val="auto"/>
        </w:rPr>
      </w:pPr>
    </w:p>
    <w:p>
      <w:pPr>
        <w:ind w:left="500" w:right="40" w:hanging="330"/>
        <w:spacing w:after="0" w:line="273" w:lineRule="auto"/>
        <w:tabs>
          <w:tab w:leader="none" w:pos="492" w:val="left"/>
        </w:tabs>
        <w:numPr>
          <w:ilvl w:val="0"/>
          <w:numId w:val="4"/>
        </w:numPr>
        <w:rPr>
          <w:rFonts w:ascii="Arial" w:cs="Arial" w:eastAsia="Arial" w:hAnsi="Arial"/>
          <w:sz w:val="14"/>
          <w:szCs w:val="14"/>
          <w:color w:val="auto"/>
        </w:rPr>
      </w:pPr>
      <w:r>
        <w:rPr>
          <w:rFonts w:ascii="Arial" w:cs="Arial" w:eastAsia="Arial" w:hAnsi="Arial"/>
          <w:sz w:val="14"/>
          <w:szCs w:val="14"/>
          <w:color w:val="auto"/>
        </w:rPr>
        <w:t>Consolidated operating income for the three months ended March 31, 2020 includes $44 million of transaction and integration costs and $3 million of restructuring expense. $7 million of the transaction and integration costs relate to our Transportation segment, $7 million relate to our Logistics segment and $30 million relate to Corporate.</w:t>
      </w:r>
    </w:p>
    <w:p>
      <w:pPr>
        <w:spacing w:after="0" w:line="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transaction and integration costs for the first three months of 2021 are primarily related to the planned spin-off of the Logistics segment and our acquisition of the Kuehne + Nagel business. The transaction and integration costs for the first three months of 2020 are primarily related to our previously announced exploration of strategic alternatives that was terminated in March 2020. For further information on our restructuring actions, see Note 5— Restructuring Charges. We also incurred in the first three months of 2021 and 2020, net incremental and direct costs as a result of the COVID-19 pandemic, including costs for personal protective equipment, site cleanings and enhanced employee benefits, such as appreciation pay.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disaggregate our revenue by geographic area and service offering. Our revenue disaggregated by geographical area, based on sales office location,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w w:val="95"/>
              </w:rPr>
              <w:t>Three Months Ended March 31, 2021</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5"/>
                <w:szCs w:val="15"/>
                <w:b w:val="1"/>
                <w:bCs w:val="1"/>
                <w:color w:val="auto"/>
              </w:rPr>
              <w:t>Transportation</w:t>
            </w:r>
          </w:p>
        </w:tc>
        <w:tc>
          <w:tcPr>
            <w:tcW w:w="180" w:type="dxa"/>
            <w:vAlign w:val="bottom"/>
          </w:tcPr>
          <w:p>
            <w:pPr>
              <w:spacing w:after="0"/>
              <w:rPr>
                <w:sz w:val="17"/>
                <w:szCs w:val="17"/>
                <w:color w:val="auto"/>
              </w:rPr>
            </w:pPr>
          </w:p>
        </w:tc>
        <w:tc>
          <w:tcPr>
            <w:tcW w:w="1360" w:type="dxa"/>
            <w:vAlign w:val="bottom"/>
            <w:gridSpan w:val="4"/>
          </w:tcPr>
          <w:p>
            <w:pPr>
              <w:ind w:left="260"/>
              <w:spacing w:after="0"/>
              <w:rPr>
                <w:sz w:val="20"/>
                <w:szCs w:val="20"/>
                <w:color w:val="auto"/>
              </w:rPr>
            </w:pPr>
            <w:r>
              <w:rPr>
                <w:rFonts w:ascii="Arial" w:cs="Arial" w:eastAsia="Arial" w:hAnsi="Arial"/>
                <w:sz w:val="15"/>
                <w:szCs w:val="15"/>
                <w:b w:val="1"/>
                <w:bCs w:val="1"/>
                <w:color w:val="auto"/>
              </w:rPr>
              <w:t>Logistics</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Eliminations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52"/>
              <w:spacing w:after="0"/>
              <w:rPr>
                <w:sz w:val="20"/>
                <w:szCs w:val="20"/>
                <w:color w:val="auto"/>
              </w:rPr>
            </w:pPr>
            <w:r>
              <w:rPr>
                <w:rFonts w:ascii="Arial" w:cs="Arial" w:eastAsia="Arial" w:hAnsi="Arial"/>
                <w:sz w:val="15"/>
                <w:szCs w:val="15"/>
                <w:b w:val="1"/>
                <w:bCs w:val="1"/>
                <w:color w:val="auto"/>
              </w:rPr>
              <w:t>Total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gridSpan w:val="2"/>
          </w:tcPr>
          <w:p>
            <w:pPr>
              <w:ind w:left="18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2,118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w w:val="90"/>
              </w:rPr>
              <w:t>(9)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North America (excluding United States)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gridSpan w:val="4"/>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gridSpan w:val="2"/>
          </w:tcPr>
          <w:p>
            <w:pPr>
              <w:ind w:left="180"/>
              <w:spacing w:after="0"/>
              <w:rPr>
                <w:sz w:val="20"/>
                <w:szCs w:val="20"/>
                <w:color w:val="auto"/>
              </w:rPr>
            </w:pPr>
            <w:r>
              <w:rPr>
                <w:rFonts w:ascii="Arial" w:cs="Arial" w:eastAsia="Arial" w:hAnsi="Arial"/>
                <w:sz w:val="18"/>
                <w:szCs w:val="18"/>
                <w:color w:val="auto"/>
              </w:rPr>
              <w:t>France</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w w:val="90"/>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United Kingdom</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gridSpan w:val="2"/>
          </w:tcPr>
          <w:p>
            <w:pPr>
              <w:ind w:left="180"/>
              <w:spacing w:after="0"/>
              <w:rPr>
                <w:sz w:val="20"/>
                <w:szCs w:val="20"/>
                <w:color w:val="auto"/>
              </w:rPr>
            </w:pPr>
            <w:r>
              <w:rPr>
                <w:rFonts w:ascii="Arial" w:cs="Arial" w:eastAsia="Arial" w:hAnsi="Arial"/>
                <w:sz w:val="18"/>
                <w:szCs w:val="18"/>
                <w:color w:val="auto"/>
              </w:rPr>
              <w:t>Europe (excluding France and United Kingdom)</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w w:val="90"/>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w w:val="95"/>
              </w:rPr>
              <w:t>Three Months Ended March 31, 2020</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5"/>
                <w:szCs w:val="15"/>
                <w:b w:val="1"/>
                <w:bCs w:val="1"/>
                <w:color w:val="auto"/>
              </w:rPr>
              <w:t>Transportation</w:t>
            </w:r>
          </w:p>
        </w:tc>
        <w:tc>
          <w:tcPr>
            <w:tcW w:w="180" w:type="dxa"/>
            <w:vAlign w:val="bottom"/>
          </w:tcPr>
          <w:p>
            <w:pPr>
              <w:spacing w:after="0"/>
              <w:rPr>
                <w:sz w:val="17"/>
                <w:szCs w:val="17"/>
                <w:color w:val="auto"/>
              </w:rPr>
            </w:pPr>
          </w:p>
        </w:tc>
        <w:tc>
          <w:tcPr>
            <w:tcW w:w="1360" w:type="dxa"/>
            <w:vAlign w:val="bottom"/>
            <w:gridSpan w:val="4"/>
          </w:tcPr>
          <w:p>
            <w:pPr>
              <w:ind w:left="260"/>
              <w:spacing w:after="0"/>
              <w:rPr>
                <w:sz w:val="20"/>
                <w:szCs w:val="20"/>
                <w:color w:val="auto"/>
              </w:rPr>
            </w:pPr>
            <w:r>
              <w:rPr>
                <w:rFonts w:ascii="Arial" w:cs="Arial" w:eastAsia="Arial" w:hAnsi="Arial"/>
                <w:sz w:val="15"/>
                <w:szCs w:val="15"/>
                <w:b w:val="1"/>
                <w:bCs w:val="1"/>
                <w:color w:val="auto"/>
              </w:rPr>
              <w:t>Logistics</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Eliminations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52"/>
              <w:spacing w:after="0"/>
              <w:rPr>
                <w:sz w:val="20"/>
                <w:szCs w:val="20"/>
                <w:color w:val="auto"/>
              </w:rPr>
            </w:pPr>
            <w:r>
              <w:rPr>
                <w:rFonts w:ascii="Arial" w:cs="Arial" w:eastAsia="Arial" w:hAnsi="Arial"/>
                <w:sz w:val="15"/>
                <w:szCs w:val="15"/>
                <w:b w:val="1"/>
                <w:bCs w:val="1"/>
                <w:color w:val="auto"/>
              </w:rPr>
              <w:t>Total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gridSpan w:val="2"/>
          </w:tcPr>
          <w:p>
            <w:pPr>
              <w:ind w:left="18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1,702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w w:val="90"/>
              </w:rPr>
              <w:t>(9)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North America (excluding United States)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gridSpan w:val="4"/>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gridSpan w:val="2"/>
          </w:tcPr>
          <w:p>
            <w:pPr>
              <w:ind w:left="180"/>
              <w:spacing w:after="0"/>
              <w:rPr>
                <w:sz w:val="20"/>
                <w:szCs w:val="20"/>
                <w:color w:val="auto"/>
              </w:rPr>
            </w:pPr>
            <w:r>
              <w:rPr>
                <w:rFonts w:ascii="Arial" w:cs="Arial" w:eastAsia="Arial" w:hAnsi="Arial"/>
                <w:sz w:val="18"/>
                <w:szCs w:val="18"/>
                <w:color w:val="auto"/>
              </w:rPr>
              <w:t>France</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w w:val="90"/>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United Kingdom</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gridSpan w:val="2"/>
          </w:tcPr>
          <w:p>
            <w:pPr>
              <w:ind w:left="180"/>
              <w:spacing w:after="0"/>
              <w:rPr>
                <w:sz w:val="20"/>
                <w:szCs w:val="20"/>
                <w:color w:val="auto"/>
              </w:rPr>
            </w:pPr>
            <w:r>
              <w:rPr>
                <w:rFonts w:ascii="Arial" w:cs="Arial" w:eastAsia="Arial" w:hAnsi="Arial"/>
                <w:sz w:val="18"/>
                <w:szCs w:val="18"/>
                <w:color w:val="auto"/>
              </w:rPr>
              <w:t>Europe (excluding France and United Kingdom)</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w w:val="90"/>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080" w:type="dxa"/>
            <w:vAlign w:val="bottom"/>
            <w:gridSpan w:val="3"/>
            <w:vMerge w:val="restart"/>
          </w:tcPr>
          <w:p>
            <w:pPr>
              <w:spacing w:after="0"/>
              <w:rPr>
                <w:sz w:val="20"/>
                <w:szCs w:val="20"/>
                <w:color w:val="auto"/>
              </w:rPr>
            </w:pPr>
            <w:r>
              <w:rPr>
                <w:rFonts w:ascii="Arial" w:cs="Arial" w:eastAsia="Arial" w:hAnsi="Arial"/>
                <w:sz w:val="18"/>
                <w:szCs w:val="18"/>
                <w:color w:val="auto"/>
              </w:rPr>
              <w:t>Our revenue disaggregated by service offering was as follows:</w:t>
            </w: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50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jc w:val="center"/>
              <w:ind w:right="492"/>
              <w:spacing w:after="0"/>
              <w:rPr>
                <w:sz w:val="20"/>
                <w:szCs w:val="20"/>
                <w:color w:val="auto"/>
              </w:rPr>
            </w:pPr>
            <w:r>
              <w:rPr>
                <w:rFonts w:ascii="Arial" w:cs="Arial" w:eastAsia="Arial" w:hAnsi="Arial"/>
                <w:sz w:val="14"/>
                <w:szCs w:val="14"/>
                <w:b w:val="1"/>
                <w:bCs w:val="1"/>
                <w:color w:val="auto"/>
                <w:w w:val="95"/>
              </w:rPr>
              <w:t>Three Months Ended March 31,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 segment: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LTL</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1,221</w:t>
            </w:r>
          </w:p>
        </w:tc>
        <w:tc>
          <w:tcPr>
            <w:tcW w:w="3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Freight brokerage and truckload</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gridSpan w:val="2"/>
          </w:tcPr>
          <w:p>
            <w:pPr>
              <w:ind w:left="340"/>
              <w:spacing w:after="0" w:line="230" w:lineRule="exact"/>
              <w:rPr>
                <w:sz w:val="20"/>
                <w:szCs w:val="20"/>
                <w:color w:val="auto"/>
              </w:rPr>
            </w:pPr>
            <w:r>
              <w:rPr>
                <w:rFonts w:ascii="Arial" w:cs="Arial" w:eastAsia="Arial" w:hAnsi="Arial"/>
                <w:sz w:val="18"/>
                <w:szCs w:val="18"/>
                <w:color w:val="auto"/>
              </w:rPr>
              <w:t xml:space="preserve">Last mile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Managed transportation</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Global forwarding</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Transportation eliminations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Total Transportation segment revenue</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Logistics segment revenue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Intersegment eliminations</w:t>
            </w:r>
          </w:p>
        </w:tc>
        <w:tc>
          <w:tcPr>
            <w:tcW w:w="1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Comprised of our North American last mile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Remaining performance obligations represent firm contracts for which services have not been performed and future revenue recognition is expected. As permitted in determining the remaining performance obligation, we omit obligations that: (i) have original expected durations of one year or less or (ii) contain variable consideration. On March 31, 2021, the fixed consideration component of our remaining performance obligation was approximately $2.1 billion, and we expect to recognize approximately 66% of that amount over the next three years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remainder thereafter. The remaining performance obligation at March 31, 2021 includes contracts related to the Kuehne + Nagel acquisition. The majority of the remaining performance obligation relates to our Logistics reportable segment. We estimate remaining performance obligations at a point in time and actual amounts may differ from these estimates due to changes in foreign currency exchange rates and contract revisions or terminations.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 Charges</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engage in restructuring actions as part of our ongoing efforts to best use our resources and infrastructure. These actions generally include severance and facility-related costs, including impairment of right-of-use assets, and are intended to improve our efficiency and profitability.</w:t>
      </w:r>
    </w:p>
    <w:p>
      <w:pPr>
        <w:spacing w:after="0" w:line="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recorded restructuring charges of $4 million and $3 million in Sales, general and administrative expense on our Condensed Consolidated Statements of Income for the first three months of 2021 and 2020,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restructuring-related activity was as follows: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00" w:type="dxa"/>
            <w:vAlign w:val="bottom"/>
            <w:gridSpan w:val="8"/>
          </w:tcPr>
          <w:p>
            <w:pPr>
              <w:ind w:left="1000"/>
              <w:spacing w:after="0"/>
              <w:rPr>
                <w:sz w:val="20"/>
                <w:szCs w:val="20"/>
                <w:color w:val="auto"/>
              </w:rPr>
            </w:pPr>
            <w:r>
              <w:rPr>
                <w:rFonts w:ascii="Arial" w:cs="Arial" w:eastAsia="Arial" w:hAnsi="Arial"/>
                <w:sz w:val="14"/>
                <w:szCs w:val="14"/>
                <w:b w:val="1"/>
                <w:bCs w:val="1"/>
                <w:color w:val="auto"/>
              </w:rPr>
              <w:t>Three Months Ended March 31, 2021</w:t>
            </w:r>
          </w:p>
        </w:tc>
        <w:tc>
          <w:tcPr>
            <w:tcW w:w="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6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6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Reserve Balance as of</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Charges Incurred</w:t>
            </w: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4"/>
                <w:szCs w:val="14"/>
                <w:b w:val="1"/>
                <w:bCs w:val="1"/>
                <w:color w:val="auto"/>
              </w:rPr>
              <w:t>Payments</w:t>
            </w:r>
          </w:p>
        </w:tc>
        <w:tc>
          <w:tcPr>
            <w:tcW w:w="1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ind w:left="20"/>
              <w:spacing w:after="0" w:line="135" w:lineRule="exact"/>
              <w:rPr>
                <w:sz w:val="20"/>
                <w:szCs w:val="20"/>
                <w:color w:val="auto"/>
              </w:rPr>
            </w:pPr>
            <w:r>
              <w:rPr>
                <w:rFonts w:ascii="Arial" w:cs="Arial" w:eastAsia="Arial" w:hAnsi="Arial"/>
                <w:sz w:val="14"/>
                <w:szCs w:val="14"/>
                <w:b w:val="1"/>
                <w:bCs w:val="1"/>
                <w:color w:val="auto"/>
                <w:w w:val="98"/>
              </w:rPr>
              <w:t>Foreign Exchange and</w:t>
            </w:r>
          </w:p>
        </w:tc>
        <w:tc>
          <w:tcPr>
            <w:tcW w:w="100" w:type="dxa"/>
            <w:vAlign w:val="bottom"/>
          </w:tcPr>
          <w:p>
            <w:pPr>
              <w:spacing w:after="0"/>
              <w:rPr>
                <w:sz w:val="11"/>
                <w:szCs w:val="11"/>
                <w:color w:val="auto"/>
              </w:rPr>
            </w:pPr>
          </w:p>
        </w:tc>
        <w:tc>
          <w:tcPr>
            <w:tcW w:w="192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4"/>
              </w:rPr>
              <w:t>Reserve Balance as of March</w:t>
            </w:r>
          </w:p>
        </w:tc>
        <w:tc>
          <w:tcPr>
            <w:tcW w:w="0" w:type="dxa"/>
            <w:vAlign w:val="bottom"/>
          </w:tcPr>
          <w:p>
            <w:pPr>
              <w:spacing w:after="0"/>
              <w:rPr>
                <w:sz w:val="1"/>
                <w:szCs w:val="1"/>
                <w:color w:val="auto"/>
              </w:rPr>
            </w:pPr>
          </w:p>
        </w:tc>
      </w:tr>
      <w:tr>
        <w:trPr>
          <w:trHeight w:val="188"/>
        </w:trPr>
        <w:tc>
          <w:tcPr>
            <w:tcW w:w="2640" w:type="dxa"/>
            <w:vAlign w:val="bottom"/>
            <w:gridSpan w:val="2"/>
            <w:vMerge w:val="continue"/>
          </w:tcPr>
          <w:p>
            <w:pPr>
              <w:spacing w:after="0"/>
              <w:rPr>
                <w:sz w:val="16"/>
                <w:szCs w:val="16"/>
                <w:color w:val="auto"/>
              </w:rPr>
            </w:pPr>
          </w:p>
        </w:tc>
        <w:tc>
          <w:tcPr>
            <w:tcW w:w="1640" w:type="dxa"/>
            <w:vAlign w:val="bottom"/>
          </w:tcPr>
          <w:p>
            <w:pPr>
              <w:jc w:val="right"/>
              <w:ind w:right="19"/>
              <w:spacing w:after="0"/>
              <w:rPr>
                <w:sz w:val="20"/>
                <w:szCs w:val="20"/>
                <w:color w:val="auto"/>
              </w:rPr>
            </w:pPr>
            <w:r>
              <w:rPr>
                <w:rFonts w:ascii="Arial" w:cs="Arial" w:eastAsia="Arial" w:hAnsi="Arial"/>
                <w:sz w:val="14"/>
                <w:szCs w:val="14"/>
                <w:b w:val="1"/>
                <w:bCs w:val="1"/>
                <w:color w:val="auto"/>
              </w:rPr>
              <w:t>December 31, 2020</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ind w:left="520"/>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16"/>
                <w:szCs w:val="16"/>
                <w:color w:val="auto"/>
              </w:rPr>
            </w:pPr>
          </w:p>
        </w:tc>
        <w:tc>
          <w:tcPr>
            <w:tcW w:w="1500" w:type="dxa"/>
            <w:vAlign w:val="bottom"/>
          </w:tcPr>
          <w:p>
            <w:pPr>
              <w:jc w:val="right"/>
              <w:ind w:right="612"/>
              <w:spacing w:after="0"/>
              <w:rPr>
                <w:sz w:val="20"/>
                <w:szCs w:val="20"/>
                <w:color w:val="auto"/>
              </w:rPr>
            </w:pPr>
            <w:r>
              <w:rPr>
                <w:rFonts w:ascii="Arial" w:cs="Arial" w:eastAsia="Arial" w:hAnsi="Arial"/>
                <w:sz w:val="14"/>
                <w:szCs w:val="14"/>
                <w:b w:val="1"/>
                <w:bCs w:val="1"/>
                <w:color w:val="auto"/>
              </w:rPr>
              <w:t>31, 2021</w:t>
            </w:r>
          </w:p>
        </w:tc>
        <w:tc>
          <w:tcPr>
            <w:tcW w:w="0" w:type="dxa"/>
            <w:vAlign w:val="bottom"/>
          </w:tcPr>
          <w:p>
            <w:pPr>
              <w:spacing w:after="0"/>
              <w:rPr>
                <w:sz w:val="1"/>
                <w:szCs w:val="1"/>
                <w:color w:val="auto"/>
              </w:rPr>
            </w:pPr>
          </w:p>
        </w:tc>
      </w:tr>
      <w:tr>
        <w:trPr>
          <w:trHeight w:val="224"/>
        </w:trPr>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Severance</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gridSpan w:val="2"/>
          </w:tcPr>
          <w:p>
            <w:pPr>
              <w:ind w:left="220"/>
              <w:spacing w:after="0"/>
              <w:rPr>
                <w:sz w:val="20"/>
                <w:szCs w:val="20"/>
                <w:color w:val="auto"/>
              </w:rPr>
            </w:pPr>
            <w:r>
              <w:rPr>
                <w:rFonts w:ascii="Arial" w:cs="Arial" w:eastAsia="Arial" w:hAnsi="Arial"/>
                <w:sz w:val="18"/>
                <w:szCs w:val="18"/>
                <w:color w:val="auto"/>
              </w:rPr>
              <w:t>Transportation</w:t>
            </w:r>
          </w:p>
        </w:tc>
        <w:tc>
          <w:tcPr>
            <w:tcW w:w="1640" w:type="dxa"/>
            <w:vAlign w:val="bottom"/>
          </w:tcPr>
          <w:p>
            <w:pPr>
              <w:jc w:val="right"/>
              <w:ind w:right="1439"/>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860"/>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6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2640" w:type="dxa"/>
            <w:vAlign w:val="bottom"/>
            <w:gridSpan w:val="2"/>
          </w:tcPr>
          <w:p>
            <w:pPr>
              <w:ind w:left="220"/>
              <w:spacing w:after="0"/>
              <w:rPr>
                <w:sz w:val="20"/>
                <w:szCs w:val="20"/>
                <w:color w:val="auto"/>
              </w:rPr>
            </w:pPr>
            <w:r>
              <w:rPr>
                <w:rFonts w:ascii="Arial" w:cs="Arial" w:eastAsia="Arial" w:hAnsi="Arial"/>
                <w:sz w:val="18"/>
                <w:szCs w:val="18"/>
                <w:color w:val="auto"/>
              </w:rPr>
              <w:t>Corporate</w:t>
            </w:r>
          </w:p>
        </w:tc>
        <w:tc>
          <w:tcPr>
            <w:tcW w:w="16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ind w:left="86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severance</w:t>
            </w:r>
          </w:p>
        </w:tc>
        <w:tc>
          <w:tcPr>
            <w:tcW w:w="164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9"/>
              </w:rPr>
              <w:t>(9)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640" w:type="dxa"/>
            <w:vAlign w:val="bottom"/>
            <w:gridSpan w:val="2"/>
          </w:tcPr>
          <w:p>
            <w:pPr>
              <w:ind w:left="20"/>
              <w:spacing w:after="0"/>
              <w:rPr>
                <w:sz w:val="20"/>
                <w:szCs w:val="20"/>
                <w:color w:val="auto"/>
              </w:rPr>
            </w:pPr>
            <w:r>
              <w:rPr>
                <w:rFonts w:ascii="Arial" w:cs="Arial" w:eastAsia="Arial" w:hAnsi="Arial"/>
                <w:sz w:val="18"/>
                <w:szCs w:val="18"/>
                <w:b w:val="1"/>
                <w:bCs w:val="1"/>
                <w:color w:val="auto"/>
              </w:rPr>
              <w:t>Facilities</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Transportation</w:t>
            </w:r>
          </w:p>
        </w:tc>
        <w:tc>
          <w:tcPr>
            <w:tcW w:w="16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 facilities</w:t>
            </w:r>
          </w:p>
        </w:tc>
        <w:tc>
          <w:tcPr>
            <w:tcW w:w="16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40" w:type="dxa"/>
            <w:vAlign w:val="bottom"/>
            <w:tcBorders>
              <w:bottom w:val="single" w:sz="8" w:color="auto"/>
            </w:tcBorders>
            <w:shd w:val="clear" w:color="auto" w:fill="CCEEFF"/>
          </w:tcPr>
          <w:p>
            <w:pPr>
              <w:jc w:val="right"/>
              <w:ind w:right="1439"/>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9"/>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expect the majority of the cash outlays related to the charges incurred in the first quarter of 2021 will be complete within twelve months.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normal course of business, we are exposed to risks arising from business operations and economic factors, including fluctuations in interest rates and foreign currencies. We use derivative instruments to manage the volatility related to these exposures. The objective of these derivative instruments is to reduce fluctuations in our earnings and cash flows associated with changes in foreign currency exchange rates and interest rates. These financial instruments are not used for trading or other speculative purposes. Historically, we have not incurred, and do not expect to incur in the future, any losses as a result of counterparty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derivative instruments and the related notional amounts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March 31, 2021</w:t>
            </w:r>
          </w:p>
        </w:tc>
        <w:tc>
          <w:tcPr>
            <w:tcW w:w="1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w w:val="89"/>
              </w:rPr>
              <w:t>Derivative Assets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w w:val="98"/>
              </w:rPr>
              <w:t>Derivative Liabilities</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9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0"/>
                <w:szCs w:val="10"/>
                <w:color w:val="auto"/>
              </w:rPr>
            </w:pPr>
          </w:p>
        </w:tc>
        <w:tc>
          <w:tcPr>
            <w:tcW w:w="900" w:type="dxa"/>
            <w:vAlign w:val="bottom"/>
            <w:gridSpan w:val="2"/>
          </w:tcPr>
          <w:p>
            <w:pPr>
              <w:ind w:left="60"/>
              <w:spacing w:after="0" w:line="118" w:lineRule="exact"/>
              <w:rPr>
                <w:sz w:val="20"/>
                <w:szCs w:val="20"/>
                <w:color w:val="auto"/>
              </w:rPr>
            </w:pPr>
            <w:r>
              <w:rPr>
                <w:rFonts w:ascii="Arial" w:cs="Arial" w:eastAsia="Arial" w:hAnsi="Arial"/>
                <w:sz w:val="13"/>
                <w:szCs w:val="13"/>
                <w:b w:val="1"/>
                <w:bCs w:val="1"/>
                <w:color w:val="auto"/>
              </w:rPr>
              <w:t>Notional</w:t>
            </w:r>
          </w:p>
        </w:tc>
        <w:tc>
          <w:tcPr>
            <w:tcW w:w="20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0"/>
              </w:rPr>
              <w:t>Balance Sheet Caption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2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Balance Sheet Caption</w:t>
            </w:r>
          </w:p>
        </w:tc>
        <w:tc>
          <w:tcPr>
            <w:tcW w:w="10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3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2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Derivatives designated as hedges</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920" w:type="dxa"/>
            <w:vAlign w:val="bottom"/>
            <w:gridSpan w:val="2"/>
          </w:tcPr>
          <w:p>
            <w:pPr>
              <w:ind w:left="140"/>
              <w:spacing w:after="0"/>
              <w:rPr>
                <w:sz w:val="20"/>
                <w:szCs w:val="20"/>
                <w:color w:val="auto"/>
              </w:rPr>
            </w:pPr>
            <w:r>
              <w:rPr>
                <w:rFonts w:ascii="Arial" w:cs="Arial" w:eastAsia="Arial" w:hAnsi="Arial"/>
                <w:sz w:val="14"/>
                <w:szCs w:val="14"/>
                <w:color w:val="auto"/>
              </w:rPr>
              <w:t>Cross-currency swap agreements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450</w:t>
            </w:r>
          </w:p>
        </w:tc>
        <w:tc>
          <w:tcPr>
            <w:tcW w:w="120" w:type="dxa"/>
            <w:vAlign w:val="bottom"/>
          </w:tcPr>
          <w:p>
            <w:pPr>
              <w:spacing w:after="0"/>
              <w:rPr>
                <w:sz w:val="16"/>
                <w:szCs w:val="16"/>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4"/>
                <w:szCs w:val="14"/>
                <w:color w:val="auto"/>
                <w:w w:val="89"/>
              </w:rPr>
              <w:t>Other current assets</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110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2080" w:type="dxa"/>
            <w:vAlign w:val="bottom"/>
            <w:gridSpan w:val="2"/>
          </w:tcPr>
          <w:p>
            <w:pPr>
              <w:jc w:val="center"/>
              <w:ind w:right="320"/>
              <w:spacing w:after="0"/>
              <w:rPr>
                <w:sz w:val="20"/>
                <w:szCs w:val="20"/>
                <w:color w:val="auto"/>
              </w:rPr>
            </w:pPr>
            <w:r>
              <w:rPr>
                <w:rFonts w:ascii="Arial" w:cs="Arial" w:eastAsia="Arial" w:hAnsi="Arial"/>
                <w:sz w:val="14"/>
                <w:szCs w:val="14"/>
                <w:color w:val="auto"/>
                <w:w w:val="97"/>
              </w:rPr>
              <w:t>Other current liabilities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2"/>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Cross-currency swap agreements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12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1"/>
              </w:rPr>
              <w:t>Other long-term assets</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208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color w:val="auto"/>
                <w:w w:val="98"/>
              </w:rPr>
              <w:t>Other long-term liabilities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6"/>
        </w:trPr>
        <w:tc>
          <w:tcPr>
            <w:tcW w:w="3920" w:type="dxa"/>
            <w:vAlign w:val="bottom"/>
            <w:gridSpan w:val="2"/>
          </w:tcPr>
          <w:p>
            <w:pPr>
              <w:ind w:left="140"/>
              <w:spacing w:after="0"/>
              <w:rPr>
                <w:sz w:val="20"/>
                <w:szCs w:val="20"/>
                <w:color w:val="auto"/>
              </w:rPr>
            </w:pPr>
            <w:r>
              <w:rPr>
                <w:rFonts w:ascii="Arial" w:cs="Arial" w:eastAsia="Arial" w:hAnsi="Arial"/>
                <w:sz w:val="14"/>
                <w:szCs w:val="14"/>
                <w:color w:val="auto"/>
              </w:rPr>
              <w:t>Interest rate swaps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2,003</w:t>
            </w:r>
          </w:p>
        </w:tc>
        <w:tc>
          <w:tcPr>
            <w:tcW w:w="120" w:type="dxa"/>
            <w:vAlign w:val="bottom"/>
          </w:tcPr>
          <w:p>
            <w:pPr>
              <w:spacing w:after="0"/>
              <w:rPr>
                <w:sz w:val="16"/>
                <w:szCs w:val="16"/>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4"/>
                <w:szCs w:val="14"/>
                <w:color w:val="auto"/>
                <w:w w:val="89"/>
              </w:rPr>
              <w:t>Other current assets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2080" w:type="dxa"/>
            <w:vAlign w:val="bottom"/>
            <w:gridSpan w:val="2"/>
          </w:tcPr>
          <w:p>
            <w:pPr>
              <w:jc w:val="center"/>
              <w:ind w:right="320"/>
              <w:spacing w:after="0"/>
              <w:rPr>
                <w:sz w:val="20"/>
                <w:szCs w:val="20"/>
                <w:color w:val="auto"/>
              </w:rPr>
            </w:pPr>
            <w:r>
              <w:rPr>
                <w:rFonts w:ascii="Arial" w:cs="Arial" w:eastAsia="Arial" w:hAnsi="Arial"/>
                <w:sz w:val="14"/>
                <w:szCs w:val="14"/>
                <w:color w:val="auto"/>
                <w:w w:val="97"/>
              </w:rPr>
              <w:t>Other current liabilities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Derivatives not designated as hedges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Foreign currency option contracts</w:t>
            </w:r>
          </w:p>
        </w:tc>
        <w:tc>
          <w:tcPr>
            <w:tcW w:w="16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Borders>
              <w:bottom w:val="single" w:sz="8" w:color="CCEEFF"/>
            </w:tcBorders>
          </w:tcPr>
          <w:p>
            <w:pPr>
              <w:spacing w:after="0"/>
              <w:rPr>
                <w:sz w:val="16"/>
                <w:szCs w:val="16"/>
                <w:color w:val="auto"/>
              </w:rPr>
            </w:pPr>
          </w:p>
        </w:tc>
        <w:tc>
          <w:tcPr>
            <w:tcW w:w="2000" w:type="dxa"/>
            <w:vAlign w:val="bottom"/>
            <w:tcBorders>
              <w:bottom w:val="single" w:sz="8" w:color="CCEEFF"/>
            </w:tcBorders>
            <w:gridSpan w:val="2"/>
          </w:tcPr>
          <w:p>
            <w:pPr>
              <w:jc w:val="center"/>
              <w:ind w:right="20"/>
              <w:spacing w:after="0"/>
              <w:rPr>
                <w:sz w:val="20"/>
                <w:szCs w:val="20"/>
                <w:color w:val="auto"/>
              </w:rPr>
            </w:pPr>
            <w:r>
              <w:rPr>
                <w:rFonts w:ascii="Arial" w:cs="Arial" w:eastAsia="Arial" w:hAnsi="Arial"/>
                <w:sz w:val="14"/>
                <w:szCs w:val="14"/>
                <w:color w:val="auto"/>
                <w:w w:val="89"/>
              </w:rPr>
              <w:t>Other current assets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80" w:type="dxa"/>
            <w:vAlign w:val="bottom"/>
            <w:tcBorders>
              <w:bottom w:val="single" w:sz="8" w:color="CCEEFF"/>
            </w:tcBorders>
            <w:gridSpan w:val="2"/>
          </w:tcPr>
          <w:p>
            <w:pPr>
              <w:jc w:val="center"/>
              <w:ind w:right="320"/>
              <w:spacing w:after="0"/>
              <w:rPr>
                <w:sz w:val="20"/>
                <w:szCs w:val="20"/>
                <w:color w:val="auto"/>
              </w:rPr>
            </w:pPr>
            <w:r>
              <w:rPr>
                <w:rFonts w:ascii="Arial" w:cs="Arial" w:eastAsia="Arial" w:hAnsi="Arial"/>
                <w:sz w:val="14"/>
                <w:szCs w:val="14"/>
                <w:color w:val="auto"/>
                <w:w w:val="97"/>
              </w:rPr>
              <w:t>Other current liabilities</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9"/>
              </w:rPr>
              <w:t>December 31, 2020</w:t>
            </w:r>
          </w:p>
        </w:tc>
        <w:tc>
          <w:tcPr>
            <w:tcW w:w="1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w w:val="89"/>
              </w:rPr>
              <w:t>Derivative Assets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w w:val="98"/>
              </w:rPr>
              <w:t>Derivative Liabilities</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9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0"/>
                <w:szCs w:val="10"/>
                <w:color w:val="auto"/>
              </w:rPr>
            </w:pPr>
          </w:p>
        </w:tc>
        <w:tc>
          <w:tcPr>
            <w:tcW w:w="900" w:type="dxa"/>
            <w:vAlign w:val="bottom"/>
            <w:gridSpan w:val="2"/>
          </w:tcPr>
          <w:p>
            <w:pPr>
              <w:ind w:left="60"/>
              <w:spacing w:after="0" w:line="118" w:lineRule="exact"/>
              <w:rPr>
                <w:sz w:val="20"/>
                <w:szCs w:val="20"/>
                <w:color w:val="auto"/>
              </w:rPr>
            </w:pPr>
            <w:r>
              <w:rPr>
                <w:rFonts w:ascii="Arial" w:cs="Arial" w:eastAsia="Arial" w:hAnsi="Arial"/>
                <w:sz w:val="13"/>
                <w:szCs w:val="13"/>
                <w:b w:val="1"/>
                <w:bCs w:val="1"/>
                <w:color w:val="auto"/>
              </w:rPr>
              <w:t>Notional</w:t>
            </w:r>
          </w:p>
        </w:tc>
        <w:tc>
          <w:tcPr>
            <w:tcW w:w="20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0"/>
              </w:rPr>
              <w:t>Balance Sheet Caption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2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Balance Sheet Caption</w:t>
            </w:r>
          </w:p>
        </w:tc>
        <w:tc>
          <w:tcPr>
            <w:tcW w:w="10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3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2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Derivatives designated as hedges</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920" w:type="dxa"/>
            <w:vAlign w:val="bottom"/>
            <w:gridSpan w:val="2"/>
          </w:tcPr>
          <w:p>
            <w:pPr>
              <w:ind w:left="140"/>
              <w:spacing w:after="0"/>
              <w:rPr>
                <w:sz w:val="20"/>
                <w:szCs w:val="20"/>
                <w:color w:val="auto"/>
              </w:rPr>
            </w:pPr>
            <w:r>
              <w:rPr>
                <w:rFonts w:ascii="Arial" w:cs="Arial" w:eastAsia="Arial" w:hAnsi="Arial"/>
                <w:sz w:val="14"/>
                <w:szCs w:val="14"/>
                <w:color w:val="auto"/>
              </w:rPr>
              <w:t>Cross-currency swap agreements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450</w:t>
            </w:r>
          </w:p>
        </w:tc>
        <w:tc>
          <w:tcPr>
            <w:tcW w:w="120" w:type="dxa"/>
            <w:vAlign w:val="bottom"/>
          </w:tcPr>
          <w:p>
            <w:pPr>
              <w:spacing w:after="0"/>
              <w:rPr>
                <w:sz w:val="16"/>
                <w:szCs w:val="16"/>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4"/>
                <w:szCs w:val="14"/>
                <w:color w:val="auto"/>
                <w:w w:val="89"/>
              </w:rPr>
              <w:t>Other current assets</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110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2080" w:type="dxa"/>
            <w:vAlign w:val="bottom"/>
            <w:gridSpan w:val="2"/>
          </w:tcPr>
          <w:p>
            <w:pPr>
              <w:jc w:val="center"/>
              <w:ind w:right="320"/>
              <w:spacing w:after="0"/>
              <w:rPr>
                <w:sz w:val="20"/>
                <w:szCs w:val="20"/>
                <w:color w:val="auto"/>
              </w:rPr>
            </w:pPr>
            <w:r>
              <w:rPr>
                <w:rFonts w:ascii="Arial" w:cs="Arial" w:eastAsia="Arial" w:hAnsi="Arial"/>
                <w:sz w:val="14"/>
                <w:szCs w:val="14"/>
                <w:color w:val="auto"/>
                <w:w w:val="97"/>
              </w:rPr>
              <w:t>Other current liabilities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92"/>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Cross-currency swap agreements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12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1"/>
              </w:rPr>
              <w:t>Other long-term assets</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208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color w:val="auto"/>
                <w:w w:val="98"/>
              </w:rPr>
              <w:t>Other long-term liabilities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6"/>
        </w:trPr>
        <w:tc>
          <w:tcPr>
            <w:tcW w:w="3920" w:type="dxa"/>
            <w:vAlign w:val="bottom"/>
            <w:gridSpan w:val="2"/>
          </w:tcPr>
          <w:p>
            <w:pPr>
              <w:ind w:left="140"/>
              <w:spacing w:after="0"/>
              <w:rPr>
                <w:sz w:val="20"/>
                <w:szCs w:val="20"/>
                <w:color w:val="auto"/>
              </w:rPr>
            </w:pPr>
            <w:r>
              <w:rPr>
                <w:rFonts w:ascii="Arial" w:cs="Arial" w:eastAsia="Arial" w:hAnsi="Arial"/>
                <w:sz w:val="14"/>
                <w:szCs w:val="14"/>
                <w:color w:val="auto"/>
              </w:rPr>
              <w:t>Interest rate swaps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2,003</w:t>
            </w:r>
          </w:p>
        </w:tc>
        <w:tc>
          <w:tcPr>
            <w:tcW w:w="120" w:type="dxa"/>
            <w:vAlign w:val="bottom"/>
          </w:tcPr>
          <w:p>
            <w:pPr>
              <w:spacing w:after="0"/>
              <w:rPr>
                <w:sz w:val="16"/>
                <w:szCs w:val="16"/>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4"/>
                <w:szCs w:val="14"/>
                <w:color w:val="auto"/>
                <w:w w:val="89"/>
              </w:rPr>
              <w:t>Other current assets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2080" w:type="dxa"/>
            <w:vAlign w:val="bottom"/>
            <w:gridSpan w:val="2"/>
          </w:tcPr>
          <w:p>
            <w:pPr>
              <w:jc w:val="center"/>
              <w:ind w:right="320"/>
              <w:spacing w:after="0"/>
              <w:rPr>
                <w:sz w:val="20"/>
                <w:szCs w:val="20"/>
                <w:color w:val="auto"/>
              </w:rPr>
            </w:pPr>
            <w:r>
              <w:rPr>
                <w:rFonts w:ascii="Arial" w:cs="Arial" w:eastAsia="Arial" w:hAnsi="Arial"/>
                <w:sz w:val="14"/>
                <w:szCs w:val="14"/>
                <w:color w:val="auto"/>
                <w:w w:val="97"/>
              </w:rPr>
              <w:t>Other current liabilities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8"/>
        </w:trPr>
        <w:tc>
          <w:tcPr>
            <w:tcW w:w="3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9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9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derivatives are classified as Level 2 within the fair value hierarchy. The derivatives are valued using inputs other than quoted prices such as foreign exchange rates and yield curves.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effect of derivative and nonderivative instruments designated as hedges on our Condensed Consolidated Statements of Income was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Amount of Gain (Loss)</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2"/>
              </w:rPr>
              <w:t>Amount of Gain Recognized in Income on</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40" w:type="dxa"/>
            <w:vAlign w:val="bottom"/>
            <w:gridSpan w:val="5"/>
          </w:tcPr>
          <w:p>
            <w:pPr>
              <w:jc w:val="center"/>
              <w:ind w:right="360"/>
              <w:spacing w:after="0" w:line="135" w:lineRule="exact"/>
              <w:rPr>
                <w:sz w:val="20"/>
                <w:szCs w:val="20"/>
                <w:color w:val="auto"/>
              </w:rPr>
            </w:pPr>
            <w:r>
              <w:rPr>
                <w:rFonts w:ascii="Arial" w:cs="Arial" w:eastAsia="Arial" w:hAnsi="Arial"/>
                <w:sz w:val="14"/>
                <w:szCs w:val="14"/>
                <w:b w:val="1"/>
                <w:bCs w:val="1"/>
                <w:color w:val="auto"/>
                <w:w w:val="93"/>
              </w:rPr>
              <w:t>Recognized in Other</w:t>
            </w:r>
          </w:p>
        </w:tc>
        <w:tc>
          <w:tcPr>
            <w:tcW w:w="204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Amount of Gain Reclassified</w:t>
            </w:r>
          </w:p>
        </w:tc>
        <w:tc>
          <w:tcPr>
            <w:tcW w:w="27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gridSpan w:val="6"/>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Comprehensive Income (Loss) on</w:t>
            </w:r>
          </w:p>
        </w:tc>
        <w:tc>
          <w:tcPr>
            <w:tcW w:w="2040" w:type="dxa"/>
            <w:vAlign w:val="bottom"/>
            <w:gridSpan w:val="6"/>
            <w:vMerge w:val="continue"/>
          </w:tcPr>
          <w:p>
            <w:pPr>
              <w:spacing w:after="0"/>
              <w:rPr>
                <w:sz w:val="11"/>
                <w:szCs w:val="11"/>
                <w:color w:val="auto"/>
              </w:rPr>
            </w:pPr>
          </w:p>
        </w:tc>
        <w:tc>
          <w:tcPr>
            <w:tcW w:w="240" w:type="dxa"/>
            <w:vAlign w:val="bottom"/>
          </w:tcPr>
          <w:p>
            <w:pPr>
              <w:spacing w:after="0"/>
              <w:rPr>
                <w:sz w:val="11"/>
                <w:szCs w:val="11"/>
                <w:color w:val="auto"/>
              </w:rPr>
            </w:pPr>
          </w:p>
        </w:tc>
        <w:tc>
          <w:tcPr>
            <w:tcW w:w="2500" w:type="dxa"/>
            <w:vAlign w:val="bottom"/>
            <w:gridSpan w:val="4"/>
          </w:tcPr>
          <w:p>
            <w:pPr>
              <w:jc w:val="center"/>
              <w:ind w:right="168"/>
              <w:spacing w:after="0" w:line="135" w:lineRule="exact"/>
              <w:rPr>
                <w:sz w:val="20"/>
                <w:szCs w:val="20"/>
                <w:color w:val="auto"/>
              </w:rPr>
            </w:pPr>
            <w:r>
              <w:rPr>
                <w:rFonts w:ascii="Arial" w:cs="Arial" w:eastAsia="Arial" w:hAnsi="Arial"/>
                <w:sz w:val="14"/>
                <w:szCs w:val="14"/>
                <w:b w:val="1"/>
                <w:bCs w:val="1"/>
                <w:color w:val="auto"/>
                <w:w w:val="94"/>
              </w:rPr>
              <w:t>Derivative (Amount Excluded from</w:t>
            </w:r>
          </w:p>
        </w:tc>
        <w:tc>
          <w:tcPr>
            <w:tcW w:w="0" w:type="dxa"/>
            <w:vAlign w:val="bottom"/>
          </w:tcPr>
          <w:p>
            <w:pPr>
              <w:spacing w:after="0"/>
              <w:rPr>
                <w:sz w:val="1"/>
                <w:szCs w:val="1"/>
                <w:color w:val="auto"/>
              </w:rPr>
            </w:pPr>
          </w:p>
        </w:tc>
      </w:tr>
      <w:tr>
        <w:trPr>
          <w:trHeight w:val="188"/>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388"/>
              <w:spacing w:after="0"/>
              <w:rPr>
                <w:sz w:val="20"/>
                <w:szCs w:val="20"/>
                <w:color w:val="auto"/>
              </w:rPr>
            </w:pPr>
            <w:r>
              <w:rPr>
                <w:rFonts w:ascii="Arial" w:cs="Arial" w:eastAsia="Arial" w:hAnsi="Arial"/>
                <w:sz w:val="14"/>
                <w:szCs w:val="14"/>
                <w:b w:val="1"/>
                <w:bCs w:val="1"/>
                <w:color w:val="auto"/>
                <w:w w:val="90"/>
              </w:rPr>
              <w:t>Derivatives</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from AOCI into Net Income</w:t>
            </w: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center"/>
              <w:ind w:right="168"/>
              <w:spacing w:after="0"/>
              <w:rPr>
                <w:sz w:val="20"/>
                <w:szCs w:val="20"/>
                <w:color w:val="auto"/>
              </w:rPr>
            </w:pPr>
            <w:r>
              <w:rPr>
                <w:rFonts w:ascii="Arial" w:cs="Arial" w:eastAsia="Arial" w:hAnsi="Arial"/>
                <w:sz w:val="14"/>
                <w:szCs w:val="14"/>
                <w:b w:val="1"/>
                <w:bCs w:val="1"/>
                <w:color w:val="auto"/>
                <w:w w:val="90"/>
              </w:rPr>
              <w:t>Effectiveness Testing)</w:t>
            </w:r>
          </w:p>
        </w:tc>
        <w:tc>
          <w:tcPr>
            <w:tcW w:w="0" w:type="dxa"/>
            <w:vAlign w:val="bottom"/>
          </w:tcPr>
          <w:p>
            <w:pPr>
              <w:spacing w:after="0"/>
              <w:rPr>
                <w:sz w:val="1"/>
                <w:szCs w:val="1"/>
                <w:color w:val="auto"/>
              </w:rPr>
            </w:pPr>
          </w:p>
        </w:tc>
      </w:tr>
      <w:tr>
        <w:trPr>
          <w:trHeight w:val="181"/>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1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15"/>
                <w:szCs w:val="15"/>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ind w:right="30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4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Derivatives designated as cash flow hedges</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Cross-currency swap agreements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rate swaps</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Derivatives designated as net investment hedges</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Cross-currency swap agreements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6"/>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pre-tax gain recognized in earnings for foreign currency option and forward contracts not designated as hedging instruments were gains of $1 million and $4 million for the three months ended March 31, 2021 and 2020, respectively. These amounts are recorded in Foreign currency gain on our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Swap Agreements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enter into cross-currency swap agreements to manage the foreign currency exchange risk related to our international operations by effectively converting our fixed-rate USD-denominated debt, including the associated interest payments, to fixed-rate, euro (“EUR”)-denominated debt. The risk management objective of these transactions is to manage foreign currency risk relating to net investments in subsidiaries denominated in foreign currencies and reduce the variability in the functional currency equivalent cash flows of this debt.</w:t>
      </w:r>
    </w:p>
    <w:p>
      <w:pPr>
        <w:spacing w:after="0" w:line="7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During the term of the swap contracts, we will receive interest, either on a quarterly or semi-annual basis, from the counterparties based on USD fixed interest rates, and we will pay interest, also on a quarterly or semi-annual basis, to the counterparties based on EUR fixed interest rates. At maturity, we will repay the original principal amount in EUR and receive the principal amount in USD. These agreements expire at various dates through 2024.</w:t>
      </w:r>
    </w:p>
    <w:p>
      <w:pPr>
        <w:spacing w:after="0" w:line="4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designated these cross-currency swaps as qualifying hedging instruments and account for them as net investment hedges. We apply the simplified method of assessing the effectiveness of our net investment hedging relationships. Under this method, for each reporting period, the change in the fair value of the cross-currency swaps is initially recognized in Accumulated other comprehensive income (“AOCI”). The change in the fair value due to foreign exchange remains in AOCI and the initial component excluded from effectiveness testing will initially remain in AOCI and then will be reclassified from AOCI to Interest expense each period in a systematic manner. For net investment hedges that were de-designated prior to their maturity, the amounts in AOCI will remain in AOCI until the subsidiary is sold or substantially liquidated. Cash flows related to the periodic exchange of interest payments for these net investment hedges are included in Operating activities on our Condensed Consolidated Statements of Cash Flows.</w:t>
      </w:r>
    </w:p>
    <w:p>
      <w:pPr>
        <w:spacing w:after="0" w:line="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also enter into cross-currency swap agreements to manage the related foreign currency exposure from intercompany loans. We designated these cross-currency swaps as qualifying hedging instruments and account for them as cash flow hedges. Gains and losses resulting from the change in the fair value of the cross-currency swaps are initially recognized in AOCI and reclassified to Foreign currency gain to offset the foreign exchange impact in earnings created by the intercompany loans. Cash flows related to these cash flow hedges are included in Operating activities on our Condensed Consolidated Statements of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execute short-term interest rate swaps to mitigate variability in forecasted interest payments on our Senior Secured Term Loan Credit Agreement (the “Term Loan Credit Agreement”). The interest rate swaps convert floating-rate interest payments into fixed rate interest payments. We designated the interest rate swaps as qualifying hedging instruments and account for these derivatives as cash flow hedges. The interest rate swaps mature on various dates through 2021.</w:t>
      </w:r>
    </w:p>
    <w:p>
      <w:pPr>
        <w:spacing w:after="0" w:line="7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record gains and losses resulting from fair value adjustments to the designated portion of interest rate swaps in AOCI and reclassify them to Interest expense on the dates that interest payments accrue. Cash flows related to the interest rate swaps are included in Operating activities on our Condensed Consolidated Statements of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Option and Forward Contracts</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use foreign currency option contracts to mitigate the risk of a reduction in the value of earnings from our operations that use the EUR or the British pound sterling as their functional currency. Additionally, we use foreign currency forward contracts to mitigate exposure from intercompany loans that are not designated as permanent and can create volatility in earnings. The foreign currency contracts (both option and forward contracts) were not designated as qualifying hedging instruments as of March 31, 2021. The contracts are used to manage our exposure to foreign currency exchange rate fluctuations and are not speculative. The contracts generally expire in 12 months or less. Gains or losses on the contracts are recorded in Foreign currency gain on our Condensed Consolidated Statements of Income. Cash flows related to the foreign currency contracts are included in Investing activities on our Condensed Consolidated Statements of Cash Flows, consistent with the nature and purpose for which these derivatives were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right"/>
              <w:ind w:right="433"/>
              <w:spacing w:after="0"/>
              <w:rPr>
                <w:sz w:val="20"/>
                <w:szCs w:val="20"/>
                <w:color w:val="auto"/>
              </w:rPr>
            </w:pPr>
            <w:r>
              <w:rPr>
                <w:rFonts w:ascii="Arial" w:cs="Arial" w:eastAsia="Arial" w:hAnsi="Arial"/>
                <w:sz w:val="14"/>
                <w:szCs w:val="14"/>
                <w:b w:val="1"/>
                <w:bCs w:val="1"/>
                <w:color w:val="auto"/>
              </w:rPr>
              <w:t>March 31, 2021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right"/>
              <w:ind w:right="692"/>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Pr>
          <w:p>
            <w:pPr>
              <w:spacing w:after="0"/>
              <w:rPr>
                <w:sz w:val="16"/>
                <w:szCs w:val="16"/>
                <w:color w:val="auto"/>
              </w:rPr>
            </w:pPr>
          </w:p>
        </w:tc>
      </w:tr>
      <w:tr>
        <w:trPr>
          <w:trHeight w:val="188"/>
        </w:trPr>
        <w:tc>
          <w:tcPr>
            <w:tcW w:w="57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130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Principal Balance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w w:val="99"/>
              </w:rPr>
              <w:t>Carrying Value</w:t>
            </w:r>
          </w:p>
        </w:tc>
        <w:tc>
          <w:tcPr>
            <w:tcW w:w="120" w:type="dxa"/>
            <w:vAlign w:val="bottom"/>
          </w:tcPr>
          <w:p>
            <w:pPr>
              <w:spacing w:after="0"/>
              <w:rPr>
                <w:sz w:val="16"/>
                <w:szCs w:val="16"/>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9"/>
              </w:rPr>
              <w:t>Principal Balance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92"/>
              <w:spacing w:after="0"/>
              <w:rPr>
                <w:sz w:val="20"/>
                <w:szCs w:val="20"/>
                <w:color w:val="auto"/>
              </w:rPr>
            </w:pPr>
            <w:r>
              <w:rPr>
                <w:rFonts w:ascii="Arial" w:cs="Arial" w:eastAsia="Arial" w:hAnsi="Arial"/>
                <w:sz w:val="14"/>
                <w:szCs w:val="14"/>
                <w:b w:val="1"/>
                <w:bCs w:val="1"/>
                <w:color w:val="auto"/>
                <w:w w:val="97"/>
              </w:rPr>
              <w:t>Carrying Value</w:t>
            </w:r>
          </w:p>
        </w:tc>
        <w:tc>
          <w:tcPr>
            <w:tcW w:w="20" w:type="dxa"/>
            <w:vAlign w:val="bottom"/>
          </w:tcPr>
          <w:p>
            <w:pPr>
              <w:spacing w:after="0"/>
              <w:rPr>
                <w:sz w:val="16"/>
                <w:szCs w:val="16"/>
                <w:color w:val="auto"/>
              </w:rPr>
            </w:pPr>
          </w:p>
        </w:tc>
      </w:tr>
      <w:tr>
        <w:trPr>
          <w:trHeight w:val="224"/>
        </w:trPr>
        <w:tc>
          <w:tcPr>
            <w:tcW w:w="56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ABL facility</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r>
      <w:tr>
        <w:trPr>
          <w:trHeight w:val="229"/>
        </w:trPr>
        <w:tc>
          <w:tcPr>
            <w:tcW w:w="5700" w:type="dxa"/>
            <w:vAlign w:val="bottom"/>
            <w:gridSpan w:val="3"/>
          </w:tcPr>
          <w:p>
            <w:pPr>
              <w:ind w:left="20"/>
              <w:spacing w:after="0"/>
              <w:rPr>
                <w:sz w:val="20"/>
                <w:szCs w:val="20"/>
                <w:color w:val="auto"/>
              </w:rPr>
            </w:pPr>
            <w:r>
              <w:rPr>
                <w:rFonts w:ascii="Arial" w:cs="Arial" w:eastAsia="Arial" w:hAnsi="Arial"/>
                <w:sz w:val="18"/>
                <w:szCs w:val="18"/>
                <w:color w:val="auto"/>
              </w:rPr>
              <w:t>Term loan facilities</w:t>
            </w:r>
          </w:p>
        </w:tc>
        <w:tc>
          <w:tcPr>
            <w:tcW w:w="66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1,971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1,974</w:t>
            </w:r>
          </w:p>
        </w:tc>
        <w:tc>
          <w:tcPr>
            <w:tcW w:w="20" w:type="dxa"/>
            <w:vAlign w:val="bottom"/>
          </w:tcPr>
          <w:p>
            <w:pPr>
              <w:spacing w:after="0"/>
              <w:rPr>
                <w:sz w:val="19"/>
                <w:szCs w:val="19"/>
                <w:color w:val="auto"/>
              </w:rPr>
            </w:pPr>
          </w:p>
        </w:tc>
      </w:tr>
      <w:tr>
        <w:trPr>
          <w:trHeight w:val="23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6.50%</w:t>
            </w: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2022</w:t>
            </w: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20" w:type="dxa"/>
            <w:vAlign w:val="bottom"/>
          </w:tcPr>
          <w:p>
            <w:pPr>
              <w:spacing w:after="0"/>
              <w:rPr>
                <w:sz w:val="19"/>
                <w:szCs w:val="19"/>
                <w:color w:val="auto"/>
              </w:rPr>
            </w:pPr>
          </w:p>
        </w:tc>
      </w:tr>
      <w:tr>
        <w:trPr>
          <w:trHeight w:val="229"/>
        </w:trPr>
        <w:tc>
          <w:tcPr>
            <w:tcW w:w="5700" w:type="dxa"/>
            <w:vAlign w:val="bottom"/>
            <w:gridSpan w:val="3"/>
          </w:tcPr>
          <w:p>
            <w:pPr>
              <w:ind w:left="20"/>
              <w:spacing w:after="0"/>
              <w:rPr>
                <w:sz w:val="20"/>
                <w:szCs w:val="20"/>
                <w:color w:val="auto"/>
              </w:rPr>
            </w:pPr>
            <w:r>
              <w:rPr>
                <w:rFonts w:ascii="Arial" w:cs="Arial" w:eastAsia="Arial" w:hAnsi="Arial"/>
                <w:sz w:val="18"/>
                <w:szCs w:val="18"/>
                <w:color w:val="auto"/>
              </w:rPr>
              <w:t>6.125% Senior notes due 2023</w:t>
            </w:r>
          </w:p>
        </w:tc>
        <w:tc>
          <w:tcPr>
            <w:tcW w:w="66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86"/>
              </w:rPr>
              <w:t>532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531</w:t>
            </w:r>
          </w:p>
        </w:tc>
        <w:tc>
          <w:tcPr>
            <w:tcW w:w="20" w:type="dxa"/>
            <w:vAlign w:val="bottom"/>
          </w:tcPr>
          <w:p>
            <w:pPr>
              <w:spacing w:after="0"/>
              <w:rPr>
                <w:sz w:val="19"/>
                <w:szCs w:val="19"/>
                <w:color w:val="auto"/>
              </w:rPr>
            </w:pPr>
          </w:p>
        </w:tc>
      </w:tr>
      <w:tr>
        <w:trPr>
          <w:trHeight w:val="23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6.75%</w:t>
            </w: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2024</w:t>
            </w:r>
          </w:p>
        </w:tc>
        <w:tc>
          <w:tcPr>
            <w:tcW w:w="66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990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20" w:type="dxa"/>
            <w:vAlign w:val="bottom"/>
          </w:tcPr>
          <w:p>
            <w:pPr>
              <w:spacing w:after="0"/>
              <w:rPr>
                <w:sz w:val="19"/>
                <w:szCs w:val="19"/>
                <w:color w:val="auto"/>
              </w:rPr>
            </w:pP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w w:val="93"/>
              </w:rPr>
              <w:t>6.25%</w:t>
            </w:r>
          </w:p>
        </w:tc>
        <w:tc>
          <w:tcPr>
            <w:tcW w:w="5180" w:type="dxa"/>
            <w:vAlign w:val="bottom"/>
            <w:gridSpan w:val="2"/>
          </w:tcPr>
          <w:p>
            <w:pPr>
              <w:ind w:left="20"/>
              <w:spacing w:after="0"/>
              <w:rPr>
                <w:sz w:val="20"/>
                <w:szCs w:val="20"/>
                <w:color w:val="auto"/>
              </w:rPr>
            </w:pPr>
            <w:r>
              <w:rPr>
                <w:rFonts w:ascii="Arial" w:cs="Arial" w:eastAsia="Arial" w:hAnsi="Arial"/>
                <w:sz w:val="18"/>
                <w:szCs w:val="18"/>
                <w:color w:val="auto"/>
              </w:rPr>
              <w:t>Senior notes due 2025</w:t>
            </w:r>
          </w:p>
        </w:tc>
        <w:tc>
          <w:tcPr>
            <w:tcW w:w="66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1,138</w:t>
            </w:r>
          </w:p>
        </w:tc>
        <w:tc>
          <w:tcPr>
            <w:tcW w:w="20" w:type="dxa"/>
            <w:vAlign w:val="bottom"/>
          </w:tcPr>
          <w:p>
            <w:pPr>
              <w:spacing w:after="0"/>
              <w:rPr>
                <w:sz w:val="19"/>
                <w:szCs w:val="19"/>
                <w:color w:val="auto"/>
              </w:rPr>
            </w:pP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6.70%</w:t>
            </w: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debentures due 2034</w:t>
            </w:r>
          </w:p>
        </w:tc>
        <w:tc>
          <w:tcPr>
            <w:tcW w:w="66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211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9"/>
                <w:szCs w:val="19"/>
                <w:color w:val="auto"/>
              </w:rPr>
            </w:pPr>
          </w:p>
        </w:tc>
      </w:tr>
      <w:tr>
        <w:trPr>
          <w:trHeight w:val="230"/>
        </w:trPr>
        <w:tc>
          <w:tcPr>
            <w:tcW w:w="5700" w:type="dxa"/>
            <w:vAlign w:val="bottom"/>
            <w:gridSpan w:val="3"/>
          </w:tcPr>
          <w:p>
            <w:pPr>
              <w:ind w:left="20"/>
              <w:spacing w:after="0"/>
              <w:rPr>
                <w:sz w:val="20"/>
                <w:szCs w:val="20"/>
                <w:color w:val="auto"/>
              </w:rPr>
            </w:pPr>
            <w:r>
              <w:rPr>
                <w:rFonts w:ascii="Arial" w:cs="Arial" w:eastAsia="Arial" w:hAnsi="Arial"/>
                <w:sz w:val="18"/>
                <w:szCs w:val="18"/>
                <w:color w:val="auto"/>
              </w:rPr>
              <w:t>Borrowings related to securitization program</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r>
      <w:tr>
        <w:trPr>
          <w:trHeight w:val="229"/>
        </w:trPr>
        <w:tc>
          <w:tcPr>
            <w:tcW w:w="5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Finance leases, asset financing and other</w:t>
            </w:r>
          </w:p>
        </w:tc>
        <w:tc>
          <w:tcPr>
            <w:tcW w:w="6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407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19"/>
                <w:szCs w:val="19"/>
                <w:color w:val="auto"/>
              </w:rPr>
            </w:pPr>
          </w:p>
        </w:tc>
      </w:tr>
      <w:tr>
        <w:trPr>
          <w:trHeight w:val="223"/>
        </w:trPr>
        <w:tc>
          <w:tcPr>
            <w:tcW w:w="57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Total debt</w:t>
            </w:r>
          </w:p>
        </w:tc>
        <w:tc>
          <w:tcPr>
            <w:tcW w:w="6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5,395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5,250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6,858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6,707</w:t>
            </w:r>
          </w:p>
        </w:tc>
        <w:tc>
          <w:tcPr>
            <w:tcW w:w="20" w:type="dxa"/>
            <w:vAlign w:val="bottom"/>
          </w:tcPr>
          <w:p>
            <w:pPr>
              <w:spacing w:after="0"/>
              <w:rPr>
                <w:sz w:val="19"/>
                <w:szCs w:val="19"/>
                <w:color w:val="auto"/>
              </w:rPr>
            </w:pPr>
          </w:p>
        </w:tc>
      </w:tr>
      <w:tr>
        <w:trPr>
          <w:trHeight w:val="223"/>
        </w:trPr>
        <w:tc>
          <w:tcPr>
            <w:tcW w:w="57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Short-term borrowings and current maturities of long-term debt</w:t>
            </w:r>
          </w:p>
        </w:tc>
        <w:tc>
          <w:tcPr>
            <w:tcW w:w="6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20" w:type="dxa"/>
            <w:vAlign w:val="bottom"/>
          </w:tcPr>
          <w:p>
            <w:pPr>
              <w:spacing w:after="0"/>
              <w:rPr>
                <w:sz w:val="19"/>
                <w:szCs w:val="19"/>
                <w:color w:val="auto"/>
              </w:rPr>
            </w:pPr>
          </w:p>
        </w:tc>
      </w:tr>
      <w:tr>
        <w:trPr>
          <w:trHeight w:val="223"/>
        </w:trPr>
        <w:tc>
          <w:tcPr>
            <w:tcW w:w="5700" w:type="dxa"/>
            <w:vAlign w:val="bottom"/>
            <w:gridSpan w:val="3"/>
          </w:tcPr>
          <w:p>
            <w:pPr>
              <w:ind w:left="20"/>
              <w:spacing w:after="0"/>
              <w:rPr>
                <w:sz w:val="20"/>
                <w:szCs w:val="20"/>
                <w:color w:val="auto"/>
              </w:rPr>
            </w:pPr>
            <w:r>
              <w:rPr>
                <w:rFonts w:ascii="Arial" w:cs="Arial" w:eastAsia="Arial" w:hAnsi="Arial"/>
                <w:sz w:val="18"/>
                <w:szCs w:val="18"/>
                <w:color w:val="auto"/>
              </w:rPr>
              <w:t>Long-term debt</w:t>
            </w:r>
          </w:p>
        </w:tc>
        <w:tc>
          <w:tcPr>
            <w:tcW w:w="660" w:type="dxa"/>
            <w:vAlign w:val="bottom"/>
            <w:tcBorders>
              <w:bottom w:val="single" w:sz="8" w:color="auto"/>
            </w:tcBorders>
          </w:tcPr>
          <w:p>
            <w:pPr>
              <w:jc w:val="right"/>
              <w:ind w:right="4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5,307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5,162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5,515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5,369</w:t>
            </w:r>
          </w:p>
        </w:tc>
        <w:tc>
          <w:tcPr>
            <w:tcW w:w="20" w:type="dxa"/>
            <w:vAlign w:val="bottom"/>
          </w:tcPr>
          <w:p>
            <w:pPr>
              <w:spacing w:after="0"/>
              <w:rPr>
                <w:sz w:val="19"/>
                <w:szCs w:val="19"/>
                <w:color w:val="auto"/>
              </w:rPr>
            </w:pPr>
          </w:p>
        </w:tc>
      </w:tr>
      <w:tr>
        <w:trPr>
          <w:trHeight w:val="20"/>
        </w:trPr>
        <w:tc>
          <w:tcPr>
            <w:tcW w:w="5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6360" w:type="dxa"/>
            <w:vAlign w:val="bottom"/>
            <w:gridSpan w:val="4"/>
          </w:tcPr>
          <w:p>
            <w:pPr>
              <w:spacing w:after="0"/>
              <w:rPr>
                <w:sz w:val="20"/>
                <w:szCs w:val="20"/>
                <w:color w:val="auto"/>
              </w:rPr>
            </w:pPr>
            <w:r>
              <w:rPr>
                <w:rFonts w:ascii="Arial" w:cs="Arial" w:eastAsia="Arial" w:hAnsi="Arial"/>
                <w:sz w:val="18"/>
                <w:szCs w:val="18"/>
                <w:color w:val="auto"/>
                <w:w w:val="94"/>
              </w:rPr>
              <w:t>The fair value of our debt and classification in the fair value hierarchy was as follows: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57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3"/>
          </w:tcPr>
          <w:p>
            <w:pPr>
              <w:jc w:val="right"/>
              <w:ind w:right="233"/>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392"/>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24"/>
                <w:szCs w:val="24"/>
                <w:color w:val="auto"/>
              </w:rPr>
            </w:pPr>
          </w:p>
        </w:tc>
      </w:tr>
      <w:tr>
        <w:trPr>
          <w:trHeight w:val="229"/>
        </w:trPr>
        <w:tc>
          <w:tcPr>
            <w:tcW w:w="570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6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5,590</w:t>
            </w: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5700" w:type="dxa"/>
            <w:vAlign w:val="bottom"/>
            <w:gridSpan w:val="3"/>
          </w:tcPr>
          <w:p>
            <w:pPr>
              <w:ind w:left="20"/>
              <w:spacing w:after="0"/>
              <w:rPr>
                <w:sz w:val="20"/>
                <w:szCs w:val="20"/>
                <w:color w:val="auto"/>
              </w:rPr>
            </w:pPr>
            <w:r>
              <w:rPr>
                <w:rFonts w:ascii="Arial" w:cs="Arial" w:eastAsia="Arial" w:hAnsi="Arial"/>
                <w:sz w:val="18"/>
                <w:szCs w:val="18"/>
                <w:color w:val="auto"/>
              </w:rPr>
              <w:t>December 31, 2020</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7,094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2,663</w:t>
            </w:r>
          </w:p>
        </w:tc>
        <w:tc>
          <w:tcPr>
            <w:tcW w:w="20" w:type="dxa"/>
            <w:vAlign w:val="bottom"/>
          </w:tcPr>
          <w:p>
            <w:pPr>
              <w:spacing w:after="0"/>
              <w:rPr>
                <w:sz w:val="20"/>
                <w:szCs w:val="20"/>
                <w:color w:val="auto"/>
              </w:rPr>
            </w:pPr>
          </w:p>
        </w:tc>
      </w:tr>
    </w:tbl>
    <w:p>
      <w:pPr>
        <w:spacing w:after="0" w:line="9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valued Level 1 debt using quoted prices in active markets. We valued Level 2 debt using bid evaluation pricing models or quoted prices of securities with similar characteristics. The fair value of the asset financing arrangements approximates carrying value as the debt is primarily issued at a floating rate, the debt may be prepaid at any time at par without penalty, and the remaining life of the debt is short-term in nature.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Facility</w:t>
      </w:r>
    </w:p>
    <w:p>
      <w:pPr>
        <w:spacing w:after="0" w:line="11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As of March 31, 2021, our borrowing base was $1.1 billion and our availability under our ABL Facility was $1.084 billion after considering outstanding letters of credit on the ABL Facility of $16 million. As of March 31, 2021, we were in compliance with the ABL Facility’s financial covenants.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Debt</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Under our Senior Secured Term Loan Credit Agreement, we have a $200 million uncommitted secured evergreen letter of credit facility, under which we have issued $198 million in aggregate face amount of letters of credit as of March 31, 2021. As of March 31, 2021, we were in compliance with the financial covenants in the Senior Secured Term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Facilities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the first quarter of 2021, we amended the Term Loan Credit Agreement to consolidate our tranches and lower the interest rate. The applicable terms of the Term Loan Credit Agreement are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1054"/>
              <w:spacing w:after="0"/>
              <w:rPr>
                <w:sz w:val="20"/>
                <w:szCs w:val="20"/>
                <w:color w:val="auto"/>
              </w:rPr>
            </w:pPr>
            <w:r>
              <w:rPr>
                <w:rFonts w:ascii="Arial" w:cs="Arial" w:eastAsia="Arial" w:hAnsi="Arial"/>
                <w:sz w:val="14"/>
                <w:szCs w:val="14"/>
                <w:b w:val="1"/>
                <w:bCs w:val="1"/>
                <w:color w:val="auto"/>
              </w:rPr>
              <w:t>December 31, 2020</w:t>
            </w:r>
          </w:p>
        </w:tc>
      </w:tr>
      <w:tr>
        <w:trPr>
          <w:trHeight w:val="188"/>
        </w:trPr>
        <w:tc>
          <w:tcPr>
            <w:tcW w:w="60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First Tranche</w:t>
            </w:r>
          </w:p>
        </w:tc>
        <w:tc>
          <w:tcPr>
            <w:tcW w:w="240" w:type="dxa"/>
            <w:vAlign w:val="bottom"/>
          </w:tcPr>
          <w:p>
            <w:pPr>
              <w:spacing w:after="0"/>
              <w:rPr>
                <w:sz w:val="16"/>
                <w:szCs w:val="16"/>
                <w:color w:val="auto"/>
              </w:rPr>
            </w:pPr>
          </w:p>
        </w:tc>
        <w:tc>
          <w:tcPr>
            <w:tcW w:w="1440" w:type="dxa"/>
            <w:vAlign w:val="bottom"/>
          </w:tcPr>
          <w:p>
            <w:pPr>
              <w:jc w:val="right"/>
              <w:ind w:right="254"/>
              <w:spacing w:after="0"/>
              <w:rPr>
                <w:sz w:val="20"/>
                <w:szCs w:val="20"/>
                <w:color w:val="auto"/>
              </w:rPr>
            </w:pPr>
            <w:r>
              <w:rPr>
                <w:rFonts w:ascii="Arial" w:cs="Arial" w:eastAsia="Arial" w:hAnsi="Arial"/>
                <w:sz w:val="14"/>
                <w:szCs w:val="14"/>
                <w:b w:val="1"/>
                <w:bCs w:val="1"/>
                <w:color w:val="auto"/>
                <w:w w:val="99"/>
              </w:rPr>
              <w:t>Second Tranche</w:t>
            </w:r>
          </w:p>
        </w:tc>
      </w:tr>
      <w:tr>
        <w:trPr>
          <w:trHeight w:val="224"/>
        </w:trPr>
        <w:tc>
          <w:tcPr>
            <w:tcW w:w="5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Principal balance</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2,003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1,503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500</w:t>
            </w:r>
          </w:p>
        </w:tc>
      </w:tr>
      <w:tr>
        <w:trPr>
          <w:trHeight w:val="229"/>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Interest spread:</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6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Base rate loans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r>
      <w:tr>
        <w:trPr>
          <w:trHeight w:val="229"/>
        </w:trPr>
        <w:tc>
          <w:tcPr>
            <w:tcW w:w="6000" w:type="dxa"/>
            <w:vAlign w:val="bottom"/>
            <w:gridSpan w:val="2"/>
          </w:tcPr>
          <w:p>
            <w:pPr>
              <w:ind w:left="220"/>
              <w:spacing w:after="0"/>
              <w:rPr>
                <w:sz w:val="20"/>
                <w:szCs w:val="20"/>
                <w:color w:val="auto"/>
              </w:rPr>
            </w:pPr>
            <w:r>
              <w:rPr>
                <w:rFonts w:ascii="Arial" w:cs="Arial" w:eastAsia="Arial" w:hAnsi="Arial"/>
                <w:sz w:val="18"/>
                <w:szCs w:val="18"/>
                <w:color w:val="auto"/>
              </w:rPr>
              <w:t>LIBOR loans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2.50 %</w:t>
            </w:r>
          </w:p>
        </w:tc>
      </w:tr>
      <w:tr>
        <w:trPr>
          <w:trHeight w:val="23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Maturity date</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February 2025</w:t>
            </w: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February 2025</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2025</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recorded a debt extinguishment loss of $3 million in the first quarter of 2021 due to this amendment.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on our term loan facility was 1.86% as of March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2022</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January 2021, we redeemed our outstanding 6.50% senior notes due 2022. The redemption price for the notes was 100.0% of the principal amount, plus accrued and unpaid interest. We paid for the redemption with available cash. We recorded a debt extinguishment loss of $5 million in our first quarter 2021 results of operations due to this redemption.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Perpetual Preferred Stock and Warrants</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2011, we issued 75,000 shares of the Series A Preferred Stock with an initial liquidation preference of $1,000 per share which are convertible into shares of our common stock at a conversion price of $7.00 per common share (subject to customary anti-dilution adjustments). We also issued warrants exercisable for shares of our common stock at an initial exercise price of $7.00 per common share (subject to customary anti-dilution adjustments). Our preferred stock pays quarterly cash dividends equal to the greater of: (i) the “as-converted” dividends on our underlying common stock for the relevant quarter and (ii) 4% of the then-applicable liquidation preference per annum.</w:t>
      </w:r>
    </w:p>
    <w:p>
      <w:pPr>
        <w:spacing w:after="0" w:line="6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December 2020, some holders of our convertible preferred stock exchanged their holdings for a combination of our common stock, based on the stated conversion price, and a lump-sum payment that represents an approximation of the net present value of the future dividends payable on the preferred stock. Additionally, some holders of our warrants exchanged (or committed to exchange subject to the satisfaction of certain customary closing conditions) their holdings, including Jacobs Private Equity, LLC, an entity controlled by the Company’s chairman and chief executive officer, for a number of shares of our common stock equal to the number of shares of common stock that such holder would be entitled to receive upon an exercise of the warrants less the number of shares of common stock that have an approximate value equal to the exercise price of the warrants. With respect to the preferred stock, through December 31, 2020, 69,445 shares were exchanged, and we issued 9.9 million shares of common stock and paid $22 million of cash. With respect to the warrants, through December 31, 2020, 0.3 million warrants were exchanged, and we issued 0.3 million shares of common stock. In the first quarter of 2021, 975 preferred shares were exchanged, and we issued 0.1 million shares of common stock. With respect to the warrants, in the first quarter of 2021, 9.8 million warrants were exchanged, and we issued 9.2 million shares of common stock. These exchanges are intended to simplify our equity capital structure, including in contemplation of our previously announced plan to pursue a spin-off of our Logistics segment. As of March 31, 2021, 40 shares of preferred stock remain outstanding, which are convertible into 5,714 shares of our common stock, and no warrants are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February 2019, our Board of Directors authorized additional repurchases of up to $1.5 billion of our common stock. Our share repurchase authorization permits us to purchase shares in both the open market and in private transactions, with the timing and number of shares dependent on a variety of factors, including price, general business conditions, market conditions, alternative investment opportunities and funding considerations. We are not obligated to repurchase any specific number of shares and may suspend or discontinue the program at any time.</w:t>
      </w:r>
    </w:p>
    <w:p>
      <w:pPr>
        <w:spacing w:after="0" w:line="63"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In the first quarter of 2020, we purchased and retired 2 million shares at an aggregate value of $114 million. The share purchases were funded by our available cash and proceeds from our 2019 debt offerings. There were no share purchases in the first quarter of 2021. Our remaining share repurchase authorization was $503 million as of March 31,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compute basic and diluted earnings per share using the two-class method, which allocates earnings to participating securities. The participating securities in 2020 consisted of our Series A Convertible Perpetual Preferred Stock. The undistributed earnings are allocated between common shares and participating securities as if all earnings had been distributed during the period. Losses are not allocated to the preferred shares. As discussed in Note 8— Stockholders’ Equity, we recorded a preferred stock conversion charge in December 2020 in connection with the conversion of our Series A preferred stock.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and diluted earnings per share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4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260" w:type="dxa"/>
            <w:vAlign w:val="bottom"/>
          </w:tcPr>
          <w:p>
            <w:pPr>
              <w:spacing w:after="0"/>
              <w:rPr>
                <w:sz w:val="16"/>
                <w:szCs w:val="16"/>
                <w:color w:val="auto"/>
              </w:rPr>
            </w:pPr>
          </w:p>
        </w:tc>
        <w:tc>
          <w:tcPr>
            <w:tcW w:w="1060" w:type="dxa"/>
            <w:vAlign w:val="bottom"/>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24"/>
        </w:trPr>
        <w:tc>
          <w:tcPr>
            <w:tcW w:w="8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common share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r>
      <w:tr>
        <w:trPr>
          <w:trHeight w:val="230"/>
        </w:trPr>
        <w:tc>
          <w:tcPr>
            <w:tcW w:w="8480" w:type="dxa"/>
            <w:vAlign w:val="bottom"/>
            <w:gridSpan w:val="2"/>
          </w:tcPr>
          <w:p>
            <w:pPr>
              <w:ind w:left="220"/>
              <w:spacing w:after="0"/>
              <w:rPr>
                <w:sz w:val="20"/>
                <w:szCs w:val="20"/>
                <w:color w:val="auto"/>
              </w:rPr>
            </w:pPr>
            <w:r>
              <w:rPr>
                <w:rFonts w:ascii="Arial" w:cs="Arial" w:eastAsia="Arial" w:hAnsi="Arial"/>
                <w:sz w:val="18"/>
                <w:szCs w:val="18"/>
                <w:color w:val="auto"/>
              </w:rPr>
              <w:t>Net income attributable to XPO</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8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Series A preferred stock dividends</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480" w:type="dxa"/>
            <w:vAlign w:val="bottom"/>
            <w:gridSpan w:val="2"/>
          </w:tcPr>
          <w:p>
            <w:pPr>
              <w:ind w:left="220"/>
              <w:spacing w:after="0"/>
              <w:rPr>
                <w:sz w:val="20"/>
                <w:szCs w:val="20"/>
                <w:color w:val="auto"/>
              </w:rPr>
            </w:pPr>
            <w:r>
              <w:rPr>
                <w:rFonts w:ascii="Arial" w:cs="Arial" w:eastAsia="Arial" w:hAnsi="Arial"/>
                <w:sz w:val="18"/>
                <w:szCs w:val="18"/>
                <w:color w:val="auto"/>
              </w:rPr>
              <w:t>Non-cash allocation of undistributed earnings</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4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shares, basic</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weighted-average common shares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Basic earnings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70"/>
        </w:trPr>
        <w:tc>
          <w:tcPr>
            <w:tcW w:w="8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0"/>
        </w:trPr>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Diluted earnings per common share</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shares, 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8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weighted-average common shares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84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Dilutive effect of stock-based awards and warrants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weighted-average common shares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8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9"/>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70"/>
        </w:trPr>
        <w:tc>
          <w:tcPr>
            <w:tcW w:w="8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Potential common shares excluded</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Certain shares were not included in the computation of diluted earnings per share because the effect was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Legal and Regulatory Matters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involved, and will continue to be involved, in numerous proceedings arising out of the conduct of our business. These proceedings may include claims for property damage or personal injury incurred in connection with the transportation of freight, claims regarding anti-competitive practices, and employment-related claims, including claims involving asserted breaches of employee restrictive covenants. These matters also include numerous putative class action, multi-plaintiff and individual lawsuits, and administrative proceedings involving claims that our owner-operators or contract carriers should be treated as employees, rather than independent contractors (“misclassification claims”). These lawsuits and proceedings may seek substantial monetary damages (including claims for unpaid wages, overtime, failure to provide meal and rest breaks, unreimbursed business expenses, penalties and other items), injunctive relief, or both.</w:t>
      </w:r>
    </w:p>
    <w:p>
      <w:pPr>
        <w:spacing w:after="0" w:line="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establish accruals for specific legal proceedings when it is considered probable that a loss has been incurred and the amount of the loss can be reasonably estimated. We review and adjust accruals for loss contingencies quarterly and as additional information becomes available. If a loss is not both probable and reasonably estimable, or if an exposure to loss exists in excess of the amount accrued, we assess whether there is at least a reasonable possibility that a loss, or additional loss, may have been incurred. If there is a reasonable possibility that a loss, or additional loss, may have been incurred, we disclose the estimate of the possible loss or range of loss if it is material and an estimate can be made, or disclose that such an estimate cannot be made. The determination as to whether a loss can reasonably be considered to be possible or probable is based on our assessment, together with legal counsel, regarding the ultimate outcome of the matter.</w:t>
      </w:r>
    </w:p>
    <w:p>
      <w:pPr>
        <w:spacing w:after="0" w:line="6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believe that we have adequately accrued for the potential impact of loss contingencies that are probable and reasonably estimable. We do not believe that the ultimate resolution of any matters to which we are presently a party will have a material adverse effect on our results of operations, financial condition or cash flows. However, the results of these matters cannot be predicted with certainty, and an unfavorable resolution of one or more of these matters could have a material adverse effect on our financial condition, results of operations or cash flows. Legal costs incurred related to these matters are expensed as incurred.</w:t>
      </w:r>
    </w:p>
    <w:p>
      <w:pPr>
        <w:spacing w:after="0" w:line="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carry liability and excess umbrella insurance policies that we deem sufficient to cover potential legal claims arising in the normal course of conducting our operations as a transportation and logistics company. The liability and excess umbrella insurance policies generally do not cover the misclassification claims described in this note. In the event we are required to satisfy a legal claim outside the scope of the coverage provided by insurance, our financial condition, results of operations or cash flows could be negatively impacted.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w:t>
      </w:r>
    </w:p>
    <w:p>
      <w:pPr>
        <w:spacing w:after="0" w:line="12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On April 6, 2021, the Company announced a buy-out offer to be followed by a squeeze-out for the remaining 3% of XPO Logistics Europe that it does not already own, at a price of €315 per share for 341,887 shares. It is expected that the total cash consideration to be paid in connection with this offer will be approximately €108 million (approximately $128 million). The offer will be subject to review by the Supervisory Board of XPO Logistics Europe, as well as regulatory bodies, and is expected to close in the second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 Regarding Forward-Looking Statements</w:t>
      </w:r>
    </w:p>
    <w:p>
      <w:pPr>
        <w:spacing w:after="0" w:line="11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i w:val="1"/>
          <w:iCs w:val="1"/>
          <w:color w:val="auto"/>
        </w:rPr>
        <w:t>This Quarterly Report on Form 10-Q and other written reports and oral statements we make from time to time contain forward-looking statements within the meaning of Section 27A of the Securities Act of 1933, as amended (the “Securities Act”), and Section 21E of the Securities Exchange Act of 1934, as amended (the “Exchange Act”).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those discussed below and the risks discussed in the Company’s other filings with the Securities and Exchange Commission (the “SEC”). All forward-looking statements set forth in this Quarterly Report are qualified by these cautionary statements, and there can be no assurance that the actual results or developments anticipated by the Company will be realized or, even if substantially realized, that they will have the expected consequence to or effects on the Company or its business or operations. The following discussion should be read in conjunction with the Company’s unaudited Condensed Consolidated Financial Statements and related notes thereto included elsewhere in this Quarterly Report, and with the audited consolidated financial statements and related notes thereto included in the 2020 Annual Report on Form 10-K. Forward-looking statements set forth in this Quarterly Report speak only as of the date hereof, and we do not undertake any obligation to update forward-looking statements to reflect subsequent events or circumstances, changes in expectations or the occurrence of unanticipated events, except to the extent required by law.</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jc w:val="both"/>
        <w:ind w:right="360"/>
        <w:spacing w:after="0" w:line="277" w:lineRule="auto"/>
        <w:rPr>
          <w:sz w:val="20"/>
          <w:szCs w:val="20"/>
          <w:color w:val="auto"/>
        </w:rPr>
      </w:pPr>
      <w:r>
        <w:rPr>
          <w:rFonts w:ascii="Arial" w:cs="Arial" w:eastAsia="Arial" w:hAnsi="Arial"/>
          <w:sz w:val="18"/>
          <w:szCs w:val="18"/>
          <w:color w:val="auto"/>
        </w:rPr>
        <w:t>XPO Logistics, Inc., a Delaware corporation, together with its subsidiaries (“XPO,” or “we”), provides cutting-edge supply chain solutions to the most successful companies in the world.</w:t>
      </w:r>
    </w:p>
    <w:p>
      <w:pPr>
        <w:spacing w:after="0" w:line="62"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We have two reporting segments: Transportation and Logistics, each with robust service offerings, leadership positions and growth prospects. In 2020, approximately 62% of our revenue came from Transportation, and the remaining 38% came from Logistics. Within each segment, we are positioned to capitalize on fast-growing areas of demand.</w:t>
      </w:r>
    </w:p>
    <w:p>
      <w:pPr>
        <w:spacing w:after="0" w:line="7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December 2020, we announced that our Board of Directors unanimously approved a plan to pursue a spin-off of 100% of our Logistics segment as a separate publicly traded company. We intend to structure the spin-off as a distribution that is generally tax-free for U.S. federal income tax purposes to XPO shareholders (except with respect to any cash received in lieu of fractional shares) and would result in XPO shareholders owning stock in both companies.</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completed, the spin-off will result in separate public companies with clearly delineated service offerings. XPO will be a global provider of primarily less-than-truckload (“LTL”) transportation and truck brokerage services, and GXO Logistics, Inc. (“GXO”), the planned spin-off, will be the second largest contract logistics provider in the world. Both companies’ stocks are expected to trade on the New York Stock Exchange, and we plan to consider a dual listing on the London Stock Exchange for GXO in due course.</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transaction is currently expected to be completed in the second half of 2021, subject to various conditions, including the approval of XPO’s board of directors. There can be no assurance that the spin-off will occur or, if it does occur, of its terms or timing.</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Separately, we acquired the majority of Kuehne + Nagel’s contract logistics operations in the United Kingdom and Ireland in January 2021. The operations, which include roughly 5,700 employees and provide a range of logistics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services, including inbound and outbound distribution, reverse logistics management and inventory management, are included in our Logistics segment.</w:t>
      </w:r>
    </w:p>
    <w:p>
      <w:pPr>
        <w:spacing w:after="0" w:line="140"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As of March 31, 2021, we had approximately 140,000 team members (comprised of approximately 108,000 full-time and part-time employees and 32,000 third-party, temporary workers), and 1,621 locations in 30 countries. Substantially all of our services operate under the single brand of XPO Logistics. We use our highly integrated network to help more than 50,000 customers operate their supply chains most efficiently.</w:t>
      </w:r>
    </w:p>
    <w:p>
      <w:pPr>
        <w:spacing w:after="0" w:line="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Maintaining strong liquidity has been and will continue to be a top priority for XPO, and is consistent with our pursuit of investment-grade ratings for both XPO and GXO. As discussed in greater detail below, as of March 31, 2021, we had $1.7 billion of available liquidity, including $629 million of cash and cash equivalents.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Transportation Segment</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Transportation segment facilitates the movement of raw materials, parts and finished goods. Our largest service offering within the Transportation segment is LTL, which contributed 43% of 2020 segment revenue. We are a top three provider of LTL services in North America, and we have one of the largest LTL networks in Western Europe.</w:t>
      </w:r>
    </w:p>
    <w:p>
      <w:pPr>
        <w:spacing w:after="0" w:line="7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other primary service offering within the Transportation segment is truck brokerage. We are the second largest brokerage provider globally and the third largest brokerage provider in North America. As of March 31, 2021, we had truck brokerage relationships with approximately 81,000 independent carriers representing over 1,000,000 trucks. The results of our truck brokerage operations are included as part of our freight brokerage services, which include additional, asset-light services for expedite, intermodal and drayage.</w:t>
      </w:r>
    </w:p>
    <w:p>
      <w:pPr>
        <w:spacing w:after="0" w:line="7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owned capacity of our transportation model includes approximately 13,000 tractors and 35,000 trailers operated by professional drivers employed by XPO. This equipment is related primarily to our LTL operations in North America. Our fleet also supports our brokerage operations as needed.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Logistics Segment</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Logistics segment, which we sometimes refer to as supply chain, provides order fulfillment and other distribution services differentiated by our ability to deliver technology-enabled, customized solutions. XPO is the second largest provider of contract logistics globally, with one of the largest outsourced e-fulfillment platforms.</w:t>
      </w:r>
    </w:p>
    <w:p>
      <w:pPr>
        <w:spacing w:after="0" w:line="7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Our logistics services include high-value-add warehousing and distribution, order fulfillment and personalization, cold-chain logistics, packaging and labeling, aftermarket support, inventory management and supply chain optimization. In addition, many of our e-commerce facilities manage merchandise returns, also known as reverse logistics. Depending on the merchandise being returned, this fast-growing area of logistics can include inspection, testing, repackaging, refurbishment, resale or product disposal, as well as refunding and warranty management. Reverse logistics services are mission-critical for companies with consumer end-markets, as shoppers increasingly “test-drive” the merchandise they buy online.</w:t>
      </w:r>
    </w:p>
    <w:p>
      <w:pPr>
        <w:spacing w:after="0" w:line="6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of March 31, 2021, we operated 210 million square feet (20 million square meters) of logistics warehouse space worldwide. Approximately 99 million square feet (9 million square meters) was located in North America; 104 million square feet (10 million square meters) was located in Europe; and 7 million square feet (1 million square meters) was located in Asia.</w:t>
      </w:r>
    </w:p>
    <w:p>
      <w:pPr>
        <w:spacing w:after="0" w:line="7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logistics customers primarily operate in industries with high-growth outsourcing opportunities, including e-commerce and retail, food and beverage, consumer packaged goods, technology, aerospace, telecommunications, industrial and manufacturing, chemicals, agribusiness, life sciences and healthcare.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Philosophy</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believe that our rapid pace of innovation differentiates our services, enables us to better utilize our assets and makes the most of the talent within our organization. Our proprietary technology strengthens our relationships with customers by addressing their immediate supply chain needs in ways that accommodate their strategic plans, such as entry into new markets. Technology allows us to be a true partner to our customers by helping them meet their objectives for efficiency, safety, customer service and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When developing our technology, we concentrate our efforts in four areas that can create value for our shareholders and our customers, primarily by creating “smart” supply chains: our digital freight marketplace, automation and intelligent machines, dynamic data science, and visibility, particularly as it affects customer service in the e-commerce supply chain.</w:t>
      </w:r>
    </w:p>
    <w:p>
      <w:pPr>
        <w:spacing w:after="0" w:line="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Environmental sustainability is a significant priority for us. In the U.S., XPO has been named a Top 75 Green Supply Chain Partner by </w:t>
      </w:r>
      <w:r>
        <w:rPr>
          <w:rFonts w:ascii="Arial" w:cs="Arial" w:eastAsia="Arial" w:hAnsi="Arial"/>
          <w:sz w:val="18"/>
          <w:szCs w:val="18"/>
          <w:i w:val="1"/>
          <w:iCs w:val="1"/>
          <w:color w:val="auto"/>
        </w:rPr>
        <w:t>Inbound Logistics</w:t>
      </w:r>
      <w:r>
        <w:rPr>
          <w:rFonts w:ascii="Arial" w:cs="Arial" w:eastAsia="Arial" w:hAnsi="Arial"/>
          <w:sz w:val="18"/>
          <w:szCs w:val="18"/>
          <w:color w:val="auto"/>
        </w:rPr>
        <w:t xml:space="preserve"> for five consecutive years. In France, we have renewed our commitment to the CO2 Charter for another three years. In Spain, all of our sites meet Leadership in Energy and Environmental Design (“LEED”) energy certification standards for 100% consumption of renewable energy. In the U.K., the Digital Distribution Warehouse of the Future we created with Nestlé operates with environmentally friendly ammonia refrigeration systems, energy-saving lighting, air-source heat pumps for administration areas and rainwater harvesting.</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More broadly in our Logistics segment, a number of our facilities are ISO 14001-certified, which ensures environmental and other regulatory compliances. We monitor fuel emissions from forklifts, with protocols in place to take immediate corrective action if needed. Our packaging engineers ensure that the optimal carton size is used for each product slated for distribution, and when feasible, we purchase recycled packaging. As a byproduct of managing returned merchandise, we recycle millions of electronic components and batteries each year.</w:t>
      </w:r>
    </w:p>
    <w:p>
      <w:pPr>
        <w:spacing w:after="0" w:line="7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our Transportation segment, we have made substantial investments in fuel-efficient tractors that use Environmental Protection Agency 2013-compliant and Greenhouse Gas 2014- compliant Selective Catalytic Reduction technology for our LTL business in North America. Our LTL drivers operate from terminals that have energy-saving policies in place and are implementing a phased upgrade to LED lighting.</w:t>
      </w:r>
    </w:p>
    <w:p>
      <w:pPr>
        <w:spacing w:after="0" w:line="76"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In Europe, our modern road fleet is 98% compliant with Euro V, EEV and Euro VI standards. We also own a large alternative-fuel road fleet that operates in France, the U.K., Spain and Portugal, including more than 250 natural gas vehicles. In Spain, we own government-approved mega-trucks to transport freight with fewer trips, and our last mile operations in Europe use electric vehicles for deliveries in certain urban areas, reducing those emissions to zero.</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w:t>
      </w:r>
    </w:p>
    <w:p>
      <w:pPr>
        <w:spacing w:after="0" w:line="12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As a global provider of supply chain solutions, our business can be impacted to varying degrees by factors beyond our control. The rapid escalation of COVID-19 into a pandemic in 2020 affected, and will continue to affect, economic activity broadly and customer sectors served by our industry.</w:t>
      </w:r>
    </w:p>
    <w:p>
      <w:pPr>
        <w:spacing w:after="0" w:line="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the COVID-19 pandemic and associated impacts on economic activity had an adverse effect on our results of operations and financial condition for the three months ended March 31, 2021 and 2020, as discussed below.</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Due to the evolving nature of the pandemic, it remains difficult to predict the extent of the impact on our industry generally and our business in particular. Furthermore, the extent and pace of a recovery remains uncertain and may differ significantly among the countries in which we operate. We expect that our results of operations will continue to be impacted by the pandemic throughout 2021.</w:t>
      </w:r>
    </w:p>
    <w:p>
      <w:pPr>
        <w:spacing w:after="0" w:line="7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have incurred net incremental and direct costs related to COVID-19 to ensure that we meet the needs of our employees and customers; these include costs for personal protective equipment (“PPE”), site cleanings and enhanced employee benefits. The majority of our cost base is variable, and while we expect to continue to incur additional costs related to the pandemic, we also have the ability to continue to adjust our expenses to address significant changes in demand for our services, if necessary, as we did in 2020. These actions include reduced use of contractors, reduced employee hours, furloughs, layoffs and required use of paid time off, consistent with applicable regulations.</w:t>
      </w:r>
    </w:p>
    <w:p>
      <w:pPr>
        <w:spacing w:after="0" w:line="6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totality of the actions we have taken during the pandemic, and continue to take, combined with the variable components of our cost structure, have mitigated the impact on our profitability relative to the impact on our revenue and volumes, while our strong liquidity and disciplined capital management enable us to continue to invest in key growth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Summary Financial Table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March</w:t>
            </w:r>
          </w:p>
        </w:tc>
        <w:tc>
          <w:tcPr>
            <w:tcW w:w="200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Percent of Revenue</w:t>
            </w:r>
          </w:p>
        </w:tc>
        <w:tc>
          <w:tcPr>
            <w:tcW w:w="9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31,</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4"/>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24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68"/>
              <w:spacing w:after="0" w:line="185" w:lineRule="exact"/>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8"/>
                <w:szCs w:val="18"/>
                <w:b w:val="1"/>
                <w:bCs w:val="1"/>
                <w:color w:val="auto"/>
                <w:vertAlign w:val="superscript"/>
              </w:rPr>
              <w:t>(1)</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68"/>
              <w:spacing w:after="0" w:line="185" w:lineRule="exact"/>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8"/>
                <w:szCs w:val="18"/>
                <w:b w:val="1"/>
                <w:bCs w:val="1"/>
                <w:color w:val="auto"/>
                <w:vertAlign w:val="superscript"/>
              </w:rPr>
              <w:t>(2)</w:t>
            </w:r>
          </w:p>
        </w:tc>
        <w:tc>
          <w:tcPr>
            <w:tcW w:w="100" w:type="dxa"/>
            <w:vAlign w:val="bottom"/>
          </w:tcPr>
          <w:p>
            <w:pPr>
              <w:spacing w:after="0"/>
              <w:rPr>
                <w:sz w:val="16"/>
                <w:szCs w:val="16"/>
                <w:color w:val="auto"/>
              </w:rPr>
            </w:pPr>
          </w:p>
        </w:tc>
        <w:tc>
          <w:tcPr>
            <w:tcW w:w="9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6"/>
              </w:rPr>
              <w:t>2021 vs. 2020</w:t>
            </w:r>
          </w:p>
        </w:tc>
        <w:tc>
          <w:tcPr>
            <w:tcW w:w="0" w:type="dxa"/>
            <w:vAlign w:val="bottom"/>
          </w:tcPr>
          <w:p>
            <w:pPr>
              <w:spacing w:after="0"/>
              <w:rPr>
                <w:sz w:val="1"/>
                <w:szCs w:val="1"/>
                <w:color w:val="auto"/>
              </w:rPr>
            </w:pPr>
          </w:p>
        </w:tc>
      </w:tr>
      <w:tr>
        <w:trPr>
          <w:trHeight w:val="183"/>
        </w:trPr>
        <w:tc>
          <w:tcPr>
            <w:tcW w:w="6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3,864</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23.6 %</w:t>
            </w:r>
          </w:p>
        </w:tc>
        <w:tc>
          <w:tcPr>
            <w:tcW w:w="0" w:type="dxa"/>
            <w:vAlign w:val="bottom"/>
          </w:tcPr>
          <w:p>
            <w:pPr>
              <w:spacing w:after="0"/>
              <w:rPr>
                <w:sz w:val="1"/>
                <w:szCs w:val="1"/>
                <w:color w:val="auto"/>
              </w:rPr>
            </w:pPr>
          </w:p>
        </w:tc>
      </w:tr>
      <w:tr>
        <w:trPr>
          <w:trHeight w:val="188"/>
        </w:trPr>
        <w:tc>
          <w:tcPr>
            <w:tcW w:w="624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 of transportation and services</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1,898</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48.8 %</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49.1 %</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22.7 %</w:t>
            </w:r>
          </w:p>
        </w:tc>
        <w:tc>
          <w:tcPr>
            <w:tcW w:w="0" w:type="dxa"/>
            <w:vAlign w:val="bottom"/>
          </w:tcPr>
          <w:p>
            <w:pPr>
              <w:spacing w:after="0"/>
              <w:rPr>
                <w:sz w:val="1"/>
                <w:szCs w:val="1"/>
                <w:color w:val="auto"/>
              </w:rPr>
            </w:pPr>
          </w:p>
        </w:tc>
      </w:tr>
      <w:tr>
        <w:trPr>
          <w:trHeight w:val="19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Direct operating expense</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35.2 %</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21.8 %</w:t>
            </w:r>
          </w:p>
        </w:tc>
        <w:tc>
          <w:tcPr>
            <w:tcW w:w="0" w:type="dxa"/>
            <w:vAlign w:val="bottom"/>
          </w:tcPr>
          <w:p>
            <w:pPr>
              <w:spacing w:after="0"/>
              <w:rPr>
                <w:sz w:val="1"/>
                <w:szCs w:val="1"/>
                <w:color w:val="auto"/>
              </w:rPr>
            </w:pPr>
          </w:p>
        </w:tc>
      </w:tr>
      <w:tr>
        <w:trPr>
          <w:trHeight w:val="188"/>
        </w:trPr>
        <w:tc>
          <w:tcPr>
            <w:tcW w:w="62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Sales, general and administrative expense</w:t>
            </w: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12.3 %</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13.6 %</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12.0 %</w:t>
            </w:r>
          </w:p>
        </w:tc>
        <w:tc>
          <w:tcPr>
            <w:tcW w:w="0" w:type="dxa"/>
            <w:vAlign w:val="bottom"/>
          </w:tcPr>
          <w:p>
            <w:pPr>
              <w:spacing w:after="0"/>
              <w:rPr>
                <w:sz w:val="1"/>
                <w:szCs w:val="1"/>
                <w:color w:val="auto"/>
              </w:rPr>
            </w:pPr>
          </w:p>
        </w:tc>
      </w:tr>
      <w:tr>
        <w:trPr>
          <w:trHeight w:val="184"/>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Operating income</w:t>
            </w: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4.2 %</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149.4 %</w:t>
            </w:r>
          </w:p>
        </w:tc>
        <w:tc>
          <w:tcPr>
            <w:tcW w:w="0" w:type="dxa"/>
            <w:vAlign w:val="bottom"/>
          </w:tcPr>
          <w:p>
            <w:pPr>
              <w:spacing w:after="0"/>
              <w:rPr>
                <w:sz w:val="1"/>
                <w:szCs w:val="1"/>
                <w:color w:val="auto"/>
              </w:rPr>
            </w:pPr>
          </w:p>
        </w:tc>
      </w:tr>
      <w:tr>
        <w:trPr>
          <w:trHeight w:val="179"/>
        </w:trPr>
        <w:tc>
          <w:tcPr>
            <w:tcW w:w="6240" w:type="dxa"/>
            <w:vAlign w:val="bottom"/>
            <w:gridSpan w:val="2"/>
          </w:tcPr>
          <w:p>
            <w:pPr>
              <w:ind w:left="220"/>
              <w:spacing w:after="0"/>
              <w:rPr>
                <w:sz w:val="20"/>
                <w:szCs w:val="20"/>
                <w:color w:val="auto"/>
              </w:rPr>
            </w:pPr>
            <w:r>
              <w:rPr>
                <w:rFonts w:ascii="Arial" w:cs="Arial" w:eastAsia="Arial" w:hAnsi="Arial"/>
                <w:sz w:val="14"/>
                <w:szCs w:val="14"/>
                <w:color w:val="auto"/>
              </w:rPr>
              <w:t>Other income</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44.4 %</w:t>
            </w:r>
          </w:p>
        </w:tc>
        <w:tc>
          <w:tcPr>
            <w:tcW w:w="0" w:type="dxa"/>
            <w:vAlign w:val="bottom"/>
          </w:tcPr>
          <w:p>
            <w:pPr>
              <w:spacing w:after="0"/>
              <w:rPr>
                <w:sz w:val="1"/>
                <w:szCs w:val="1"/>
                <w:color w:val="auto"/>
              </w:rPr>
            </w:pPr>
          </w:p>
        </w:tc>
      </w:tr>
      <w:tr>
        <w:trPr>
          <w:trHeight w:val="192"/>
        </w:trPr>
        <w:tc>
          <w:tcPr>
            <w:tcW w:w="62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Foreign currency gain</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86"/>
        </w:trPr>
        <w:tc>
          <w:tcPr>
            <w:tcW w:w="6240" w:type="dxa"/>
            <w:vAlign w:val="bottom"/>
            <w:gridSpan w:val="2"/>
          </w:tcPr>
          <w:p>
            <w:pPr>
              <w:ind w:left="220"/>
              <w:spacing w:after="0"/>
              <w:rPr>
                <w:sz w:val="20"/>
                <w:szCs w:val="20"/>
                <w:color w:val="auto"/>
              </w:rPr>
            </w:pPr>
            <w:r>
              <w:rPr>
                <w:rFonts w:ascii="Arial" w:cs="Arial" w:eastAsia="Arial" w:hAnsi="Arial"/>
                <w:sz w:val="14"/>
                <w:szCs w:val="14"/>
                <w:color w:val="auto"/>
              </w:rPr>
              <w:t>Debt extinguishment loss</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0.2 %</w:t>
            </w:r>
          </w:p>
        </w:tc>
        <w:tc>
          <w:tcPr>
            <w:tcW w:w="10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96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2"/>
        </w:trPr>
        <w:tc>
          <w:tcPr>
            <w:tcW w:w="62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79"/>
        </w:trPr>
        <w:tc>
          <w:tcPr>
            <w:tcW w:w="624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before income tax provision</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3.2 %</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0.9 %</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337.1 %</w:t>
            </w:r>
          </w:p>
        </w:tc>
        <w:tc>
          <w:tcPr>
            <w:tcW w:w="0" w:type="dxa"/>
            <w:vAlign w:val="bottom"/>
          </w:tcPr>
          <w:p>
            <w:pPr>
              <w:spacing w:after="0"/>
              <w:rPr>
                <w:sz w:val="1"/>
                <w:szCs w:val="1"/>
                <w:color w:val="auto"/>
              </w:rPr>
            </w:pPr>
          </w:p>
        </w:tc>
      </w:tr>
      <w:tr>
        <w:trPr>
          <w:trHeight w:val="192"/>
        </w:trPr>
        <w:tc>
          <w:tcPr>
            <w:tcW w:w="62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Income tax provision</w:t>
            </w:r>
          </w:p>
        </w:tc>
        <w:tc>
          <w:tcPr>
            <w:tcW w:w="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0.7 %</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0.3 %</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250.0 %</w:t>
            </w:r>
          </w:p>
        </w:tc>
        <w:tc>
          <w:tcPr>
            <w:tcW w:w="0" w:type="dxa"/>
            <w:vAlign w:val="bottom"/>
          </w:tcPr>
          <w:p>
            <w:pPr>
              <w:spacing w:after="0"/>
              <w:rPr>
                <w:sz w:val="1"/>
                <w:szCs w:val="1"/>
                <w:color w:val="auto"/>
              </w:rPr>
            </w:pPr>
          </w:p>
        </w:tc>
      </w:tr>
      <w:tr>
        <w:trPr>
          <w:trHeight w:val="179"/>
        </w:trPr>
        <w:tc>
          <w:tcPr>
            <w:tcW w:w="624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0.6 %</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372.0 %</w:t>
            </w:r>
          </w:p>
        </w:tc>
        <w:tc>
          <w:tcPr>
            <w:tcW w:w="0" w:type="dxa"/>
            <w:vAlign w:val="bottom"/>
          </w:tcPr>
          <w:p>
            <w:pPr>
              <w:spacing w:after="0"/>
              <w:rPr>
                <w:sz w:val="1"/>
                <w:szCs w:val="1"/>
                <w:color w:val="auto"/>
              </w:rPr>
            </w:pPr>
          </w:p>
        </w:tc>
      </w:tr>
      <w:tr>
        <w:trPr>
          <w:trHeight w:val="24"/>
        </w:trPr>
        <w:tc>
          <w:tcPr>
            <w:tcW w:w="6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NM - Not meaningful</w:t>
      </w:r>
    </w:p>
    <w:p>
      <w:pPr>
        <w:spacing w:after="0" w:line="109" w:lineRule="exact"/>
        <w:rPr>
          <w:sz w:val="20"/>
          <w:szCs w:val="20"/>
          <w:color w:val="auto"/>
        </w:rPr>
      </w:pPr>
    </w:p>
    <w:p>
      <w:pPr>
        <w:ind w:left="500" w:right="40" w:hanging="330"/>
        <w:spacing w:after="0" w:line="273" w:lineRule="auto"/>
        <w:tabs>
          <w:tab w:leader="none" w:pos="492" w:val="left"/>
        </w:tabs>
        <w:numPr>
          <w:ilvl w:val="0"/>
          <w:numId w:val="5"/>
        </w:numPr>
        <w:rPr>
          <w:rFonts w:ascii="Arial" w:cs="Arial" w:eastAsia="Arial" w:hAnsi="Arial"/>
          <w:sz w:val="14"/>
          <w:szCs w:val="14"/>
          <w:color w:val="auto"/>
        </w:rPr>
      </w:pPr>
      <w:r>
        <w:rPr>
          <w:rFonts w:ascii="Arial" w:cs="Arial" w:eastAsia="Arial" w:hAnsi="Arial"/>
          <w:sz w:val="14"/>
          <w:szCs w:val="14"/>
          <w:color w:val="auto"/>
        </w:rPr>
        <w:t>Consolidated operating income for the three months ended March 31, 2021 includes $18 million of transaction and integration costs and $4 million of restructuring expense. $1 million of the transaction and integration costs relate to our Transportation segment, $5 million relate to our Logistics segment and $12 million relate to Corporate.</w:t>
      </w:r>
    </w:p>
    <w:p>
      <w:pPr>
        <w:spacing w:after="0" w:line="65" w:lineRule="exact"/>
        <w:rPr>
          <w:rFonts w:ascii="Arial" w:cs="Arial" w:eastAsia="Arial" w:hAnsi="Arial"/>
          <w:sz w:val="14"/>
          <w:szCs w:val="14"/>
          <w:color w:val="auto"/>
        </w:rPr>
      </w:pPr>
    </w:p>
    <w:p>
      <w:pPr>
        <w:ind w:left="500" w:right="40" w:hanging="330"/>
        <w:spacing w:after="0" w:line="273" w:lineRule="auto"/>
        <w:tabs>
          <w:tab w:leader="none" w:pos="492" w:val="left"/>
        </w:tabs>
        <w:numPr>
          <w:ilvl w:val="0"/>
          <w:numId w:val="5"/>
        </w:numPr>
        <w:rPr>
          <w:rFonts w:ascii="Arial" w:cs="Arial" w:eastAsia="Arial" w:hAnsi="Arial"/>
          <w:sz w:val="14"/>
          <w:szCs w:val="14"/>
          <w:color w:val="auto"/>
        </w:rPr>
      </w:pPr>
      <w:r>
        <w:rPr>
          <w:rFonts w:ascii="Arial" w:cs="Arial" w:eastAsia="Arial" w:hAnsi="Arial"/>
          <w:sz w:val="14"/>
          <w:szCs w:val="14"/>
          <w:color w:val="auto"/>
        </w:rPr>
        <w:t>Consolidated operating income for the three months ended March 31, 2020 includes $44 million of transaction and integration costs and $3 million of restructuring expense. $7 million of the transaction and integration costs relate to our Transportation segment, $7 million relate to our Logistics segment and $30 million relate to Corporate.</w:t>
      </w:r>
    </w:p>
    <w:p>
      <w:pPr>
        <w:spacing w:after="0" w:line="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transaction and integration costs for the first three months of 2021 are primarily related to the planned spin-off of the Logistics segment and our acquisition of the Kuehne + Nagel business. The transaction and integration costs for the first three months of 2020 are primarily related to our previously announced exploration of strategic alternatives that was terminated in March 2020. For further information on our restructuring actions, see Note 5— Restructuring Charges to the Condensed Consolidated Financial Statements. We also incurred in the first three months of 2021 and 2020, net incremental and direct costs as a result of the COVID-19 pandemic.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Compared with Three Months Ended March 31, 2020</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Revenue for the first quarter of 2021 increased 23.6% to $4.8 billion, compared with the same period in 2020. The increase in revenue in the first three months of 2021 compared to the same period in 2020 reflects strong growth in both our transportation and logistics businesses, including the impact of the acquired Kuehne + Nagel business in January 2021, which contributed approximately 3.1 percentage points to revenue growth. Additionally, foreign currency movement increased revenue by approximately 3.2 percentage points in the first quarter of 2021.</w:t>
      </w:r>
    </w:p>
    <w:p>
      <w:pPr>
        <w:spacing w:after="0" w:line="6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Cost of transportation and services includes the cost of providing or procuring freight transportation for XPO customers and salaries paid to employee drivers in our LTL and truckload businesses.</w:t>
      </w:r>
    </w:p>
    <w:p>
      <w:pPr>
        <w:spacing w:after="0" w:line="62"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Cost of transportation and services for the first quarter of 2021 was $2.3 billion, or 48.8% of revenue, compared with $1.9 billion, or 49.1% of revenue, for the same period in 2020. The year-over-year decrease as a percentage of revenue for the first three months of 2021 was primarily driven by a higher mix of logistics revenue, partially offset by increased third-party transportation costs in our transportation segment.</w:t>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Direct operating expenses are comprised of both fixed and variable expenses and consist of operating costs related to our warehousing facilities and LTL service centers. Direct operating expenses consist mainly of personnel costs, facility and equipment expenses, such as rent, utilities, equipment maintenance and repair, costs of materials and supplies, information technology expenses, depreciation expense, and gains and losses on sales of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Direct operating expense for the first three months of 2021 was $1.7 billion, or 34.7% of revenue, compared with $1.4 billion, or 35.2% of revenue, for the same period in 2020. The year-over-year decrease as a percentage of revenue was primarily driven by lower personnel and facilities costs as a percentage of revenue as we leveraged our fixed costs across increased revenues this quarter, partially offset by a higher mix of logistics revenue. Additionally, the first quarters of 2021 and 2020 included $24 million and $27 million, respectively, from gains on sales of property and equipment.</w:t>
      </w:r>
    </w:p>
    <w:p>
      <w:pPr>
        <w:spacing w:after="0" w:line="63"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Sales, general and administrative expense (“SG&amp;A”) primarily consists of salaries and commissions for the sales function, salary and benefit costs for executive and certain administration functions, depreciation and amortization expense, professional fees, facility costs, bad debt expense and legal costs.</w:t>
      </w:r>
    </w:p>
    <w:p>
      <w:pPr>
        <w:spacing w:after="0" w:line="1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SG&amp;A for the first quarter of 2021 was $588 million, or 12.3% of revenue, compared with $525 million, or 13.6% of revenue, for the same period in 2020. SG&amp;A for the first three months of 2021 included approximately $13 million of expenses related to the planned spin-off of our Logistics segment, including professional service fees. In comparison, SG&amp;A for the first three months of 2020 included approximately $40 million of expenses related to our exploration of strategic alternatives that was terminated in March 2020, including professional service fees and employee retention costs.</w:t>
      </w:r>
    </w:p>
    <w:p>
      <w:pPr>
        <w:spacing w:after="0" w:line="4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Other income primarily consists of pension income. Other income for the first quarter of 2021 was $26 million of income, compared with $18 million of income for the same period in 2020. The year-over-year increase primarily reflects higher net periodic pension income in the first quarter of 2021, compared with the same period in 2020.</w:t>
      </w:r>
    </w:p>
    <w:p>
      <w:pPr>
        <w:spacing w:after="0" w:line="7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Foreign currency gain was a $2 million gain for the first quarter of 2021, compared with an $8 million gain for the same period in 2020. Foreign currency gain in the first quarter of 2021 primarily reflected foreign currency transaction and measurement gains. Foreign currency gain in the first quarter of 2020 primarily reflected realized and unrealized gains on foreign currency option and forward contracts and other derivative contracts, including a gain on a terminated net investment hedge. For additional information on our foreign currency option and forward contracts, see Note 6—Derivative Instruments to our Condensed Consolidated Financial Statements.</w:t>
      </w:r>
    </w:p>
    <w:p>
      <w:pPr>
        <w:spacing w:after="0" w:line="8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Debt extinguishment loss was $8 million for the first three months of 2021 and related to the write-off of debt issuance costs for the redemption of our outstanding senior notes due 2022, as well as costs related to the amendment of our term loan credit agreement. There were no debt extinguishment losses in the first quarter of 2020.</w:t>
      </w:r>
    </w:p>
    <w:p>
      <w:pPr>
        <w:spacing w:after="0" w:line="7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Interest expense decreased to $69 million for the first quarter of 2021 from $72 million for the first quarter of 2020. Interest expense reflected the issuance of the senior notes due 2025 in the second quarter of 2020, partially offset by the redemption of the senior notes due 2022 in the first quarter of 2021.</w:t>
      </w:r>
    </w:p>
    <w:p>
      <w:pPr>
        <w:spacing w:after="0" w:line="1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Our effective income tax rates were 22.8% and 30.2% for the first three months of 2021 and 2020, respectively. The effective tax rates for the first quarter of 2021 and 2020 were based on forecasted full-year effective tax rates, adjusted for discrete items that occurred within the periods presented. The change in our effective tax rate for the first quarter of 2021 compared to the same quarter in 2020 was primarily driven by higher pre-tax book income which diluted the impact of contribution- and margin-based taxes. The primary discrete item impacting the effective tax rate for the first quarter of 2021 was a tax benefit of $4 million from stock-based compensation. There were no material discrete items impacting the effective tax rate for the first quarter of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Charges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engage in restructuring actions as part of our ongoing efforts to best use our resources and infrastructure. We recorded restructuring charges of</w:t>
      </w:r>
    </w:p>
    <w:p>
      <w:pPr>
        <w:spacing w:after="0" w:line="35"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$4 million and $3 million in Sales, general and administrative expense on our Condensed Consolidated Statements of Income for the first three months of 2021 and 2020, respectively.</w:t>
      </w:r>
    </w:p>
    <w:p>
      <w:pPr>
        <w:spacing w:after="0" w:line="7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For more information, see Note 5—Restructuring Charges to the Condensed Consolidated Financial Statements. We may incur incremental restructuring costs in 2021 in connection with the planned spin-off of our Logistics segment or for other reasons; however, we are currently unable to reasonably estimate these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Transportation Segment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4"/>
              </w:rPr>
              <w:t>Three Months Ended March</w:t>
            </w:r>
          </w:p>
        </w:tc>
        <w:tc>
          <w:tcPr>
            <w:tcW w:w="200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Percent of Revenue</w:t>
            </w:r>
          </w:p>
        </w:tc>
        <w:tc>
          <w:tcPr>
            <w:tcW w:w="9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w w:val="81"/>
              </w:rPr>
              <w:t>31,</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4"/>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4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9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9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6"/>
              </w:rPr>
              <w:t>2021 vs. 2020</w:t>
            </w:r>
          </w:p>
        </w:tc>
        <w:tc>
          <w:tcPr>
            <w:tcW w:w="0" w:type="dxa"/>
            <w:vAlign w:val="bottom"/>
          </w:tcPr>
          <w:p>
            <w:pPr>
              <w:spacing w:after="0"/>
              <w:rPr>
                <w:sz w:val="1"/>
                <w:szCs w:val="1"/>
                <w:color w:val="auto"/>
              </w:rPr>
            </w:pPr>
          </w:p>
        </w:tc>
      </w:tr>
      <w:tr>
        <w:trPr>
          <w:trHeight w:val="184"/>
        </w:trPr>
        <w:tc>
          <w:tcPr>
            <w:tcW w:w="6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2,989</w:t>
            </w: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2,459</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21.6 %</w:t>
            </w:r>
          </w:p>
        </w:tc>
        <w:tc>
          <w:tcPr>
            <w:tcW w:w="0" w:type="dxa"/>
            <w:vAlign w:val="bottom"/>
          </w:tcPr>
          <w:p>
            <w:pPr>
              <w:spacing w:after="0"/>
              <w:rPr>
                <w:sz w:val="1"/>
                <w:szCs w:val="1"/>
                <w:color w:val="auto"/>
              </w:rPr>
            </w:pPr>
          </w:p>
        </w:tc>
      </w:tr>
      <w:tr>
        <w:trPr>
          <w:trHeight w:val="188"/>
        </w:trPr>
        <w:tc>
          <w:tcPr>
            <w:tcW w:w="624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income</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7.0 %</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4.9 %</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74.2 %</w:t>
            </w:r>
          </w:p>
        </w:tc>
        <w:tc>
          <w:tcPr>
            <w:tcW w:w="0" w:type="dxa"/>
            <w:vAlign w:val="bottom"/>
          </w:tcPr>
          <w:p>
            <w:pPr>
              <w:spacing w:after="0"/>
              <w:rPr>
                <w:sz w:val="1"/>
                <w:szCs w:val="1"/>
                <w:color w:val="auto"/>
              </w:rPr>
            </w:pPr>
          </w:p>
        </w:tc>
      </w:tr>
      <w:tr>
        <w:trPr>
          <w:trHeight w:val="19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Depreciation and amortization</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4.5 %</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Revenue in our Transportation segment increased 21.6% to $3.0 billion for the first quarter of 2021, compared with $2.5 billion for the same period in 2020. The increase in revenue in the first quarter of 2021 reflected strong growth in freight brokerage and LTL revenues. Additionally, foreign currency movement increased revenue by approximately 2.5 percentage points in the first quarter of 2021.</w:t>
      </w:r>
    </w:p>
    <w:p>
      <w:pPr>
        <w:spacing w:after="0" w:line="7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Operating income in our Transportation segment was $209 million, or 7.0% of revenue, for the first quarter of 2021, compared with $120 million, or 4.9% of revenue, for the same period in 2020. The increase in operating income in the first three months of 2021 was primarily driven by higher revenue, partially offset by higher third-party transportation and personnel costs. Additionally, the first quarter of 2020 included approximately $7 million of expenses related to our exploration of strategic alternatives.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Logistics Segment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4"/>
              </w:rPr>
              <w:t>Three Months Ended March</w:t>
            </w:r>
          </w:p>
        </w:tc>
        <w:tc>
          <w:tcPr>
            <w:tcW w:w="200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Percent of Revenue</w:t>
            </w:r>
          </w:p>
        </w:tc>
        <w:tc>
          <w:tcPr>
            <w:tcW w:w="9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w w:val="81"/>
              </w:rPr>
              <w:t>31,</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4"/>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4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9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9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6"/>
              </w:rPr>
              <w:t>2021 vs. 2020</w:t>
            </w:r>
          </w:p>
        </w:tc>
        <w:tc>
          <w:tcPr>
            <w:tcW w:w="0" w:type="dxa"/>
            <w:vAlign w:val="bottom"/>
          </w:tcPr>
          <w:p>
            <w:pPr>
              <w:spacing w:after="0"/>
              <w:rPr>
                <w:sz w:val="1"/>
                <w:szCs w:val="1"/>
                <w:color w:val="auto"/>
              </w:rPr>
            </w:pPr>
          </w:p>
        </w:tc>
      </w:tr>
      <w:tr>
        <w:trPr>
          <w:trHeight w:val="184"/>
        </w:trPr>
        <w:tc>
          <w:tcPr>
            <w:tcW w:w="6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1,818</w:t>
            </w: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1,437</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26.5 %</w:t>
            </w:r>
          </w:p>
        </w:tc>
        <w:tc>
          <w:tcPr>
            <w:tcW w:w="0" w:type="dxa"/>
            <w:vAlign w:val="bottom"/>
          </w:tcPr>
          <w:p>
            <w:pPr>
              <w:spacing w:after="0"/>
              <w:rPr>
                <w:sz w:val="1"/>
                <w:szCs w:val="1"/>
                <w:color w:val="auto"/>
              </w:rPr>
            </w:pPr>
          </w:p>
        </w:tc>
      </w:tr>
      <w:tr>
        <w:trPr>
          <w:trHeight w:val="188"/>
        </w:trPr>
        <w:tc>
          <w:tcPr>
            <w:tcW w:w="624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income</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3.7 %</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78.9 %</w:t>
            </w:r>
          </w:p>
        </w:tc>
        <w:tc>
          <w:tcPr>
            <w:tcW w:w="0" w:type="dxa"/>
            <w:vAlign w:val="bottom"/>
          </w:tcPr>
          <w:p>
            <w:pPr>
              <w:spacing w:after="0"/>
              <w:rPr>
                <w:sz w:val="1"/>
                <w:szCs w:val="1"/>
                <w:color w:val="auto"/>
              </w:rPr>
            </w:pPr>
          </w:p>
        </w:tc>
      </w:tr>
      <w:tr>
        <w:trPr>
          <w:trHeight w:val="19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Depreciation and amortization</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Revenue in our Logistics segment increased 26.5% to $1.8 billion for the first quarter of 2021, compared with $1.4 billion for the same period in 2020. The increase in revenue in the first quarter of 2021 compared to the same period in 2020 reflects strong growth in our European business, including the impact of the acquired Kuehne + Nagel business in January 2021, which contributed approximately 8.2 percentage points to segment revenue growth. Additionally, foreign currency movement increased revenue by approximately 5.5 percentage points in the first quarter of 2021.</w:t>
      </w:r>
    </w:p>
    <w:p>
      <w:pPr>
        <w:spacing w:after="0" w:line="63"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Operating income in our Logistics segment was $68 million, or 3.7% of revenue, for the first quarter of 2021, compared with operating income of $38 million, or 2.6% of revenue, for the same period in 2020. The increase was primarily driven by higher revenue, partially offset by higher personnel and facilities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2021, we had cash and cash equivalents of $629 million. Our principal existing sources of cash are (i) cash generated from operations; (ii)</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borrowings available under our Second Amended and Restated Revolving Loan Credit Agreement, as amended (the “ABL Facility”); and (iii) proceeds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the issuance of other debt. As of March 31, 2021, we have $1.084 billion available to draw under our ABL Facility, based on a borrowing base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 billion and outstanding letters of credit of $16 million. Additionally, under our Senior Secured Term Loan Credit Agreement, we have a $200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uncommitted secured evergreen letter of credit facility, under which we have issued $198 million in aggregate face amount of letters of credit as of March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31, 2021.</w:t>
      </w:r>
    </w:p>
    <w:p>
      <w:pPr>
        <w:spacing w:after="0" w:line="10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continually evaluate our liquidity requirements in light of our operating needs, growth initiatives and capital resources. We believe that our existing liquidity and sources of capital are sufficient to support our operations over the next 12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117"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We sell certain of our trade accounts receivable on a non-recourse basis to third-party financial institutions under factoring agreements. We account for these transactions as sales of receivables and present cash proceeds as cash provided by operating activities in the Condensed Consolidated Statements of Cash Flows. We also sell trade accounts receivable under a securitization program described below. We use trade receivables securitization and factoring programs to help manage our cash flows and offset the impact of extended payment terms for some of our customers.</w:t>
      </w:r>
    </w:p>
    <w:p>
      <w:pPr>
        <w:spacing w:after="0" w:line="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XPO Logistics Europe SA (“XPO Logistics Europe”), one of our majority-owned subsidiaries, participates in a trade receivables securitization program co-arranged by three European banks (the “Purchasers”). Under the program, a wholly-owned bankruptcy-remote special purpose entity of XPO Logistics Europe sells trade receivables that originate with wholly-owned subsidiaries of XPO Logistics Europe in the United Kingdom and France to unaffiliated entities managed by the Purchasers. The special purpose entity is a variable interest entity and is consolidated by XPO based on our control of the entity’s activities.</w:t>
      </w:r>
    </w:p>
    <w:p>
      <w:pPr>
        <w:spacing w:after="0" w:line="8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Condensed Consolidated Balance Sheets at the date of transfer. In the securitization and factoring arrangements, our continuing involvement is limited to servicing the receivables. The fair value of any servicing assets and liabilities is immaterial. Our trade receivables securitization program permits us to borrow, on an unsecured basis, cash collected in a servicing capacity on previously sold receivables, which we report within short-term debt on our Condensed Consolidated Balance Sheets. We had no such borrowings outstanding as of March 31, 2021 and €41 million ($50 million) as of December 31, 2020.</w:t>
      </w:r>
    </w:p>
    <w:p>
      <w:pPr>
        <w:spacing w:after="0" w:line="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maximum amount of net cash proceeds available at any one time under the securitization program, inclusive of any unsecured borrowings, is €400 million (approximately $469 million as of March 31, 2021). As of March 31, 2021, €82 million (approximately $96 million) was available to us, subject to having sufficient receivables available to sell to the Purchasers.</w:t>
      </w:r>
    </w:p>
    <w:p>
      <w:pPr>
        <w:spacing w:after="0" w:line="7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Under the program, we service the receivables we sell on behalf of the Purchasers, which gives us visibility into the timing of customer payments. The benefit to our cash flow includes the difference between the cash consideration in the table below and the amount we collected as a servicer on behalf of the Purchasers. In the first quarter of 2021 and 2020, we collected cash as servicer of $770 million and $690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180" w:type="dxa"/>
            <w:vAlign w:val="bottom"/>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4"/>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Securitization programs</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r>
      <w:tr>
        <w:trPr>
          <w:trHeight w:val="230"/>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Receivables sold in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229"/>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consideration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70"/>
        </w:trPr>
        <w:tc>
          <w:tcPr>
            <w:tcW w:w="7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0"/>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Factoring programs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Receivables sold in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29"/>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consideration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Facilities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the first quarter of 2021, we amended the Term Loan Credit Agreement to consolidate our tranches and lower the interest rate. The applicable terms of the Term Loan Credit Agreement are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1054"/>
              <w:spacing w:after="0"/>
              <w:rPr>
                <w:sz w:val="20"/>
                <w:szCs w:val="20"/>
                <w:color w:val="auto"/>
              </w:rPr>
            </w:pPr>
            <w:r>
              <w:rPr>
                <w:rFonts w:ascii="Arial" w:cs="Arial" w:eastAsia="Arial" w:hAnsi="Arial"/>
                <w:sz w:val="14"/>
                <w:szCs w:val="14"/>
                <w:b w:val="1"/>
                <w:bCs w:val="1"/>
                <w:color w:val="auto"/>
              </w:rPr>
              <w:t>December 31, 2020</w:t>
            </w:r>
          </w:p>
        </w:tc>
      </w:tr>
      <w:tr>
        <w:trPr>
          <w:trHeight w:val="188"/>
        </w:trPr>
        <w:tc>
          <w:tcPr>
            <w:tcW w:w="60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First Tranche</w:t>
            </w:r>
          </w:p>
        </w:tc>
        <w:tc>
          <w:tcPr>
            <w:tcW w:w="240" w:type="dxa"/>
            <w:vAlign w:val="bottom"/>
          </w:tcPr>
          <w:p>
            <w:pPr>
              <w:spacing w:after="0"/>
              <w:rPr>
                <w:sz w:val="16"/>
                <w:szCs w:val="16"/>
                <w:color w:val="auto"/>
              </w:rPr>
            </w:pPr>
          </w:p>
        </w:tc>
        <w:tc>
          <w:tcPr>
            <w:tcW w:w="1440" w:type="dxa"/>
            <w:vAlign w:val="bottom"/>
          </w:tcPr>
          <w:p>
            <w:pPr>
              <w:jc w:val="right"/>
              <w:ind w:right="254"/>
              <w:spacing w:after="0"/>
              <w:rPr>
                <w:sz w:val="20"/>
                <w:szCs w:val="20"/>
                <w:color w:val="auto"/>
              </w:rPr>
            </w:pPr>
            <w:r>
              <w:rPr>
                <w:rFonts w:ascii="Arial" w:cs="Arial" w:eastAsia="Arial" w:hAnsi="Arial"/>
                <w:sz w:val="14"/>
                <w:szCs w:val="14"/>
                <w:b w:val="1"/>
                <w:bCs w:val="1"/>
                <w:color w:val="auto"/>
                <w:w w:val="99"/>
              </w:rPr>
              <w:t>Second Tranche</w:t>
            </w:r>
          </w:p>
        </w:tc>
      </w:tr>
      <w:tr>
        <w:trPr>
          <w:trHeight w:val="224"/>
        </w:trPr>
        <w:tc>
          <w:tcPr>
            <w:tcW w:w="5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Principal balance</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2,003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1,503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500</w:t>
            </w:r>
          </w:p>
        </w:tc>
      </w:tr>
      <w:tr>
        <w:trPr>
          <w:trHeight w:val="230"/>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Interest spread:</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6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Base rate loans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r>
      <w:tr>
        <w:trPr>
          <w:trHeight w:val="229"/>
        </w:trPr>
        <w:tc>
          <w:tcPr>
            <w:tcW w:w="6000" w:type="dxa"/>
            <w:vAlign w:val="bottom"/>
            <w:gridSpan w:val="2"/>
          </w:tcPr>
          <w:p>
            <w:pPr>
              <w:ind w:left="220"/>
              <w:spacing w:after="0"/>
              <w:rPr>
                <w:sz w:val="20"/>
                <w:szCs w:val="20"/>
                <w:color w:val="auto"/>
              </w:rPr>
            </w:pPr>
            <w:r>
              <w:rPr>
                <w:rFonts w:ascii="Arial" w:cs="Arial" w:eastAsia="Arial" w:hAnsi="Arial"/>
                <w:sz w:val="18"/>
                <w:szCs w:val="18"/>
                <w:color w:val="auto"/>
              </w:rPr>
              <w:t>LIBOR loans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2.50 %</w:t>
            </w:r>
          </w:p>
        </w:tc>
      </w:tr>
      <w:tr>
        <w:trPr>
          <w:trHeight w:val="23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Maturity date</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February 2025</w:t>
            </w: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February 2025</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2025</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recorded a debt extinguishment loss of $3 million in the first quarter of 2021 due to this amendment.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2022</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January 2021, we redeemed our outstanding 6.50% senior notes due 2022. The redemption price for the notes was 100.0% of the principal amount, plus accrued and unpaid interest. We paid for the redemption with available cash. We recorded a debt extinguishment loss of $5 million in our first quarter 2021 results of operations due to this redemption.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and Warrant Exchanges</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December 2020, some holders of our convertible preferred stock exchanged their holdings for a combination of our common stock, based on the stated conversion price, and a lump-sum payment that represents an approximation of the net present value of the future dividends payable on the preferred stock. Additionally, some holders of our warrants exchanged (or committed to exchange subject to the satisfaction of certain customary closing conditions) their holdings, including Jacobs Private Equity, LLC, an entity controlled by the Company’s chairman and chief executive officer, for a number of shares of our common stock equal to the number of shares of common stock that such holder would be entitled to receive upon an exercise of the warrants less the number of shares of common stock that have an approximate value equal to the exercise price of the warrants. With respect to the preferred stock, through December 31, 2020, 69,445 shares were exchanged, and we issued 9.9 million shares of common stock and paid $22 million of cash. With respect to the warrants, through December 31, 2020, 0.3 million warrants were exchanged, and we issued 0.3 million shares of common stock. In the first quarter of 2021, 975 preferred shares were exchanged, and we issued 0.1 million shares of common stock. With respect to the warrants, in the first quarter of 2021, 9.8 million warrants were exchanged, and we issued 9.2 million shares of common stock. These exchanges are intended to simplify our equity capital structure, including in contemplation of our previously announced plan to pursue a spin-off of our Logistics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February 2019, our Board of Directors authorized additional repurchases of up to $1.5 billion of our common stock. Our share repurchase authorization permits us to purchase shares in both the open market and in private transactions, with the timing and number of shares dependent on a variety of factors, including price, general business conditions, market conditions, alternative investment opportunities and funding considerations. We are not obligated to repurchase any specific number of shares and may suspend or discontinue the program at any time.</w:t>
      </w:r>
    </w:p>
    <w:p>
      <w:pPr>
        <w:spacing w:after="0" w:line="63"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In the first quarter of 2020, we purchased and retired 2 million shares at an aggregate value of $114 million. The share purchases were funded by our available cash and proceeds from our 2019 debt offerings. There were no share purchases in the first quarter of 2021. Our remaining share repurchase authorization was $503 million as of March 31,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Covenants and Compliance</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March 31, 2021, we were in compliance with the covenants and other provisions of our debt agreements. Any failure to comply with any material provision or covenant of these agreements could have a material adverse effect on our liquidity and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ind w:left="260"/>
              <w:spacing w:after="0"/>
              <w:rPr>
                <w:sz w:val="20"/>
                <w:szCs w:val="20"/>
                <w:color w:val="auto"/>
              </w:rPr>
            </w:pPr>
            <w:r>
              <w:rPr>
                <w:rFonts w:ascii="Arial" w:cs="Arial" w:eastAsia="Arial" w:hAnsi="Arial"/>
                <w:sz w:val="14"/>
                <w:szCs w:val="14"/>
                <w:b w:val="1"/>
                <w:bCs w:val="1"/>
                <w:color w:val="auto"/>
              </w:rPr>
              <w:t>2020</w:t>
            </w:r>
          </w:p>
        </w:tc>
      </w:tr>
      <w:tr>
        <w:trPr>
          <w:trHeight w:val="224"/>
        </w:trPr>
        <w:tc>
          <w:tcPr>
            <w:tcW w:w="79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180</w:t>
            </w:r>
          </w:p>
        </w:tc>
      </w:tr>
      <w:tr>
        <w:trPr>
          <w:trHeight w:val="229"/>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w w:val="99"/>
              </w:rPr>
              <w:t>(79)</w:t>
            </w: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668</w:t>
            </w: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9"/>
              </w:rPr>
              <w:t>(19)</w:t>
            </w: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750</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three months ended March 31, 2021, we: (i) generated cash from operating activities of $173 million and (ii) generated proceeds from sales of property and equipment of $36 million. We used cash during this period primarily to: (i) purchase property and equipment of $140 million; (ii) redeem our senior notes due 2022 for $1.2 billion; (iii) repay our ABL Facility borrowings of $200 million; and (iv) repay borrowings related to our securitization program of $49 million.</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three months ended March 31, 2020, we: (i) generated cash from operating activities of $180 million; (ii) received net proceeds of $782 million from our issuances of debt and short-term borrowings and (iii) generated proceeds from sales of property and equipment (primarily real estate) of $54 million. We used cash during this period primarily to: (i) purchase property and equipment of $139 million and (ii) repurchase common stock of $114 million.</w:t>
      </w:r>
    </w:p>
    <w:p>
      <w:pPr>
        <w:spacing w:after="0" w:line="7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Cash flows from operating activities for the three months ended March 31, 2021 decreased by $7 million, compared with the same period in 2020. Accounts receivable were a use of cash for the three months ended March 31, 2021, as compared to a source of cash in the prior period, reflecting higher revenues in the current period and a year-over-year decrease in proceeds from factoring. Partially offsetting the impact of accounts receivable was higher net income of $93 million for the three months ended March 31, 2021, compared with the same period in 2020.</w:t>
      </w:r>
    </w:p>
    <w:p>
      <w:pPr>
        <w:spacing w:after="0" w:line="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Investing activities used $95 million and $79 million of cash in the three months ended March 31, 2021 and 2020, respectively. During the three months ended March 31, 2021, we used $140 million of cash to purchase property and equipment and received $36 million from sales of property and equipment. During the three months ended March 31, 2020, we used $139 million of cash to purchase property and equipment and received $54 million from sales of property and equipment.</w:t>
      </w:r>
    </w:p>
    <w:p>
      <w:pPr>
        <w:spacing w:after="0" w:line="7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Financing activities used $1.5 billion of cash in the three months ended March 31, 2021 and provided $668 million of cash in the three months ended March 31, 2020. The primary uses of cash from financing activities during the first three months of 2021 were $1.2 billion used to redeem the senior notes due 2022, $200 million used to repay borrowings under our ABL Facility and $49 million used to repay our borrowings related to our securitization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program. The primary sources and uses of cash from financing activities during the three months ended March 31, 2020 were $600 million of proceeds from borrowings on our ABL Facility, net of payments and $182 million of net proceeds from borrowings related to our securitization program, partially offset by $114 million used to purchase XPO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three months ended March 31, 2021, there were no material changes to our December 31, 2020 contractual obligations. We anticipate net capital expenditures to be between $500 million and $550 million in 2021 (without giving effect to the planned spin-off of our Logistics segment), which reflects an increase of approximately $25 million from the estimate provided in our 2020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Information related to new accounting standards is included in Note 1—Organization, Description of Business and Basis of Presentation to our Condensed Consolidated Financial Statements in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are exposed to market risk related to changes in interest rates, foreign currency exchange rates and commodity risk. There have been no material changes to our quantitative and qualitative disclosures about market risk during the three months ended March 31, 2021, as compared with the quantitative and qualitative disclosures about market risk described in our Annual Report on Form 10-K for the year ended December 31, 2020.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(“CEO”) and Chief Financial Officer (“CFO”), we conducted an evaluation of the effectiveness of the design and operation of our disclosure controls and procedures, as such term is defined in Rule 13a-15(e) and Rule 15d-15(e) under the Securities Exchange Act of 1934, as amended as of March 31, 2021. Based on that evaluation, our CEO and CFO concluded that our disclosure controls and procedures as of March 31, 2021 were effective as of such time such that the information required to be included in our Securities and Exchange Commission (“SEC”) reports is: (i) recorded, processed, summarized and reported within the time periods specified in SEC rules and forms relating to the Company, including our consolidated subsidiaries; and (ii) accumulated and communicated to our management, including our CEO and CFO, as appropriate to allow timely decisions regarding required disclosure.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the quarter ended March 31, 2021 that have materially affected, or are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Intermodal Drayage Classification Claims</w:t>
      </w:r>
    </w:p>
    <w:p>
      <w:pPr>
        <w:spacing w:after="0" w:line="117"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 xml:space="preserve">Certain of our intermodal drayage subsidiaries are defendants in class action litigations brought by independent contract carriers in California who contracted with these subsidiaries. In these cases, the contract carriers assert that they should be classified as employees, rather than independent contractors. In two related cases pending in Federal District Court in Los Angeles, </w:t>
      </w:r>
      <w:r>
        <w:rPr>
          <w:rFonts w:ascii="Arial" w:cs="Arial" w:eastAsia="Arial" w:hAnsi="Arial"/>
          <w:sz w:val="16"/>
          <w:szCs w:val="16"/>
          <w:i w:val="1"/>
          <w:iCs w:val="1"/>
          <w:color w:val="auto"/>
        </w:rPr>
        <w:t>Alvarez v. XPO Logistics Cartage, LLC</w:t>
      </w:r>
      <w:r>
        <w:rPr>
          <w:rFonts w:ascii="Arial" w:cs="Arial" w:eastAsia="Arial" w:hAnsi="Arial"/>
          <w:sz w:val="16"/>
          <w:szCs w:val="16"/>
          <w:color w:val="auto"/>
        </w:rPr>
        <w:t xml:space="preserve"> and </w:t>
      </w:r>
      <w:r>
        <w:rPr>
          <w:rFonts w:ascii="Arial" w:cs="Arial" w:eastAsia="Arial" w:hAnsi="Arial"/>
          <w:sz w:val="16"/>
          <w:szCs w:val="16"/>
          <w:i w:val="1"/>
          <w:iCs w:val="1"/>
          <w:color w:val="auto"/>
        </w:rPr>
        <w:t>Arrellano v. XPO Port</w:t>
      </w:r>
      <w:r>
        <w:rPr>
          <w:rFonts w:ascii="Arial" w:cs="Arial" w:eastAsia="Arial" w:hAnsi="Arial"/>
          <w:sz w:val="16"/>
          <w:szCs w:val="16"/>
          <w:color w:val="auto"/>
        </w:rPr>
        <w:t xml:space="preserve"> </w:t>
      </w:r>
      <w:r>
        <w:rPr>
          <w:rFonts w:ascii="Arial" w:cs="Arial" w:eastAsia="Arial" w:hAnsi="Arial"/>
          <w:sz w:val="16"/>
          <w:szCs w:val="16"/>
          <w:i w:val="1"/>
          <w:iCs w:val="1"/>
          <w:color w:val="auto"/>
        </w:rPr>
        <w:t>Services, Inc.</w:t>
      </w:r>
      <w:r>
        <w:rPr>
          <w:rFonts w:ascii="Arial" w:cs="Arial" w:eastAsia="Arial" w:hAnsi="Arial"/>
          <w:sz w:val="16"/>
          <w:szCs w:val="16"/>
          <w:color w:val="auto"/>
        </w:rPr>
        <w:t>, the Court has certified classes beginning in April 2016 and March 2013, respectively. Plaintiffs allege that defendants exercised an</w:t>
      </w:r>
      <w:r>
        <w:rPr>
          <w:rFonts w:ascii="Arial" w:cs="Arial" w:eastAsia="Arial" w:hAnsi="Arial"/>
          <w:sz w:val="16"/>
          <w:szCs w:val="16"/>
          <w:i w:val="1"/>
          <w:iCs w:val="1"/>
          <w:color w:val="auto"/>
        </w:rPr>
        <w:t xml:space="preserve"> </w:t>
      </w:r>
      <w:r>
        <w:rPr>
          <w:rFonts w:ascii="Arial" w:cs="Arial" w:eastAsia="Arial" w:hAnsi="Arial"/>
          <w:sz w:val="16"/>
          <w:szCs w:val="16"/>
          <w:color w:val="auto"/>
        </w:rPr>
        <w:t>impermissible degree of control over plaintiffs’ operations through the terms of the parties’ contracts and defendants’ policies, including enforcement of requirements imposed on motor carriers by state and federal law. The particular claims asserted vary from case to case but generally include claims that, should the contract carriers be determined to be employees, they would be entitled to reimbursement for unpaid wages, unpaid overtime, unpaid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wages for missed meal and rest periods, reimbursement of certain of the contract carriers’ business expenses (including fuel and insurance related costs), Labor Code penalties under California’s Private Attorneys General Act, and attorneys’ fees and costs associated with bringing the action. Discovery is ongoing in these matters, and defendants continue to mount a vigorous defense on the merits of plaintiffs’ claims, including as to the threshold issue of employment classification. Both cases are scheduled for trial in September 2021; however, this date may be impacted or significantly delayed by the effect of the COVID-19 pandemic on Court operations, including the scheduling of jury trials. We anticipate further legal rulings from the Court at or before trial that may substantially affect the scope of the claims asserted. As a result, we are unable at this time to estimate the amount of the possible loss or range of loss, if any, that we may incur as a result of these claims.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Litigation</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On December 14, 2018, a putative class action captioned </w:t>
      </w:r>
      <w:r>
        <w:rPr>
          <w:rFonts w:ascii="Arial" w:cs="Arial" w:eastAsia="Arial" w:hAnsi="Arial"/>
          <w:sz w:val="17"/>
          <w:szCs w:val="17"/>
          <w:i w:val="1"/>
          <w:iCs w:val="1"/>
          <w:color w:val="auto"/>
        </w:rPr>
        <w:t>Labul v. XPO Logistics, Inc. et al.</w:t>
      </w:r>
      <w:r>
        <w:rPr>
          <w:rFonts w:ascii="Arial" w:cs="Arial" w:eastAsia="Arial" w:hAnsi="Arial"/>
          <w:sz w:val="17"/>
          <w:szCs w:val="17"/>
          <w:color w:val="auto"/>
        </w:rPr>
        <w:t>, was filed in the U.S. District Court for the District of Connecticut against us and some of our current and former executives, alleging violations of Section 10(b) of the Exchange Act and Rule 10b-5 thereunder, and Section 20(a) of the Exchange Act, based on alleged material misstatements and omissions in our public filings with the U.S. Securities and Exchange Commission. On June 3, 2019, lead plaintiffs Local 817 IBT Pension Fund, Local 272 Labor-Management Pension Fund, and Local 282 Pension Trust Fund and Local 282 Welfare Trust Fund (together, the “Pension Funds”) filed a consolidated class action complaint. Defendants moved to dismiss the consolidated class action complaint on August 2, 2019. On November 4, 2019, the Court dismissed the consolidated class action complaint without prejudice to the filing of an amended complaint. The Pension Funds, on January 3, 2020, filed a first amended consolidated class action complaint against us and a current executive. Defendants moved to dismiss the first amended consolidated class action complaint on March 3, 2020. On March 19, 2021, the Court dismissed the first amended consolidated class action complaint with prejudice and closed the case. The Pension Funds filed a notice of appeal, and the appellate process is ongoing.</w:t>
      </w:r>
    </w:p>
    <w:p>
      <w:pPr>
        <w:spacing w:after="0" w:line="77"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 xml:space="preserve">Also, on May 13, 2019, Adriana Jez filed a purported shareholder derivative action captioned </w:t>
      </w:r>
      <w:r>
        <w:rPr>
          <w:rFonts w:ascii="Arial" w:cs="Arial" w:eastAsia="Arial" w:hAnsi="Arial"/>
          <w:sz w:val="17"/>
          <w:szCs w:val="17"/>
          <w:i w:val="1"/>
          <w:iCs w:val="1"/>
          <w:color w:val="auto"/>
        </w:rPr>
        <w:t>Jez v. Jacobs, et al.</w:t>
      </w:r>
      <w:r>
        <w:rPr>
          <w:rFonts w:ascii="Arial" w:cs="Arial" w:eastAsia="Arial" w:hAnsi="Arial"/>
          <w:sz w:val="17"/>
          <w:szCs w:val="17"/>
          <w:color w:val="auto"/>
        </w:rPr>
        <w:t xml:space="preserve">, (“Jez complaint”) in the U.S. District Court for the District of Delaware, alleging breaches of fiduciary duty, unjust enrichment, waste of corporate assets, and violations of the Exchange Act against some of our current and former directors and officers, with the company as a nominal defendant. The Jez complaint was later consolidated with similar derivative complaints filed by purported shareholders Erin Candler and Kevin Rose under the caption </w:t>
      </w:r>
      <w:r>
        <w:rPr>
          <w:rFonts w:ascii="Arial" w:cs="Arial" w:eastAsia="Arial" w:hAnsi="Arial"/>
          <w:sz w:val="17"/>
          <w:szCs w:val="17"/>
          <w:i w:val="1"/>
          <w:iCs w:val="1"/>
          <w:color w:val="auto"/>
        </w:rPr>
        <w:t>In re XPO Logistics, Inc. Derivative</w:t>
      </w:r>
      <w:r>
        <w:rPr>
          <w:rFonts w:ascii="Arial" w:cs="Arial" w:eastAsia="Arial" w:hAnsi="Arial"/>
          <w:sz w:val="17"/>
          <w:szCs w:val="17"/>
          <w:color w:val="auto"/>
        </w:rPr>
        <w:t xml:space="preserve"> </w:t>
      </w:r>
      <w:r>
        <w:rPr>
          <w:rFonts w:ascii="Arial" w:cs="Arial" w:eastAsia="Arial" w:hAnsi="Arial"/>
          <w:sz w:val="17"/>
          <w:szCs w:val="17"/>
          <w:i w:val="1"/>
          <w:iCs w:val="1"/>
          <w:color w:val="auto"/>
        </w:rPr>
        <w:t>Litigation</w:t>
      </w:r>
      <w:r>
        <w:rPr>
          <w:rFonts w:ascii="Arial" w:cs="Arial" w:eastAsia="Arial" w:hAnsi="Arial"/>
          <w:sz w:val="17"/>
          <w:szCs w:val="17"/>
          <w:color w:val="auto"/>
        </w:rPr>
        <w:t>. On December 12, 2019, the Court ordered plaintiffs to designate an operative complaint or file an amended complaint within 45 days. On</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27, 2020, plaintiffs designated the Jez complaint as the operative complaint in the consolidated cases. Defendants moved to dismiss the operative complaint on February 26, 2020. Rather than file a brief in opposition, on March 27, 2020, plaintiffs moved for leave to file a further amended complaint and to stay briefing on defendants’ motions to dismiss. The Court granted plaintiffs’ motion on July 6, 2020. On April 14, 2021, the Court issued an order staying proceedings pending resolution of an appeal in the Labul action. Plaintiffs stipulated that they will dismiss the shareholder derivative action with prejudice if the Labul dismissal is affirmed on appeal.</w:t>
      </w:r>
    </w:p>
    <w:p>
      <w:pPr>
        <w:spacing w:after="0" w:line="7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believe these suits are without merit and we intend to defend the company vigorously. We are unable at this time to determine the amount of the possible loss or range of loss, if any, that we may incur as a result of these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are no material changes to the risk factors previously disclosed in Part I, Item 1A of our Annual Report on Form 10-K for the year ended December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quarters ended December 31, 2020 and March 31, 2021, following approvals by a disinterested special committee of our Board of Directors and the Audit Committee to the extent required by our policy on related party transactions, we entered into separate exchange agreements with certain holders of our preferred stock and warrants, including some of our directors and officers, pursuant to which (i) holders of our preferred stock exchanged their preferred shares for a combination of (x) our common stock, based on the number of shares of common stock into which our preferred stock was then convertible; and (y) a lump-sum cash payment that represented an approximation of the net present value of the future dividends required by the terms of our preferred stock to be paid by us; and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holders of our warrants exchanged their warrants for the number of shares of our common stock that was equal to the number of shares of common stock that such holder would be entitled to receive upon an exercise of the warrants less the number of shares of our common stock that had an approximate value equal to the exercise price of the warrants, based on the formula set forth in the exchange agreements. With respect to the preferred stock, through December 31, 2020, 69,445 shares were exchanged, and we issued 9,920,709 shares of common stock and paid $22 million of cash. With respect to the warrants, through December 31, 2020, 283,394 warrants were exchanged, and we issued 266,590 shares of common stock. In the first quarter of 2021, 975 preferred shares were exchanged, and we issued 139,284 shares of common stock. With respect to the warrants, in the first quarter of 2021, 9,795,715 warrants were exchanged, and we issued 9,215,094 shares of common stock. The exchange transactions were made to simplify our equity capital structure, including in contemplation of our previously announced plan to pursue a spin-off of our Logistics segment.</w:t>
      </w:r>
    </w:p>
    <w:p>
      <w:pPr>
        <w:spacing w:after="0" w:line="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issuance of the shares of the Company’s common stock described above was made in reliance on the exemption from registration provided by Section 4(a)(2) of the Securities Act of 1933, as amended, only to holders who are “accredited investors” within the meaning of Rule 501 of Regulation D promulgated under the Securities Act. The Company relied on this exemption from registration based in part on representations made by the holders of preferred stock and warrants that participated in the exchange transactions.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36"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3040" w:type="dxa"/>
            <w:vAlign w:val="bottom"/>
          </w:tcPr>
          <w:p>
            <w:pPr>
              <w:jc w:val="center"/>
              <w:ind w:right="2468"/>
              <w:spacing w:after="0"/>
              <w:rPr>
                <w:sz w:val="20"/>
                <w:szCs w:val="20"/>
                <w:color w:val="auto"/>
              </w:rPr>
            </w:pPr>
            <w:r>
              <w:rPr>
                <w:rFonts w:ascii="Arial" w:cs="Arial" w:eastAsia="Arial" w:hAnsi="Arial"/>
                <w:sz w:val="14"/>
                <w:szCs w:val="14"/>
                <w:color w:val="auto"/>
                <w:w w:val="99"/>
              </w:rPr>
              <w:t>Exhibit</w:t>
            </w:r>
          </w:p>
        </w:tc>
        <w:tc>
          <w:tcPr>
            <w:tcW w:w="3220" w:type="dxa"/>
            <w:vAlign w:val="bottom"/>
            <w:vMerge w:val="restart"/>
          </w:tcPr>
          <w:p>
            <w:pPr>
              <w:ind w:left="2540"/>
              <w:spacing w:after="0"/>
              <w:rPr>
                <w:sz w:val="20"/>
                <w:szCs w:val="20"/>
                <w:color w:val="auto"/>
              </w:rPr>
            </w:pPr>
            <w:r>
              <w:rPr>
                <w:rFonts w:ascii="Arial" w:cs="Arial" w:eastAsia="Arial" w:hAnsi="Arial"/>
                <w:sz w:val="14"/>
                <w:szCs w:val="14"/>
                <w:color w:val="auto"/>
                <w:w w:val="94"/>
              </w:rPr>
              <w:t>Description</w:t>
            </w:r>
          </w:p>
        </w:tc>
        <w:tc>
          <w:tcPr>
            <w:tcW w:w="0" w:type="dxa"/>
            <w:vAlign w:val="bottom"/>
          </w:tcPr>
          <w:p>
            <w:pPr>
              <w:spacing w:after="0"/>
              <w:rPr>
                <w:sz w:val="1"/>
                <w:szCs w:val="1"/>
                <w:color w:val="auto"/>
              </w:rPr>
            </w:pPr>
          </w:p>
        </w:tc>
      </w:tr>
      <w:tr>
        <w:trPr>
          <w:trHeight w:val="182"/>
        </w:trPr>
        <w:tc>
          <w:tcPr>
            <w:tcW w:w="3040" w:type="dxa"/>
            <w:vAlign w:val="bottom"/>
          </w:tcPr>
          <w:p>
            <w:pPr>
              <w:jc w:val="center"/>
              <w:ind w:right="2488"/>
              <w:spacing w:after="0"/>
              <w:rPr>
                <w:sz w:val="20"/>
                <w:szCs w:val="20"/>
                <w:color w:val="auto"/>
              </w:rPr>
            </w:pPr>
            <w:r>
              <w:rPr>
                <w:rFonts w:ascii="Arial" w:cs="Arial" w:eastAsia="Arial" w:hAnsi="Arial"/>
                <w:sz w:val="14"/>
                <w:szCs w:val="14"/>
                <w:color w:val="auto"/>
                <w:w w:val="96"/>
              </w:rPr>
              <w:t>Number</w:t>
            </w:r>
          </w:p>
        </w:tc>
        <w:tc>
          <w:tcPr>
            <w:tcW w:w="3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p>
      <w:pPr>
        <w:spacing w:after="0" w:line="11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31.1 *</w:t>
      </w: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31.2 *</w:t>
      </w:r>
    </w:p>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32.1 **</w:t>
      </w:r>
    </w:p>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32.2 **</w:t>
      </w:r>
    </w:p>
    <w:p>
      <w:pPr>
        <w:spacing w:after="0" w:line="200" w:lineRule="exact"/>
        <w:rPr>
          <w:sz w:val="20"/>
          <w:szCs w:val="20"/>
          <w:color w:val="auto"/>
        </w:rPr>
      </w:pPr>
    </w:p>
    <w:p>
      <w:pPr>
        <w:spacing w:after="0" w:line="24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101.INS *</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101.SCH *</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101.CAL *</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101.DEF *</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101.LAB *</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101.PRE *</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104 *</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both"/>
        <w:spacing w:after="0" w:line="311" w:lineRule="auto"/>
        <w:rPr>
          <w:rFonts w:ascii="Arial" w:cs="Arial" w:eastAsia="Arial" w:hAnsi="Arial"/>
          <w:sz w:val="16"/>
          <w:szCs w:val="16"/>
          <w:u w:val="single" w:color="auto"/>
          <w:color w:val="0000FF"/>
        </w:rPr>
      </w:pPr>
      <w:hyperlink r:id="rId42">
        <w:r>
          <w:rPr>
            <w:rFonts w:ascii="Arial" w:cs="Arial" w:eastAsia="Arial" w:hAnsi="Arial"/>
            <w:sz w:val="16"/>
            <w:szCs w:val="16"/>
            <w:u w:val="single" w:color="auto"/>
            <w:color w:val="0000FF"/>
          </w:rPr>
          <w:t>Refinancing Amendment (Amendment No. 6 to Credit Agreement), dated as of March 3, 2021, by and among XPO Logistics, Inc., the</w:t>
        </w:r>
      </w:hyperlink>
      <w:r>
        <w:rPr>
          <w:rFonts w:ascii="Arial" w:cs="Arial" w:eastAsia="Arial" w:hAnsi="Arial"/>
          <w:sz w:val="16"/>
          <w:szCs w:val="16"/>
          <w:u w:val="single" w:color="auto"/>
          <w:color w:val="0000FF"/>
        </w:rPr>
        <w:t xml:space="preserve"> </w:t>
      </w:r>
      <w:hyperlink r:id="rId42">
        <w:r>
          <w:rPr>
            <w:rFonts w:ascii="Arial" w:cs="Arial" w:eastAsia="Arial" w:hAnsi="Arial"/>
            <w:sz w:val="16"/>
            <w:szCs w:val="16"/>
            <w:u w:val="single" w:color="auto"/>
            <w:color w:val="0000FF"/>
          </w:rPr>
          <w:t>subsidiaries signatory thereto, as guarantors, the lenders party thereto and Morgan Stanley Senior Funding, Inc., as administrative agent</w:t>
        </w:r>
      </w:hyperlink>
      <w:r>
        <w:rPr>
          <w:rFonts w:ascii="Arial" w:cs="Arial" w:eastAsia="Arial" w:hAnsi="Arial"/>
          <w:sz w:val="16"/>
          <w:szCs w:val="16"/>
          <w:u w:val="single" w:color="auto"/>
          <w:color w:val="0000FF"/>
        </w:rPr>
        <w:t xml:space="preserve"> </w:t>
      </w:r>
      <w:hyperlink r:id="rId42">
        <w:r>
          <w:rPr>
            <w:rFonts w:ascii="Arial" w:cs="Arial" w:eastAsia="Arial" w:hAnsi="Arial"/>
            <w:sz w:val="16"/>
            <w:szCs w:val="16"/>
            <w:u w:val="single" w:color="auto"/>
            <w:color w:val="0000FF"/>
          </w:rPr>
          <w:t>(incorporated herein by reference to Exhibit 10.1 to the registrant’s Current Report on Form 8-K filed with the SEC on March 3, 2021).</w:t>
        </w:r>
      </w:hyperlink>
    </w:p>
    <w:p>
      <w:pPr>
        <w:spacing w:after="0" w:line="149" w:lineRule="exact"/>
        <w:rPr>
          <w:rFonts w:ascii="Arial" w:cs="Arial" w:eastAsia="Arial" w:hAnsi="Arial"/>
          <w:sz w:val="16"/>
          <w:szCs w:val="16"/>
          <w:u w:val="single" w:color="auto"/>
          <w:color w:val="0000FF"/>
        </w:rPr>
      </w:pPr>
    </w:p>
    <w:p>
      <w:pPr>
        <w:ind w:right="660"/>
        <w:spacing w:after="0" w:line="277" w:lineRule="auto"/>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Certification of the Principal Executive Officer pursuant to Section 302 of the Sarbanes-Oxley Act of 2002, with respect to the</w:t>
        </w:r>
      </w:hyperlink>
      <w:r>
        <w:rPr>
          <w:rFonts w:ascii="Arial" w:cs="Arial" w:eastAsia="Arial" w:hAnsi="Arial"/>
          <w:sz w:val="18"/>
          <w:szCs w:val="18"/>
          <w:u w:val="single" w:color="auto"/>
          <w:color w:val="0000FF"/>
        </w:rPr>
        <w:t xml:space="preserve"> </w:t>
      </w:r>
      <w:hyperlink w:anchor="page34">
        <w:r>
          <w:rPr>
            <w:rFonts w:ascii="Arial" w:cs="Arial" w:eastAsia="Arial" w:hAnsi="Arial"/>
            <w:sz w:val="18"/>
            <w:szCs w:val="18"/>
            <w:u w:val="single" w:color="auto"/>
            <w:color w:val="0000FF"/>
          </w:rPr>
          <w:t>registrant’s Quarterly Report on Form 10-Q for the fiscal quarter ended March 31, 2021.</w:t>
        </w:r>
      </w:hyperlink>
    </w:p>
    <w:p>
      <w:pPr>
        <w:spacing w:after="0" w:line="170" w:lineRule="exact"/>
        <w:rPr>
          <w:sz w:val="20"/>
          <w:szCs w:val="20"/>
          <w:color w:val="auto"/>
        </w:rPr>
      </w:pPr>
    </w:p>
    <w:p>
      <w:pPr>
        <w:ind w:right="700"/>
        <w:spacing w:after="0" w:line="277" w:lineRule="auto"/>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Certification of the Principal Financial Officer pursuant to Section 302 of the Sarbanes-Oxley Act of 2002, with respect to the</w:t>
        </w:r>
      </w:hyperlink>
      <w:r>
        <w:rPr>
          <w:rFonts w:ascii="Arial" w:cs="Arial" w:eastAsia="Arial" w:hAnsi="Arial"/>
          <w:sz w:val="18"/>
          <w:szCs w:val="18"/>
          <w:u w:val="single" w:color="auto"/>
          <w:color w:val="0000FF"/>
        </w:rPr>
        <w:t xml:space="preserve"> </w:t>
      </w:r>
      <w:hyperlink w:anchor="page35">
        <w:r>
          <w:rPr>
            <w:rFonts w:ascii="Arial" w:cs="Arial" w:eastAsia="Arial" w:hAnsi="Arial"/>
            <w:sz w:val="18"/>
            <w:szCs w:val="18"/>
            <w:u w:val="single" w:color="auto"/>
            <w:color w:val="0000FF"/>
          </w:rPr>
          <w:t>registrant’s Quarterly Report on Form 10-Q for the fiscal quarter ended March 31, 2021.</w:t>
        </w:r>
      </w:hyperlink>
    </w:p>
    <w:p>
      <w:pPr>
        <w:spacing w:after="0" w:line="170" w:lineRule="exact"/>
        <w:rPr>
          <w:sz w:val="20"/>
          <w:szCs w:val="20"/>
          <w:color w:val="auto"/>
        </w:rPr>
      </w:pPr>
    </w:p>
    <w:p>
      <w:pPr>
        <w:ind w:right="660"/>
        <w:spacing w:after="0" w:line="277" w:lineRule="auto"/>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Certification of the Principal Executive Officer pursuant to Section 906 of the Sarbanes-Oxley Act of 2002, with respect to the</w:t>
        </w:r>
      </w:hyperlink>
      <w:r>
        <w:rPr>
          <w:rFonts w:ascii="Arial" w:cs="Arial" w:eastAsia="Arial" w:hAnsi="Arial"/>
          <w:sz w:val="18"/>
          <w:szCs w:val="18"/>
          <w:u w:val="single" w:color="auto"/>
          <w:color w:val="0000FF"/>
        </w:rPr>
        <w:t xml:space="preserve"> </w:t>
      </w:r>
      <w:hyperlink w:anchor="page36">
        <w:r>
          <w:rPr>
            <w:rFonts w:ascii="Arial" w:cs="Arial" w:eastAsia="Arial" w:hAnsi="Arial"/>
            <w:sz w:val="18"/>
            <w:szCs w:val="18"/>
            <w:u w:val="single" w:color="auto"/>
            <w:color w:val="0000FF"/>
          </w:rPr>
          <w:t>registrant’s Quarterly Report on Form 10-Q for the fiscal quarter ended March 31, 2021.</w:t>
        </w:r>
      </w:hyperlink>
    </w:p>
    <w:p>
      <w:pPr>
        <w:spacing w:after="0" w:line="170" w:lineRule="exact"/>
        <w:rPr>
          <w:sz w:val="20"/>
          <w:szCs w:val="20"/>
          <w:color w:val="auto"/>
        </w:rPr>
      </w:pPr>
    </w:p>
    <w:p>
      <w:pPr>
        <w:ind w:right="700"/>
        <w:spacing w:after="0" w:line="277" w:lineRule="auto"/>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Certification of the Principal Financial Officer pursuant to Section 906 of the Sarbanes-Oxley Act of 2002, with respect to the</w:t>
        </w:r>
      </w:hyperlink>
      <w:r>
        <w:rPr>
          <w:rFonts w:ascii="Arial" w:cs="Arial" w:eastAsia="Arial" w:hAnsi="Arial"/>
          <w:sz w:val="18"/>
          <w:szCs w:val="18"/>
          <w:u w:val="single" w:color="auto"/>
          <w:color w:val="0000FF"/>
        </w:rPr>
        <w:t xml:space="preserve"> </w:t>
      </w:r>
      <w:hyperlink w:anchor="page37">
        <w:r>
          <w:rPr>
            <w:rFonts w:ascii="Arial" w:cs="Arial" w:eastAsia="Arial" w:hAnsi="Arial"/>
            <w:sz w:val="18"/>
            <w:szCs w:val="18"/>
            <w:u w:val="single" w:color="auto"/>
            <w:color w:val="0000FF"/>
          </w:rPr>
          <w:t>registrant’s Quarterly Report on Form 10-Q for the fiscal quarter ended March 31, 2021.</w:t>
        </w:r>
      </w:hyperlink>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XBRL Instance Document - the instance document does not appear in the Interactive Data File because its XBRL tags are embedded within the Inline XBRL document.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XBRL Taxonomy Extension Schema.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XBRL Taxonomy Extension Calculation Linkbase.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XBRL Taxonomy Extension Definition Linkbase.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XBRL Taxonomy Extension Label Linkbase.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XBRL Taxonomy Extension Presentation Linkbase.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Cover Page Interactive Data File (formatted as inline XBRL and contained in Exhibit 101).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260" w:space="160"/>
            <w:col w:w="9760"/>
          </w:cols>
          <w:pgMar w:left="320" w:top="229" w:right="39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tbl>
      <w:tblPr>
        <w:tblLayout w:type="fixed"/>
        <w:tblInd w:w="474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XPO LOGISTICS, INC.</w:t>
            </w:r>
          </w:p>
        </w:tc>
      </w:tr>
      <w:tr>
        <w:trPr>
          <w:trHeight w:val="391"/>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 Jacobs</w:t>
            </w:r>
          </w:p>
        </w:tc>
      </w:tr>
      <w:tr>
        <w:trPr>
          <w:trHeight w:val="222"/>
        </w:trPr>
        <w:tc>
          <w:tcPr>
            <w:tcW w:w="9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Brad Jacobs</w:t>
            </w:r>
          </w:p>
        </w:tc>
      </w:tr>
      <w:tr>
        <w:trPr>
          <w:trHeight w:val="230"/>
        </w:trPr>
        <w:tc>
          <w:tcPr>
            <w:tcW w:w="9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98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Wyshner</w:t>
            </w:r>
          </w:p>
        </w:tc>
      </w:tr>
      <w:tr>
        <w:trPr>
          <w:trHeight w:val="222"/>
        </w:trPr>
        <w:tc>
          <w:tcPr>
            <w:tcW w:w="9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David Wyshner</w:t>
            </w:r>
          </w:p>
        </w:tc>
      </w:tr>
      <w:tr>
        <w:trPr>
          <w:trHeight w:val="230"/>
        </w:trPr>
        <w:tc>
          <w:tcPr>
            <w:tcW w:w="9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98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229"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Brad Jacobs, certify that:</w:t>
      </w:r>
    </w:p>
    <w:p>
      <w:pPr>
        <w:spacing w:after="0" w:line="117" w:lineRule="exact"/>
        <w:rPr>
          <w:sz w:val="20"/>
          <w:szCs w:val="20"/>
          <w:color w:val="auto"/>
        </w:rPr>
      </w:pPr>
    </w:p>
    <w:p>
      <w:pPr>
        <w:ind w:left="640" w:hanging="187"/>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2021 of XPO Logistics, Inc.;</w:t>
      </w:r>
    </w:p>
    <w:p>
      <w:pPr>
        <w:spacing w:after="0" w:line="117" w:lineRule="exact"/>
        <w:rPr>
          <w:rFonts w:ascii="Arial" w:cs="Arial" w:eastAsia="Arial" w:hAnsi="Arial"/>
          <w:sz w:val="18"/>
          <w:szCs w:val="18"/>
          <w:color w:val="auto"/>
        </w:rPr>
      </w:pPr>
    </w:p>
    <w:p>
      <w:pPr>
        <w:ind w:right="140" w:firstLine="453"/>
        <w:spacing w:after="0" w:line="342" w:lineRule="auto"/>
        <w:tabs>
          <w:tab w:leader="none" w:pos="625"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00" w:firstLine="453"/>
        <w:spacing w:after="0" w:line="277" w:lineRule="auto"/>
        <w:tabs>
          <w:tab w:leader="none" w:pos="625"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80" w:firstLine="453"/>
        <w:spacing w:after="0" w:line="263" w:lineRule="auto"/>
        <w:tabs>
          <w:tab w:leader="none" w:pos="62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80" w:firstLine="899"/>
        <w:spacing w:after="0" w:line="263" w:lineRule="auto"/>
        <w:tabs>
          <w:tab w:leader="none" w:pos="1136"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899"/>
        <w:spacing w:after="0" w:line="263" w:lineRule="auto"/>
        <w:tabs>
          <w:tab w:leader="none" w:pos="1146"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400" w:firstLine="899"/>
        <w:spacing w:after="0" w:line="342" w:lineRule="auto"/>
        <w:tabs>
          <w:tab w:leader="none" w:pos="1136"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40" w:firstLine="899"/>
        <w:spacing w:after="0" w:line="263" w:lineRule="auto"/>
        <w:tabs>
          <w:tab w:leader="none" w:pos="1146"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00" w:firstLine="453"/>
        <w:spacing w:after="0" w:line="308" w:lineRule="auto"/>
        <w:tabs>
          <w:tab w:leader="none" w:pos="62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620" w:firstLine="899"/>
        <w:spacing w:after="0" w:line="308" w:lineRule="auto"/>
        <w:tabs>
          <w:tab w:leader="none" w:pos="1136"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00" w:firstLine="899"/>
        <w:spacing w:after="0" w:line="277" w:lineRule="auto"/>
        <w:tabs>
          <w:tab w:leader="none" w:pos="1146"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Brad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Brad Jacobs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4, 2021</w:t>
      </w:r>
    </w:p>
    <w:p>
      <w:pPr>
        <w:sectPr>
          <w:pgSz w:w="11900" w:h="16838" w:orient="portrait"/>
          <w:cols w:equalWidth="0" w:num="1">
            <w:col w:w="11240"/>
          </w:cols>
          <w:pgMar w:left="320" w:top="1417"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Wyshner, certify that:</w:t>
      </w:r>
    </w:p>
    <w:p>
      <w:pPr>
        <w:spacing w:after="0" w:line="117" w:lineRule="exact"/>
        <w:rPr>
          <w:sz w:val="20"/>
          <w:szCs w:val="20"/>
          <w:color w:val="auto"/>
        </w:rPr>
      </w:pPr>
    </w:p>
    <w:p>
      <w:pPr>
        <w:ind w:left="640" w:hanging="18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2021 of XPO Logistics, Inc.;</w:t>
      </w:r>
    </w:p>
    <w:p>
      <w:pPr>
        <w:spacing w:after="0" w:line="117" w:lineRule="exact"/>
        <w:rPr>
          <w:rFonts w:ascii="Arial" w:cs="Arial" w:eastAsia="Arial" w:hAnsi="Arial"/>
          <w:sz w:val="18"/>
          <w:szCs w:val="18"/>
          <w:color w:val="auto"/>
        </w:rPr>
      </w:pPr>
    </w:p>
    <w:p>
      <w:pPr>
        <w:ind w:right="140" w:firstLine="453"/>
        <w:spacing w:after="0" w:line="342" w:lineRule="auto"/>
        <w:tabs>
          <w:tab w:leader="none" w:pos="625"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00" w:firstLine="453"/>
        <w:spacing w:after="0" w:line="277" w:lineRule="auto"/>
        <w:tabs>
          <w:tab w:leader="none" w:pos="625"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80" w:firstLine="453"/>
        <w:spacing w:after="0" w:line="263" w:lineRule="auto"/>
        <w:tabs>
          <w:tab w:leader="none" w:pos="62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80" w:firstLine="899"/>
        <w:spacing w:after="0" w:line="263" w:lineRule="auto"/>
        <w:tabs>
          <w:tab w:leader="none" w:pos="1136"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899"/>
        <w:spacing w:after="0" w:line="263" w:lineRule="auto"/>
        <w:tabs>
          <w:tab w:leader="none" w:pos="1146"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400" w:firstLine="899"/>
        <w:spacing w:after="0" w:line="342" w:lineRule="auto"/>
        <w:tabs>
          <w:tab w:leader="none" w:pos="1136"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40" w:firstLine="899"/>
        <w:spacing w:after="0" w:line="263" w:lineRule="auto"/>
        <w:tabs>
          <w:tab w:leader="none" w:pos="1146"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00" w:firstLine="453"/>
        <w:spacing w:after="0" w:line="308" w:lineRule="auto"/>
        <w:tabs>
          <w:tab w:leader="none" w:pos="62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620" w:firstLine="899"/>
        <w:spacing w:after="0" w:line="308" w:lineRule="auto"/>
        <w:tabs>
          <w:tab w:leader="none" w:pos="1136"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00" w:firstLine="899"/>
        <w:spacing w:after="0" w:line="277" w:lineRule="auto"/>
        <w:tabs>
          <w:tab w:leader="none" w:pos="1146"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David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Wyshner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4, 2021</w:t>
      </w:r>
    </w:p>
    <w:p>
      <w:pPr>
        <w:sectPr>
          <w:pgSz w:w="11900" w:h="16838" w:orient="portrait"/>
          <w:cols w:equalWidth="0" w:num="1">
            <w:col w:w="11240"/>
          </w:cols>
          <w:pgMar w:left="320" w:top="1417"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I, the undersigned Chief Executive Officer of XPO Logistics, Inc. (the “Company”), hereby certify, based on my knowledge, that the Quarterly Report on Form 10-Q of the Company for the quarter ended March 31, 2021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Brad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Brad Jacobs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4, 2021</w:t>
      </w:r>
    </w:p>
    <w:p>
      <w:pPr>
        <w:sectPr>
          <w:pgSz w:w="11900" w:h="16838" w:orient="portrait"/>
          <w:cols w:equalWidth="0" w:num="1">
            <w:col w:w="11240"/>
          </w:cols>
          <w:pgMar w:left="320" w:top="1417"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I, the undersigned Chief Financial Officer of XPO Logistics, Inc. (the “Company”), hereby certify, based on my knowledge, that the Quarterly Report on Form 10-Q of the Company for the quarter ended March 31, 2021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David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Wyshner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4, 2021</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2" Type="http://schemas.openxmlformats.org/officeDocument/2006/relationships/hyperlink" Target="http://www.sec.gov/Archives/edgar/data/0001166003/000110465921031167/tm21839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2021-05-04T15:22:31Z</dcterms:created>
  <dcterms:modified xsi:type="dcterms:W3CDTF">2021-05-04T15:22:31Z</dcterms:modified>
</cp:coreProperties>
</file>