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Cooper Troy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XPO LOGISTICS,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FIVE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XPO Logistics,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XPO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8"/>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GREENWICH   CT</w:t>
            </w: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06831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8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5"/>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3"/>
          </w:tcPr>
          <w:p>
            <w:pPr>
              <w:jc w:val="right"/>
              <w:ind w:right="96"/>
              <w:spacing w:after="0"/>
              <w:rPr>
                <w:sz w:val="20"/>
                <w:szCs w:val="20"/>
                <w:color w:val="auto"/>
              </w:rPr>
            </w:pPr>
            <w:r>
              <w:rPr>
                <w:rFonts w:ascii="Arial" w:cs="Arial" w:eastAsia="Arial" w:hAnsi="Arial"/>
                <w:sz w:val="17"/>
                <w:szCs w:val="17"/>
                <w:color w:val="0000FF"/>
              </w:rPr>
              <w:t>12/29/2020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25,000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11.46</w:t>
            </w: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168,396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5"/>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3"/>
          </w:tcPr>
          <w:p>
            <w:pPr>
              <w:jc w:val="right"/>
              <w:ind w:right="96"/>
              <w:spacing w:after="0"/>
              <w:rPr>
                <w:sz w:val="20"/>
                <w:szCs w:val="20"/>
                <w:color w:val="auto"/>
              </w:rPr>
            </w:pPr>
            <w:r>
              <w:rPr>
                <w:rFonts w:ascii="Arial" w:cs="Arial" w:eastAsia="Arial" w:hAnsi="Arial"/>
                <w:sz w:val="17"/>
                <w:szCs w:val="17"/>
                <w:color w:val="0000FF"/>
              </w:rPr>
              <w:t>12/29/2020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2"/>
              </w:rPr>
              <w:t>12,527</w:t>
            </w:r>
          </w:p>
        </w:tc>
        <w:tc>
          <w:tcPr>
            <w:tcW w:w="64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(1)</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117.22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155,869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11.46</w:t>
            </w: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12/29/2020</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296"/>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25,000</w:t>
            </w: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3"/>
                <w:szCs w:val="13"/>
                <w:color w:val="0000FF"/>
              </w:rPr>
              <w:t>09/02/2021</w:t>
            </w:r>
          </w:p>
        </w:tc>
        <w:tc>
          <w:tcPr>
            <w:tcW w:w="640" w:type="dxa"/>
            <w:vAlign w:val="bottom"/>
          </w:tcPr>
          <w:p>
            <w:pPr>
              <w:ind w:left="4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Arial" w:cs="Arial" w:eastAsia="Arial" w:hAnsi="Arial"/>
                <w:sz w:val="13"/>
                <w:szCs w:val="13"/>
                <w:color w:val="0000FF"/>
                <w:w w:val="85"/>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-3446145</wp:posOffset>
            </wp:positionV>
            <wp:extent cx="7033895" cy="3488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8805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No shares were sold by the Reporting Person. These shares were withheld by the Issuer to fund the exercise price and tax liability attributable to the exercise of the Employee Stock Options reported on this Form 4. The Employee Stock Options were fully vested and exercisable at the time of the exercise, and there were no related discretionary transactions or open market sales.</w:t>
      </w:r>
    </w:p>
    <w:p>
      <w:pPr>
        <w:spacing w:after="0" w:line="1" w:lineRule="exact"/>
        <w:rPr>
          <w:rFonts w:ascii="Arial" w:cs="Arial" w:eastAsia="Arial" w:hAnsi="Arial"/>
          <w:sz w:val="12"/>
          <w:szCs w:val="12"/>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Employee Stock Options vested in equal annual installments of 20% each, beginning on September 2, 2012 and continuing on the first, second, third and fourth anniversaries thereof. The Employee Stock Options were due to expire on September 2,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Karlis P. Kirsis, Attorney-in- </w:t>
      </w:r>
      <w:r>
        <w:rPr>
          <w:rFonts w:ascii="Arial" w:cs="Arial" w:eastAsia="Arial" w:hAnsi="Arial"/>
          <w:sz w:val="33"/>
          <w:szCs w:val="33"/>
          <w:color w:val="0000FF"/>
          <w:vertAlign w:val="subscript"/>
        </w:rPr>
        <w:t>12/30/2020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1131" TargetMode="External"/><Relationship Id="rId14" Type="http://schemas.openxmlformats.org/officeDocument/2006/relationships/hyperlink" Target="http://www.sec.gov/cgi-bin/browse-edgar?action=getcompany&amp;CIK=00011660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2020-12-30T20:57:51Z</dcterms:created>
  <dcterms:modified xsi:type="dcterms:W3CDTF">2020-12-30T20:57:51Z</dcterms:modified>
</cp:coreProperties>
</file>