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502d3_defa14a.htm"/>
      <w:bookmarkStart w:id="1" w:name="kstm261502d3_defa14a"/>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Preliminary Proxy Statement</w:t>
            </w:r>
          </w:p>
        </w:tc>
      </w:tr>
    </w:tbl>
    <w:p>
      <w:pPr>
        <w:pStyle w:val="TextBody"/>
        <w:bidi w:val="0"/>
        <w:spacing w:before="0" w:after="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245"/>
        <w:gridCol w:w="7760"/>
      </w:tblGrid>
      <w:tr>
        <w:trPr/>
        <w:tc>
          <w:tcPr>
            <w:tcW w:w="245"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Confidential, For Use of the Commission Only (as permitted by Rule 14a-6(e)(2))</w:t>
            </w:r>
          </w:p>
        </w:tc>
      </w:tr>
    </w:tbl>
    <w:p>
      <w:pPr>
        <w:pStyle w:val="TextBody"/>
        <w:bidi w:val="0"/>
        <w:spacing w:before="0" w:after="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Definitive Proxy Statement</w:t>
            </w:r>
          </w:p>
        </w:tc>
      </w:tr>
    </w:tbl>
    <w:p>
      <w:pPr>
        <w:pStyle w:val="TextBody"/>
        <w:bidi w:val="0"/>
        <w:spacing w:before="0" w:after="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305"/>
        <w:gridCol w:w="2975"/>
      </w:tblGrid>
      <w:tr>
        <w:trPr/>
        <w:tc>
          <w:tcPr>
            <w:tcW w:w="30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Definitive Additional Materials</w:t>
            </w:r>
          </w:p>
        </w:tc>
      </w:tr>
    </w:tbl>
    <w:p>
      <w:pPr>
        <w:pStyle w:val="TextBody"/>
        <w:bidi w:val="0"/>
        <w:spacing w:before="0" w:after="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245"/>
        <w:gridCol w:w="4805"/>
      </w:tblGrid>
      <w:tr>
        <w:trPr/>
        <w:tc>
          <w:tcPr>
            <w:tcW w:w="245"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Soliciting Material Pursuant to Section 240.14a-12</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XPO,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b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1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245"/>
        <w:gridCol w:w="1625"/>
      </w:tblGrid>
      <w:tr>
        <w:trPr/>
        <w:tc>
          <w:tcPr>
            <w:tcW w:w="245"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jc w:val="both"/>
              <w:rPr/>
            </w:pPr>
            <w:r>
              <w:rPr/>
              <w:t> </w:t>
            </w:r>
            <w:r>
              <w:rPr/>
              <w:t>No fee required.</w:t>
            </w:r>
          </w:p>
        </w:tc>
      </w:tr>
      <w:tr>
        <w:trPr/>
        <w:tc>
          <w:tcPr>
            <w:tcW w:w="24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both"/>
              <w:rPr/>
            </w:pPr>
            <w:r>
              <w:rPr/>
              <w:t> </w:t>
            </w:r>
          </w:p>
        </w:tc>
      </w:tr>
    </w:tbl>
    <w:tbl>
      <w:tblPr>
        <w:tblW w:w="4765" w:type="dxa"/>
        <w:jc w:val="left"/>
        <w:tblInd w:w="0" w:type="dxa"/>
        <w:tblLayout w:type="fixed"/>
        <w:tblCellMar>
          <w:top w:w="0" w:type="dxa"/>
          <w:left w:w="0" w:type="dxa"/>
          <w:bottom w:w="0" w:type="dxa"/>
          <w:right w:w="0" w:type="dxa"/>
        </w:tblCellMar>
      </w:tblPr>
      <w:tblGrid>
        <w:gridCol w:w="245"/>
        <w:gridCol w:w="4520"/>
      </w:tblGrid>
      <w:tr>
        <w:trPr/>
        <w:tc>
          <w:tcPr>
            <w:tcW w:w="245"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pPr>
            <w:r>
              <w:rPr/>
              <w:t> </w:t>
            </w:r>
            <w:r>
              <w:rPr/>
              <w:t>Fee paid previously with preliminary materials.</w:t>
            </w:r>
          </w:p>
        </w:tc>
      </w:tr>
      <w:tr>
        <w:trPr/>
        <w:tc>
          <w:tcPr>
            <w:tcW w:w="24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bl>
    <w:tbl>
      <w:tblPr>
        <w:tblW w:w="9940" w:type="dxa"/>
        <w:jc w:val="left"/>
        <w:tblInd w:w="0" w:type="dxa"/>
        <w:tblLayout w:type="fixed"/>
        <w:tblCellMar>
          <w:top w:w="0" w:type="dxa"/>
          <w:left w:w="0" w:type="dxa"/>
          <w:bottom w:w="0" w:type="dxa"/>
          <w:right w:w="0" w:type="dxa"/>
        </w:tblCellMar>
      </w:tblPr>
      <w:tblGrid>
        <w:gridCol w:w="245"/>
        <w:gridCol w:w="9695"/>
      </w:tblGrid>
      <w:tr>
        <w:trPr/>
        <w:tc>
          <w:tcPr>
            <w:tcW w:w="245"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pPr>
            <w:r>
              <w:rPr/>
              <w:t> </w:t>
            </w:r>
            <w:r>
              <w:rPr/>
              <w:t>Fee computed on table in exhibit required by Item 25(b) per Exchange Act Rules 14a6(i)(1) and 0-11.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www.investorvote.com/XPO Step 1: Go to www.investorvote.com/XPO. Step 2: Click on the icon on the right to view meeting materials. Step 3: Return to the investorvote.com window and follow the instructions on the screen to log in. Online Go to www.investorvote.com/XPO or scan the QR code — your control number is located in the shaded bar below. Stockholder Meeting Notice 0494QC Important Notice Regarding the Availability of Proxy Materials for the XPO, Inc. 2026 Annual Meeting of Stockholders to be Held on May 19, 2026 Under Securities and Exchange Commission rules, you are receiving this notice that the proxy materials for the annual stockholders’ meeting are available on the Internet. Follow the instructions below to view the materials and vote online or request a copy. The items to be voted on and location of the annual meeting are on the reverse side. Your vote is important! This communication presents only an overview of the more complete proxy materials that are available to you on the Internet. We encourage you to access and review all of the important information contained in the proxy materials before voting. The Notice of 2026 Annual Meeting, Proxy Statement, and 2025 Annual Report on Form 10-K are available at: Obtaining a Copy of the Proxy Materials – If you want to receive a copy of the proxy materials, you must request one. There is no charge to you for requesting a copy. Please make your request as instructed on the reverse side on or before May 5, 2026 to facilitate timely delivery. 2NOT Easy Online Access — View your proxy materials and vote. When you go online, you can also help the environment by consenting to receive electronic delivery of future materials. Step 4: Make your selections as instructed on each screen for your delivery preferences. Step 5: Vote your shares.</w:t>
            </w:r>
          </w:p>
        </w:tc>
      </w:tr>
    </w:tbl>
    <w:tbl>
      <w:tblPr>
        <w:tblW w:w="13108" w:type="dxa"/>
        <w:jc w:val="center"/>
        <w:tblInd w:w="0" w:type="dxa"/>
        <w:tblLayout w:type="fixed"/>
        <w:tblCellMar>
          <w:top w:w="0" w:type="dxa"/>
          <w:left w:w="0" w:type="dxa"/>
          <w:bottom w:w="0" w:type="dxa"/>
          <w:right w:w="0" w:type="dxa"/>
        </w:tblCellMar>
      </w:tblPr>
      <w:tblGrid>
        <w:gridCol w:w="23"/>
        <w:gridCol w:w="1273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Here’s how to order a copy of the proxy materials and select delivery preferences: Current and future delivery requests can be submitted using the options below. If you request an email copy, you will receive an email with a link to the current meeting materials. PLEASE NOTE: You must use the number in the shaded bar on the reverse side when requesting a copy of the proxy materials. — Internet – Go to www.investorvote.com/XPO. — Phone – Call us free of charge at 1-866-641-4276. — Email – Send an email to investorvote@computershare.com with “Proxy Materials XPO, Inc.” in the subject line. Include your full name and address, plus the number located in the shaded bar on the reverse side, and state that you want a paper copy of the meeting materials. To facilitate timely delivery, requests for a paper copy of proxy materials must be received by May 5, 2026. The XPO, Inc. 2026 Annual Meeting of Stockholders will be held on May 19, 2026 at 10:00 a.m. Eastern Time virtually via the internet at meetnow.global/M6W4LLV. Please see instructions in the Proxy Statement how to access the meeting. Proposals to be voted on at the meeting are listed below along with the Board of Directors’ recommendations. The Board of Directors recommends a vote FOR all the nominees listed: 1. Election of Directors: 01 - Mario Harik 02 - Bella Allaire 03 - J. Wes Frye 04 - Michael G. Jesselson 05 - Allison Landry 06 - Irene Moshouris 07 - Johnny C. Taylor, Jr. The Board of Directors recommends a vote FOR Proposals 2 and 3: 2. Ratification of the appointment of KPMG as our independent registered public accounting firm for fiscal year 2026. 3. Advisory vote to approve executive compensation. PLEASE NOTE – YOU CANNOT VOTE BY RETURNING THIS NOTICE. To vote your shares you must go online or request a paper copy of the proxy materials to receive a proxy card. If you wish to attend and vote at the meeting, please bring this notice with you. Stockholder Meeting Notice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769</Words>
  <Characters>3853</Characters>
  <CharactersWithSpaces>4647</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