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097d2_8k.htm"/>
      <w:bookmarkStart w:id="1" w:name="kstm2616097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603__20"/>
      <w:bookmarkEnd w:id="2"/>
      <w:r>
        <w:rPr>
          <w:rFonts w:ascii="Times New Roman;Times;Serif" w:hAnsi="Times New Roman;Times;Serif"/>
          <w:b/>
          <w:i w:val="false"/>
          <w:caps w:val="false"/>
          <w:smallCaps w:val="false"/>
          <w:sz w:val="36"/>
        </w:rPr>
        <w:t>8-K</w:t>
      </w:r>
    </w:p>
    <w:p>
      <w:pPr>
        <w:pStyle w:val="TextBody"/>
        <w:bidi w:val="0"/>
        <w:spacing w:before="0" w:after="0"/>
        <w:jc w:val="center"/>
        <w:rPr/>
      </w:pPr>
      <w:r>
        <w:rPr/>
        <w:t> </w:t>
      </w:r>
    </w:p>
    <w:p>
      <w:pPr>
        <w:pStyle w:val="TextBody"/>
        <w:bidi w:val="0"/>
        <w:spacing w:before="0" w:after="0"/>
        <w:jc w:val="center"/>
        <w:rPr>
          <w:b/>
          <w:sz w:val="20"/>
        </w:rPr>
      </w:pPr>
      <w:r>
        <w:rPr>
          <w:b/>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June 3, 2026</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XPO,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60"/>
        <w:gridCol w:w="2345"/>
        <w:gridCol w:w="60"/>
        <w:gridCol w:w="1565"/>
      </w:tblGrid>
      <w:tr>
        <w:trPr/>
        <w:tc>
          <w:tcPr>
            <w:tcW w:w="2525" w:type="dxa"/>
            <w:tcBorders/>
            <w:vAlign w:val="center"/>
          </w:tcPr>
          <w:p>
            <w:pPr>
              <w:pStyle w:val="TableContents"/>
              <w:bidi w:val="0"/>
              <w:spacing w:before="0" w:after="283"/>
              <w:jc w:val="center"/>
              <w:rPr/>
            </w:pPr>
            <w:bookmarkStart w:id="5" w:name="xdx_903_edei--EntityIncorporationStateCo"/>
            <w:bookmarkEnd w:id="5"/>
            <w:r>
              <w:rPr>
                <w:b/>
              </w:rPr>
              <w:t>Delaware</w:t>
            </w: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pPr>
            <w:bookmarkStart w:id="6" w:name="xdx_90A_edei--EntityFileNumber_c20260603"/>
            <w:bookmarkEnd w:id="6"/>
            <w:r>
              <w:rPr>
                <w:b/>
              </w:rPr>
              <w:t>001-32172</w:t>
            </w: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03-0450326</w:t>
            </w:r>
          </w:p>
        </w:tc>
      </w:tr>
      <w:tr>
        <w:trPr/>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(State or other jurisdiction of </w:t>
              <w:br/>
              <w:t>incorporation)</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(Commission File Number)</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Five American Lane, </w:t>
      </w:r>
      <w:bookmarkStart w:id="9" w:name="xdx_907_edei--EntityAddressCityOrTown_c2"/>
      <w:bookmarkEnd w:id="9"/>
      <w:r>
        <w:rPr>
          <w:rFonts w:ascii="Times New Roman;Times;Serif" w:hAnsi="Times New Roman;Times;Serif"/>
          <w:b/>
          <w:i w:val="false"/>
          <w:caps w:val="false"/>
          <w:smallCaps w:val="false"/>
          <w:sz w:val="20"/>
        </w:rPr>
        <w:t xml:space="preserve">Greenwich, </w:t>
      </w:r>
      <w:bookmarkStart w:id="10" w:name="xdx_904_edei--EntityAddressStateOrProvin"/>
      <w:bookmarkEnd w:id="10"/>
      <w:r>
        <w:rPr>
          <w:rFonts w:ascii="Times New Roman;Times;Serif" w:hAnsi="Times New Roman;Times;Serif"/>
          <w:b/>
          <w:i w:val="false"/>
          <w:caps w:val="false"/>
          <w:smallCaps w:val="false"/>
          <w:sz w:val="20"/>
        </w:rPr>
        <w:t>Connecticut</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06831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sz w:val="20"/>
        </w:rPr>
      </w:pPr>
      <w:r>
        <w:rPr>
          <w:b/>
          <w:sz w:val="20"/>
        </w:rPr>
        <w:t>(</w:t>
      </w:r>
      <w:bookmarkStart w:id="12" w:name="xdx_909_edei--CityAreaCode_c20260603__20"/>
      <w:bookmarkEnd w:id="12"/>
      <w:r>
        <w:rPr>
          <w:b/>
          <w:sz w:val="20"/>
        </w:rPr>
        <w:t xml:space="preserve">855) </w:t>
      </w:r>
      <w:bookmarkStart w:id="13" w:name="xdx_90A_edei--LocalPhoneNumber_c20260603"/>
      <w:bookmarkEnd w:id="13"/>
      <w:r>
        <w:rPr>
          <w:b/>
          <w:sz w:val="20"/>
        </w:rPr>
        <w:t>976-6951</w:t>
      </w:r>
    </w:p>
    <w:p>
      <w:pPr>
        <w:pStyle w:val="TextBody"/>
        <w:bidi w:val="0"/>
        <w:spacing w:before="0" w:after="0"/>
        <w:jc w:val="center"/>
        <w:rPr>
          <w:sz w:val="20"/>
        </w:rPr>
      </w:pPr>
      <w:r>
        <w:rPr>
          <w:sz w:val="20"/>
        </w:rPr>
        <w:t>(</w:t>
      </w:r>
      <w:r>
        <w:rPr>
          <w:b/>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5_edei--SolicitingMaterial_c202606"/>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pPr>
      <w:r>
        <w:rPr/>
        <w:t> </w:t>
      </w:r>
    </w:p>
    <w:tbl>
      <w:tblPr>
        <w:tblW w:w="8145" w:type="dxa"/>
        <w:jc w:val="left"/>
        <w:tblInd w:w="0" w:type="dxa"/>
        <w:tblLayout w:type="fixed"/>
        <w:tblCellMar>
          <w:top w:w="0" w:type="dxa"/>
          <w:left w:w="0" w:type="dxa"/>
          <w:bottom w:w="0" w:type="dxa"/>
          <w:right w:w="0" w:type="dxa"/>
        </w:tblCellMar>
      </w:tblPr>
      <w:tblGrid>
        <w:gridCol w:w="3485"/>
        <w:gridCol w:w="60"/>
        <w:gridCol w:w="830"/>
        <w:gridCol w:w="60"/>
        <w:gridCol w:w="3710"/>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w:t>
              <w:br/>
              <w:t>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603"/>
            <w:bookmarkEnd w:id="18"/>
            <w:r>
              <w:rPr>
                <w:rFonts w:ascii="Times New Roman;Times;Serif" w:hAnsi="Times New Roman;Times;Serif"/>
                <w:b w:val="false"/>
                <w:i w:val="false"/>
                <w:caps w:val="false"/>
                <w:smallCaps w:val="false"/>
                <w:sz w:val="20"/>
              </w:rPr>
              <w:t>Common stock, par value $0.001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TradingSymbol_c20260603__2"/>
            <w:bookmarkEnd w:id="19"/>
            <w:r>
              <w:rPr>
                <w:rFonts w:ascii="Times New Roman;Times;Serif" w:hAnsi="Times New Roman;Times;Serif"/>
                <w:b w:val="false"/>
                <w:i w:val="false"/>
                <w:caps w:val="false"/>
                <w:smallCaps w:val="false"/>
                <w:sz w:val="20"/>
              </w:rPr>
              <w:t>XPO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bookmarkStart w:id="21" w:name="xdx_901_edei--EntityEmergingGrowthCompan"/>
            <w:bookmarkEnd w:id="21"/>
            <w:r>
              <w:rPr/>
              <w:t>☐</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XPO, Inc. (the “Company”) issued a press release providing preliminary operating metrics for its North American Less-Than-Truckload segment for May 2026. A copy of the press release is attached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final operating metrics for its North American Less-Than-Truckload segment for the month of April 2026. In the month of April 2026 tonnage per day decreased 1.5%, as compared with April 2025, attributable to a year-over-year increase of 0.2% in shipments per day and a decrease of 1.7% in weight per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16097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16097d2_ex99-1.htm">
              <w:r>
                <w:rPr>
                  <w:rStyle w:val="InternetLink"/>
                  <w:rFonts w:ascii="Times New Roman;Times;Serif" w:hAnsi="Times New Roman;Times;Serif"/>
                  <w:sz w:val="20"/>
                </w:rPr>
                <w:t>Press Release, dated June 3, 2026, issued by XPO, Inc.</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5" w:type="dxa"/>
        <w:jc w:val="left"/>
        <w:tblInd w:w="0" w:type="dxa"/>
        <w:tblLayout w:type="fixed"/>
        <w:tblCellMar>
          <w:top w:w="0" w:type="dxa"/>
          <w:left w:w="0" w:type="dxa"/>
          <w:bottom w:w="0" w:type="dxa"/>
          <w:right w:w="0" w:type="dxa"/>
        </w:tblCellMar>
      </w:tblPr>
      <w:tblGrid>
        <w:gridCol w:w="1550"/>
        <w:gridCol w:w="320"/>
        <w:gridCol w:w="1895"/>
      </w:tblGrid>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 2026</w:t>
            </w:r>
          </w:p>
        </w:tc>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XPO, INC.</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Kyle Wismans</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Kyle Wismans</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616097d2_ex99-1.htm"/>
      <w:bookmarkStart w:id="23" w:name="kstm2616097d2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7143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XPO Provides North American LTL Operating Data for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GREENWICH, Conn. – June 3, 2026</w:t>
      </w:r>
      <w:r>
        <w:rPr>
          <w:rFonts w:ascii="Times New Roman;Times;Serif" w:hAnsi="Times New Roman;Times;Serif"/>
          <w:b w:val="false"/>
          <w:i w:val="false"/>
          <w:caps w:val="false"/>
          <w:smallCaps w:val="false"/>
          <w:sz w:val="20"/>
        </w:rPr>
        <w:t xml:space="preserve"> – XPO (NYSE: </w:t>
      </w:r>
      <w:r>
        <w:rPr>
          <w:rFonts w:ascii="Times New Roman;Times;Serif" w:hAnsi="Times New Roman;Times;Serif"/>
          <w:b w:val="false"/>
          <w:i w:val="false"/>
          <w:caps w:val="false"/>
          <w:smallCaps w:val="false"/>
          <w:sz w:val="20"/>
          <w:u w:val="single"/>
        </w:rPr>
        <w:t>XPO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 leading provider of freight transportation in North America,</w:t>
      </w:r>
      <w:r>
        <w:rPr>
          <w:rFonts w:ascii="Times New Roman;Times;Serif" w:hAnsi="Times New Roman;Times;Serif"/>
          <w:b w:val="false"/>
          <w:i w:val="false"/>
          <w:caps w:val="false"/>
          <w:smallCaps w:val="false"/>
          <w:sz w:val="20"/>
        </w:rPr>
        <w:t xml:space="preserve"> today reported certain preliminary LTL segment operating metrics for May 2026. LTL tonnage per day increased 0.5%, as compared with May 2025, attributable to a year-over-year increase of 3.3% in shipments per day and a decrease of 2.7% in weight per shipment. Actual results for May 2026 may vary from the preliminary results reported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XPO, Inc. (NYSE: XPO) is a leader in asset-based less-than-truckload (LTL) freight transportation in North America. The company’s customer-focused organization efficiently moves 16 billion pounds of freight per year, enabled by its proprietary technology. XPO serves 55,000 customers with 594 locations and 37,000 employees in North America and Europe, and is headquartered in Greenwich, Conn., USA. Visit </w:t>
      </w:r>
      <w:r>
        <w:rPr>
          <w:rFonts w:ascii="Times New Roman;Times;Serif" w:hAnsi="Times New Roman;Times;Serif"/>
          <w:b w:val="false"/>
          <w:i w:val="false"/>
          <w:caps w:val="false"/>
          <w:smallCaps w:val="false"/>
          <w:sz w:val="20"/>
          <w:u w:val="single"/>
        </w:rPr>
        <w:t>xpo.com</w:t>
      </w:r>
      <w:r>
        <w:rPr>
          <w:rFonts w:ascii="Times New Roman;Times;Serif" w:hAnsi="Times New Roman;Times;Serif"/>
          <w:b w:val="false"/>
          <w:i w:val="false"/>
          <w:caps w:val="false"/>
          <w:smallCaps w:val="false"/>
          <w:sz w:val="20"/>
        </w:rPr>
        <w:t xml:space="preserve"> for more information, and connect with XPO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the effects of business, economic, political, legal, and regulatory impacts or conflicts upon our operations; supply chain disruptions and shortages, strains on production or extraction of raw materials, cost inflation and labor and equipment shortages; our ability to align our investments in capital assets, including equipment, service centers, and warehouses to our customers’ demands; our ability to implement our cost and revenue initiatives and realize growth and expansion as a result of those initiatives; our ability to improve pricing growth; the effectiveness of our action plan, and other management actions, to improve our North American LTL business; our ability to continue insourcing linehaul in ways that enhance our network efficiency and productivity; the anticipated impact of a freight market recovery on our business; our ability to capture profitable share gains, facilitate yield growth, and improve margins during an upcycle; our ability to benefit from a sale, spin-off or other divestiture of one or more business units or to successfully integrate and realize anticipated synergies, cost savings and profit opportunities from acquired companies; goodwill impairment; issues related to compliance with data protection laws, competition laws, and intellectual property laws; fluctuations in currency exchange rates, fuel prices and fuel surcharges; our ability to develop and implement proprietary technology and suitable information technology systems that contribute to cost and productivity improvements; the impact of potential cyber-attacks and information technology or data security breaches or failures; our ability to repurchase shares on favorable terms; our indebtedness; our ability to raise debt and equity capital; fluctuations in interest rates; seasonal fluctuations; our ability to maintain positive relationships with our network of third-party transportation providers; our ability to attract and retain management talent and key employees including qualified drivers; labor matters; litigation; and competition. We caution that our operating results for May 2026 are not necessarily indicative of the results that may be expected for future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forward-looking statements set forth in this release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release speak only as of the date hereof, and we do not undertake any obligation to update forward-looking statements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Scasserra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+1-617-607-6429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brian.scasserra@xpo.com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Cole Horton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+1-203-609-6004</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cole.horton@xpo.com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1320</Words>
  <Characters>7584</Characters>
  <CharactersWithSpaces>8918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