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4088.xml.htm"/>
      <w:bookmarkStart w:id="1" w:name="kswkform4_17909440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Bates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XPO,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FIVE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XPO, Inc.</w:t>
              </w:r>
            </w:hyperlink>
            <w:r>
              <w:rPr/>
              <w:t xml:space="preserve"> [ </w:t>
            </w:r>
            <w:r>
              <w:rPr>
                <w:rFonts w:ascii="Times;serif" w:hAnsi="Times;serif"/>
                <w:color w:val="0000FF"/>
                <w:sz w:val="24"/>
                <w:shd w:fill="FFFFFF" w:val="clear"/>
              </w:rPr>
              <w:t>XPO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175.7664</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176.64</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178.6633</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715</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179.6612</w:t>
            </w:r>
            <w:r>
              <w:rPr>
                <w:rFonts w:ascii="Times;serif" w:hAnsi="Times;serif"/>
                <w:color w:val="008000"/>
                <w:position w:val="7"/>
                <w:sz w:val="16"/>
                <w:sz w:val="20"/>
                <w:shd w:fill="FFFFFF" w:val="clear"/>
              </w:rPr>
              <w:t>(5)</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62,120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is part of a Rule 10b5-1 trading plan adopted by the Reporting Person on June 15, 2026 to facilitate long-term asset diversification and financial planning objectives.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$175.35 to $176.10.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$176.35 to $177.17.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$178.11 to $179.10.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$179.53 to $179.88.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attached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Jonas Svedlund,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atespoa9212026.htm"/>
      <w:bookmarkStart w:id="3" w:name="ksbatespoa9212026"/>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The undersigned hereby constitutes and appoints Jonas Svedlund, Cody Bilgrien and Riina Tohvert, acting singly, the undersigned’s true and lawful attorney-in-fact to: (1) execute for and on behalf of the undersigned and file on EDGAR Next, in the undersigned’s capacity as an officer or director of XPO, Inc. (the “Company”), Forms 3, 4 and 5 (including amendments thereto) and Forms 144 in accordance with Section 16(a) of the Securities Exchange Act of 1934, as amended (the “Exchange Act”), and the rules and regulations thereunder; and (2) do and perform any and all acts for and on behalf of the undersigned which may be necessary or desirable to complete and execute any such Forms 3, 4 and 5 (including amendments thereto) and Forms 144 and timely file such forms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 fact’s discretion. The undersigned grants to such attorney-in-fact full power and authority to do and perform any and every act and thing whatsoever requisite, necessary or proper to be done in the exercise of any of the rights and powers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such attorney-in-fact, in serving in such capacity at the request of the undersigned, is not assuming, nor is the Company assuming, any of the undersigned’s responsibilities to comply with Section 16 of the Exchange Act. 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4 or 5 (including amendments thereto) and Forms 144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Forms 4 or 5 or Forms 144 with respect to the undersigned’s holdings of and transactions in securities issued by the Company, unless earlier (a) revoked by the undersigned in a signed writing delivered to the foregoing attorney-in-fact; or (b) superseded by a new power of attorney regarding the purposes outlined in the first paragraph hereof dated as of a later date. IN WITNESS WHEREOF, the undersigned has caused this Power of Attorney to be executed as of this 21st day of September, 2026. /s/ David J. Bates David J. Bates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34267" TargetMode="External"/><Relationship Id="rId5" Type="http://schemas.openxmlformats.org/officeDocument/2006/relationships/hyperlink" Target="http://www.sec.gov/cgi-bin/browse-edgar?action=getcompany&amp;CIK=00011660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1537</Words>
  <Characters>8197</Characters>
  <CharactersWithSpaces>9640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batespoa9212026</dc:title>
</cp:coreProperties>
</file>