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9"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3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39"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For the transition period from</w:t>
      </w:r>
      <w:r>
        <w:rPr>
          <w:rFonts w:ascii="Arial" w:cs="Arial" w:eastAsia="Arial" w:hAnsi="Arial"/>
          <w:sz w:val="14"/>
          <w:szCs w:val="14"/>
          <w:b w:val="1"/>
          <w:bCs w:val="1"/>
          <w:color w:val="auto"/>
        </w:rPr>
        <w:t>____________</w:t>
      </w:r>
      <w:r>
        <w:rPr>
          <w:rFonts w:ascii="Arial" w:cs="Arial" w:eastAsia="Arial" w:hAnsi="Arial"/>
          <w:sz w:val="18"/>
          <w:szCs w:val="18"/>
          <w:b w:val="1"/>
          <w:bCs w:val="1"/>
          <w:color w:val="auto"/>
        </w:rPr>
        <w:t>to</w:t>
      </w:r>
      <w:r>
        <w:rPr>
          <w:rFonts w:ascii="Arial" w:cs="Arial" w:eastAsia="Arial" w:hAnsi="Arial"/>
          <w:sz w:val="14"/>
          <w:szCs w:val="14"/>
          <w:b w:val="1"/>
          <w:bCs w:val="1"/>
          <w:color w:val="auto"/>
        </w:rPr>
        <w:t>____________</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001-32172</w:t>
      </w:r>
    </w:p>
    <w:p>
      <w:pPr>
        <w:spacing w:after="0" w:line="21"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73660</wp:posOffset>
            </wp:positionV>
            <wp:extent cx="2468880"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8880"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XPO Logistics, Inc.</w:t>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440" w:type="dxa"/>
            <w:vAlign w:val="bottom"/>
            <w:gridSpan w:val="2"/>
          </w:tcPr>
          <w:p>
            <w:pPr>
              <w:jc w:val="center"/>
              <w:ind w:left="1402"/>
              <w:spacing w:after="0"/>
              <w:rPr>
                <w:sz w:val="20"/>
                <w:szCs w:val="20"/>
                <w:color w:val="auto"/>
              </w:rPr>
            </w:pPr>
            <w:r>
              <w:rPr>
                <w:rFonts w:ascii="Arial" w:cs="Arial" w:eastAsia="Arial" w:hAnsi="Arial"/>
                <w:sz w:val="18"/>
                <w:szCs w:val="18"/>
                <w:b w:val="1"/>
                <w:bCs w:val="1"/>
                <w:color w:val="auto"/>
                <w:w w:val="91"/>
              </w:rPr>
              <w:t>Delaware</w:t>
            </w:r>
          </w:p>
        </w:tc>
        <w:tc>
          <w:tcPr>
            <w:tcW w:w="3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20" w:type="dxa"/>
            <w:vAlign w:val="bottom"/>
            <w:gridSpan w:val="2"/>
          </w:tcPr>
          <w:p>
            <w:pPr>
              <w:jc w:val="right"/>
              <w:ind w:right="2328"/>
              <w:spacing w:after="0"/>
              <w:rPr>
                <w:sz w:val="20"/>
                <w:szCs w:val="20"/>
                <w:color w:val="auto"/>
              </w:rPr>
            </w:pPr>
            <w:r>
              <w:rPr>
                <w:rFonts w:ascii="Arial" w:cs="Arial" w:eastAsia="Arial" w:hAnsi="Arial"/>
                <w:sz w:val="18"/>
                <w:szCs w:val="18"/>
                <w:b w:val="1"/>
                <w:bCs w:val="1"/>
                <w:color w:val="auto"/>
              </w:rPr>
              <w:t>03-0450326</w:t>
            </w:r>
          </w:p>
        </w:tc>
      </w:tr>
      <w:tr>
        <w:trPr>
          <w:trHeight w:val="180"/>
        </w:trPr>
        <w:tc>
          <w:tcPr>
            <w:tcW w:w="180" w:type="dxa"/>
            <w:vAlign w:val="bottom"/>
          </w:tcPr>
          <w:p>
            <w:pPr>
              <w:spacing w:after="0"/>
              <w:rPr>
                <w:sz w:val="15"/>
                <w:szCs w:val="15"/>
                <w:color w:val="auto"/>
              </w:rPr>
            </w:pPr>
          </w:p>
        </w:tc>
        <w:tc>
          <w:tcPr>
            <w:tcW w:w="3440" w:type="dxa"/>
            <w:vAlign w:val="bottom"/>
            <w:gridSpan w:val="2"/>
          </w:tcPr>
          <w:p>
            <w:pPr>
              <w:jc w:val="center"/>
              <w:ind w:left="1402"/>
              <w:spacing w:after="0"/>
              <w:rPr>
                <w:sz w:val="20"/>
                <w:szCs w:val="20"/>
                <w:color w:val="auto"/>
              </w:rPr>
            </w:pPr>
            <w:r>
              <w:rPr>
                <w:rFonts w:ascii="Arial" w:cs="Arial" w:eastAsia="Arial" w:hAnsi="Arial"/>
                <w:sz w:val="14"/>
                <w:szCs w:val="14"/>
                <w:b w:val="1"/>
                <w:bCs w:val="1"/>
                <w:color w:val="auto"/>
                <w:w w:val="93"/>
              </w:rPr>
              <w:t>(State or other jurisdiction of</w:t>
            </w:r>
          </w:p>
        </w:tc>
        <w:tc>
          <w:tcPr>
            <w:tcW w:w="38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20" w:type="dxa"/>
            <w:vAlign w:val="bottom"/>
            <w:gridSpan w:val="2"/>
          </w:tcPr>
          <w:p>
            <w:pPr>
              <w:jc w:val="center"/>
              <w:ind w:right="2168"/>
              <w:spacing w:after="0"/>
              <w:rPr>
                <w:sz w:val="20"/>
                <w:szCs w:val="20"/>
                <w:color w:val="auto"/>
              </w:rPr>
            </w:pPr>
            <w:r>
              <w:rPr>
                <w:rFonts w:ascii="Arial" w:cs="Arial" w:eastAsia="Arial" w:hAnsi="Arial"/>
                <w:sz w:val="14"/>
                <w:szCs w:val="14"/>
                <w:b w:val="1"/>
                <w:bCs w:val="1"/>
                <w:color w:val="auto"/>
                <w:w w:val="94"/>
              </w:rPr>
              <w:t>(I.R.S. Employer</w:t>
            </w:r>
          </w:p>
        </w:tc>
      </w:tr>
      <w:tr>
        <w:trPr>
          <w:trHeight w:val="186"/>
        </w:trPr>
        <w:tc>
          <w:tcPr>
            <w:tcW w:w="180" w:type="dxa"/>
            <w:vAlign w:val="bottom"/>
          </w:tcPr>
          <w:p>
            <w:pPr>
              <w:spacing w:after="0"/>
              <w:rPr>
                <w:sz w:val="16"/>
                <w:szCs w:val="16"/>
                <w:color w:val="auto"/>
              </w:rPr>
            </w:pPr>
          </w:p>
        </w:tc>
        <w:tc>
          <w:tcPr>
            <w:tcW w:w="3440" w:type="dxa"/>
            <w:vAlign w:val="bottom"/>
            <w:gridSpan w:val="2"/>
          </w:tcPr>
          <w:p>
            <w:pPr>
              <w:jc w:val="center"/>
              <w:ind w:left="1402"/>
              <w:spacing w:after="0"/>
              <w:rPr>
                <w:sz w:val="20"/>
                <w:szCs w:val="20"/>
                <w:color w:val="auto"/>
              </w:rPr>
            </w:pPr>
            <w:r>
              <w:rPr>
                <w:rFonts w:ascii="Arial" w:cs="Arial" w:eastAsia="Arial" w:hAnsi="Arial"/>
                <w:sz w:val="14"/>
                <w:szCs w:val="14"/>
                <w:b w:val="1"/>
                <w:bCs w:val="1"/>
                <w:color w:val="auto"/>
                <w:w w:val="94"/>
              </w:rPr>
              <w:t>incorporation or organization)</w:t>
            </w:r>
          </w:p>
        </w:tc>
        <w:tc>
          <w:tcPr>
            <w:tcW w:w="3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20" w:type="dxa"/>
            <w:vAlign w:val="bottom"/>
            <w:gridSpan w:val="2"/>
          </w:tcPr>
          <w:p>
            <w:pPr>
              <w:jc w:val="center"/>
              <w:ind w:right="2168"/>
              <w:spacing w:after="0"/>
              <w:rPr>
                <w:sz w:val="20"/>
                <w:szCs w:val="20"/>
                <w:color w:val="auto"/>
              </w:rPr>
            </w:pPr>
            <w:r>
              <w:rPr>
                <w:rFonts w:ascii="Arial" w:cs="Arial" w:eastAsia="Arial" w:hAnsi="Arial"/>
                <w:sz w:val="14"/>
                <w:szCs w:val="14"/>
                <w:b w:val="1"/>
                <w:bCs w:val="1"/>
                <w:color w:val="auto"/>
                <w:w w:val="96"/>
              </w:rPr>
              <w:t>Identification No.)</w:t>
            </w:r>
          </w:p>
        </w:tc>
      </w:tr>
      <w:tr>
        <w:trPr>
          <w:trHeight w:val="255"/>
        </w:trPr>
        <w:tc>
          <w:tcPr>
            <w:tcW w:w="180" w:type="dxa"/>
            <w:vAlign w:val="bottom"/>
          </w:tcPr>
          <w:p>
            <w:pPr>
              <w:spacing w:after="0"/>
              <w:rPr>
                <w:sz w:val="22"/>
                <w:szCs w:val="22"/>
                <w:color w:val="auto"/>
              </w:rPr>
            </w:pPr>
          </w:p>
        </w:tc>
        <w:tc>
          <w:tcPr>
            <w:tcW w:w="3440" w:type="dxa"/>
            <w:vAlign w:val="bottom"/>
            <w:gridSpan w:val="2"/>
          </w:tcPr>
          <w:p>
            <w:pPr>
              <w:jc w:val="center"/>
              <w:ind w:left="1402"/>
              <w:spacing w:after="0"/>
              <w:rPr>
                <w:sz w:val="20"/>
                <w:szCs w:val="20"/>
                <w:color w:val="auto"/>
              </w:rPr>
            </w:pPr>
            <w:r>
              <w:rPr>
                <w:rFonts w:ascii="Arial" w:cs="Arial" w:eastAsia="Arial" w:hAnsi="Arial"/>
                <w:sz w:val="18"/>
                <w:szCs w:val="18"/>
                <w:b w:val="1"/>
                <w:bCs w:val="1"/>
                <w:color w:val="auto"/>
                <w:w w:val="91"/>
              </w:rPr>
              <w:t>Five American Lane</w:t>
            </w:r>
          </w:p>
        </w:tc>
        <w:tc>
          <w:tcPr>
            <w:tcW w:w="38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80" w:type="dxa"/>
            <w:vAlign w:val="bottom"/>
          </w:tcPr>
          <w:p>
            <w:pPr>
              <w:spacing w:after="0"/>
              <w:rPr>
                <w:sz w:val="22"/>
                <w:szCs w:val="22"/>
                <w:color w:val="auto"/>
              </w:rPr>
            </w:pPr>
          </w:p>
        </w:tc>
      </w:tr>
      <w:tr>
        <w:trPr>
          <w:trHeight w:val="270"/>
        </w:trPr>
        <w:tc>
          <w:tcPr>
            <w:tcW w:w="180" w:type="dxa"/>
            <w:vAlign w:val="bottom"/>
          </w:tcPr>
          <w:p>
            <w:pPr>
              <w:spacing w:after="0"/>
              <w:rPr>
                <w:sz w:val="23"/>
                <w:szCs w:val="23"/>
                <w:color w:val="auto"/>
              </w:rPr>
            </w:pPr>
          </w:p>
        </w:tc>
        <w:tc>
          <w:tcPr>
            <w:tcW w:w="3440" w:type="dxa"/>
            <w:vAlign w:val="bottom"/>
            <w:gridSpan w:val="2"/>
          </w:tcPr>
          <w:p>
            <w:pPr>
              <w:ind w:left="1960"/>
              <w:spacing w:after="0"/>
              <w:rPr>
                <w:sz w:val="20"/>
                <w:szCs w:val="20"/>
                <w:color w:val="auto"/>
              </w:rPr>
            </w:pPr>
            <w:r>
              <w:rPr>
                <w:rFonts w:ascii="Arial" w:cs="Arial" w:eastAsia="Arial" w:hAnsi="Arial"/>
                <w:sz w:val="18"/>
                <w:szCs w:val="18"/>
                <w:b w:val="1"/>
                <w:bCs w:val="1"/>
                <w:color w:val="auto"/>
              </w:rPr>
              <w:t>Greenwich, CT</w:t>
            </w:r>
          </w:p>
        </w:tc>
        <w:tc>
          <w:tcPr>
            <w:tcW w:w="38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20" w:type="dxa"/>
            <w:vAlign w:val="bottom"/>
            <w:gridSpan w:val="2"/>
          </w:tcPr>
          <w:p>
            <w:pPr>
              <w:jc w:val="right"/>
              <w:ind w:right="2528"/>
              <w:spacing w:after="0"/>
              <w:rPr>
                <w:sz w:val="20"/>
                <w:szCs w:val="20"/>
                <w:color w:val="auto"/>
              </w:rPr>
            </w:pPr>
            <w:r>
              <w:rPr>
                <w:rFonts w:ascii="Arial" w:cs="Arial" w:eastAsia="Arial" w:hAnsi="Arial"/>
                <w:sz w:val="18"/>
                <w:szCs w:val="18"/>
                <w:b w:val="1"/>
                <w:bCs w:val="1"/>
                <w:color w:val="auto"/>
              </w:rPr>
              <w:t>06831</w:t>
            </w:r>
          </w:p>
        </w:tc>
      </w:tr>
      <w:tr>
        <w:trPr>
          <w:trHeight w:val="218"/>
        </w:trPr>
        <w:tc>
          <w:tcPr>
            <w:tcW w:w="180" w:type="dxa"/>
            <w:vAlign w:val="bottom"/>
          </w:tcPr>
          <w:p>
            <w:pPr>
              <w:spacing w:after="0"/>
              <w:rPr>
                <w:sz w:val="18"/>
                <w:szCs w:val="18"/>
                <w:color w:val="auto"/>
              </w:rPr>
            </w:pPr>
          </w:p>
        </w:tc>
        <w:tc>
          <w:tcPr>
            <w:tcW w:w="7460" w:type="dxa"/>
            <w:vAlign w:val="bottom"/>
            <w:gridSpan w:val="5"/>
          </w:tcPr>
          <w:p>
            <w:pPr>
              <w:jc w:val="center"/>
              <w:ind w:right="2540"/>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140" w:type="dxa"/>
            <w:vAlign w:val="bottom"/>
          </w:tcPr>
          <w:p>
            <w:pPr>
              <w:spacing w:after="0"/>
              <w:rPr>
                <w:sz w:val="18"/>
                <w:szCs w:val="18"/>
                <w:color w:val="auto"/>
              </w:rPr>
            </w:pPr>
          </w:p>
        </w:tc>
        <w:tc>
          <w:tcPr>
            <w:tcW w:w="3280" w:type="dxa"/>
            <w:vAlign w:val="bottom"/>
          </w:tcPr>
          <w:p>
            <w:pPr>
              <w:jc w:val="center"/>
              <w:ind w:right="2308"/>
              <w:spacing w:after="0"/>
              <w:rPr>
                <w:sz w:val="20"/>
                <w:szCs w:val="20"/>
                <w:color w:val="auto"/>
              </w:rPr>
            </w:pPr>
            <w:r>
              <w:rPr>
                <w:rFonts w:ascii="Arial" w:cs="Arial" w:eastAsia="Arial" w:hAnsi="Arial"/>
                <w:sz w:val="14"/>
                <w:szCs w:val="14"/>
                <w:b w:val="1"/>
                <w:bCs w:val="1"/>
                <w:color w:val="auto"/>
                <w:w w:val="95"/>
              </w:rPr>
              <w:t>(Zip Code)</w:t>
            </w:r>
          </w:p>
        </w:tc>
      </w:tr>
      <w:tr>
        <w:trPr>
          <w:trHeight w:val="323"/>
        </w:trPr>
        <w:tc>
          <w:tcPr>
            <w:tcW w:w="1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2"/>
          </w:tcPr>
          <w:p>
            <w:pPr>
              <w:jc w:val="center"/>
              <w:ind w:left="262"/>
              <w:spacing w:after="0"/>
              <w:rPr>
                <w:sz w:val="20"/>
                <w:szCs w:val="20"/>
                <w:color w:val="auto"/>
              </w:rPr>
            </w:pPr>
            <w:r>
              <w:rPr>
                <w:rFonts w:ascii="Arial" w:cs="Arial" w:eastAsia="Arial" w:hAnsi="Arial"/>
                <w:sz w:val="18"/>
                <w:szCs w:val="18"/>
                <w:b w:val="1"/>
                <w:bCs w:val="1"/>
                <w:color w:val="auto"/>
                <w:w w:val="90"/>
              </w:rPr>
              <w:t>(855) 976-6951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17"/>
        </w:trPr>
        <w:tc>
          <w:tcPr>
            <w:tcW w:w="1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140"/>
        </w:trPr>
        <w:tc>
          <w:tcPr>
            <w:tcW w:w="1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20" w:type="dxa"/>
            <w:vAlign w:val="bottom"/>
            <w:gridSpan w:val="3"/>
          </w:tcPr>
          <w:p>
            <w:pPr>
              <w:jc w:val="center"/>
              <w:ind w:right="20"/>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______________________________________________________________________________________________________________</w:t>
            </w:r>
          </w:p>
        </w:tc>
        <w:tc>
          <w:tcPr>
            <w:tcW w:w="140" w:type="dxa"/>
            <w:vAlign w:val="bottom"/>
          </w:tcPr>
          <w:p>
            <w:pPr>
              <w:spacing w:after="0"/>
              <w:rPr>
                <w:sz w:val="12"/>
                <w:szCs w:val="12"/>
                <w:color w:val="auto"/>
              </w:rPr>
            </w:pPr>
          </w:p>
        </w:tc>
        <w:tc>
          <w:tcPr>
            <w:tcW w:w="3280" w:type="dxa"/>
            <w:vAlign w:val="bottom"/>
          </w:tcPr>
          <w:p>
            <w:pPr>
              <w:spacing w:after="0"/>
              <w:rPr>
                <w:sz w:val="12"/>
                <w:szCs w:val="12"/>
                <w:color w:val="auto"/>
              </w:rPr>
            </w:pPr>
          </w:p>
        </w:tc>
      </w:tr>
      <w:tr>
        <w:trPr>
          <w:trHeight w:val="205"/>
        </w:trPr>
        <w:tc>
          <w:tcPr>
            <w:tcW w:w="1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N/A</w:t>
            </w:r>
          </w:p>
        </w:tc>
        <w:tc>
          <w:tcPr>
            <w:tcW w:w="14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92"/>
        </w:trPr>
        <w:tc>
          <w:tcPr>
            <w:tcW w:w="18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20" w:type="dxa"/>
            <w:vAlign w:val="bottom"/>
            <w:gridSpan w:val="3"/>
          </w:tcPr>
          <w:p>
            <w:pPr>
              <w:jc w:val="center"/>
              <w:ind w:right="20"/>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______________________________________________________________________________________________________________</w:t>
            </w:r>
          </w:p>
        </w:tc>
        <w:tc>
          <w:tcPr>
            <w:tcW w:w="140" w:type="dxa"/>
            <w:vAlign w:val="bottom"/>
          </w:tcPr>
          <w:p>
            <w:pPr>
              <w:spacing w:after="0"/>
              <w:rPr>
                <w:sz w:val="8"/>
                <w:szCs w:val="8"/>
                <w:color w:val="auto"/>
              </w:rPr>
            </w:pPr>
          </w:p>
        </w:tc>
        <w:tc>
          <w:tcPr>
            <w:tcW w:w="3280" w:type="dxa"/>
            <w:vAlign w:val="bottom"/>
          </w:tcPr>
          <w:p>
            <w:pPr>
              <w:spacing w:after="0"/>
              <w:rPr>
                <w:sz w:val="8"/>
                <w:szCs w:val="8"/>
                <w:color w:val="auto"/>
              </w:rPr>
            </w:pPr>
          </w:p>
        </w:tc>
      </w:tr>
      <w:tr>
        <w:trPr>
          <w:trHeight w:val="211"/>
        </w:trPr>
        <w:tc>
          <w:tcPr>
            <w:tcW w:w="180" w:type="dxa"/>
            <w:vAlign w:val="bottom"/>
          </w:tcPr>
          <w:p>
            <w:pPr>
              <w:spacing w:after="0"/>
              <w:rPr>
                <w:sz w:val="18"/>
                <w:szCs w:val="18"/>
                <w:color w:val="auto"/>
              </w:rPr>
            </w:pPr>
          </w:p>
        </w:tc>
        <w:tc>
          <w:tcPr>
            <w:tcW w:w="108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216"/>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w w:val="93"/>
              </w:rPr>
              <w:t>Securities registered pursuant to Section 12(b) of the Act:</w:t>
            </w:r>
          </w:p>
        </w:tc>
        <w:tc>
          <w:tcPr>
            <w:tcW w:w="3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303"/>
        </w:trPr>
        <w:tc>
          <w:tcPr>
            <w:tcW w:w="180" w:type="dxa"/>
            <w:vAlign w:val="bottom"/>
          </w:tcPr>
          <w:p>
            <w:pPr>
              <w:spacing w:after="0"/>
              <w:rPr>
                <w:sz w:val="24"/>
                <w:szCs w:val="24"/>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0"/>
        </w:trPr>
        <w:tc>
          <w:tcPr>
            <w:tcW w:w="180" w:type="dxa"/>
            <w:vAlign w:val="bottom"/>
          </w:tcPr>
          <w:p>
            <w:pPr>
              <w:spacing w:after="0"/>
              <w:rPr>
                <w:sz w:val="16"/>
                <w:szCs w:val="16"/>
                <w:color w:val="auto"/>
              </w:rPr>
            </w:pPr>
          </w:p>
        </w:tc>
        <w:tc>
          <w:tcPr>
            <w:tcW w:w="34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Common stock, par value $0.001 per share</w:t>
            </w:r>
          </w:p>
        </w:tc>
        <w:tc>
          <w:tcPr>
            <w:tcW w:w="380" w:type="dxa"/>
            <w:vAlign w:val="bottom"/>
          </w:tcPr>
          <w:p>
            <w:pPr>
              <w:spacing w:after="0"/>
              <w:rPr>
                <w:sz w:val="16"/>
                <w:szCs w:val="16"/>
                <w:color w:val="auto"/>
              </w:rPr>
            </w:pPr>
          </w:p>
        </w:tc>
        <w:tc>
          <w:tcPr>
            <w:tcW w:w="3640" w:type="dxa"/>
            <w:vAlign w:val="bottom"/>
            <w:gridSpan w:val="2"/>
          </w:tcPr>
          <w:p>
            <w:pPr>
              <w:jc w:val="center"/>
              <w:ind w:right="340"/>
              <w:spacing w:after="0"/>
              <w:rPr>
                <w:sz w:val="20"/>
                <w:szCs w:val="20"/>
                <w:color w:val="auto"/>
              </w:rPr>
            </w:pPr>
            <w:r>
              <w:rPr>
                <w:rFonts w:ascii="Arial" w:cs="Arial" w:eastAsia="Arial" w:hAnsi="Arial"/>
                <w:sz w:val="14"/>
                <w:szCs w:val="14"/>
                <w:color w:val="auto"/>
              </w:rPr>
              <w:t>XPO</w:t>
            </w:r>
          </w:p>
        </w:tc>
        <w:tc>
          <w:tcPr>
            <w:tcW w:w="140" w:type="dxa"/>
            <w:vAlign w:val="bottom"/>
          </w:tcPr>
          <w:p>
            <w:pPr>
              <w:spacing w:after="0"/>
              <w:rPr>
                <w:sz w:val="16"/>
                <w:szCs w:val="16"/>
                <w:color w:val="auto"/>
              </w:rPr>
            </w:pPr>
          </w:p>
        </w:tc>
        <w:tc>
          <w:tcPr>
            <w:tcW w:w="3280" w:type="dxa"/>
            <w:vAlign w:val="bottom"/>
          </w:tcPr>
          <w:p>
            <w:pPr>
              <w:jc w:val="center"/>
              <w:spacing w:after="0"/>
              <w:rPr>
                <w:sz w:val="20"/>
                <w:szCs w:val="20"/>
                <w:color w:val="auto"/>
              </w:rPr>
            </w:pPr>
            <w:r>
              <w:rPr>
                <w:rFonts w:ascii="Arial" w:cs="Arial" w:eastAsia="Arial" w:hAnsi="Arial"/>
                <w:sz w:val="14"/>
                <w:szCs w:val="14"/>
                <w:color w:val="auto"/>
                <w:w w:val="94"/>
              </w:rPr>
              <w:t>New York Stock Exchange</w:t>
            </w:r>
          </w:p>
        </w:tc>
      </w:tr>
    </w:tbl>
    <w:p>
      <w:pPr>
        <w:spacing w:after="0" w:line="9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4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458" w:right="399" w:bottom="1440" w:gutter="0" w:footer="0" w:header="0"/>
        </w:sectPr>
      </w:pPr>
    </w:p>
    <w:p>
      <w:pPr>
        <w:spacing w:after="0" w:line="116" w:lineRule="exact"/>
        <w:rPr>
          <w:sz w:val="24"/>
          <w:szCs w:val="24"/>
          <w:color w:val="auto"/>
        </w:rPr>
      </w:pPr>
    </w:p>
    <w:p>
      <w:pPr>
        <w:ind w:left="20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3" w:lineRule="exact"/>
        <w:rPr>
          <w:sz w:val="24"/>
          <w:szCs w:val="24"/>
          <w:color w:val="auto"/>
        </w:rPr>
      </w:pPr>
    </w:p>
    <w:p>
      <w:pPr>
        <w:sectPr>
          <w:pgSz w:w="11900" w:h="16838" w:orient="portrait"/>
          <w:cols w:equalWidth="0" w:num="6">
            <w:col w:w="2660" w:space="720"/>
            <w:col w:w="160" w:space="500"/>
            <w:col w:w="2500" w:space="720"/>
            <w:col w:w="160" w:space="460"/>
            <w:col w:w="2160" w:space="720"/>
            <w:col w:w="420"/>
          </w:cols>
          <w:pgMar w:left="320" w:top="458" w:right="399" w:bottom="1440" w:gutter="0" w:footer="0" w:header="0"/>
          <w:type w:val="continuous"/>
        </w:sectPr>
      </w:pPr>
    </w:p>
    <w:p>
      <w:pPr>
        <w:spacing w:after="0" w:line="89" w:lineRule="exact"/>
        <w:rPr>
          <w:sz w:val="24"/>
          <w:szCs w:val="24"/>
          <w:color w:val="auto"/>
        </w:rPr>
      </w:pPr>
    </w:p>
    <w:p>
      <w:pPr>
        <w:ind w:left="20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83" w:lineRule="exact"/>
        <w:rPr>
          <w:sz w:val="24"/>
          <w:szCs w:val="24"/>
          <w:color w:val="auto"/>
        </w:rPr>
      </w:pPr>
    </w:p>
    <w:p>
      <w:pPr>
        <w:sectPr>
          <w:pgSz w:w="11900" w:h="16838" w:orient="portrait"/>
          <w:cols w:equalWidth="0" w:num="4">
            <w:col w:w="2660" w:space="720"/>
            <w:col w:w="160" w:space="500"/>
            <w:col w:w="2500" w:space="720"/>
            <w:col w:w="3920"/>
          </w:cols>
          <w:pgMar w:left="320" w:top="458" w:right="399" w:bottom="1440" w:gutter="0" w:footer="0" w:header="0"/>
          <w:type w:val="continuous"/>
        </w:sect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right="156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27, 2020, there were 91,325,643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58" w:right="399" w:bottom="1440" w:gutter="0" w:footer="0" w:header="0"/>
          <w:type w:val="continuous"/>
        </w:sectPr>
      </w:pPr>
    </w:p>
    <w:bookmarkStart w:id="1" w:name="page2"/>
    <w:bookmarkEnd w:id="1"/>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100" w:type="dxa"/>
            <w:vAlign w:val="bottom"/>
          </w:tcPr>
          <w:p>
            <w:pPr>
              <w:spacing w:after="0"/>
              <w:rPr>
                <w:sz w:val="20"/>
                <w:szCs w:val="20"/>
                <w:color w:val="auto"/>
              </w:rPr>
            </w:pPr>
          </w:p>
        </w:tc>
        <w:tc>
          <w:tcPr>
            <w:tcW w:w="1140" w:type="dxa"/>
            <w:vAlign w:val="bottom"/>
          </w:tcPr>
          <w:p>
            <w:pPr>
              <w:ind w:left="24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10100" w:type="dxa"/>
            <w:vAlign w:val="bottom"/>
            <w:vMerge w:val="restart"/>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I—Financial Information</w:t>
              </w:r>
            </w:hyperlink>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10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100" w:type="dxa"/>
            <w:vAlign w:val="bottom"/>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Financial Statements (Unaudited):</w:t>
              </w:r>
            </w:hyperlink>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100" w:type="dxa"/>
            <w:vAlign w:val="bottom"/>
          </w:tcPr>
          <w:p>
            <w:pPr>
              <w:ind w:left="3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1</w:t>
              </w:r>
            </w:hyperlink>
          </w:p>
        </w:tc>
        <w:tc>
          <w:tcPr>
            <w:tcW w:w="0" w:type="dxa"/>
            <w:vAlign w:val="bottom"/>
          </w:tcPr>
          <w:p>
            <w:pPr>
              <w:spacing w:after="0"/>
              <w:rPr>
                <w:sz w:val="1"/>
                <w:szCs w:val="1"/>
                <w:color w:val="auto"/>
              </w:rPr>
            </w:pPr>
          </w:p>
        </w:tc>
      </w:tr>
      <w:tr>
        <w:trPr>
          <w:trHeight w:val="229"/>
        </w:trPr>
        <w:tc>
          <w:tcPr>
            <w:tcW w:w="10100" w:type="dxa"/>
            <w:vAlign w:val="bottom"/>
          </w:tcPr>
          <w:p>
            <w:pPr>
              <w:ind w:left="3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(Loss) Income</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2</w:t>
              </w:r>
            </w:hyperlink>
          </w:p>
        </w:tc>
        <w:tc>
          <w:tcPr>
            <w:tcW w:w="0" w:type="dxa"/>
            <w:vAlign w:val="bottom"/>
          </w:tcPr>
          <w:p>
            <w:pPr>
              <w:spacing w:after="0"/>
              <w:rPr>
                <w:sz w:val="1"/>
                <w:szCs w:val="1"/>
                <w:color w:val="auto"/>
              </w:rPr>
            </w:pPr>
          </w:p>
        </w:tc>
      </w:tr>
      <w:tr>
        <w:trPr>
          <w:trHeight w:val="230"/>
        </w:trPr>
        <w:tc>
          <w:tcPr>
            <w:tcW w:w="10100" w:type="dxa"/>
            <w:vAlign w:val="bottom"/>
          </w:tcPr>
          <w:p>
            <w:pPr>
              <w:ind w:left="3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(Loss) Income</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3</w:t>
              </w:r>
            </w:hyperlink>
          </w:p>
        </w:tc>
        <w:tc>
          <w:tcPr>
            <w:tcW w:w="0" w:type="dxa"/>
            <w:vAlign w:val="bottom"/>
          </w:tcPr>
          <w:p>
            <w:pPr>
              <w:spacing w:after="0"/>
              <w:rPr>
                <w:sz w:val="1"/>
                <w:szCs w:val="1"/>
                <w:color w:val="auto"/>
              </w:rPr>
            </w:pPr>
          </w:p>
        </w:tc>
      </w:tr>
      <w:tr>
        <w:trPr>
          <w:trHeight w:val="229"/>
        </w:trPr>
        <w:tc>
          <w:tcPr>
            <w:tcW w:w="10100" w:type="dxa"/>
            <w:vAlign w:val="bottom"/>
          </w:tcPr>
          <w:p>
            <w:pPr>
              <w:ind w:left="3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Cash Flows</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4</w:t>
              </w:r>
            </w:hyperlink>
          </w:p>
        </w:tc>
        <w:tc>
          <w:tcPr>
            <w:tcW w:w="0" w:type="dxa"/>
            <w:vAlign w:val="bottom"/>
          </w:tcPr>
          <w:p>
            <w:pPr>
              <w:spacing w:after="0"/>
              <w:rPr>
                <w:sz w:val="1"/>
                <w:szCs w:val="1"/>
                <w:color w:val="auto"/>
              </w:rPr>
            </w:pPr>
          </w:p>
        </w:tc>
      </w:tr>
      <w:tr>
        <w:trPr>
          <w:trHeight w:val="229"/>
        </w:trPr>
        <w:tc>
          <w:tcPr>
            <w:tcW w:w="10100" w:type="dxa"/>
            <w:vAlign w:val="bottom"/>
          </w:tcPr>
          <w:p>
            <w:pPr>
              <w:ind w:left="3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Changes in Equity</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5</w:t>
              </w:r>
            </w:hyperlink>
          </w:p>
        </w:tc>
        <w:tc>
          <w:tcPr>
            <w:tcW w:w="0" w:type="dxa"/>
            <w:vAlign w:val="bottom"/>
          </w:tcPr>
          <w:p>
            <w:pPr>
              <w:spacing w:after="0"/>
              <w:rPr>
                <w:sz w:val="1"/>
                <w:szCs w:val="1"/>
                <w:color w:val="auto"/>
              </w:rPr>
            </w:pPr>
          </w:p>
        </w:tc>
      </w:tr>
      <w:tr>
        <w:trPr>
          <w:trHeight w:val="230"/>
        </w:trPr>
        <w:tc>
          <w:tcPr>
            <w:tcW w:w="10100" w:type="dxa"/>
            <w:vAlign w:val="bottom"/>
          </w:tcPr>
          <w:p>
            <w:pPr>
              <w:ind w:left="36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w:t>
              </w:r>
            </w:hyperlink>
          </w:p>
        </w:tc>
        <w:tc>
          <w:tcPr>
            <w:tcW w:w="1140" w:type="dxa"/>
            <w:vAlign w:val="bottom"/>
          </w:tcPr>
          <w:p>
            <w:pPr>
              <w:jc w:val="center"/>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7</w:t>
              </w:r>
            </w:hyperlink>
          </w:p>
        </w:tc>
        <w:tc>
          <w:tcPr>
            <w:tcW w:w="0" w:type="dxa"/>
            <w:vAlign w:val="bottom"/>
          </w:tcPr>
          <w:p>
            <w:pPr>
              <w:spacing w:after="0"/>
              <w:rPr>
                <w:sz w:val="1"/>
                <w:szCs w:val="1"/>
                <w:color w:val="auto"/>
              </w:rPr>
            </w:pPr>
          </w:p>
        </w:tc>
      </w:tr>
      <w:tr>
        <w:trPr>
          <w:trHeight w:val="229"/>
        </w:trPr>
        <w:tc>
          <w:tcPr>
            <w:tcW w:w="10100" w:type="dxa"/>
            <w:vAlign w:val="bottom"/>
          </w:tcPr>
          <w:p>
            <w:pPr>
              <w:ind w:left="2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2. Management’s Discussion and Analysis of Financial Condition and Results of Operations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22">
              <w:r>
                <w:rPr>
                  <w:rFonts w:ascii="Arial" w:cs="Arial" w:eastAsia="Arial" w:hAnsi="Arial"/>
                  <w:sz w:val="18"/>
                  <w:szCs w:val="18"/>
                  <w:u w:val="single" w:color="auto"/>
                  <w:color w:val="0000FF"/>
                  <w:w w:val="89"/>
                </w:rPr>
                <w:t>20</w:t>
              </w:r>
            </w:hyperlink>
          </w:p>
        </w:tc>
        <w:tc>
          <w:tcPr>
            <w:tcW w:w="0" w:type="dxa"/>
            <w:vAlign w:val="bottom"/>
          </w:tcPr>
          <w:p>
            <w:pPr>
              <w:spacing w:after="0"/>
              <w:rPr>
                <w:sz w:val="1"/>
                <w:szCs w:val="1"/>
                <w:color w:val="auto"/>
              </w:rPr>
            </w:pPr>
          </w:p>
        </w:tc>
      </w:tr>
      <w:tr>
        <w:trPr>
          <w:trHeight w:val="230"/>
        </w:trPr>
        <w:tc>
          <w:tcPr>
            <w:tcW w:w="1010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3. Quantitative and Qualitative Disclosures About Market Risk</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33</w:t>
              </w:r>
            </w:hyperlink>
          </w:p>
        </w:tc>
        <w:tc>
          <w:tcPr>
            <w:tcW w:w="0" w:type="dxa"/>
            <w:vAlign w:val="bottom"/>
          </w:tcPr>
          <w:p>
            <w:pPr>
              <w:spacing w:after="0"/>
              <w:rPr>
                <w:sz w:val="1"/>
                <w:szCs w:val="1"/>
                <w:color w:val="auto"/>
              </w:rPr>
            </w:pPr>
          </w:p>
        </w:tc>
      </w:tr>
      <w:tr>
        <w:trPr>
          <w:trHeight w:val="225"/>
        </w:trPr>
        <w:tc>
          <w:tcPr>
            <w:tcW w:w="1010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4. Controls and Procedures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33</w:t>
              </w:r>
            </w:hyperlink>
          </w:p>
        </w:tc>
        <w:tc>
          <w:tcPr>
            <w:tcW w:w="0" w:type="dxa"/>
            <w:vAlign w:val="bottom"/>
          </w:tcPr>
          <w:p>
            <w:pPr>
              <w:spacing w:after="0"/>
              <w:rPr>
                <w:sz w:val="1"/>
                <w:szCs w:val="1"/>
                <w:color w:val="auto"/>
              </w:rPr>
            </w:pPr>
          </w:p>
        </w:tc>
      </w:tr>
      <w:tr>
        <w:trPr>
          <w:trHeight w:val="233"/>
        </w:trPr>
        <w:tc>
          <w:tcPr>
            <w:tcW w:w="10100" w:type="dxa"/>
            <w:vAlign w:val="bottom"/>
          </w:tcPr>
          <w:p>
            <w:pPr>
              <w:ind w:left="20"/>
              <w:spacing w:after="0"/>
              <w:rPr>
                <w:rFonts w:ascii="Arial" w:cs="Arial" w:eastAsia="Arial" w:hAnsi="Arial"/>
                <w:sz w:val="18"/>
                <w:szCs w:val="18"/>
                <w:b w:val="1"/>
                <w:bCs w:val="1"/>
                <w:u w:val="single" w:color="auto"/>
                <w:color w:val="0000FF"/>
              </w:rPr>
            </w:pPr>
            <w:hyperlink w:anchor="page35">
              <w:r>
                <w:rPr>
                  <w:rFonts w:ascii="Arial" w:cs="Arial" w:eastAsia="Arial" w:hAnsi="Arial"/>
                  <w:sz w:val="18"/>
                  <w:szCs w:val="18"/>
                  <w:b w:val="1"/>
                  <w:bCs w:val="1"/>
                  <w:u w:val="single" w:color="auto"/>
                  <w:color w:val="0000FF"/>
                </w:rPr>
                <w:t>Part II—Other Information</w:t>
              </w:r>
            </w:hyperlink>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0100" w:type="dxa"/>
            <w:vAlign w:val="bottom"/>
          </w:tcPr>
          <w:p>
            <w:pPr>
              <w:ind w:left="2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Item 1. Legal Proceedings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35">
              <w:r>
                <w:rPr>
                  <w:rFonts w:ascii="Arial" w:cs="Arial" w:eastAsia="Arial" w:hAnsi="Arial"/>
                  <w:sz w:val="18"/>
                  <w:szCs w:val="18"/>
                  <w:u w:val="single" w:color="auto"/>
                  <w:color w:val="0000FF"/>
                  <w:w w:val="89"/>
                </w:rPr>
                <w:t>33</w:t>
              </w:r>
            </w:hyperlink>
          </w:p>
        </w:tc>
        <w:tc>
          <w:tcPr>
            <w:tcW w:w="0" w:type="dxa"/>
            <w:vAlign w:val="bottom"/>
          </w:tcPr>
          <w:p>
            <w:pPr>
              <w:spacing w:after="0"/>
              <w:rPr>
                <w:sz w:val="1"/>
                <w:szCs w:val="1"/>
                <w:color w:val="auto"/>
              </w:rPr>
            </w:pPr>
          </w:p>
        </w:tc>
      </w:tr>
      <w:tr>
        <w:trPr>
          <w:trHeight w:val="230"/>
        </w:trPr>
        <w:tc>
          <w:tcPr>
            <w:tcW w:w="10100" w:type="dxa"/>
            <w:vAlign w:val="bottom"/>
          </w:tcPr>
          <w:p>
            <w:pPr>
              <w:ind w:left="20"/>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Item 1A. Risk Factors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36">
              <w:r>
                <w:rPr>
                  <w:rFonts w:ascii="Arial" w:cs="Arial" w:eastAsia="Arial" w:hAnsi="Arial"/>
                  <w:sz w:val="18"/>
                  <w:szCs w:val="18"/>
                  <w:u w:val="single" w:color="auto"/>
                  <w:color w:val="0000FF"/>
                  <w:w w:val="89"/>
                </w:rPr>
                <w:t>34</w:t>
              </w:r>
            </w:hyperlink>
          </w:p>
        </w:tc>
        <w:tc>
          <w:tcPr>
            <w:tcW w:w="0" w:type="dxa"/>
            <w:vAlign w:val="bottom"/>
          </w:tcPr>
          <w:p>
            <w:pPr>
              <w:spacing w:after="0"/>
              <w:rPr>
                <w:sz w:val="1"/>
                <w:szCs w:val="1"/>
                <w:color w:val="auto"/>
              </w:rPr>
            </w:pPr>
          </w:p>
        </w:tc>
      </w:tr>
      <w:tr>
        <w:trPr>
          <w:trHeight w:val="230"/>
        </w:trPr>
        <w:tc>
          <w:tcPr>
            <w:tcW w:w="10100" w:type="dxa"/>
            <w:vAlign w:val="bottom"/>
          </w:tcPr>
          <w:p>
            <w:pPr>
              <w:ind w:left="2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Item 2. Unregistered Sales of Equity Securities and Use of Proceeds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37">
              <w:r>
                <w:rPr>
                  <w:rFonts w:ascii="Arial" w:cs="Arial" w:eastAsia="Arial" w:hAnsi="Arial"/>
                  <w:sz w:val="18"/>
                  <w:szCs w:val="18"/>
                  <w:u w:val="single" w:color="auto"/>
                  <w:color w:val="0000FF"/>
                  <w:w w:val="89"/>
                </w:rPr>
                <w:t>36</w:t>
              </w:r>
            </w:hyperlink>
          </w:p>
        </w:tc>
        <w:tc>
          <w:tcPr>
            <w:tcW w:w="0" w:type="dxa"/>
            <w:vAlign w:val="bottom"/>
          </w:tcPr>
          <w:p>
            <w:pPr>
              <w:spacing w:after="0"/>
              <w:rPr>
                <w:sz w:val="1"/>
                <w:szCs w:val="1"/>
                <w:color w:val="auto"/>
              </w:rPr>
            </w:pPr>
          </w:p>
        </w:tc>
      </w:tr>
      <w:tr>
        <w:trPr>
          <w:trHeight w:val="230"/>
        </w:trPr>
        <w:tc>
          <w:tcPr>
            <w:tcW w:w="10100" w:type="dxa"/>
            <w:vAlign w:val="bottom"/>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3. Defaults Upon Senior Securities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36</w:t>
              </w:r>
            </w:hyperlink>
          </w:p>
        </w:tc>
        <w:tc>
          <w:tcPr>
            <w:tcW w:w="0" w:type="dxa"/>
            <w:vAlign w:val="bottom"/>
          </w:tcPr>
          <w:p>
            <w:pPr>
              <w:spacing w:after="0"/>
              <w:rPr>
                <w:sz w:val="1"/>
                <w:szCs w:val="1"/>
                <w:color w:val="auto"/>
              </w:rPr>
            </w:pPr>
          </w:p>
        </w:tc>
      </w:tr>
      <w:tr>
        <w:trPr>
          <w:trHeight w:val="229"/>
        </w:trPr>
        <w:tc>
          <w:tcPr>
            <w:tcW w:w="10100" w:type="dxa"/>
            <w:vAlign w:val="bottom"/>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4. Mine Safety Disclosures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36</w:t>
              </w:r>
            </w:hyperlink>
          </w:p>
        </w:tc>
        <w:tc>
          <w:tcPr>
            <w:tcW w:w="0" w:type="dxa"/>
            <w:vAlign w:val="bottom"/>
          </w:tcPr>
          <w:p>
            <w:pPr>
              <w:spacing w:after="0"/>
              <w:rPr>
                <w:sz w:val="1"/>
                <w:szCs w:val="1"/>
                <w:color w:val="auto"/>
              </w:rPr>
            </w:pPr>
          </w:p>
        </w:tc>
      </w:tr>
      <w:tr>
        <w:trPr>
          <w:trHeight w:val="230"/>
        </w:trPr>
        <w:tc>
          <w:tcPr>
            <w:tcW w:w="10100" w:type="dxa"/>
            <w:vAlign w:val="bottom"/>
          </w:tcPr>
          <w:p>
            <w:pPr>
              <w:ind w:left="20"/>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Item 5. Other Information</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38">
              <w:r>
                <w:rPr>
                  <w:rFonts w:ascii="Arial" w:cs="Arial" w:eastAsia="Arial" w:hAnsi="Arial"/>
                  <w:sz w:val="18"/>
                  <w:szCs w:val="18"/>
                  <w:u w:val="single" w:color="auto"/>
                  <w:color w:val="0000FF"/>
                  <w:w w:val="89"/>
                </w:rPr>
                <w:t>36</w:t>
              </w:r>
            </w:hyperlink>
          </w:p>
        </w:tc>
        <w:tc>
          <w:tcPr>
            <w:tcW w:w="0" w:type="dxa"/>
            <w:vAlign w:val="bottom"/>
          </w:tcPr>
          <w:p>
            <w:pPr>
              <w:spacing w:after="0"/>
              <w:rPr>
                <w:sz w:val="1"/>
                <w:szCs w:val="1"/>
                <w:color w:val="auto"/>
              </w:rPr>
            </w:pPr>
          </w:p>
        </w:tc>
      </w:tr>
      <w:tr>
        <w:trPr>
          <w:trHeight w:val="230"/>
        </w:trPr>
        <w:tc>
          <w:tcPr>
            <w:tcW w:w="10100" w:type="dxa"/>
            <w:vAlign w:val="bottom"/>
          </w:tcPr>
          <w:p>
            <w:pPr>
              <w:ind w:left="2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6. Exhibits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38</w:t>
              </w:r>
            </w:hyperlink>
          </w:p>
        </w:tc>
        <w:tc>
          <w:tcPr>
            <w:tcW w:w="0" w:type="dxa"/>
            <w:vAlign w:val="bottom"/>
          </w:tcPr>
          <w:p>
            <w:pPr>
              <w:spacing w:after="0"/>
              <w:rPr>
                <w:sz w:val="1"/>
                <w:szCs w:val="1"/>
                <w:color w:val="auto"/>
              </w:rPr>
            </w:pPr>
          </w:p>
        </w:tc>
      </w:tr>
      <w:tr>
        <w:trPr>
          <w:trHeight w:val="230"/>
        </w:trPr>
        <w:tc>
          <w:tcPr>
            <w:tcW w:w="10100" w:type="dxa"/>
            <w:vAlign w:val="bottom"/>
          </w:tcPr>
          <w:p>
            <w:pPr>
              <w:ind w:left="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Signatures</w:t>
              </w:r>
            </w:hyperlink>
          </w:p>
        </w:tc>
        <w:tc>
          <w:tcPr>
            <w:tcW w:w="1140" w:type="dxa"/>
            <w:vAlign w:val="bottom"/>
          </w:tcPr>
          <w:p>
            <w:pPr>
              <w:jc w:val="center"/>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40</w:t>
              </w:r>
            </w:hyperlink>
          </w:p>
        </w:tc>
        <w:tc>
          <w:tcPr>
            <w:tcW w:w="0" w:type="dxa"/>
            <w:vAlign w:val="bottom"/>
          </w:tcPr>
          <w:p>
            <w:pPr>
              <w:spacing w:after="0"/>
              <w:rPr>
                <w:sz w:val="1"/>
                <w:szCs w:val="1"/>
                <w:color w:val="auto"/>
              </w:rPr>
            </w:pPr>
          </w:p>
        </w:tc>
      </w:tr>
      <w:tr>
        <w:trPr>
          <w:trHeight w:val="1492"/>
        </w:trPr>
        <w:tc>
          <w:tcPr>
            <w:tcW w:w="10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14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208"/>
        </w:trPr>
        <w:tc>
          <w:tcPr>
            <w:tcW w:w="84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shd w:val="clear" w:color="auto" w:fill="CCEEFF"/>
          </w:tcPr>
          <w:p>
            <w:pPr>
              <w:ind w:left="390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52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67"/>
        </w:trPr>
        <w:tc>
          <w:tcPr>
            <w:tcW w:w="8520" w:type="dxa"/>
            <w:vAlign w:val="bottom"/>
            <w:gridSpan w:val="2"/>
          </w:tcPr>
          <w:p>
            <w:pPr>
              <w:ind w:left="400"/>
              <w:spacing w:after="0"/>
              <w:rPr>
                <w:sz w:val="20"/>
                <w:szCs w:val="20"/>
                <w:color w:val="auto"/>
              </w:rPr>
            </w:pPr>
            <w:r>
              <w:rPr>
                <w:rFonts w:ascii="Arial" w:cs="Arial" w:eastAsia="Arial" w:hAnsi="Arial"/>
                <w:sz w:val="16"/>
                <w:szCs w:val="16"/>
                <w:color w:val="auto"/>
              </w:rPr>
              <w:t>Accounts receivable, net of allowances of $79 and $58, respectively</w:t>
            </w:r>
          </w:p>
        </w:tc>
        <w:tc>
          <w:tcPr>
            <w:tcW w:w="240" w:type="dxa"/>
            <w:vAlign w:val="bottom"/>
          </w:tcPr>
          <w:p>
            <w:pPr>
              <w:spacing w:after="0"/>
              <w:rPr>
                <w:sz w:val="23"/>
                <w:szCs w:val="23"/>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2,244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3"/>
        </w:trPr>
        <w:tc>
          <w:tcPr>
            <w:tcW w:w="8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37"/>
        </w:trPr>
        <w:tc>
          <w:tcPr>
            <w:tcW w:w="8520" w:type="dxa"/>
            <w:vAlign w:val="bottom"/>
            <w:gridSpan w:val="2"/>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5,030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assets</w:t>
            </w: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8520" w:type="dxa"/>
            <w:vAlign w:val="bottom"/>
            <w:gridSpan w:val="2"/>
          </w:tcPr>
          <w:p>
            <w:pPr>
              <w:ind w:left="400"/>
              <w:spacing w:after="0"/>
              <w:rPr>
                <w:sz w:val="20"/>
                <w:szCs w:val="20"/>
                <w:color w:val="auto"/>
              </w:rPr>
            </w:pPr>
            <w:r>
              <w:rPr>
                <w:rFonts w:ascii="Arial" w:cs="Arial" w:eastAsia="Arial" w:hAnsi="Arial"/>
                <w:sz w:val="16"/>
                <w:szCs w:val="16"/>
                <w:color w:val="auto"/>
              </w:rPr>
              <w:t>Property and equipment, net of $2,291 and $2,054 in accumulated depreciation, respectively</w:t>
            </w:r>
          </w:p>
        </w:tc>
        <w:tc>
          <w:tcPr>
            <w:tcW w:w="240" w:type="dxa"/>
            <w:vAlign w:val="bottom"/>
          </w:tcPr>
          <w:p>
            <w:pPr>
              <w:spacing w:after="0"/>
              <w:rPr>
                <w:sz w:val="23"/>
                <w:szCs w:val="23"/>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2,597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53"/>
        </w:trPr>
        <w:tc>
          <w:tcPr>
            <w:tcW w:w="8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Operating lease assets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8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4,422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Identifiable intangible assets, net of $864 and $850 in accumulated amortization, respectively</w:t>
            </w: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80"/>
              <w:spacing w:after="0"/>
              <w:rPr>
                <w:sz w:val="20"/>
                <w:szCs w:val="20"/>
                <w:color w:val="auto"/>
              </w:rPr>
            </w:pPr>
            <w:r>
              <w:rPr>
                <w:rFonts w:ascii="Arial" w:cs="Arial" w:eastAsia="Arial" w:hAnsi="Arial"/>
                <w:sz w:val="16"/>
                <w:szCs w:val="16"/>
                <w:color w:val="auto"/>
              </w:rPr>
              <w:t>Other long-term assets</w:t>
            </w:r>
          </w:p>
        </w:tc>
        <w:tc>
          <w:tcPr>
            <w:tcW w:w="2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Total long-term assets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10,786</w:t>
            </w:r>
          </w:p>
        </w:tc>
        <w:tc>
          <w:tcPr>
            <w:tcW w:w="0" w:type="dxa"/>
            <w:vAlign w:val="bottom"/>
          </w:tcPr>
          <w:p>
            <w:pPr>
              <w:spacing w:after="0"/>
              <w:rPr>
                <w:sz w:val="1"/>
                <w:szCs w:val="1"/>
                <w:color w:val="auto"/>
              </w:rPr>
            </w:pPr>
          </w:p>
        </w:tc>
      </w:tr>
      <w:tr>
        <w:trPr>
          <w:trHeight w:val="261"/>
        </w:trPr>
        <w:tc>
          <w:tcPr>
            <w:tcW w:w="8520" w:type="dxa"/>
            <w:vAlign w:val="bottom"/>
            <w:gridSpan w:val="2"/>
          </w:tcPr>
          <w:p>
            <w:pPr>
              <w:ind w:left="66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15,641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14,128</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520" w:type="dxa"/>
            <w:vAlign w:val="bottom"/>
            <w:tcBorders>
              <w:bottom w:val="single" w:sz="8" w:color="CCEEFF"/>
            </w:tcBorders>
            <w:gridSpan w:val="2"/>
            <w:shd w:val="clear" w:color="auto" w:fill="CCEEFF"/>
          </w:tcPr>
          <w:p>
            <w:pPr>
              <w:ind w:left="24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52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8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Short-term borrowings and current maturities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80"/>
              <w:spacing w:after="0"/>
              <w:rPr>
                <w:sz w:val="20"/>
                <w:szCs w:val="20"/>
                <w:color w:val="auto"/>
              </w:rPr>
            </w:pPr>
            <w:r>
              <w:rPr>
                <w:rFonts w:ascii="Arial" w:cs="Arial" w:eastAsia="Arial" w:hAnsi="Arial"/>
                <w:sz w:val="16"/>
                <w:szCs w:val="16"/>
                <w:color w:val="auto"/>
              </w:rPr>
              <w:t>Short-term operating lease liabilities</w:t>
            </w:r>
          </w:p>
        </w:tc>
        <w:tc>
          <w:tcPr>
            <w:tcW w:w="2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7"/>
        </w:trPr>
        <w:tc>
          <w:tcPr>
            <w:tcW w:w="8520" w:type="dxa"/>
            <w:vAlign w:val="bottom"/>
            <w:gridSpan w:val="2"/>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3,329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3,258</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520" w:type="dxa"/>
            <w:vAlign w:val="bottom"/>
            <w:gridSpan w:val="2"/>
          </w:tcPr>
          <w:p>
            <w:pPr>
              <w:ind w:left="38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6,939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Deferred tax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80"/>
              <w:spacing w:after="0"/>
              <w:rPr>
                <w:sz w:val="20"/>
                <w:szCs w:val="20"/>
                <w:color w:val="auto"/>
              </w:rPr>
            </w:pPr>
            <w:r>
              <w:rPr>
                <w:rFonts w:ascii="Arial" w:cs="Arial" w:eastAsia="Arial" w:hAnsi="Arial"/>
                <w:sz w:val="16"/>
                <w:szCs w:val="16"/>
                <w:color w:val="auto"/>
              </w:rPr>
              <w:t>Employee benefit obligations</w:t>
            </w:r>
          </w:p>
        </w:tc>
        <w:tc>
          <w:tcPr>
            <w:tcW w:w="2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8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6"/>
                <w:szCs w:val="16"/>
                <w:b w:val="1"/>
                <w:bCs w:val="1"/>
                <w:color w:val="auto"/>
              </w:rPr>
              <w:t>Total long-term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7,974</w:t>
            </w:r>
          </w:p>
        </w:tc>
        <w:tc>
          <w:tcPr>
            <w:tcW w:w="0" w:type="dxa"/>
            <w:vAlign w:val="bottom"/>
          </w:tcPr>
          <w:p>
            <w:pPr>
              <w:spacing w:after="0"/>
              <w:rPr>
                <w:sz w:val="1"/>
                <w:szCs w:val="1"/>
                <w:color w:val="auto"/>
              </w:rPr>
            </w:pPr>
          </w:p>
        </w:tc>
      </w:tr>
      <w:tr>
        <w:trPr>
          <w:trHeight w:val="203"/>
        </w:trPr>
        <w:tc>
          <w:tcPr>
            <w:tcW w:w="852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520" w:type="dxa"/>
            <w:vAlign w:val="bottom"/>
            <w:gridSpan w:val="2"/>
            <w:shd w:val="clear" w:color="auto" w:fill="CCEEFF"/>
          </w:tcPr>
          <w:p>
            <w:pPr>
              <w:ind w:left="400"/>
              <w:spacing w:after="0" w:line="166" w:lineRule="exact"/>
              <w:rPr>
                <w:sz w:val="20"/>
                <w:szCs w:val="20"/>
                <w:color w:val="auto"/>
              </w:rPr>
            </w:pPr>
            <w:r>
              <w:rPr>
                <w:rFonts w:ascii="Arial" w:cs="Arial" w:eastAsia="Arial" w:hAnsi="Arial"/>
                <w:sz w:val="16"/>
                <w:szCs w:val="16"/>
                <w:color w:val="auto"/>
              </w:rPr>
              <w:t>Convertible perpetual preferred stock, $0.001 par value; 10 shares authorized; 0.07 of Series A shares issued and</w:t>
            </w:r>
          </w:p>
        </w:tc>
        <w:tc>
          <w:tcPr>
            <w:tcW w:w="24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2"/>
        </w:trPr>
        <w:tc>
          <w:tcPr>
            <w:tcW w:w="85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outstanding as of June 30, 2020 and December 31, 2019, respectively</w:t>
            </w:r>
          </w:p>
        </w:tc>
        <w:tc>
          <w:tcPr>
            <w:tcW w:w="24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520" w:type="dxa"/>
            <w:vAlign w:val="bottom"/>
            <w:gridSpan w:val="2"/>
          </w:tcPr>
          <w:p>
            <w:pPr>
              <w:ind w:left="400"/>
              <w:spacing w:after="0" w:line="166" w:lineRule="exact"/>
              <w:rPr>
                <w:sz w:val="20"/>
                <w:szCs w:val="20"/>
                <w:color w:val="auto"/>
              </w:rPr>
            </w:pPr>
            <w:r>
              <w:rPr>
                <w:rFonts w:ascii="Arial" w:cs="Arial" w:eastAsia="Arial" w:hAnsi="Arial"/>
                <w:sz w:val="16"/>
                <w:szCs w:val="16"/>
                <w:color w:val="auto"/>
                <w:w w:val="92"/>
              </w:rPr>
              <w:t>Common stock, $0.001 par value; 300 shares authorized; 91 and 92 shares issued and outstanding as of June 30, 2020 and</w:t>
            </w:r>
          </w:p>
        </w:tc>
        <w:tc>
          <w:tcPr>
            <w:tcW w:w="240" w:type="dxa"/>
            <w:vAlign w:val="bottom"/>
          </w:tcPr>
          <w:p>
            <w:pPr>
              <w:spacing w:after="0"/>
              <w:rPr>
                <w:sz w:val="14"/>
                <w:szCs w:val="14"/>
                <w:color w:val="auto"/>
              </w:rPr>
            </w:pPr>
          </w:p>
        </w:tc>
        <w:tc>
          <w:tcPr>
            <w:tcW w:w="11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140" w:type="dxa"/>
            <w:vAlign w:val="bottom"/>
            <w:vMerge w:val="restart"/>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520" w:type="dxa"/>
            <w:vAlign w:val="bottom"/>
            <w:gridSpan w:val="2"/>
          </w:tcPr>
          <w:p>
            <w:pPr>
              <w:ind w:left="400"/>
              <w:spacing w:after="0"/>
              <w:rPr>
                <w:sz w:val="20"/>
                <w:szCs w:val="20"/>
                <w:color w:val="auto"/>
              </w:rPr>
            </w:pPr>
            <w:r>
              <w:rPr>
                <w:rFonts w:ascii="Arial" w:cs="Arial" w:eastAsia="Arial" w:hAnsi="Arial"/>
                <w:sz w:val="16"/>
                <w:szCs w:val="16"/>
                <w:color w:val="auto"/>
              </w:rPr>
              <w:t>December 31, 2019, respectively</w:t>
            </w: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43"/>
        </w:trPr>
        <w:tc>
          <w:tcPr>
            <w:tcW w:w="8520" w:type="dxa"/>
            <w:vAlign w:val="bottom"/>
            <w:gridSpan w:val="2"/>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6"/>
        </w:trPr>
        <w:tc>
          <w:tcPr>
            <w:tcW w:w="8520" w:type="dxa"/>
            <w:vAlign w:val="bottom"/>
            <w:gridSpan w:val="2"/>
          </w:tcPr>
          <w:p>
            <w:pPr>
              <w:ind w:left="460"/>
              <w:spacing w:after="0"/>
              <w:rPr>
                <w:sz w:val="20"/>
                <w:szCs w:val="20"/>
                <w:color w:val="auto"/>
              </w:rPr>
            </w:pPr>
            <w:r>
              <w:rPr>
                <w:rFonts w:ascii="Arial" w:cs="Arial" w:eastAsia="Arial" w:hAnsi="Arial"/>
                <w:sz w:val="16"/>
                <w:szCs w:val="16"/>
                <w:b w:val="1"/>
                <w:bCs w:val="1"/>
                <w:color w:val="auto"/>
              </w:rPr>
              <w:t>Total stockholders’ equity before noncontrolling interests</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6"/>
        </w:trPr>
        <w:tc>
          <w:tcPr>
            <w:tcW w:w="8520" w:type="dxa"/>
            <w:vAlign w:val="bottom"/>
            <w:gridSpan w:val="2"/>
          </w:tcPr>
          <w:p>
            <w:pPr>
              <w:ind w:left="46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2,896</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6"/>
        </w:trPr>
        <w:tc>
          <w:tcPr>
            <w:tcW w:w="85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15,641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14,128</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229" w:right="339"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8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50"/>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7,366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8,358</w:t>
            </w:r>
          </w:p>
        </w:tc>
      </w:tr>
      <w:tr>
        <w:trPr>
          <w:trHeight w:val="243"/>
        </w:trPr>
        <w:tc>
          <w:tcPr>
            <w:tcW w:w="5320" w:type="dxa"/>
            <w:vAlign w:val="bottom"/>
            <w:gridSpan w:val="2"/>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 of transportation and services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4,204</w:t>
            </w:r>
          </w:p>
        </w:tc>
      </w:tr>
      <w:tr>
        <w:trPr>
          <w:trHeight w:val="243"/>
        </w:trPr>
        <w:tc>
          <w:tcPr>
            <w:tcW w:w="5320" w:type="dxa"/>
            <w:vAlign w:val="bottom"/>
            <w:gridSpan w:val="2"/>
          </w:tcPr>
          <w:p>
            <w:pPr>
              <w:ind w:left="380"/>
              <w:spacing w:after="0"/>
              <w:rPr>
                <w:sz w:val="20"/>
                <w:szCs w:val="20"/>
                <w:color w:val="auto"/>
              </w:rPr>
            </w:pPr>
            <w:r>
              <w:rPr>
                <w:rFonts w:ascii="Arial" w:cs="Arial" w:eastAsia="Arial" w:hAnsi="Arial"/>
                <w:sz w:val="18"/>
                <w:szCs w:val="18"/>
                <w:color w:val="auto"/>
              </w:rPr>
              <w:t>Direct operating expense</w:t>
            </w:r>
          </w:p>
        </w:tc>
        <w:tc>
          <w:tcPr>
            <w:tcW w:w="1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2,730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2,823</w:t>
            </w: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Sales, general and administrative expense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1,157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941</w:t>
            </w:r>
          </w:p>
        </w:tc>
      </w:tr>
      <w:tr>
        <w:trPr>
          <w:trHeight w:val="237"/>
        </w:trPr>
        <w:tc>
          <w:tcPr>
            <w:tcW w:w="5320" w:type="dxa"/>
            <w:vAlign w:val="bottom"/>
            <w:gridSpan w:val="2"/>
          </w:tcPr>
          <w:p>
            <w:pPr>
              <w:ind w:left="46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3,643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3,980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7,426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7,968</w:t>
            </w:r>
          </w:p>
        </w:tc>
      </w:tr>
      <w:tr>
        <w:trPr>
          <w:trHeight w:val="27"/>
        </w:trPr>
        <w:tc>
          <w:tcPr>
            <w:tcW w:w="5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390</w:t>
            </w:r>
          </w:p>
        </w:tc>
      </w:tr>
      <w:tr>
        <w:trPr>
          <w:trHeight w:val="237"/>
        </w:trPr>
        <w:tc>
          <w:tcPr>
            <w:tcW w:w="5320" w:type="dxa"/>
            <w:vAlign w:val="bottom"/>
            <w:gridSpan w:val="2"/>
          </w:tcPr>
          <w:p>
            <w:pPr>
              <w:ind w:left="380"/>
              <w:spacing w:after="0"/>
              <w:rPr>
                <w:sz w:val="20"/>
                <w:szCs w:val="20"/>
                <w:color w:val="auto"/>
              </w:rPr>
            </w:pPr>
            <w:r>
              <w:rPr>
                <w:rFonts w:ascii="Arial" w:cs="Arial" w:eastAsia="Arial" w:hAnsi="Arial"/>
                <w:sz w:val="18"/>
                <w:szCs w:val="18"/>
                <w:color w:val="auto"/>
              </w:rPr>
              <w:t>Other expense (income)</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w:t>
            </w: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currency loss (gain)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r>
      <w:tr>
        <w:trPr>
          <w:trHeight w:val="243"/>
        </w:trPr>
        <w:tc>
          <w:tcPr>
            <w:tcW w:w="5320" w:type="dxa"/>
            <w:vAlign w:val="bottom"/>
            <w:gridSpan w:val="2"/>
          </w:tcPr>
          <w:p>
            <w:pPr>
              <w:ind w:left="380"/>
              <w:spacing w:after="0"/>
              <w:rPr>
                <w:sz w:val="20"/>
                <w:szCs w:val="20"/>
                <w:color w:val="auto"/>
              </w:rPr>
            </w:pPr>
            <w:r>
              <w:rPr>
                <w:rFonts w:ascii="Arial" w:cs="Arial" w:eastAsia="Arial" w:hAnsi="Arial"/>
                <w:sz w:val="18"/>
                <w:szCs w:val="18"/>
                <w:color w:val="auto"/>
              </w:rPr>
              <w:t>Debt extinguishment loss</w:t>
            </w:r>
          </w:p>
        </w:tc>
        <w:tc>
          <w:tcPr>
            <w:tcW w:w="1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5</w:t>
            </w: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w:t>
            </w:r>
          </w:p>
        </w:tc>
      </w:tr>
      <w:tr>
        <w:trPr>
          <w:trHeight w:val="237"/>
        </w:trPr>
        <w:tc>
          <w:tcPr>
            <w:tcW w:w="532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income before income tax (benefit) provision</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262</w:t>
            </w: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tax (benefit) provision</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w:t>
            </w:r>
          </w:p>
        </w:tc>
      </w:tr>
      <w:tr>
        <w:trPr>
          <w:trHeight w:val="237"/>
        </w:trPr>
        <w:tc>
          <w:tcPr>
            <w:tcW w:w="53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income</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197</w:t>
            </w: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loss (income)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63"/>
        </w:trPr>
        <w:tc>
          <w:tcPr>
            <w:tcW w:w="53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income attributable to XPO</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182</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532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(loss) per share data</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165</w:t>
            </w:r>
          </w:p>
        </w:tc>
      </w:tr>
      <w:tr>
        <w:trPr>
          <w:trHeight w:val="257"/>
        </w:trPr>
        <w:tc>
          <w:tcPr>
            <w:tcW w:w="5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5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 (loss)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1.66</w:t>
            </w:r>
          </w:p>
        </w:tc>
      </w:tr>
      <w:tr>
        <w:trPr>
          <w:trHeight w:val="243"/>
        </w:trPr>
        <w:tc>
          <w:tcPr>
            <w:tcW w:w="5320" w:type="dxa"/>
            <w:vAlign w:val="bottom"/>
            <w:gridSpan w:val="2"/>
          </w:tcPr>
          <w:p>
            <w:pPr>
              <w:ind w:left="380"/>
              <w:spacing w:after="0"/>
              <w:rPr>
                <w:sz w:val="20"/>
                <w:szCs w:val="20"/>
                <w:color w:val="auto"/>
              </w:rPr>
            </w:pPr>
            <w:r>
              <w:rPr>
                <w:rFonts w:ascii="Arial" w:cs="Arial" w:eastAsia="Arial" w:hAnsi="Arial"/>
                <w:sz w:val="18"/>
                <w:szCs w:val="18"/>
                <w:color w:val="auto"/>
              </w:rPr>
              <w:t>Diluted (loss)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1.51</w:t>
            </w: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6"/>
        </w:trPr>
        <w:tc>
          <w:tcPr>
            <w:tcW w:w="5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43"/>
        </w:trPr>
        <w:tc>
          <w:tcPr>
            <w:tcW w:w="5320" w:type="dxa"/>
            <w:vAlign w:val="bottom"/>
            <w:gridSpan w:val="2"/>
          </w:tcPr>
          <w:p>
            <w:pPr>
              <w:ind w:left="120"/>
              <w:spacing w:after="0"/>
              <w:rPr>
                <w:sz w:val="20"/>
                <w:szCs w:val="20"/>
                <w:color w:val="auto"/>
              </w:rPr>
            </w:pPr>
            <w:r>
              <w:rPr>
                <w:rFonts w:ascii="Arial" w:cs="Arial" w:eastAsia="Arial" w:hAnsi="Arial"/>
                <w:sz w:val="18"/>
                <w:szCs w:val="18"/>
                <w:b w:val="1"/>
                <w:bCs w:val="1"/>
                <w:color w:val="auto"/>
              </w:rPr>
              <w:t>Weighted-average common shares outstanding</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 weighted-average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r>
      <w:tr>
        <w:trPr>
          <w:trHeight w:val="243"/>
        </w:trPr>
        <w:tc>
          <w:tcPr>
            <w:tcW w:w="5320" w:type="dxa"/>
            <w:vAlign w:val="bottom"/>
            <w:gridSpan w:val="2"/>
          </w:tcPr>
          <w:p>
            <w:pPr>
              <w:ind w:left="380"/>
              <w:spacing w:after="0"/>
              <w:rPr>
                <w:sz w:val="20"/>
                <w:szCs w:val="20"/>
                <w:color w:val="auto"/>
              </w:rPr>
            </w:pPr>
            <w:r>
              <w:rPr>
                <w:rFonts w:ascii="Arial" w:cs="Arial" w:eastAsia="Arial" w:hAnsi="Arial"/>
                <w:sz w:val="18"/>
                <w:szCs w:val="18"/>
                <w:color w:val="auto"/>
              </w:rPr>
              <w:t>Diluted weighted-average common shares outstanding</w:t>
            </w:r>
          </w:p>
        </w:tc>
        <w:tc>
          <w:tcPr>
            <w:tcW w:w="180" w:type="dxa"/>
            <w:vAlign w:val="bottom"/>
          </w:tcPr>
          <w:p>
            <w:pPr>
              <w:spacing w:after="0"/>
              <w:rPr>
                <w:sz w:val="21"/>
                <w:szCs w:val="21"/>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110</w:t>
            </w:r>
          </w:p>
        </w:tc>
      </w:tr>
      <w:tr>
        <w:trPr>
          <w:trHeight w:val="351"/>
        </w:trPr>
        <w:tc>
          <w:tcPr>
            <w:tcW w:w="8320" w:type="dxa"/>
            <w:vAlign w:val="bottom"/>
            <w:gridSpan w:val="8"/>
          </w:tcPr>
          <w:p>
            <w:pPr>
              <w:ind w:left="3000"/>
              <w:spacing w:after="0"/>
              <w:rPr>
                <w:sz w:val="20"/>
                <w:szCs w:val="20"/>
                <w:color w:val="auto"/>
              </w:rPr>
            </w:pPr>
            <w:r>
              <w:rPr>
                <w:rFonts w:ascii="Arial" w:cs="Arial" w:eastAsia="Arial" w:hAnsi="Arial"/>
                <w:sz w:val="18"/>
                <w:szCs w:val="18"/>
                <w:color w:val="auto"/>
                <w:w w:val="89"/>
              </w:rPr>
              <w:t>See accompanying notes to condensed consolidated financial statements.</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24"/>
        </w:trPr>
        <w:tc>
          <w:tcPr>
            <w:tcW w:w="5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97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9"/>
              </w:rPr>
              <w:t>Three Months Ended June</w:t>
            </w:r>
          </w:p>
        </w:tc>
        <w:tc>
          <w:tcPr>
            <w:tcW w:w="1880" w:type="dxa"/>
            <w:vAlign w:val="bottom"/>
            <w:gridSpan w:val="5"/>
            <w:vMerge w:val="restart"/>
          </w:tcPr>
          <w:p>
            <w:pPr>
              <w:jc w:val="right"/>
              <w:ind w:right="12"/>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92"/>
        </w:trPr>
        <w:tc>
          <w:tcPr>
            <w:tcW w:w="7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30,</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400" w:type="dxa"/>
            <w:vAlign w:val="bottom"/>
            <w:gridSpan w:val="2"/>
          </w:tcPr>
          <w:p>
            <w:pPr>
              <w:ind w:left="400"/>
              <w:spacing w:after="0"/>
              <w:rPr>
                <w:sz w:val="20"/>
                <w:szCs w:val="20"/>
                <w:color w:val="auto"/>
              </w:rPr>
            </w:pPr>
            <w:r>
              <w:rPr>
                <w:rFonts w:ascii="Arial" w:cs="Arial" w:eastAsia="Arial" w:hAnsi="Arial"/>
                <w:sz w:val="18"/>
                <w:szCs w:val="18"/>
                <w:color w:val="auto"/>
              </w:rPr>
              <w:t>Foreign currency translation gain (loss), net of tax effect of $4, $—, $(7) and $(6)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5"/>
        </w:trPr>
        <w:tc>
          <w:tcPr>
            <w:tcW w:w="7400" w:type="dxa"/>
            <w:vAlign w:val="bottom"/>
            <w:gridSpan w:val="2"/>
            <w:shd w:val="clear" w:color="auto" w:fill="CCEEFF"/>
          </w:tcPr>
          <w:p>
            <w:pPr>
              <w:ind w:left="400"/>
              <w:spacing w:after="0" w:line="176" w:lineRule="exact"/>
              <w:rPr>
                <w:sz w:val="20"/>
                <w:szCs w:val="20"/>
                <w:color w:val="auto"/>
              </w:rPr>
            </w:pPr>
            <w:r>
              <w:rPr>
                <w:rFonts w:ascii="Arial" w:cs="Arial" w:eastAsia="Arial" w:hAnsi="Arial"/>
                <w:sz w:val="18"/>
                <w:szCs w:val="18"/>
                <w:color w:val="auto"/>
                <w:w w:val="97"/>
              </w:rPr>
              <w:t>Unrealized gain on financial assets/liabilities designated as hedging instruments, net of tax</w:t>
            </w:r>
          </w:p>
        </w:tc>
        <w:tc>
          <w:tcPr>
            <w:tcW w:w="2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effect of $—, $(1), $— and $—</w:t>
            </w:r>
          </w:p>
        </w:tc>
        <w:tc>
          <w:tcPr>
            <w:tcW w:w="20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400" w:type="dxa"/>
            <w:vAlign w:val="bottom"/>
            <w:gridSpan w:val="2"/>
          </w:tcPr>
          <w:p>
            <w:pPr>
              <w:ind w:left="400"/>
              <w:spacing w:after="0"/>
              <w:rPr>
                <w:sz w:val="20"/>
                <w:szCs w:val="20"/>
                <w:color w:val="auto"/>
              </w:rPr>
            </w:pPr>
            <w:r>
              <w:rPr>
                <w:rFonts w:ascii="Arial" w:cs="Arial" w:eastAsia="Arial" w:hAnsi="Arial"/>
                <w:sz w:val="18"/>
                <w:szCs w:val="18"/>
                <w:color w:val="auto"/>
              </w:rPr>
              <w:t>Defined benefit plans adjustments, net of tax effect of $—, $—, $2 and $—</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7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spacing w:after="0"/>
              <w:rPr>
                <w:sz w:val="22"/>
                <w:szCs w:val="22"/>
                <w:color w:val="auto"/>
              </w:rPr>
            </w:pPr>
          </w:p>
        </w:tc>
        <w:tc>
          <w:tcPr>
            <w:tcW w:w="6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(loss)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63"/>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Comprehensive (loss) income attributable to XPO</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80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80" w:type="dxa"/>
            <w:vAlign w:val="bottom"/>
            <w:gridSpan w:val="2"/>
          </w:tcPr>
          <w:p>
            <w:pPr>
              <w:ind w:left="380"/>
              <w:spacing w:after="0"/>
              <w:rPr>
                <w:sz w:val="20"/>
                <w:szCs w:val="20"/>
                <w:color w:val="auto"/>
              </w:rPr>
            </w:pPr>
            <w:r>
              <w:rPr>
                <w:rFonts w:ascii="Arial" w:cs="Arial" w:eastAsia="Arial" w:hAnsi="Arial"/>
                <w:sz w:val="18"/>
                <w:szCs w:val="18"/>
                <w:color w:val="auto"/>
              </w:rPr>
              <w:t>Net (loss)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(loss) income to net cash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80" w:type="dxa"/>
            <w:vAlign w:val="bottom"/>
            <w:gridSpan w:val="2"/>
          </w:tcPr>
          <w:p>
            <w:pPr>
              <w:ind w:left="500"/>
              <w:spacing w:after="0"/>
              <w:rPr>
                <w:sz w:val="20"/>
                <w:szCs w:val="20"/>
                <w:color w:val="auto"/>
              </w:rPr>
            </w:pPr>
            <w:r>
              <w:rPr>
                <w:rFonts w:ascii="Arial" w:cs="Arial" w:eastAsia="Arial" w:hAnsi="Arial"/>
                <w:sz w:val="18"/>
                <w:szCs w:val="18"/>
                <w:color w:val="auto"/>
              </w:rPr>
              <w:t>Depreciation, amortization and net lease activity</w:t>
            </w: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Stock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380" w:type="dxa"/>
            <w:vAlign w:val="bottom"/>
            <w:gridSpan w:val="2"/>
          </w:tcPr>
          <w:p>
            <w:pPr>
              <w:ind w:left="500"/>
              <w:spacing w:after="0"/>
              <w:rPr>
                <w:sz w:val="20"/>
                <w:szCs w:val="20"/>
                <w:color w:val="auto"/>
              </w:rPr>
            </w:pPr>
            <w:r>
              <w:rPr>
                <w:rFonts w:ascii="Arial" w:cs="Arial" w:eastAsia="Arial" w:hAnsi="Arial"/>
                <w:sz w:val="18"/>
                <w:szCs w:val="18"/>
                <w:color w:val="auto"/>
              </w:rPr>
              <w:t>Accretion of debt</w:t>
            </w: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Deferred tax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8380" w:type="dxa"/>
            <w:vAlign w:val="bottom"/>
            <w:gridSpan w:val="2"/>
          </w:tcPr>
          <w:p>
            <w:pPr>
              <w:ind w:left="500"/>
              <w:spacing w:after="0"/>
              <w:rPr>
                <w:sz w:val="20"/>
                <w:szCs w:val="20"/>
                <w:color w:val="auto"/>
              </w:rPr>
            </w:pPr>
            <w:r>
              <w:rPr>
                <w:rFonts w:ascii="Arial" w:cs="Arial" w:eastAsia="Arial" w:hAnsi="Arial"/>
                <w:sz w:val="18"/>
                <w:szCs w:val="18"/>
                <w:color w:val="auto"/>
              </w:rPr>
              <w:t>Debt extinguishment loss</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Unrealized (gain) loss on foreign currency option and forward contracts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8380" w:type="dxa"/>
            <w:vAlign w:val="bottom"/>
            <w:gridSpan w:val="2"/>
          </w:tcPr>
          <w:p>
            <w:pPr>
              <w:ind w:left="500"/>
              <w:spacing w:after="0"/>
              <w:rPr>
                <w:sz w:val="20"/>
                <w:szCs w:val="20"/>
                <w:color w:val="auto"/>
              </w:rPr>
            </w:pPr>
            <w:r>
              <w:rPr>
                <w:rFonts w:ascii="Arial" w:cs="Arial" w:eastAsia="Arial" w:hAnsi="Arial"/>
                <w:sz w:val="18"/>
                <w:szCs w:val="18"/>
                <w:color w:val="auto"/>
              </w:rPr>
              <w:t>Gains on sales of property and equipment</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Changes in assets and liabilities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8380" w:type="dxa"/>
            <w:vAlign w:val="bottom"/>
            <w:gridSpan w:val="2"/>
          </w:tcPr>
          <w:p>
            <w:pPr>
              <w:ind w:left="50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8380" w:type="dxa"/>
            <w:vAlign w:val="bottom"/>
            <w:gridSpan w:val="2"/>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838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Payment for purchases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8380" w:type="dxa"/>
            <w:vAlign w:val="bottom"/>
            <w:gridSpan w:val="2"/>
          </w:tcPr>
          <w:p>
            <w:pPr>
              <w:ind w:left="500"/>
              <w:spacing w:after="0"/>
              <w:rPr>
                <w:sz w:val="20"/>
                <w:szCs w:val="20"/>
                <w:color w:val="auto"/>
              </w:rPr>
            </w:pPr>
            <w:r>
              <w:rPr>
                <w:rFonts w:ascii="Arial" w:cs="Arial" w:eastAsia="Arial" w:hAnsi="Arial"/>
                <w:sz w:val="18"/>
                <w:szCs w:val="18"/>
                <w:color w:val="auto"/>
              </w:rPr>
              <w:t>Proceeds from sale of property and equipment</w:t>
            </w: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collected on deferred purchase price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8380" w:type="dxa"/>
            <w:vAlign w:val="bottom"/>
            <w:gridSpan w:val="2"/>
          </w:tcPr>
          <w:p>
            <w:pPr>
              <w:ind w:left="50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83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Proceeds from issuance of debt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43"/>
        </w:trPr>
        <w:tc>
          <w:tcPr>
            <w:tcW w:w="8380" w:type="dxa"/>
            <w:vAlign w:val="bottom"/>
            <w:gridSpan w:val="2"/>
          </w:tcPr>
          <w:p>
            <w:pPr>
              <w:ind w:left="500"/>
              <w:spacing w:after="0"/>
              <w:rPr>
                <w:sz w:val="20"/>
                <w:szCs w:val="20"/>
                <w:color w:val="auto"/>
              </w:rPr>
            </w:pPr>
            <w:r>
              <w:rPr>
                <w:rFonts w:ascii="Arial" w:cs="Arial" w:eastAsia="Arial" w:hAnsi="Arial"/>
                <w:sz w:val="18"/>
                <w:szCs w:val="18"/>
                <w:color w:val="auto"/>
              </w:rPr>
              <w:t>Proceeds from borrowings related to securitization program</w:t>
            </w: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Proceeds from borrowings on ABL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43"/>
        </w:trPr>
        <w:tc>
          <w:tcPr>
            <w:tcW w:w="8380" w:type="dxa"/>
            <w:vAlign w:val="bottom"/>
            <w:gridSpan w:val="2"/>
          </w:tcPr>
          <w:p>
            <w:pPr>
              <w:ind w:left="500"/>
              <w:spacing w:after="0"/>
              <w:rPr>
                <w:sz w:val="20"/>
                <w:szCs w:val="20"/>
                <w:color w:val="auto"/>
              </w:rPr>
            </w:pPr>
            <w:r>
              <w:rPr>
                <w:rFonts w:ascii="Arial" w:cs="Arial" w:eastAsia="Arial" w:hAnsi="Arial"/>
                <w:sz w:val="18"/>
                <w:szCs w:val="18"/>
                <w:color w:val="auto"/>
              </w:rPr>
              <w:t>Repayment of borrowings on ABL facility</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Repayment of debt and finance leases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43"/>
        </w:trPr>
        <w:tc>
          <w:tcPr>
            <w:tcW w:w="8380" w:type="dxa"/>
            <w:vAlign w:val="bottom"/>
            <w:gridSpan w:val="2"/>
          </w:tcPr>
          <w:p>
            <w:pPr>
              <w:ind w:left="500"/>
              <w:spacing w:after="0"/>
              <w:rPr>
                <w:sz w:val="20"/>
                <w:szCs w:val="20"/>
                <w:color w:val="auto"/>
              </w:rPr>
            </w:pPr>
            <w:r>
              <w:rPr>
                <w:rFonts w:ascii="Arial" w:cs="Arial" w:eastAsia="Arial" w:hAnsi="Arial"/>
                <w:sz w:val="18"/>
                <w:szCs w:val="18"/>
                <w:color w:val="auto"/>
              </w:rPr>
              <w:t>Payment for debt issuance costs</w:t>
            </w: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Repurchase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(1,347)</w:t>
            </w:r>
          </w:p>
        </w:tc>
        <w:tc>
          <w:tcPr>
            <w:tcW w:w="0" w:type="dxa"/>
            <w:vAlign w:val="bottom"/>
          </w:tcPr>
          <w:p>
            <w:pPr>
              <w:spacing w:after="0"/>
              <w:rPr>
                <w:sz w:val="1"/>
                <w:szCs w:val="1"/>
                <w:color w:val="auto"/>
              </w:rPr>
            </w:pPr>
          </w:p>
        </w:tc>
      </w:tr>
      <w:tr>
        <w:trPr>
          <w:trHeight w:val="243"/>
        </w:trPr>
        <w:tc>
          <w:tcPr>
            <w:tcW w:w="8380" w:type="dxa"/>
            <w:vAlign w:val="bottom"/>
            <w:gridSpan w:val="2"/>
          </w:tcPr>
          <w:p>
            <w:pPr>
              <w:ind w:left="500"/>
              <w:spacing w:after="0"/>
              <w:rPr>
                <w:sz w:val="20"/>
                <w:szCs w:val="20"/>
                <w:color w:val="auto"/>
              </w:rPr>
            </w:pPr>
            <w:r>
              <w:rPr>
                <w:rFonts w:ascii="Arial" w:cs="Arial" w:eastAsia="Arial" w:hAnsi="Arial"/>
                <w:sz w:val="18"/>
                <w:szCs w:val="18"/>
                <w:color w:val="auto"/>
              </w:rPr>
              <w:t>Change in bank overdrafts</w:t>
            </w: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Payment for tax withholdings for restricted shares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380" w:type="dxa"/>
            <w:vAlign w:val="bottom"/>
            <w:gridSpan w:val="2"/>
          </w:tcPr>
          <w:p>
            <w:pPr>
              <w:ind w:left="50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6"/>
        </w:trPr>
        <w:tc>
          <w:tcPr>
            <w:tcW w:w="8380" w:type="dxa"/>
            <w:vAlign w:val="bottom"/>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838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80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43"/>
        </w:trPr>
        <w:tc>
          <w:tcPr>
            <w:tcW w:w="8380" w:type="dxa"/>
            <w:vAlign w:val="bottom"/>
            <w:gridSpan w:val="2"/>
          </w:tcPr>
          <w:p>
            <w:pPr>
              <w:ind w:left="50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Cash paid for interest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8380" w:type="dxa"/>
            <w:vAlign w:val="bottom"/>
            <w:gridSpan w:val="2"/>
          </w:tcPr>
          <w:p>
            <w:pPr>
              <w:ind w:left="500"/>
              <w:spacing w:after="0"/>
              <w:rPr>
                <w:sz w:val="20"/>
                <w:szCs w:val="20"/>
                <w:color w:val="auto"/>
              </w:rPr>
            </w:pPr>
            <w:r>
              <w:rPr>
                <w:rFonts w:ascii="Arial" w:cs="Arial" w:eastAsia="Arial" w:hAnsi="Arial"/>
                <w:sz w:val="18"/>
                <w:szCs w:val="18"/>
                <w:color w:val="auto"/>
              </w:rPr>
              <w:t>Cash paid for income taxes</w:t>
            </w:r>
          </w:p>
        </w:tc>
        <w:tc>
          <w:tcPr>
            <w:tcW w:w="32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condensed4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5"/>
          </w:tcPr>
          <w:p>
            <w:pPr>
              <w:ind w:left="80"/>
              <w:spacing w:after="0"/>
              <w:rPr>
                <w:sz w:val="20"/>
                <w:szCs w:val="20"/>
                <w:color w:val="auto"/>
              </w:rPr>
            </w:pPr>
            <w:r>
              <w:rPr>
                <w:rFonts w:ascii="Arial" w:cs="Arial" w:eastAsia="Arial" w:hAnsi="Arial"/>
                <w:sz w:val="12"/>
                <w:szCs w:val="12"/>
                <w:b w:val="1"/>
                <w:bCs w:val="1"/>
                <w:color w:val="auto"/>
              </w:rPr>
              <w:t>Series A Preferred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ind w:left="420"/>
              <w:spacing w:after="0"/>
              <w:rPr>
                <w:sz w:val="20"/>
                <w:szCs w:val="20"/>
                <w:color w:val="auto"/>
              </w:rPr>
            </w:pPr>
            <w:r>
              <w:rPr>
                <w:rFonts w:ascii="Arial" w:cs="Arial" w:eastAsia="Arial" w:hAnsi="Arial"/>
                <w:sz w:val="12"/>
                <w:szCs w:val="12"/>
                <w:b w:val="1"/>
                <w:bCs w:val="1"/>
                <w:color w:val="auto"/>
                <w:w w:val="97"/>
              </w:rPr>
              <w:t>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ind w:left="200"/>
              <w:spacing w:after="0"/>
              <w:rPr>
                <w:sz w:val="20"/>
                <w:szCs w:val="20"/>
                <w:color w:val="auto"/>
              </w:rPr>
            </w:pPr>
            <w:r>
              <w:rPr>
                <w:rFonts w:ascii="Arial" w:cs="Arial" w:eastAsia="Arial" w:hAnsi="Arial"/>
                <w:sz w:val="12"/>
                <w:szCs w:val="12"/>
                <w:b w:val="1"/>
                <w:bCs w:val="1"/>
                <w:color w:val="auto"/>
              </w:rPr>
              <w:t>Common Stock</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4"/>
              </w:rPr>
              <w:t>Total XPO</w:t>
            </w:r>
          </w:p>
        </w:tc>
        <w:tc>
          <w:tcPr>
            <w:tcW w:w="10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Non-</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80" w:type="dxa"/>
            <w:vAlign w:val="bottom"/>
            <w:vMerge w:val="restart"/>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Retained</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Comprehensive</w:t>
            </w:r>
          </w:p>
        </w:tc>
        <w:tc>
          <w:tcPr>
            <w:tcW w:w="8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Stockholders'</w:t>
            </w:r>
          </w:p>
        </w:tc>
        <w:tc>
          <w:tcPr>
            <w:tcW w:w="74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90"/>
              </w:rPr>
              <w:t>controlling</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70"/>
        </w:trPr>
        <w:tc>
          <w:tcPr>
            <w:tcW w:w="3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9"/>
              </w:rPr>
              <w:t>Shares</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Shares</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2"/>
                <w:szCs w:val="12"/>
                <w:b w:val="1"/>
                <w:bCs w:val="1"/>
                <w:color w:val="auto"/>
                <w:w w:val="97"/>
              </w:rPr>
              <w:t>Earnings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b w:val="1"/>
                <w:bCs w:val="1"/>
                <w:color w:val="auto"/>
                <w:w w:val="92"/>
              </w:rPr>
              <w:t>Equity</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03"/>
        </w:trPr>
        <w:tc>
          <w:tcPr>
            <w:tcW w:w="386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Balance as of March 31, 2020</w:t>
            </w:r>
          </w:p>
        </w:tc>
        <w:tc>
          <w:tcPr>
            <w:tcW w:w="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72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41</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91,044</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w w:val="98"/>
              </w:rPr>
              <w:t>$ 1,943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804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(210)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2,578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150</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w w:val="89"/>
              </w:rPr>
              <w:t>$ 2,728</w:t>
            </w:r>
          </w:p>
        </w:tc>
        <w:tc>
          <w:tcPr>
            <w:tcW w:w="0" w:type="dxa"/>
            <w:vAlign w:val="bottom"/>
          </w:tcPr>
          <w:p>
            <w:pPr>
              <w:spacing w:after="0"/>
              <w:rPr>
                <w:sz w:val="1"/>
                <w:szCs w:val="1"/>
                <w:color w:val="auto"/>
              </w:rPr>
            </w:pPr>
          </w:p>
        </w:tc>
      </w:tr>
      <w:tr>
        <w:trPr>
          <w:trHeight w:val="190"/>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8"/>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7"/>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386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4"/>
                <w:szCs w:val="14"/>
                <w:color w:val="auto"/>
              </w:rPr>
              <w:t>Tax withholdings related to vesting of stock compensation</w:t>
            </w:r>
          </w:p>
        </w:tc>
        <w:tc>
          <w:tcPr>
            <w:tcW w:w="6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6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Dividend declared</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8"/>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compensation expense</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7"/>
        </w:trPr>
        <w:tc>
          <w:tcPr>
            <w:tcW w:w="38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Balance as of June 30, 2020</w:t>
            </w:r>
          </w:p>
        </w:tc>
        <w:tc>
          <w:tcPr>
            <w:tcW w:w="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72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91,322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w w:val="98"/>
              </w:rPr>
              <w:t>$ 1,963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672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(192)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2,484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w w:val="89"/>
              </w:rPr>
              <w:t>$ 2,634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0"/>
        </w:trPr>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5"/>
          </w:tcPr>
          <w:p>
            <w:pPr>
              <w:ind w:left="80"/>
              <w:spacing w:after="0"/>
              <w:rPr>
                <w:sz w:val="20"/>
                <w:szCs w:val="20"/>
                <w:color w:val="auto"/>
              </w:rPr>
            </w:pPr>
            <w:r>
              <w:rPr>
                <w:rFonts w:ascii="Arial" w:cs="Arial" w:eastAsia="Arial" w:hAnsi="Arial"/>
                <w:sz w:val="12"/>
                <w:szCs w:val="12"/>
                <w:b w:val="1"/>
                <w:bCs w:val="1"/>
                <w:color w:val="auto"/>
              </w:rPr>
              <w:t>Series A Preferred</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ind w:left="420"/>
              <w:spacing w:after="0"/>
              <w:rPr>
                <w:sz w:val="20"/>
                <w:szCs w:val="20"/>
                <w:color w:val="auto"/>
              </w:rPr>
            </w:pPr>
            <w:r>
              <w:rPr>
                <w:rFonts w:ascii="Arial" w:cs="Arial" w:eastAsia="Arial" w:hAnsi="Arial"/>
                <w:sz w:val="12"/>
                <w:szCs w:val="12"/>
                <w:b w:val="1"/>
                <w:bCs w:val="1"/>
                <w:color w:val="auto"/>
                <w:w w:val="97"/>
              </w:rPr>
              <w:t>Stock</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ind w:left="200"/>
              <w:spacing w:after="0"/>
              <w:rPr>
                <w:sz w:val="20"/>
                <w:szCs w:val="20"/>
                <w:color w:val="auto"/>
              </w:rPr>
            </w:pPr>
            <w:r>
              <w:rPr>
                <w:rFonts w:ascii="Arial" w:cs="Arial" w:eastAsia="Arial" w:hAnsi="Arial"/>
                <w:sz w:val="12"/>
                <w:szCs w:val="12"/>
                <w:b w:val="1"/>
                <w:bCs w:val="1"/>
                <w:color w:val="auto"/>
              </w:rPr>
              <w:t>Common Stock</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4"/>
              </w:rPr>
              <w:t>Total XPO</w:t>
            </w:r>
          </w:p>
        </w:tc>
        <w:tc>
          <w:tcPr>
            <w:tcW w:w="10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Non-</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80" w:type="dxa"/>
            <w:vAlign w:val="bottom"/>
            <w:vMerge w:val="restart"/>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2"/>
                <w:szCs w:val="12"/>
                <w:b w:val="1"/>
                <w:bCs w:val="1"/>
                <w:color w:val="auto"/>
                <w:w w:val="98"/>
              </w:rPr>
              <w:t>Retained</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Comprehensive</w:t>
            </w:r>
          </w:p>
        </w:tc>
        <w:tc>
          <w:tcPr>
            <w:tcW w:w="8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Stockholders'</w:t>
            </w:r>
          </w:p>
        </w:tc>
        <w:tc>
          <w:tcPr>
            <w:tcW w:w="74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90"/>
              </w:rPr>
              <w:t>controlling</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70"/>
        </w:trPr>
        <w:tc>
          <w:tcPr>
            <w:tcW w:w="37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w w:val="99"/>
              </w:rPr>
              <w:t>Shares</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Shares</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2"/>
                <w:szCs w:val="12"/>
                <w:b w:val="1"/>
                <w:bCs w:val="1"/>
                <w:color w:val="auto"/>
                <w:w w:val="97"/>
              </w:rPr>
              <w:t>Earnings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b w:val="1"/>
                <w:bCs w:val="1"/>
                <w:color w:val="auto"/>
                <w:w w:val="92"/>
              </w:rPr>
              <w:t>Equity</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03"/>
        </w:trPr>
        <w:tc>
          <w:tcPr>
            <w:tcW w:w="386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Balance as of December 31, 2019</w:t>
            </w:r>
          </w:p>
        </w:tc>
        <w:tc>
          <w:tcPr>
            <w:tcW w:w="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72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41</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92,342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w w:val="98"/>
              </w:rPr>
              <w:t>$ 2,061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786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(145)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2,743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153</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w w:val="89"/>
              </w:rPr>
              <w:t>$ 2,896</w:t>
            </w:r>
          </w:p>
        </w:tc>
        <w:tc>
          <w:tcPr>
            <w:tcW w:w="0" w:type="dxa"/>
            <w:vAlign w:val="bottom"/>
          </w:tcPr>
          <w:p>
            <w:pPr>
              <w:spacing w:after="0"/>
              <w:rPr>
                <w:sz w:val="1"/>
                <w:szCs w:val="1"/>
                <w:color w:val="auto"/>
              </w:rPr>
            </w:pPr>
          </w:p>
        </w:tc>
      </w:tr>
      <w:tr>
        <w:trPr>
          <w:trHeight w:val="190"/>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08"/>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97"/>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386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4"/>
                <w:szCs w:val="14"/>
                <w:color w:val="auto"/>
              </w:rPr>
              <w:t>Tax withholdings related to vesting of stock compensation</w:t>
            </w:r>
          </w:p>
        </w:tc>
        <w:tc>
          <w:tcPr>
            <w:tcW w:w="6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38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6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Retirement of common stock</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w w:val="94"/>
              </w:rPr>
              <w:t>(1,715)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08"/>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 declared</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7"/>
        </w:trPr>
        <w:tc>
          <w:tcPr>
            <w:tcW w:w="386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1"/>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2"/>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Adoption of new accounting standard and other</w:t>
            </w:r>
          </w:p>
        </w:tc>
        <w:tc>
          <w:tcPr>
            <w:tcW w:w="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2"/>
        </w:trPr>
        <w:tc>
          <w:tcPr>
            <w:tcW w:w="3860" w:type="dxa"/>
            <w:vAlign w:val="bottom"/>
            <w:gridSpan w:val="2"/>
          </w:tcPr>
          <w:p>
            <w:pPr>
              <w:ind w:left="160"/>
              <w:spacing w:after="0"/>
              <w:rPr>
                <w:sz w:val="20"/>
                <w:szCs w:val="20"/>
                <w:color w:val="auto"/>
              </w:rPr>
            </w:pPr>
            <w:r>
              <w:rPr>
                <w:rFonts w:ascii="Arial" w:cs="Arial" w:eastAsia="Arial" w:hAnsi="Arial"/>
                <w:sz w:val="14"/>
                <w:szCs w:val="14"/>
                <w:b w:val="1"/>
                <w:bCs w:val="1"/>
                <w:color w:val="auto"/>
              </w:rPr>
              <w:t>Balance as of June 30, 2020</w:t>
            </w:r>
          </w:p>
        </w:tc>
        <w:tc>
          <w:tcPr>
            <w:tcW w:w="500" w:type="dxa"/>
            <w:vAlign w:val="bottom"/>
          </w:tcPr>
          <w:p>
            <w:pPr>
              <w:jc w:val="right"/>
              <w:ind w:right="71"/>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68"/>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17"/>
                <w:szCs w:val="17"/>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b w:val="1"/>
                <w:bCs w:val="1"/>
                <w:color w:val="auto"/>
              </w:rPr>
              <w:t>91,322</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71"/>
              <w:spacing w:after="0"/>
              <w:rPr>
                <w:sz w:val="20"/>
                <w:szCs w:val="20"/>
                <w:color w:val="auto"/>
              </w:rPr>
            </w:pPr>
            <w:r>
              <w:rPr>
                <w:rFonts w:ascii="Arial" w:cs="Arial" w:eastAsia="Arial" w:hAnsi="Arial"/>
                <w:sz w:val="14"/>
                <w:szCs w:val="14"/>
                <w:b w:val="1"/>
                <w:bCs w:val="1"/>
                <w:color w:val="auto"/>
                <w:w w:val="98"/>
              </w:rPr>
              <w:t>$ 1,963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90"/>
              <w:spacing w:after="0"/>
              <w:rPr>
                <w:sz w:val="20"/>
                <w:szCs w:val="20"/>
                <w:color w:val="auto"/>
              </w:rPr>
            </w:pPr>
            <w:r>
              <w:rPr>
                <w:rFonts w:ascii="Arial" w:cs="Arial" w:eastAsia="Arial" w:hAnsi="Arial"/>
                <w:sz w:val="14"/>
                <w:szCs w:val="14"/>
                <w:b w:val="1"/>
                <w:bCs w:val="1"/>
                <w:color w:val="auto"/>
              </w:rPr>
              <w:t>672</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ind w:right="31"/>
              <w:spacing w:after="0"/>
              <w:rPr>
                <w:sz w:val="20"/>
                <w:szCs w:val="20"/>
                <w:color w:val="auto"/>
              </w:rPr>
            </w:pPr>
            <w:r>
              <w:rPr>
                <w:rFonts w:ascii="Arial" w:cs="Arial" w:eastAsia="Arial" w:hAnsi="Arial"/>
                <w:sz w:val="14"/>
                <w:szCs w:val="14"/>
                <w:b w:val="1"/>
                <w:bCs w:val="1"/>
                <w:color w:val="auto"/>
              </w:rPr>
              <w:t>(192)</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rPr>
              <w:t>2,484</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ind w:right="70"/>
              <w:spacing w:after="0"/>
              <w:rPr>
                <w:sz w:val="20"/>
                <w:szCs w:val="20"/>
                <w:color w:val="auto"/>
              </w:rPr>
            </w:pPr>
            <w:r>
              <w:rPr>
                <w:rFonts w:ascii="Arial" w:cs="Arial" w:eastAsia="Arial" w:hAnsi="Arial"/>
                <w:sz w:val="14"/>
                <w:szCs w:val="14"/>
                <w:b w:val="1"/>
                <w:bCs w:val="1"/>
                <w:color w:val="auto"/>
              </w:rPr>
              <w:t>150</w:t>
            </w:r>
          </w:p>
        </w:tc>
        <w:tc>
          <w:tcPr>
            <w:tcW w:w="100" w:type="dxa"/>
            <w:vAlign w:val="bottom"/>
          </w:tcPr>
          <w:p>
            <w:pPr>
              <w:spacing w:after="0"/>
              <w:rPr>
                <w:sz w:val="17"/>
                <w:szCs w:val="17"/>
                <w:color w:val="auto"/>
              </w:rPr>
            </w:pPr>
          </w:p>
        </w:tc>
        <w:tc>
          <w:tcPr>
            <w:tcW w:w="600" w:type="dxa"/>
            <w:vAlign w:val="bottom"/>
          </w:tcPr>
          <w:p>
            <w:pPr>
              <w:jc w:val="right"/>
              <w:ind w:right="90"/>
              <w:spacing w:after="0"/>
              <w:rPr>
                <w:sz w:val="20"/>
                <w:szCs w:val="20"/>
                <w:color w:val="auto"/>
              </w:rPr>
            </w:pPr>
            <w:r>
              <w:rPr>
                <w:rFonts w:ascii="Arial" w:cs="Arial" w:eastAsia="Arial" w:hAnsi="Arial"/>
                <w:sz w:val="14"/>
                <w:szCs w:val="14"/>
                <w:b w:val="1"/>
                <w:bCs w:val="1"/>
                <w:color w:val="auto"/>
                <w:w w:val="89"/>
              </w:rPr>
              <w:t>$ 2,634</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9"/>
          </w:tcPr>
          <w:p>
            <w:pPr>
              <w:ind w:left="60"/>
              <w:spacing w:after="0"/>
              <w:rPr>
                <w:sz w:val="20"/>
                <w:szCs w:val="20"/>
                <w:color w:val="auto"/>
              </w:rPr>
            </w:pPr>
            <w:r>
              <w:rPr>
                <w:rFonts w:ascii="Arial" w:cs="Arial" w:eastAsia="Arial" w:hAnsi="Arial"/>
                <w:sz w:val="12"/>
                <w:szCs w:val="12"/>
                <w:b w:val="1"/>
                <w:bCs w:val="1"/>
                <w:color w:val="auto"/>
              </w:rPr>
              <w:t>Series A Preferred</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5"/>
          </w:tcPr>
          <w:p>
            <w:pPr>
              <w:ind w:left="400"/>
              <w:spacing w:after="0"/>
              <w:rPr>
                <w:sz w:val="20"/>
                <w:szCs w:val="20"/>
                <w:color w:val="auto"/>
              </w:rPr>
            </w:pPr>
            <w:r>
              <w:rPr>
                <w:rFonts w:ascii="Arial" w:cs="Arial" w:eastAsia="Arial" w:hAnsi="Arial"/>
                <w:sz w:val="12"/>
                <w:szCs w:val="12"/>
                <w:b w:val="1"/>
                <w:bCs w:val="1"/>
                <w:color w:val="auto"/>
                <w:w w:val="97"/>
              </w:rPr>
              <w:t>Stock</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200"/>
              <w:spacing w:after="0"/>
              <w:rPr>
                <w:sz w:val="20"/>
                <w:szCs w:val="20"/>
                <w:color w:val="auto"/>
              </w:rPr>
            </w:pPr>
            <w:r>
              <w:rPr>
                <w:rFonts w:ascii="Arial" w:cs="Arial" w:eastAsia="Arial" w:hAnsi="Arial"/>
                <w:sz w:val="12"/>
                <w:szCs w:val="12"/>
                <w:b w:val="1"/>
                <w:bCs w:val="1"/>
                <w:color w:val="auto"/>
              </w:rPr>
              <w:t>Common Stock</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4"/>
              </w:rPr>
              <w:t>Total XPO</w:t>
            </w:r>
          </w:p>
        </w:tc>
        <w:tc>
          <w:tcPr>
            <w:tcW w:w="10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Non-</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100" w:type="dxa"/>
            <w:vAlign w:val="bottom"/>
            <w:gridSpan w:val="2"/>
            <w:vMerge w:val="restart"/>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Retained</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Comprehensive</w:t>
            </w:r>
          </w:p>
        </w:tc>
        <w:tc>
          <w:tcPr>
            <w:tcW w:w="8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Stockholders'</w:t>
            </w:r>
          </w:p>
        </w:tc>
        <w:tc>
          <w:tcPr>
            <w:tcW w:w="74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90"/>
              </w:rPr>
              <w:t>controlling</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70"/>
        </w:trPr>
        <w:tc>
          <w:tcPr>
            <w:tcW w:w="378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5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gridSpan w:val="2"/>
          </w:tcPr>
          <w:p>
            <w:pPr>
              <w:spacing w:after="0"/>
              <w:rPr>
                <w:sz w:val="14"/>
                <w:szCs w:val="14"/>
                <w:color w:val="auto"/>
              </w:rPr>
            </w:pPr>
          </w:p>
        </w:tc>
        <w:tc>
          <w:tcPr>
            <w:tcW w:w="500" w:type="dxa"/>
            <w:vAlign w:val="bottom"/>
            <w:tcBorders>
              <w:bottom w:val="single" w:sz="8" w:color="auto"/>
            </w:tcBorders>
            <w:gridSpan w:val="3"/>
          </w:tcPr>
          <w:p>
            <w:pPr>
              <w:ind w:left="4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CCEEFF"/>
            </w:tcBorders>
            <w:gridSpan w:val="2"/>
          </w:tcPr>
          <w:p>
            <w:pPr>
              <w:spacing w:after="0"/>
              <w:rPr>
                <w:sz w:val="14"/>
                <w:szCs w:val="14"/>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2"/>
                <w:szCs w:val="12"/>
                <w:b w:val="1"/>
                <w:bCs w:val="1"/>
                <w:color w:val="auto"/>
                <w:w w:val="97"/>
              </w:rPr>
              <w:t>Earnings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b w:val="1"/>
                <w:bCs w:val="1"/>
                <w:color w:val="auto"/>
                <w:w w:val="92"/>
              </w:rPr>
              <w:t>Equity</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03"/>
        </w:trPr>
        <w:tc>
          <w:tcPr>
            <w:tcW w:w="3880" w:type="dxa"/>
            <w:vAlign w:val="bottom"/>
            <w:gridSpan w:val="4"/>
            <w:shd w:val="clear" w:color="auto" w:fill="CCEEFF"/>
          </w:tcPr>
          <w:p>
            <w:pPr>
              <w:ind w:left="160"/>
              <w:spacing w:after="0"/>
              <w:rPr>
                <w:sz w:val="20"/>
                <w:szCs w:val="20"/>
                <w:color w:val="auto"/>
              </w:rPr>
            </w:pPr>
            <w:r>
              <w:rPr>
                <w:rFonts w:ascii="Arial" w:cs="Arial" w:eastAsia="Arial" w:hAnsi="Arial"/>
                <w:sz w:val="14"/>
                <w:szCs w:val="14"/>
                <w:b w:val="1"/>
                <w:bCs w:val="1"/>
                <w:color w:val="auto"/>
              </w:rPr>
              <w:t>Balance as of March 31, 2019</w:t>
            </w:r>
          </w:p>
        </w:tc>
        <w:tc>
          <w:tcPr>
            <w:tcW w:w="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72</w:t>
            </w: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93,207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w w:val="98"/>
              </w:rPr>
              <w:t>$ 2,122</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428</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(153)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2,438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395</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w w:val="89"/>
              </w:rPr>
              <w:t>$ 2,833</w:t>
            </w:r>
          </w:p>
        </w:tc>
        <w:tc>
          <w:tcPr>
            <w:tcW w:w="0" w:type="dxa"/>
            <w:vAlign w:val="bottom"/>
          </w:tcPr>
          <w:p>
            <w:pPr>
              <w:spacing w:after="0"/>
              <w:rPr>
                <w:sz w:val="1"/>
                <w:szCs w:val="1"/>
                <w:color w:val="auto"/>
              </w:rPr>
            </w:pPr>
          </w:p>
        </w:tc>
      </w:tr>
      <w:tr>
        <w:trPr>
          <w:trHeight w:val="190"/>
        </w:trPr>
        <w:tc>
          <w:tcPr>
            <w:tcW w:w="3880" w:type="dxa"/>
            <w:vAlign w:val="bottom"/>
            <w:gridSpan w:val="4"/>
          </w:tcPr>
          <w:p>
            <w:pPr>
              <w:ind w:left="20"/>
              <w:spacing w:after="0"/>
              <w:rPr>
                <w:sz w:val="20"/>
                <w:szCs w:val="20"/>
                <w:color w:val="auto"/>
              </w:rPr>
            </w:pPr>
            <w:r>
              <w:rPr>
                <w:rFonts w:ascii="Arial" w:cs="Arial" w:eastAsia="Arial" w:hAnsi="Arial"/>
                <w:sz w:val="14"/>
                <w:szCs w:val="14"/>
                <w:color w:val="auto"/>
              </w:rPr>
              <w:t>Net income</w:t>
            </w:r>
          </w:p>
        </w:tc>
        <w:tc>
          <w:tcPr>
            <w:tcW w:w="5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135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7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09"/>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5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3880" w:type="dxa"/>
            <w:vAlign w:val="bottom"/>
            <w:gridSpan w:val="4"/>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5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3880" w:type="dxa"/>
            <w:vAlign w:val="bottom"/>
            <w:gridSpan w:val="4"/>
            <w:shd w:val="clear" w:color="auto" w:fill="CCEEFF"/>
          </w:tcPr>
          <w:p>
            <w:pPr>
              <w:ind w:left="20"/>
              <w:spacing w:after="0" w:line="141" w:lineRule="exact"/>
              <w:rPr>
                <w:sz w:val="20"/>
                <w:szCs w:val="20"/>
                <w:color w:val="auto"/>
              </w:rPr>
            </w:pPr>
            <w:r>
              <w:rPr>
                <w:rFonts w:ascii="Arial" w:cs="Arial" w:eastAsia="Arial" w:hAnsi="Arial"/>
                <w:sz w:val="14"/>
                <w:szCs w:val="14"/>
                <w:color w:val="auto"/>
              </w:rPr>
              <w:t>Tax withholdings related to vesting of stock compensation</w:t>
            </w:r>
          </w:p>
        </w:tc>
        <w:tc>
          <w:tcPr>
            <w:tcW w:w="58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388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580" w:type="dxa"/>
            <w:vAlign w:val="bottom"/>
            <w:gridSpan w:val="4"/>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4"/>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80" w:type="dxa"/>
            <w:vAlign w:val="bottom"/>
            <w:gridSpan w:val="4"/>
          </w:tcPr>
          <w:p>
            <w:pPr>
              <w:ind w:left="20"/>
              <w:spacing w:after="0"/>
              <w:rPr>
                <w:sz w:val="20"/>
                <w:szCs w:val="20"/>
                <w:color w:val="auto"/>
              </w:rPr>
            </w:pPr>
            <w:r>
              <w:rPr>
                <w:rFonts w:ascii="Arial" w:cs="Arial" w:eastAsia="Arial" w:hAnsi="Arial"/>
                <w:sz w:val="14"/>
                <w:szCs w:val="14"/>
                <w:color w:val="auto"/>
              </w:rPr>
              <w:t>Retirement of common stock</w:t>
            </w:r>
          </w:p>
        </w:tc>
        <w:tc>
          <w:tcPr>
            <w:tcW w:w="5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rPr>
              <w:t>(1,362)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8"/>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Dividend declared</w:t>
            </w:r>
          </w:p>
        </w:tc>
        <w:tc>
          <w:tcPr>
            <w:tcW w:w="5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3880" w:type="dxa"/>
            <w:vAlign w:val="bottom"/>
            <w:gridSpan w:val="4"/>
          </w:tcPr>
          <w:p>
            <w:pPr>
              <w:ind w:left="20"/>
              <w:spacing w:after="0"/>
              <w:rPr>
                <w:sz w:val="20"/>
                <w:szCs w:val="20"/>
                <w:color w:val="auto"/>
              </w:rPr>
            </w:pPr>
            <w:r>
              <w:rPr>
                <w:rFonts w:ascii="Arial" w:cs="Arial" w:eastAsia="Arial" w:hAnsi="Arial"/>
                <w:sz w:val="14"/>
                <w:szCs w:val="14"/>
                <w:color w:val="auto"/>
              </w:rPr>
              <w:t>Stock compensation expense</w:t>
            </w:r>
          </w:p>
        </w:tc>
        <w:tc>
          <w:tcPr>
            <w:tcW w:w="5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1"/>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02"/>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50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2"/>
        </w:trPr>
        <w:tc>
          <w:tcPr>
            <w:tcW w:w="3880" w:type="dxa"/>
            <w:vAlign w:val="bottom"/>
            <w:gridSpan w:val="4"/>
          </w:tcPr>
          <w:p>
            <w:pPr>
              <w:ind w:left="160"/>
              <w:spacing w:after="0"/>
              <w:rPr>
                <w:sz w:val="20"/>
                <w:szCs w:val="20"/>
                <w:color w:val="auto"/>
              </w:rPr>
            </w:pPr>
            <w:r>
              <w:rPr>
                <w:rFonts w:ascii="Arial" w:cs="Arial" w:eastAsia="Arial" w:hAnsi="Arial"/>
                <w:sz w:val="14"/>
                <w:szCs w:val="14"/>
                <w:b w:val="1"/>
                <w:bCs w:val="1"/>
                <w:color w:val="auto"/>
              </w:rPr>
              <w:t>Balance as of June 30, 2019</w:t>
            </w: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72</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91,992</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8"/>
              </w:rPr>
              <w:t>$ 2,054</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563</w:t>
            </w:r>
          </w:p>
        </w:tc>
        <w:tc>
          <w:tcPr>
            <w:tcW w:w="8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(153)</w:t>
            </w:r>
          </w:p>
        </w:tc>
        <w:tc>
          <w:tcPr>
            <w:tcW w:w="10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2,505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407</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89"/>
              </w:rPr>
              <w:t>$ 2,912</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3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80" w:type="dxa"/>
            <w:vAlign w:val="bottom"/>
            <w:gridSpan w:val="9"/>
          </w:tcPr>
          <w:p>
            <w:pPr>
              <w:ind w:left="40"/>
              <w:spacing w:after="0"/>
              <w:rPr>
                <w:sz w:val="20"/>
                <w:szCs w:val="20"/>
                <w:color w:val="auto"/>
              </w:rPr>
            </w:pPr>
            <w:r>
              <w:rPr>
                <w:rFonts w:ascii="Arial" w:cs="Arial" w:eastAsia="Arial" w:hAnsi="Arial"/>
                <w:sz w:val="12"/>
                <w:szCs w:val="12"/>
                <w:b w:val="1"/>
                <w:bCs w:val="1"/>
                <w:color w:val="auto"/>
              </w:rPr>
              <w:t>Series A Preferred</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0"/>
        </w:trPr>
        <w:tc>
          <w:tcPr>
            <w:tcW w:w="3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5"/>
          </w:tcPr>
          <w:p>
            <w:pPr>
              <w:ind w:left="380"/>
              <w:spacing w:after="0"/>
              <w:rPr>
                <w:sz w:val="20"/>
                <w:szCs w:val="20"/>
                <w:color w:val="auto"/>
              </w:rPr>
            </w:pPr>
            <w:r>
              <w:rPr>
                <w:rFonts w:ascii="Arial" w:cs="Arial" w:eastAsia="Arial" w:hAnsi="Arial"/>
                <w:sz w:val="12"/>
                <w:szCs w:val="12"/>
                <w:b w:val="1"/>
                <w:bCs w:val="1"/>
                <w:color w:val="auto"/>
              </w:rPr>
              <w:t>Stock</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180"/>
              <w:spacing w:after="0"/>
              <w:rPr>
                <w:sz w:val="20"/>
                <w:szCs w:val="20"/>
                <w:color w:val="auto"/>
              </w:rPr>
            </w:pPr>
            <w:r>
              <w:rPr>
                <w:rFonts w:ascii="Arial" w:cs="Arial" w:eastAsia="Arial" w:hAnsi="Arial"/>
                <w:sz w:val="12"/>
                <w:szCs w:val="12"/>
                <w:b w:val="1"/>
                <w:bCs w:val="1"/>
                <w:color w:val="auto"/>
              </w:rPr>
              <w:t>Common Stock</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4"/>
              </w:rPr>
              <w:t>Total XPO</w:t>
            </w:r>
          </w:p>
        </w:tc>
        <w:tc>
          <w:tcPr>
            <w:tcW w:w="100" w:type="dxa"/>
            <w:vAlign w:val="bottom"/>
          </w:tcPr>
          <w:p>
            <w:pPr>
              <w:spacing w:after="0"/>
              <w:rPr>
                <w:sz w:val="11"/>
                <w:szCs w:val="11"/>
                <w:color w:val="auto"/>
              </w:rPr>
            </w:pPr>
          </w:p>
        </w:tc>
        <w:tc>
          <w:tcPr>
            <w:tcW w:w="64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Non-</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100" w:type="dxa"/>
            <w:vAlign w:val="bottom"/>
            <w:gridSpan w:val="2"/>
            <w:vMerge w:val="restart"/>
          </w:tcPr>
          <w:p>
            <w:pPr>
              <w:spacing w:after="0"/>
              <w:rPr>
                <w:sz w:val="11"/>
                <w:szCs w:val="11"/>
                <w:color w:val="auto"/>
              </w:rPr>
            </w:pPr>
          </w:p>
        </w:tc>
        <w:tc>
          <w:tcPr>
            <w:tcW w:w="20" w:type="dxa"/>
            <w:vAlign w:val="bottom"/>
            <w:vMerge w:val="restart"/>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1"/>
                <w:szCs w:val="11"/>
                <w:color w:val="auto"/>
              </w:rPr>
            </w:pPr>
          </w:p>
        </w:tc>
        <w:tc>
          <w:tcPr>
            <w:tcW w:w="780" w:type="dxa"/>
            <w:vAlign w:val="bottom"/>
            <w:gridSpan w:val="2"/>
          </w:tcPr>
          <w:p>
            <w:pPr>
              <w:jc w:val="right"/>
              <w:ind w:right="260"/>
              <w:spacing w:after="0" w:line="135" w:lineRule="exact"/>
              <w:rPr>
                <w:sz w:val="20"/>
                <w:szCs w:val="20"/>
                <w:color w:val="auto"/>
              </w:rPr>
            </w:pPr>
            <w:r>
              <w:rPr>
                <w:rFonts w:ascii="Arial" w:cs="Arial" w:eastAsia="Arial" w:hAnsi="Arial"/>
                <w:sz w:val="12"/>
                <w:szCs w:val="12"/>
                <w:b w:val="1"/>
                <w:bCs w:val="1"/>
                <w:color w:val="auto"/>
                <w:w w:val="98"/>
              </w:rPr>
              <w:t>Retained</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Comprehensive</w:t>
            </w:r>
          </w:p>
        </w:tc>
        <w:tc>
          <w:tcPr>
            <w:tcW w:w="8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Stockholders'</w:t>
            </w:r>
          </w:p>
        </w:tc>
        <w:tc>
          <w:tcPr>
            <w:tcW w:w="74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90"/>
              </w:rPr>
              <w:t>controlling</w:t>
            </w:r>
          </w:p>
        </w:tc>
        <w:tc>
          <w:tcPr>
            <w:tcW w:w="6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70"/>
        </w:trPr>
        <w:tc>
          <w:tcPr>
            <w:tcW w:w="37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gridSpan w:val="2"/>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CCEEFF"/>
            </w:tcBorders>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2"/>
                <w:szCs w:val="12"/>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Capital</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2"/>
                <w:szCs w:val="12"/>
                <w:b w:val="1"/>
                <w:bCs w:val="1"/>
                <w:color w:val="auto"/>
                <w:w w:val="97"/>
              </w:rPr>
              <w:t>Earnings</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b w:val="1"/>
                <w:bCs w:val="1"/>
                <w:color w:val="auto"/>
                <w:w w:val="92"/>
              </w:rPr>
              <w:t>Equity</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203"/>
        </w:trPr>
        <w:tc>
          <w:tcPr>
            <w:tcW w:w="3860" w:type="dxa"/>
            <w:vAlign w:val="bottom"/>
            <w:gridSpan w:val="3"/>
            <w:shd w:val="clear" w:color="auto" w:fill="CCEEFF"/>
          </w:tcPr>
          <w:p>
            <w:pPr>
              <w:ind w:left="160"/>
              <w:spacing w:after="0"/>
              <w:rPr>
                <w:sz w:val="20"/>
                <w:szCs w:val="20"/>
                <w:color w:val="auto"/>
              </w:rPr>
            </w:pPr>
            <w:r>
              <w:rPr>
                <w:rFonts w:ascii="Arial" w:cs="Arial" w:eastAsia="Arial" w:hAnsi="Arial"/>
                <w:sz w:val="14"/>
                <w:szCs w:val="14"/>
                <w:b w:val="1"/>
                <w:bCs w:val="1"/>
                <w:color w:val="auto"/>
              </w:rPr>
              <w:t>Balance as of December 31, 2018</w:t>
            </w:r>
          </w:p>
        </w:tc>
        <w:tc>
          <w:tcPr>
            <w:tcW w:w="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rPr>
              <w:t>72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w w:val="86"/>
              </w:rPr>
              <w:t>115,683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w w:val="98"/>
              </w:rPr>
              <w:t>$ 3,311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rPr>
              <w:t>377</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(154)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3,575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395</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w w:val="89"/>
              </w:rPr>
              <w:t>$ 3,970</w:t>
            </w:r>
          </w:p>
        </w:tc>
        <w:tc>
          <w:tcPr>
            <w:tcW w:w="0" w:type="dxa"/>
            <w:vAlign w:val="bottom"/>
          </w:tcPr>
          <w:p>
            <w:pPr>
              <w:spacing w:after="0"/>
              <w:rPr>
                <w:sz w:val="1"/>
                <w:szCs w:val="1"/>
                <w:color w:val="auto"/>
              </w:rPr>
            </w:pPr>
          </w:p>
        </w:tc>
      </w:tr>
      <w:tr>
        <w:trPr>
          <w:trHeight w:val="190"/>
        </w:trPr>
        <w:tc>
          <w:tcPr>
            <w:tcW w:w="3860" w:type="dxa"/>
            <w:vAlign w:val="bottom"/>
            <w:gridSpan w:val="3"/>
          </w:tcPr>
          <w:p>
            <w:pPr>
              <w:ind w:left="2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6"/>
                <w:szCs w:val="16"/>
                <w:color w:val="auto"/>
              </w:rPr>
            </w:pPr>
          </w:p>
        </w:tc>
        <w:tc>
          <w:tcPr>
            <w:tcW w:w="5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ind w:right="90"/>
              <w:spacing w:after="0"/>
              <w:rPr>
                <w:sz w:val="20"/>
                <w:szCs w:val="20"/>
                <w:color w:val="auto"/>
              </w:rPr>
            </w:pPr>
            <w:r>
              <w:rPr>
                <w:rFonts w:ascii="Arial" w:cs="Arial" w:eastAsia="Arial" w:hAnsi="Arial"/>
                <w:sz w:val="14"/>
                <w:szCs w:val="14"/>
                <w:color w:val="auto"/>
              </w:rPr>
              <w:t>182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7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8"/>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5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3880" w:type="dxa"/>
            <w:vAlign w:val="bottom"/>
            <w:gridSpan w:val="4"/>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5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0"/>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3880" w:type="dxa"/>
            <w:vAlign w:val="bottom"/>
            <w:gridSpan w:val="4"/>
            <w:shd w:val="clear" w:color="auto" w:fill="CCEEFF"/>
          </w:tcPr>
          <w:p>
            <w:pPr>
              <w:ind w:left="20"/>
              <w:spacing w:after="0" w:line="141" w:lineRule="exact"/>
              <w:rPr>
                <w:sz w:val="20"/>
                <w:szCs w:val="20"/>
                <w:color w:val="auto"/>
              </w:rPr>
            </w:pPr>
            <w:r>
              <w:rPr>
                <w:rFonts w:ascii="Arial" w:cs="Arial" w:eastAsia="Arial" w:hAnsi="Arial"/>
                <w:sz w:val="14"/>
                <w:szCs w:val="14"/>
                <w:color w:val="auto"/>
              </w:rPr>
              <w:t>Tax withholdings related to vesting of stock compensation</w:t>
            </w:r>
          </w:p>
        </w:tc>
        <w:tc>
          <w:tcPr>
            <w:tcW w:w="58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4"/>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388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580" w:type="dxa"/>
            <w:vAlign w:val="bottom"/>
            <w:gridSpan w:val="4"/>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4"/>
            <w:vMerge w:val="continue"/>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80" w:type="dxa"/>
            <w:vAlign w:val="bottom"/>
            <w:gridSpan w:val="4"/>
          </w:tcPr>
          <w:p>
            <w:pPr>
              <w:ind w:left="20"/>
              <w:spacing w:after="0"/>
              <w:rPr>
                <w:sz w:val="20"/>
                <w:szCs w:val="20"/>
                <w:color w:val="auto"/>
              </w:rPr>
            </w:pPr>
            <w:r>
              <w:rPr>
                <w:rFonts w:ascii="Arial" w:cs="Arial" w:eastAsia="Arial" w:hAnsi="Arial"/>
                <w:sz w:val="14"/>
                <w:szCs w:val="14"/>
                <w:color w:val="auto"/>
              </w:rPr>
              <w:t>Retirement of common stock</w:t>
            </w:r>
          </w:p>
        </w:tc>
        <w:tc>
          <w:tcPr>
            <w:tcW w:w="5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0"/>
              <w:spacing w:after="0"/>
              <w:rPr>
                <w:sz w:val="20"/>
                <w:szCs w:val="20"/>
                <w:color w:val="auto"/>
              </w:rPr>
            </w:pPr>
            <w:r>
              <w:rPr>
                <w:rFonts w:ascii="Arial" w:cs="Arial" w:eastAsia="Arial" w:hAnsi="Arial"/>
                <w:sz w:val="14"/>
                <w:szCs w:val="14"/>
                <w:color w:val="auto"/>
                <w:w w:val="91"/>
              </w:rPr>
              <w:t>(23,932)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1"/>
              <w:spacing w:after="0"/>
              <w:rPr>
                <w:sz w:val="20"/>
                <w:szCs w:val="20"/>
                <w:color w:val="auto"/>
              </w:rPr>
            </w:pPr>
            <w:r>
              <w:rPr>
                <w:rFonts w:ascii="Arial" w:cs="Arial" w:eastAsia="Arial" w:hAnsi="Arial"/>
                <w:sz w:val="14"/>
                <w:szCs w:val="14"/>
                <w:color w:val="auto"/>
              </w:rPr>
              <w:t>(1,275)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(1,275)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(1,275)</w:t>
            </w:r>
          </w:p>
        </w:tc>
        <w:tc>
          <w:tcPr>
            <w:tcW w:w="0" w:type="dxa"/>
            <w:vAlign w:val="bottom"/>
          </w:tcPr>
          <w:p>
            <w:pPr>
              <w:spacing w:after="0"/>
              <w:rPr>
                <w:sz w:val="1"/>
                <w:szCs w:val="1"/>
                <w:color w:val="auto"/>
              </w:rPr>
            </w:pPr>
          </w:p>
        </w:tc>
      </w:tr>
      <w:tr>
        <w:trPr>
          <w:trHeight w:val="208"/>
        </w:trPr>
        <w:tc>
          <w:tcPr>
            <w:tcW w:w="38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Dividend declared</w:t>
            </w:r>
          </w:p>
        </w:tc>
        <w:tc>
          <w:tcPr>
            <w:tcW w:w="580" w:type="dxa"/>
            <w:vAlign w:val="bottom"/>
            <w:gridSpan w:val="4"/>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7"/>
        </w:trPr>
        <w:tc>
          <w:tcPr>
            <w:tcW w:w="3880" w:type="dxa"/>
            <w:vAlign w:val="bottom"/>
            <w:gridSpan w:val="4"/>
          </w:tcPr>
          <w:p>
            <w:pPr>
              <w:ind w:left="20"/>
              <w:spacing w:after="0"/>
              <w:rPr>
                <w:sz w:val="20"/>
                <w:szCs w:val="20"/>
                <w:color w:val="auto"/>
              </w:rPr>
            </w:pPr>
            <w:r>
              <w:rPr>
                <w:rFonts w:ascii="Arial" w:cs="Arial" w:eastAsia="Arial" w:hAnsi="Arial"/>
                <w:sz w:val="14"/>
                <w:szCs w:val="14"/>
                <w:color w:val="auto"/>
              </w:rPr>
              <w:t>Stock compensation expense</w:t>
            </w:r>
          </w:p>
        </w:tc>
        <w:tc>
          <w:tcPr>
            <w:tcW w:w="580" w:type="dxa"/>
            <w:vAlign w:val="bottom"/>
            <w:gridSpan w:val="4"/>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1"/>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tcPr>
          <w:p>
            <w:pPr>
              <w:jc w:val="right"/>
              <w:ind w:right="70"/>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9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3"/>
        </w:trPr>
        <w:tc>
          <w:tcPr>
            <w:tcW w:w="38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Adoption of new accounting standard and other</w:t>
            </w:r>
          </w:p>
        </w:tc>
        <w:tc>
          <w:tcPr>
            <w:tcW w:w="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 w:type="dxa"/>
            <w:vAlign w:val="bottom"/>
            <w:gridSpan w:val="2"/>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2"/>
        </w:trPr>
        <w:tc>
          <w:tcPr>
            <w:tcW w:w="3880" w:type="dxa"/>
            <w:vAlign w:val="bottom"/>
            <w:gridSpan w:val="4"/>
          </w:tcPr>
          <w:p>
            <w:pPr>
              <w:ind w:left="160"/>
              <w:spacing w:after="0"/>
              <w:rPr>
                <w:sz w:val="20"/>
                <w:szCs w:val="20"/>
                <w:color w:val="auto"/>
              </w:rPr>
            </w:pPr>
            <w:r>
              <w:rPr>
                <w:rFonts w:ascii="Arial" w:cs="Arial" w:eastAsia="Arial" w:hAnsi="Arial"/>
                <w:sz w:val="14"/>
                <w:szCs w:val="14"/>
                <w:b w:val="1"/>
                <w:bCs w:val="1"/>
                <w:color w:val="auto"/>
              </w:rPr>
              <w:t>Balance as of June 30, 2019</w:t>
            </w:r>
          </w:p>
        </w:tc>
        <w:tc>
          <w:tcPr>
            <w:tcW w:w="480" w:type="dxa"/>
            <w:vAlign w:val="bottom"/>
          </w:tcPr>
          <w:p>
            <w:pPr>
              <w:jc w:val="right"/>
              <w:ind w:right="71"/>
              <w:spacing w:after="0"/>
              <w:rPr>
                <w:sz w:val="20"/>
                <w:szCs w:val="20"/>
                <w:color w:val="auto"/>
              </w:rPr>
            </w:pPr>
            <w:r>
              <w:rPr>
                <w:rFonts w:ascii="Arial" w:cs="Arial" w:eastAsia="Arial" w:hAnsi="Arial"/>
                <w:sz w:val="14"/>
                <w:szCs w:val="14"/>
                <w:b w:val="1"/>
                <w:bCs w:val="1"/>
                <w:color w:val="auto"/>
              </w:rPr>
              <w:t>72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ind w:right="68"/>
              <w:spacing w:after="0"/>
              <w:rPr>
                <w:sz w:val="20"/>
                <w:szCs w:val="20"/>
                <w:color w:val="auto"/>
              </w:rPr>
            </w:pPr>
            <w:r>
              <w:rPr>
                <w:rFonts w:ascii="Arial" w:cs="Arial" w:eastAsia="Arial" w:hAnsi="Arial"/>
                <w:sz w:val="14"/>
                <w:szCs w:val="14"/>
                <w:b w:val="1"/>
                <w:bCs w:val="1"/>
                <w:color w:val="auto"/>
              </w:rPr>
              <w:t>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right"/>
              <w:ind w:right="70"/>
              <w:spacing w:after="0"/>
              <w:rPr>
                <w:sz w:val="20"/>
                <w:szCs w:val="20"/>
                <w:color w:val="auto"/>
              </w:rPr>
            </w:pPr>
            <w:r>
              <w:rPr>
                <w:rFonts w:ascii="Arial" w:cs="Arial" w:eastAsia="Arial" w:hAnsi="Arial"/>
                <w:sz w:val="14"/>
                <w:szCs w:val="14"/>
                <w:b w:val="1"/>
                <w:bCs w:val="1"/>
                <w:color w:val="auto"/>
              </w:rPr>
              <w:t>91,992</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71"/>
              <w:spacing w:after="0"/>
              <w:rPr>
                <w:sz w:val="20"/>
                <w:szCs w:val="20"/>
                <w:color w:val="auto"/>
              </w:rPr>
            </w:pPr>
            <w:r>
              <w:rPr>
                <w:rFonts w:ascii="Arial" w:cs="Arial" w:eastAsia="Arial" w:hAnsi="Arial"/>
                <w:sz w:val="14"/>
                <w:szCs w:val="14"/>
                <w:b w:val="1"/>
                <w:bCs w:val="1"/>
                <w:color w:val="auto"/>
                <w:w w:val="98"/>
              </w:rPr>
              <w:t>$ 2,054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90"/>
              <w:spacing w:after="0"/>
              <w:rPr>
                <w:sz w:val="20"/>
                <w:szCs w:val="20"/>
                <w:color w:val="auto"/>
              </w:rPr>
            </w:pPr>
            <w:r>
              <w:rPr>
                <w:rFonts w:ascii="Arial" w:cs="Arial" w:eastAsia="Arial" w:hAnsi="Arial"/>
                <w:sz w:val="14"/>
                <w:szCs w:val="14"/>
                <w:b w:val="1"/>
                <w:bCs w:val="1"/>
                <w:color w:val="auto"/>
              </w:rPr>
              <w:t>563</w:t>
            </w:r>
          </w:p>
        </w:tc>
        <w:tc>
          <w:tcPr>
            <w:tcW w:w="8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ind w:right="31"/>
              <w:spacing w:after="0"/>
              <w:rPr>
                <w:sz w:val="20"/>
                <w:szCs w:val="20"/>
                <w:color w:val="auto"/>
              </w:rPr>
            </w:pPr>
            <w:r>
              <w:rPr>
                <w:rFonts w:ascii="Arial" w:cs="Arial" w:eastAsia="Arial" w:hAnsi="Arial"/>
                <w:sz w:val="14"/>
                <w:szCs w:val="14"/>
                <w:b w:val="1"/>
                <w:bCs w:val="1"/>
                <w:color w:val="auto"/>
              </w:rPr>
              <w:t>(153)</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ind w:right="70"/>
              <w:spacing w:after="0"/>
              <w:rPr>
                <w:sz w:val="20"/>
                <w:szCs w:val="20"/>
                <w:color w:val="auto"/>
              </w:rPr>
            </w:pPr>
            <w:r>
              <w:rPr>
                <w:rFonts w:ascii="Arial" w:cs="Arial" w:eastAsia="Arial" w:hAnsi="Arial"/>
                <w:sz w:val="14"/>
                <w:szCs w:val="14"/>
                <w:b w:val="1"/>
                <w:bCs w:val="1"/>
                <w:color w:val="auto"/>
              </w:rPr>
              <w:t>2,505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Pr>
          <w:p>
            <w:pPr>
              <w:jc w:val="right"/>
              <w:ind w:right="70"/>
              <w:spacing w:after="0"/>
              <w:rPr>
                <w:sz w:val="20"/>
                <w:szCs w:val="20"/>
                <w:color w:val="auto"/>
              </w:rPr>
            </w:pPr>
            <w:r>
              <w:rPr>
                <w:rFonts w:ascii="Arial" w:cs="Arial" w:eastAsia="Arial" w:hAnsi="Arial"/>
                <w:sz w:val="14"/>
                <w:szCs w:val="14"/>
                <w:b w:val="1"/>
                <w:bCs w:val="1"/>
                <w:color w:val="auto"/>
              </w:rPr>
              <w:t>407</w:t>
            </w:r>
          </w:p>
        </w:tc>
        <w:tc>
          <w:tcPr>
            <w:tcW w:w="100" w:type="dxa"/>
            <w:vAlign w:val="bottom"/>
          </w:tcPr>
          <w:p>
            <w:pPr>
              <w:spacing w:after="0"/>
              <w:rPr>
                <w:sz w:val="17"/>
                <w:szCs w:val="17"/>
                <w:color w:val="auto"/>
              </w:rPr>
            </w:pPr>
          </w:p>
        </w:tc>
        <w:tc>
          <w:tcPr>
            <w:tcW w:w="600" w:type="dxa"/>
            <w:vAlign w:val="bottom"/>
          </w:tcPr>
          <w:p>
            <w:pPr>
              <w:jc w:val="right"/>
              <w:ind w:right="90"/>
              <w:spacing w:after="0"/>
              <w:rPr>
                <w:sz w:val="20"/>
                <w:szCs w:val="20"/>
                <w:color w:val="auto"/>
              </w:rPr>
            </w:pPr>
            <w:r>
              <w:rPr>
                <w:rFonts w:ascii="Arial" w:cs="Arial" w:eastAsia="Arial" w:hAnsi="Arial"/>
                <w:sz w:val="14"/>
                <w:szCs w:val="14"/>
                <w:b w:val="1"/>
                <w:bCs w:val="1"/>
                <w:color w:val="auto"/>
                <w:w w:val="89"/>
              </w:rPr>
              <w:t>$ 2,912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Description of Business and Basis of Presentation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XPO Logistics, Inc., together with its subsidiaries (“XPO” or “we”), is a top ten global provider of cutting-edge supply chain solutions to the most successful companies in the world. We use our integrated network of people, technology and physical assets to help customers manage their goods most efficiently throughout their supply chains. Our customers are multinational, national, mid-size and small enterprises. We run our business on a global basis, with two reportable segments: Transportation and Logistics. See Note 2—Segment Reporting for further information on our operations.</w:t>
      </w:r>
    </w:p>
    <w:p>
      <w:pPr>
        <w:spacing w:after="0" w:line="6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prepared our Condensed Consolidated Financial Statements in accordance with U.S. generally accepted accounting principles (“GAAP”) and on the same basis as the accounting policies described in our annual report on Form 10-K for the year ended December 31, 2019 (the “2019 Form 10-K”), except for the effects of adopting Accounting Standards Update (“ASU”) 2016-13, “Financial Instruments - Credit Losses (Topic 326): Measurement of Credit Losses on Financial Instruments” as of January 1, 2020, as described below. The interim reporting requirements of Form 10-Q allow certain information and note disclosures normally included in annual consolidated financial statements to be condensed or omitted. These Condensed Consolidated Financial Statements should be read in conjunction with the 2019 Form 10-K.</w:t>
      </w:r>
    </w:p>
    <w:p>
      <w:pPr>
        <w:spacing w:after="0" w:line="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Condensed Consolidated Financial Statements are not audited but reflect all adjustments that are of a normal recurring nature and are necessary for a fair presentation of financial condition, operating results and cash flows for the interim periods presented. Operating results for the three and six months ended June 30, 2020 are not necessarily indicative of the results that may be expected for the fiscal year ending December 31, 2020, particularly in light of the outbreak of a strain of coronavirus, COVID-19, in the first quarter of 2020. The rapid escalation of COVID-19 into a pandemic in the first quarter of 2020 has affected, and will continue to affect, economic activity broadly and customer sectors served by our industry. COVID-19 has had, and we expect will continue to have, significant effects on economic activity, on demand for our services, and on our results of operations in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June 30, 2020 and December 31, 2019, our restricted cash included in Other long-term assets on our Condensed Consolidated Balance Sheets was $10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record accounts receivable at the contractual amount and we record an allowance for doubtful accounts for the amount we estimate we may not collect. In determining the allowance for doubtful accounts, we consider historical collection experience, the age of the accounts receivable balances, the credit quality and risk of our customers, any specific customer collection issues, current economic conditions, and other factors that may impact our customers’ ability to pay. Commencing in the first quarter of 2020 and in accordance with ASU 2016-13, we also consider reasonable and supportable forecasts of future economic conditions and their expected impact on customer collections in determining our allowance for doubtful accounts. We write off accounts receivable balances once the receivables are no longer deemed collectible.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17"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Condensed Consolidated Statements of Cash Flows. We also sell trade accounts receivable under a securitization program described below. We use trade receivables securitization and factoring programs to help manage our cash flows and offset the impact of extended payment terms for some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XPO Logistics Europe SA (“XPO Logistics Europe”), one of our majority-owned subsidiaries, participates in a trade receivables securitization program co-arranged by Crédit Agricole, BNP Paribas and HSBC (the “Purchasers”). Under the program, a wholly-owned bankruptcy-remote special purpose entity of XPO Logistics Europe sells trade receivables that originate with wholly-owned subsidiaries of XPO Logistics Europe in the United Kingdom and France to unaffiliated entities managed by the Purchasers. The special purpose entity is a variable interest entity and is consolidated by XPO based on our control of the entity’s activities.</w:t>
      </w:r>
    </w:p>
    <w:p>
      <w:pPr>
        <w:spacing w:after="0" w:line="8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Condensed Consolidated Balance Sheets at the date of transfer. In the securitization and factoring arrangements, any continuing involvement with the receivables is limited to servicing the receivables. The fair value of any servicing assets and liabilities is immaterial. Our trade receivables securitization program permits us to borrow, on an unsecured basis, cash collected in a servicing capacity on previously sold receivables, which we report within short-term debt on our Condensed Consolidated Balance Sheets. These borrowings amounted to €98 million ($110 million) as of June 30, 2020. See Note 6—Debt for additional information on these borrowings.</w:t>
      </w:r>
    </w:p>
    <w:p>
      <w:pPr>
        <w:spacing w:after="0" w:line="8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Under a securitization program that was terminated in July 2019, if transfers were accounted for as sales, the consideration received included a simultaneous cash payment and a deferred purchase price receivable. The deferred purchase price receivable was not a trade receivable and was recorded based on its fair value and reported within Other current assets on our Condensed Consolidated Balance Sheets. The cash payment which we received on the date of the transfer was reflected within Net cash provided by operating activities on our Condensed Consolidated Statements of Cash Flows. As we received cash payments on the deferred purchase price receivable, it was reflected as an investing activity. The new program does not include a deferred purchase price mechanism.</w:t>
      </w:r>
    </w:p>
    <w:p>
      <w:pPr>
        <w:spacing w:after="0" w:line="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maximum amount of net cash proceeds available at any one time under the current securitization program is €400 million (approximately $449 million as of June 30, 2020), and this amount includes any unsecured borrowings related to the program. As of June 30, 2020, €161 million (approximately $181 million) was available to us based on the level of receivables sold and outstanding as of that date. The weighted average interest rate was 0.73% as of June 30, 2020. Charges for commitment fees, which are based on a percentage of available amounts, and charges for administrative fees were not material to our results of operations for the three and six months ended June 30, 2020 and 2019. The securitization program expires in July 2022 and contains financial covenants customary for this type of arrangement, including maintaining a defined average days sales outstanding ratio.</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8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661</w:t>
            </w:r>
          </w:p>
        </w:tc>
      </w:tr>
      <w:tr>
        <w:trPr>
          <w:trHeight w:val="27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529</w:t>
            </w:r>
          </w:p>
        </w:tc>
      </w:tr>
      <w:tr>
        <w:trPr>
          <w:trHeight w:val="27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Deferred purchase price</w:t>
            </w:r>
          </w:p>
        </w:tc>
        <w:tc>
          <w:tcPr>
            <w:tcW w:w="360" w:type="dxa"/>
            <w:vAlign w:val="bottom"/>
          </w:tcPr>
          <w:p>
            <w:pPr>
              <w:spacing w:after="0"/>
              <w:rPr>
                <w:sz w:val="23"/>
                <w:szCs w:val="2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132</w:t>
            </w:r>
          </w:p>
        </w:tc>
      </w:tr>
      <w:tr>
        <w:trPr>
          <w:trHeight w:val="270"/>
        </w:trPr>
        <w:tc>
          <w:tcPr>
            <w:tcW w:w="4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Receivables sold in period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419</w:t>
            </w:r>
          </w:p>
        </w:tc>
      </w:tr>
      <w:tr>
        <w:trPr>
          <w:trHeight w:val="27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Cash consideration</w:t>
            </w:r>
          </w:p>
        </w:tc>
        <w:tc>
          <w:tcPr>
            <w:tcW w:w="360" w:type="dxa"/>
            <w:vAlign w:val="bottom"/>
          </w:tcPr>
          <w:p>
            <w:pPr>
              <w:spacing w:after="0"/>
              <w:rPr>
                <w:sz w:val="23"/>
                <w:szCs w:val="23"/>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417</w:t>
            </w:r>
          </w:p>
        </w:tc>
      </w:tr>
    </w:tbl>
    <w:p>
      <w:pPr>
        <w:spacing w:after="0" w:line="9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addition to the cash considerations referenced above, we received $66 million and $137 million in the three and six months ended June 30, 2019, respectively, for the realization of cash on the deferred purchase price receivable for our prior securitization program.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March 2020, XPO Logistics Europe announced that it has entered into a definitive agreement to acquire the majority of Kuehne + Nagel’s contract logistics operations in the United Kingdom. The operations provide a range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of logistics services, including inbound and outbound distribution, reverse logistics management and inventory management, and generated annual revenues in 2019 of approximately £500 million ($639 million). The transaction is subject to customary closing conditions, including regulatory approvals. The transaction, which is expected to close in the second half of 2020, is not expected to be material to our 2020 operating results.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62" w:lineRule="exact"/>
        <w:rPr>
          <w:rFonts w:ascii="Arial" w:cs="Arial" w:eastAsia="Arial" w:hAnsi="Arial"/>
          <w:sz w:val="18"/>
          <w:szCs w:val="18"/>
          <w:color w:val="auto"/>
        </w:rPr>
      </w:pPr>
    </w:p>
    <w:p>
      <w:pPr>
        <w:ind w:left="660" w:right="8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base our fair value estimates on market assumptions and available information. The carrying values of cash and cash equivalents, accounts receivable, accounts payable, accrued expenses and current maturities of long-term debt approximated their fair values as of June 30, 2020 and December 31, 2019 due to their short-term nature and/or being receivable or payable on demand. The Level 1 cash equivalents included money market funds valued using quoted prices in active markets. The Level 2 cash equivalents include short-term investments valued using published interest rates for instruments with similar terms and maturities. For information on the fair value hierarchy of our derivative instruments, see Note 5—Derivative Instruments and for information on financial liabilities, see Note 6—Debt.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cash equivalents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Carrying Value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2</w:t>
            </w:r>
          </w:p>
        </w:tc>
      </w:tr>
      <w:tr>
        <w:trPr>
          <w:trHeight w:val="249"/>
        </w:trPr>
        <w:tc>
          <w:tcPr>
            <w:tcW w:w="5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gridSpan w:val="2"/>
          </w:tcPr>
          <w:p>
            <w:pPr>
              <w:ind w:left="20"/>
              <w:spacing w:after="0"/>
              <w:rPr>
                <w:sz w:val="20"/>
                <w:szCs w:val="20"/>
                <w:color w:val="auto"/>
              </w:rPr>
            </w:pPr>
            <w:r>
              <w:rPr>
                <w:rFonts w:ascii="Arial" w:cs="Arial" w:eastAsia="Arial" w:hAnsi="Arial"/>
                <w:sz w:val="18"/>
                <w:szCs w:val="18"/>
                <w:color w:val="auto"/>
              </w:rPr>
              <w:t>December 31, 2019</w:t>
            </w:r>
          </w:p>
        </w:tc>
        <w:tc>
          <w:tcPr>
            <w:tcW w:w="160" w:type="dxa"/>
            <w:vAlign w:val="bottom"/>
          </w:tcPr>
          <w:p>
            <w:pPr>
              <w:spacing w:after="0"/>
              <w:rPr>
                <w:sz w:val="21"/>
                <w:szCs w:val="21"/>
                <w:color w:val="auto"/>
              </w:rPr>
            </w:pPr>
          </w:p>
        </w:tc>
        <w:tc>
          <w:tcPr>
            <w:tcW w:w="1260" w:type="dxa"/>
            <w:vAlign w:val="bottom"/>
          </w:tcPr>
          <w:p>
            <w:pPr>
              <w:jc w:val="right"/>
              <w:ind w:right="76"/>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6"/>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ind w:left="800"/>
              <w:spacing w:after="0"/>
              <w:rPr>
                <w:sz w:val="20"/>
                <w:szCs w:val="20"/>
                <w:color w:val="auto"/>
              </w:rPr>
            </w:pPr>
            <w:r>
              <w:rPr>
                <w:rFonts w:ascii="Arial" w:cs="Arial" w:eastAsia="Arial" w:hAnsi="Arial"/>
                <w:sz w:val="18"/>
                <w:szCs w:val="18"/>
                <w:color w:val="auto"/>
              </w:rPr>
              <w:t>17</w:t>
            </w:r>
          </w:p>
        </w:tc>
      </w:tr>
    </w:tbl>
    <w:p>
      <w:pPr>
        <w:spacing w:after="0" w:line="12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Cash equivalents at June 30, 2020 include the majority of the net proceeds from the issuance of senior notes due 2025 (the “Senior Notes due 2025”) which were invested in money market funds. For further information, see Note 6—Debt.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June 2016, the Financial Accounting Standards Board (“FASB”) issued ASU 2016-13, “Financial Instruments - Credit Losses (Topic 326): Measurement of Credit Losses on Financial Instruments.” The ASU, as subsequently modified, amends the incurred losses impairment method with a method that reflects expected credit losses on certain types of financial instruments, including trade receivables. We adopted this standard on January 1, 2020 and recorded an immaterial adjustment to total equity for the cumulative impact of adoption.</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“Customer’s Accounting for Implementation Costs Incurred in a Cloud Computing Arrangement That Is a Service Contract.” The ASU aligns the requirements for capitalizing implementation costs incurred in a hosting arrangement that is a service contract with the requirements for capitalizing implementation costs incurred to develop or obtain internal-use software. Under the guidance, any capitalized implementation costs would be included in prepaid expenses, amortized over the term of the hosting arrangement on a straight-line basis and presented in the same line items in the Consolidated Statement of Income as the expense for fees of the associated hosting arrangements. We adopted this standard on January 1, 2020 on a prospective basis. The adoption did not have a material effect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Issued but Not Yet Effective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The ASU is intended to simplify the accounting for income taxes by removing certain exceptions to the general principles in Topic 740. The ASU also clarifies and amends existing guidance to enhance consistency and comparability among reporting entities. This ASU is effective for fiscal years beginning after December 15, 2020, including interim periods within that reporting period; however, early adoption is permitted. We are currently evaluating the impact of this standard on our consolidated financial statements.</w:t>
      </w:r>
    </w:p>
    <w:p>
      <w:pPr>
        <w:spacing w:after="0" w:line="8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March 2020, the FASB issued ASU 2020-04, Reference rate reform (Topic 848)—“Facilitation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We are currently evaluating the impact of the new guidance.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Reporting</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organized into two reportable segments: Transportation and Logistics. We evaluate our performance in large part based on the various financial measures of our two reporting segments.</w:t>
      </w:r>
    </w:p>
    <w:p>
      <w:pPr>
        <w:spacing w:after="0" w:line="6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our Transportation segment, we provide multiple services to facilitate the movement of raw materials, parts and finished goods. We accomplish this by using our proprietary technology, third-party independent carriers and our transportation assets and service centers. Our transportation services include truck brokerage and expedite; truckload; less-than-truckload (“LTL”); last mile; intermodal and drayage; managed transportation; and global forwarding. Freight brokerage, last mile, global forwarding and managed transportation are non-asset or asset-light businesses while LTL and truckload are primarily asset-based operations.</w:t>
      </w:r>
    </w:p>
    <w:p>
      <w:pPr>
        <w:spacing w:after="0" w:line="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our Logistics segment, which we also refer to as supply chain or contract logistics, we provide a wide range of services differentiated by our proprietary technology and our ability to customize solutions for individual customers. Our services include value-added warehousing and distribution, e-commerce and omnichannel fulfillment, cold-chain solutions, reverse logistics, packaging and labeling, factory support, aftermarket support, inventory management, order personalization and supply chain optimization. In addition, our Logistics segment provides engineered solutions for supply chain optimization, such as production flow management.</w:t>
      </w:r>
    </w:p>
    <w:p>
      <w:pPr>
        <w:spacing w:after="0" w:line="8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Some of our operating units provide services to our other operating units outside of their reportable segment. Billings for such services are based on negotiated rates and are reflected as revenues of the billing segment. We adjust these rates from time to time based on market conditions. We eliminate intersegment revenues and expenses in our consolidated results.</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Corporate includes corporate headquarters costs for executive officers and certain legal and financial functions, and other costs and credits not attributed to our reporting segments.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chief operating decision maker (“CODM”) regularly reviews financial information at the reporting segment level to allocate resources to the segments and to assess their performance. We include items directly attributable to a segment, and those that can be allocated on a reasonable basis, in segment results reported to the CODM. We do not provide asset information by segment to the CODM, as the majority of our assets are managed at the corporate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for our segments is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7"/>
              </w:rPr>
              <w:t>Transportation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Logistics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Eliminations/Other</w:t>
            </w:r>
          </w:p>
        </w:tc>
        <w:tc>
          <w:tcPr>
            <w:tcW w:w="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r>
      <w:tr>
        <w:trPr>
          <w:trHeight w:val="249"/>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Three months ended June 30, 2020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gridSpan w:val="2"/>
          </w:tcPr>
          <w:p>
            <w:pPr>
              <w:ind w:left="1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2,127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1,404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190"/>
              <w:spacing w:after="0"/>
              <w:rPr>
                <w:sz w:val="20"/>
                <w:szCs w:val="20"/>
                <w:color w:val="auto"/>
              </w:rPr>
            </w:pPr>
            <w:r>
              <w:rPr>
                <w:rFonts w:ascii="Arial" w:cs="Arial" w:eastAsia="Arial" w:hAnsi="Arial"/>
                <w:sz w:val="18"/>
                <w:szCs w:val="18"/>
                <w:color w:val="auto"/>
                <w:w w:val="93"/>
              </w:rPr>
              <w:t>(29)</w:t>
            </w:r>
          </w:p>
        </w:tc>
        <w:tc>
          <w:tcPr>
            <w:tcW w:w="3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3,502</w:t>
            </w:r>
          </w:p>
        </w:tc>
      </w:tr>
      <w:tr>
        <w:trPr>
          <w:trHeight w:val="27"/>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Operating loss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r>
      <w:tr>
        <w:trPr>
          <w:trHeight w:val="243"/>
        </w:trPr>
        <w:tc>
          <w:tcPr>
            <w:tcW w:w="426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196</w:t>
            </w:r>
          </w:p>
        </w:tc>
      </w:tr>
      <w:tr>
        <w:trPr>
          <w:trHeight w:val="27"/>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Three months ended June 30, 2019</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3"/>
              </w:rPr>
              <w:t>(35)</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4,238</w:t>
            </w:r>
          </w:p>
        </w:tc>
      </w:tr>
      <w:tr>
        <w:trPr>
          <w:trHeight w:val="270"/>
        </w:trPr>
        <w:tc>
          <w:tcPr>
            <w:tcW w:w="4260" w:type="dxa"/>
            <w:vAlign w:val="bottom"/>
            <w:gridSpan w:val="2"/>
          </w:tcPr>
          <w:p>
            <w:pPr>
              <w:ind w:left="140"/>
              <w:spacing w:after="0"/>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(2)</w:t>
            </w:r>
          </w:p>
        </w:tc>
        <w:tc>
          <w:tcPr>
            <w:tcW w:w="160" w:type="dxa"/>
            <w:vAlign w:val="bottom"/>
          </w:tcPr>
          <w:p>
            <w:pPr>
              <w:spacing w:after="0"/>
              <w:rPr>
                <w:sz w:val="23"/>
                <w:szCs w:val="23"/>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258</w:t>
            </w:r>
          </w:p>
        </w:tc>
      </w:tr>
      <w:tr>
        <w:trPr>
          <w:trHeight w:val="250"/>
        </w:trPr>
        <w:tc>
          <w:tcPr>
            <w:tcW w:w="4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180</w:t>
            </w:r>
          </w:p>
        </w:tc>
      </w:tr>
      <w:tr>
        <w:trPr>
          <w:trHeight w:val="216"/>
        </w:trPr>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50"/>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Six months ended June 30, 2020</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260" w:type="dxa"/>
            <w:vAlign w:val="bottom"/>
            <w:gridSpan w:val="2"/>
          </w:tcPr>
          <w:p>
            <w:pPr>
              <w:ind w:left="120"/>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4,586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2,841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center"/>
              <w:ind w:left="190"/>
              <w:spacing w:after="0"/>
              <w:rPr>
                <w:sz w:val="20"/>
                <w:szCs w:val="20"/>
                <w:color w:val="auto"/>
              </w:rPr>
            </w:pPr>
            <w:r>
              <w:rPr>
                <w:rFonts w:ascii="Arial" w:cs="Arial" w:eastAsia="Arial" w:hAnsi="Arial"/>
                <w:sz w:val="18"/>
                <w:szCs w:val="18"/>
                <w:color w:val="auto"/>
                <w:w w:val="93"/>
              </w:rPr>
              <w:t>(61)</w:t>
            </w:r>
          </w:p>
        </w:tc>
        <w:tc>
          <w:tcPr>
            <w:tcW w:w="3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7,366</w:t>
            </w:r>
          </w:p>
        </w:tc>
      </w:tr>
      <w:tr>
        <w:trPr>
          <w:trHeight w:val="27"/>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(3)</w:t>
            </w: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(60)</w:t>
            </w:r>
          </w:p>
        </w:tc>
      </w:tr>
      <w:tr>
        <w:trPr>
          <w:trHeight w:val="243"/>
        </w:trPr>
        <w:tc>
          <w:tcPr>
            <w:tcW w:w="4260" w:type="dxa"/>
            <w:vAlign w:val="bottom"/>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379</w:t>
            </w:r>
          </w:p>
        </w:tc>
      </w:tr>
      <w:tr>
        <w:trPr>
          <w:trHeight w:val="27"/>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6"/>
        </w:trPr>
        <w:tc>
          <w:tcPr>
            <w:tcW w:w="4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4260" w:type="dxa"/>
            <w:vAlign w:val="bottom"/>
            <w:gridSpan w:val="2"/>
          </w:tcPr>
          <w:p>
            <w:pPr>
              <w:ind w:left="20"/>
              <w:spacing w:after="0"/>
              <w:rPr>
                <w:sz w:val="20"/>
                <w:szCs w:val="20"/>
                <w:color w:val="auto"/>
              </w:rPr>
            </w:pPr>
            <w:r>
              <w:rPr>
                <w:rFonts w:ascii="Arial" w:cs="Arial" w:eastAsia="Arial" w:hAnsi="Arial"/>
                <w:sz w:val="18"/>
                <w:szCs w:val="18"/>
                <w:color w:val="auto"/>
              </w:rPr>
              <w:t>Six months ended June 30, 2019</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5,406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3"/>
              </w:rPr>
              <w:t>(68)</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8,358</w:t>
            </w:r>
          </w:p>
        </w:tc>
      </w:tr>
      <w:tr>
        <w:trPr>
          <w:trHeight w:val="270"/>
        </w:trPr>
        <w:tc>
          <w:tcPr>
            <w:tcW w:w="4260" w:type="dxa"/>
            <w:vAlign w:val="bottom"/>
            <w:gridSpan w:val="2"/>
          </w:tcPr>
          <w:p>
            <w:pPr>
              <w:ind w:left="140"/>
              <w:spacing w:after="0"/>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(4)</w:t>
            </w:r>
          </w:p>
        </w:tc>
        <w:tc>
          <w:tcPr>
            <w:tcW w:w="160" w:type="dxa"/>
            <w:vAlign w:val="bottom"/>
          </w:tcPr>
          <w:p>
            <w:pPr>
              <w:spacing w:after="0"/>
              <w:rPr>
                <w:sz w:val="23"/>
                <w:szCs w:val="23"/>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3"/>
                <w:szCs w:val="23"/>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390</w:t>
            </w:r>
          </w:p>
        </w:tc>
      </w:tr>
      <w:tr>
        <w:trPr>
          <w:trHeight w:val="243"/>
        </w:trPr>
        <w:tc>
          <w:tcPr>
            <w:tcW w:w="4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224</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360</w:t>
            </w:r>
          </w:p>
        </w:tc>
      </w:tr>
      <w:tr>
        <w:trPr>
          <w:trHeight w:val="27"/>
        </w:trPr>
        <w:tc>
          <w:tcPr>
            <w:tcW w:w="4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480" w:hanging="310"/>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Consolidated operating loss for the three months ended June 30, 2020 includes $50 million of restructuring expense and $46 million of transaction and integration costs.</w:t>
      </w:r>
    </w:p>
    <w:p>
      <w:pPr>
        <w:spacing w:after="0" w:line="109" w:lineRule="exact"/>
        <w:rPr>
          <w:rFonts w:ascii="Arial" w:cs="Arial" w:eastAsia="Arial" w:hAnsi="Arial"/>
          <w:sz w:val="14"/>
          <w:szCs w:val="14"/>
          <w:color w:val="auto"/>
        </w:rPr>
      </w:pPr>
    </w:p>
    <w:p>
      <w:pPr>
        <w:ind w:left="480" w:hanging="310"/>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Consolidated operating income for the three months ended June 30, 2019 includes $4 million of restructuring expense and $1 million of transaction and integration costs.</w:t>
      </w:r>
    </w:p>
    <w:p>
      <w:pPr>
        <w:spacing w:after="0" w:line="109" w:lineRule="exact"/>
        <w:rPr>
          <w:rFonts w:ascii="Arial" w:cs="Arial" w:eastAsia="Arial" w:hAnsi="Arial"/>
          <w:sz w:val="14"/>
          <w:szCs w:val="14"/>
          <w:color w:val="auto"/>
        </w:rPr>
      </w:pPr>
    </w:p>
    <w:p>
      <w:pPr>
        <w:ind w:left="480" w:hanging="310"/>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Consolidated operating loss for the six months ended June 30, 2020 includes $90 million of transaction and integration costs and $53 million of restructuring expense.</w:t>
      </w:r>
    </w:p>
    <w:p>
      <w:pPr>
        <w:spacing w:after="0" w:line="109" w:lineRule="exact"/>
        <w:rPr>
          <w:rFonts w:ascii="Arial" w:cs="Arial" w:eastAsia="Arial" w:hAnsi="Arial"/>
          <w:sz w:val="14"/>
          <w:szCs w:val="14"/>
          <w:color w:val="auto"/>
        </w:rPr>
      </w:pPr>
    </w:p>
    <w:p>
      <w:pPr>
        <w:ind w:left="480" w:hanging="310"/>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Consolidated operating income for the six months ended June 30, 2019 includes $17 million of restructuring expense and $2 million of transaction and integration costs.</w:t>
      </w:r>
    </w:p>
    <w:p>
      <w:pPr>
        <w:spacing w:after="0" w:line="11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transaction and integration costs for the second quarter and first six months of 2020 are primarily related to our previously announced exploration of strategic alternatives. The review of strategic alternatives was terminated in March 2020, but certain of these costs continued into the second quarter of 2020. For further information on our restructuring actions, see Note 4—Restructuring Charges. We also incurred in the second quarter and first six months of 2020, net incremental and direct costs as a result of the COVID-19 pandemic, including costs for personal protective equipment, site cleanings and enhanced employee benefits, such as appreciation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disaggregate our revenue by geographic area and service offering. Our revenue disaggregated by geographical area, based on sales office location, was as follows: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5"/>
                <w:szCs w:val="15"/>
                <w:b w:val="1"/>
                <w:bCs w:val="1"/>
                <w:color w:val="auto"/>
                <w:w w:val="91"/>
              </w:rPr>
              <w:t>Three Months Ended June 30, 2020</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12"/>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15"/>
                <w:szCs w:val="15"/>
                <w:b w:val="1"/>
                <w:bCs w:val="1"/>
                <w:color w:val="auto"/>
                <w:w w:val="98"/>
              </w:rPr>
              <w:t>Transportation</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5"/>
                <w:szCs w:val="15"/>
                <w:b w:val="1"/>
                <w:bCs w:val="1"/>
                <w:color w:val="auto"/>
              </w:rPr>
              <w:t>Logistics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5"/>
                <w:szCs w:val="15"/>
                <w:b w:val="1"/>
                <w:bCs w:val="1"/>
                <w:color w:val="auto"/>
              </w:rPr>
              <w:t>Total</w:t>
            </w:r>
          </w:p>
        </w:tc>
      </w:tr>
      <w:tr>
        <w:trPr>
          <w:trHeight w:val="248"/>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2,004</w:t>
            </w: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North America (excluding United States)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81</w:t>
            </w:r>
          </w:p>
        </w:tc>
      </w:tr>
      <w:tr>
        <w:trPr>
          <w:trHeight w:val="243"/>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394</w:t>
            </w: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United Kingdom</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452</w:t>
            </w:r>
          </w:p>
        </w:tc>
      </w:tr>
      <w:tr>
        <w:trPr>
          <w:trHeight w:val="243"/>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Europe (excluding France and United Kingdom)</w:t>
            </w:r>
          </w:p>
        </w:tc>
        <w:tc>
          <w:tcPr>
            <w:tcW w:w="16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525</w:t>
            </w: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46</w:t>
            </w:r>
          </w:p>
        </w:tc>
      </w:tr>
      <w:tr>
        <w:trPr>
          <w:trHeight w:val="237"/>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3,502</w:t>
            </w: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1"/>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5"/>
                <w:szCs w:val="15"/>
                <w:b w:val="1"/>
                <w:bCs w:val="1"/>
                <w:color w:val="auto"/>
                <w:w w:val="91"/>
              </w:rPr>
              <w:t>Three Months Ended June 30, 2019</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12"/>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15"/>
                <w:szCs w:val="15"/>
                <w:b w:val="1"/>
                <w:bCs w:val="1"/>
                <w:color w:val="auto"/>
                <w:w w:val="98"/>
              </w:rPr>
              <w:t>Transportation</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5"/>
                <w:szCs w:val="15"/>
                <w:b w:val="1"/>
                <w:bCs w:val="1"/>
                <w:color w:val="auto"/>
              </w:rPr>
              <w:t>Logistics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5"/>
                <w:szCs w:val="15"/>
                <w:b w:val="1"/>
                <w:bCs w:val="1"/>
                <w:color w:val="auto"/>
              </w:rPr>
              <w:t>Total</w:t>
            </w:r>
          </w:p>
        </w:tc>
      </w:tr>
      <w:tr>
        <w:trPr>
          <w:trHeight w:val="248"/>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2,487</w:t>
            </w:r>
          </w:p>
        </w:tc>
      </w:tr>
      <w:tr>
        <w:trPr>
          <w:trHeight w:val="27"/>
        </w:trPr>
        <w:tc>
          <w:tcPr>
            <w:tcW w:w="5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North America (excluding United States)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88</w:t>
            </w:r>
          </w:p>
        </w:tc>
      </w:tr>
      <w:tr>
        <w:trPr>
          <w:trHeight w:val="243"/>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517</w:t>
            </w:r>
          </w:p>
        </w:tc>
      </w:tr>
      <w:tr>
        <w:trPr>
          <w:trHeight w:val="27"/>
        </w:trPr>
        <w:tc>
          <w:tcPr>
            <w:tcW w:w="5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United Kingdom</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518</w:t>
            </w:r>
          </w:p>
        </w:tc>
      </w:tr>
      <w:tr>
        <w:trPr>
          <w:trHeight w:val="243"/>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Europe (excluding France and United Kingdom)</w:t>
            </w:r>
          </w:p>
        </w:tc>
        <w:tc>
          <w:tcPr>
            <w:tcW w:w="16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600</w:t>
            </w:r>
          </w:p>
        </w:tc>
      </w:tr>
      <w:tr>
        <w:trPr>
          <w:trHeight w:val="27"/>
        </w:trPr>
        <w:tc>
          <w:tcPr>
            <w:tcW w:w="5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w:t>
            </w:r>
          </w:p>
        </w:tc>
      </w:tr>
      <w:tr>
        <w:trPr>
          <w:trHeight w:val="237"/>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1,526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4,238</w:t>
            </w: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25"/>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5"/>
                <w:szCs w:val="15"/>
                <w:b w:val="1"/>
                <w:bCs w:val="1"/>
                <w:color w:val="auto"/>
                <w:w w:val="92"/>
              </w:rPr>
              <w:t>Six Months Ended June 30, 2020</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12"/>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15"/>
                <w:szCs w:val="15"/>
                <w:b w:val="1"/>
                <w:bCs w:val="1"/>
                <w:color w:val="auto"/>
                <w:w w:val="98"/>
              </w:rPr>
              <w:t>Transportation</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3"/>
              <w:spacing w:after="0"/>
              <w:rPr>
                <w:sz w:val="20"/>
                <w:szCs w:val="20"/>
                <w:color w:val="auto"/>
              </w:rPr>
            </w:pPr>
            <w:r>
              <w:rPr>
                <w:rFonts w:ascii="Arial" w:cs="Arial" w:eastAsia="Arial" w:hAnsi="Arial"/>
                <w:sz w:val="15"/>
                <w:szCs w:val="15"/>
                <w:b w:val="1"/>
                <w:bCs w:val="1"/>
                <w:color w:val="auto"/>
              </w:rPr>
              <w:t>Logistics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5"/>
                <w:szCs w:val="15"/>
                <w:b w:val="1"/>
                <w:bCs w:val="1"/>
                <w:color w:val="auto"/>
              </w:rPr>
              <w:t>Total</w:t>
            </w:r>
          </w:p>
        </w:tc>
      </w:tr>
      <w:tr>
        <w:trPr>
          <w:trHeight w:val="248"/>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4,233</w:t>
            </w:r>
          </w:p>
        </w:tc>
      </w:tr>
      <w:tr>
        <w:trPr>
          <w:trHeight w:val="27"/>
        </w:trPr>
        <w:tc>
          <w:tcPr>
            <w:tcW w:w="5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North America (excluding United States)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166</w:t>
            </w:r>
          </w:p>
        </w:tc>
      </w:tr>
      <w:tr>
        <w:trPr>
          <w:trHeight w:val="243"/>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852</w:t>
            </w:r>
          </w:p>
        </w:tc>
      </w:tr>
      <w:tr>
        <w:trPr>
          <w:trHeight w:val="27"/>
        </w:trPr>
        <w:tc>
          <w:tcPr>
            <w:tcW w:w="5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United Kingdom</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947</w:t>
            </w:r>
          </w:p>
        </w:tc>
      </w:tr>
      <w:tr>
        <w:trPr>
          <w:trHeight w:val="243"/>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Europe (excluding France and United Kingdom)</w:t>
            </w:r>
          </w:p>
        </w:tc>
        <w:tc>
          <w:tcPr>
            <w:tcW w:w="16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1,096</w:t>
            </w:r>
          </w:p>
        </w:tc>
      </w:tr>
      <w:tr>
        <w:trPr>
          <w:trHeight w:val="27"/>
        </w:trPr>
        <w:tc>
          <w:tcPr>
            <w:tcW w:w="5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w:t>
            </w:r>
          </w:p>
        </w:tc>
      </w:tr>
      <w:tr>
        <w:trPr>
          <w:trHeight w:val="237"/>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4,586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7,366</w:t>
            </w: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4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ind w:left="140"/>
              <w:spacing w:after="0"/>
              <w:rPr>
                <w:sz w:val="20"/>
                <w:szCs w:val="20"/>
                <w:color w:val="auto"/>
              </w:rPr>
            </w:pPr>
            <w:r>
              <w:rPr>
                <w:rFonts w:ascii="Arial" w:cs="Arial" w:eastAsia="Arial" w:hAnsi="Arial"/>
                <w:sz w:val="15"/>
                <w:szCs w:val="15"/>
                <w:b w:val="1"/>
                <w:bCs w:val="1"/>
                <w:color w:val="auto"/>
              </w:rPr>
              <w:t>Six Months Ended June 30, 2019</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12"/>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2"/>
              <w:spacing w:after="0"/>
              <w:rPr>
                <w:sz w:val="20"/>
                <w:szCs w:val="20"/>
                <w:color w:val="auto"/>
              </w:rPr>
            </w:pPr>
            <w:r>
              <w:rPr>
                <w:rFonts w:ascii="Arial" w:cs="Arial" w:eastAsia="Arial" w:hAnsi="Arial"/>
                <w:sz w:val="15"/>
                <w:szCs w:val="15"/>
                <w:b w:val="1"/>
                <w:bCs w:val="1"/>
                <w:color w:val="auto"/>
                <w:w w:val="98"/>
              </w:rPr>
              <w:t>Transportation</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3"/>
              <w:spacing w:after="0"/>
              <w:rPr>
                <w:sz w:val="20"/>
                <w:szCs w:val="20"/>
                <w:color w:val="auto"/>
              </w:rPr>
            </w:pPr>
            <w:r>
              <w:rPr>
                <w:rFonts w:ascii="Arial" w:cs="Arial" w:eastAsia="Arial" w:hAnsi="Arial"/>
                <w:sz w:val="15"/>
                <w:szCs w:val="15"/>
                <w:b w:val="1"/>
                <w:bCs w:val="1"/>
                <w:color w:val="auto"/>
              </w:rPr>
              <w:t>Logistics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5"/>
                <w:szCs w:val="15"/>
                <w:b w:val="1"/>
                <w:bCs w:val="1"/>
                <w:color w:val="auto"/>
              </w:rPr>
              <w:t>Eliminations</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5"/>
                <w:szCs w:val="15"/>
                <w:b w:val="1"/>
                <w:bCs w:val="1"/>
                <w:color w:val="auto"/>
              </w:rPr>
              <w:t>Total</w:t>
            </w:r>
          </w:p>
        </w:tc>
      </w:tr>
      <w:tr>
        <w:trPr>
          <w:trHeight w:val="248"/>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United States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3,760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4,875</w:t>
            </w: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North America (excluding United States)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173</w:t>
            </w:r>
          </w:p>
        </w:tc>
      </w:tr>
      <w:tr>
        <w:trPr>
          <w:trHeight w:val="243"/>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France</w:t>
            </w:r>
          </w:p>
        </w:tc>
        <w:tc>
          <w:tcPr>
            <w:tcW w:w="16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1,045</w:t>
            </w: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United Kingdom</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1,023</w:t>
            </w:r>
          </w:p>
        </w:tc>
      </w:tr>
      <w:tr>
        <w:trPr>
          <w:trHeight w:val="243"/>
        </w:trPr>
        <w:tc>
          <w:tcPr>
            <w:tcW w:w="5100" w:type="dxa"/>
            <w:vAlign w:val="bottom"/>
            <w:gridSpan w:val="2"/>
          </w:tcPr>
          <w:p>
            <w:pPr>
              <w:ind w:left="160"/>
              <w:spacing w:after="0"/>
              <w:rPr>
                <w:sz w:val="20"/>
                <w:szCs w:val="20"/>
                <w:color w:val="auto"/>
              </w:rPr>
            </w:pPr>
            <w:r>
              <w:rPr>
                <w:rFonts w:ascii="Arial" w:cs="Arial" w:eastAsia="Arial" w:hAnsi="Arial"/>
                <w:sz w:val="18"/>
                <w:szCs w:val="18"/>
                <w:color w:val="auto"/>
              </w:rPr>
              <w:t>Europe (excluding France and United Kingdom)</w:t>
            </w:r>
          </w:p>
        </w:tc>
        <w:tc>
          <w:tcPr>
            <w:tcW w:w="160" w:type="dxa"/>
            <w:vAlign w:val="bottom"/>
          </w:tcPr>
          <w:p>
            <w:pPr>
              <w:spacing w:after="0"/>
              <w:rPr>
                <w:sz w:val="21"/>
                <w:szCs w:val="21"/>
                <w:color w:val="auto"/>
              </w:rPr>
            </w:pPr>
          </w:p>
        </w:tc>
        <w:tc>
          <w:tcPr>
            <w:tcW w:w="1320" w:type="dxa"/>
            <w:vAlign w:val="bottom"/>
          </w:tcPr>
          <w:p>
            <w:pPr>
              <w:jc w:val="right"/>
              <w:ind w:right="72"/>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1,189</w:t>
            </w: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53</w:t>
            </w:r>
          </w:p>
        </w:tc>
      </w:tr>
      <w:tr>
        <w:trPr>
          <w:trHeight w:val="237"/>
        </w:trPr>
        <w:tc>
          <w:tcPr>
            <w:tcW w:w="51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5,406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8,358</w:t>
            </w:r>
          </w:p>
        </w:tc>
      </w:tr>
      <w:tr>
        <w:trPr>
          <w:trHeight w:val="27"/>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 disaggregated by service offering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6"/>
                <w:szCs w:val="16"/>
                <w:color w:val="auto"/>
              </w:rPr>
            </w:pPr>
          </w:p>
        </w:tc>
        <w:tc>
          <w:tcPr>
            <w:tcW w:w="3000" w:type="dxa"/>
            <w:vAlign w:val="bottom"/>
            <w:gridSpan w:val="4"/>
          </w:tcPr>
          <w:p>
            <w:pPr>
              <w:jc w:val="right"/>
              <w:ind w:right="77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r>
      <w:tr>
        <w:trPr>
          <w:trHeight w:val="250"/>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 segment</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gridSpan w:val="2"/>
          </w:tcPr>
          <w:p>
            <w:pPr>
              <w:ind w:left="340"/>
              <w:spacing w:after="0"/>
              <w:rPr>
                <w:sz w:val="20"/>
                <w:szCs w:val="20"/>
                <w:color w:val="auto"/>
              </w:rPr>
            </w:pPr>
            <w:r>
              <w:rPr>
                <w:rFonts w:ascii="Arial" w:cs="Arial" w:eastAsia="Arial" w:hAnsi="Arial"/>
                <w:sz w:val="18"/>
                <w:szCs w:val="18"/>
                <w:color w:val="auto"/>
              </w:rPr>
              <w:t>Freight brokerage and truckload</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2,186</w:t>
            </w:r>
          </w:p>
        </w:tc>
      </w:tr>
      <w:tr>
        <w:trPr>
          <w:trHeight w:val="27"/>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LTL</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2,440</w:t>
            </w:r>
          </w:p>
        </w:tc>
      </w:tr>
      <w:tr>
        <w:trPr>
          <w:trHeight w:val="270"/>
        </w:trPr>
        <w:tc>
          <w:tcPr>
            <w:tcW w:w="4360" w:type="dxa"/>
            <w:vAlign w:val="bottom"/>
            <w:gridSpan w:val="2"/>
          </w:tcPr>
          <w:p>
            <w:pPr>
              <w:ind w:left="360"/>
              <w:spacing w:after="0"/>
              <w:rPr>
                <w:sz w:val="20"/>
                <w:szCs w:val="20"/>
                <w:color w:val="auto"/>
              </w:rPr>
            </w:pPr>
            <w:r>
              <w:rPr>
                <w:rFonts w:ascii="Arial" w:cs="Arial" w:eastAsia="Arial" w:hAnsi="Arial"/>
                <w:sz w:val="18"/>
                <w:szCs w:val="18"/>
                <w:color w:val="auto"/>
              </w:rPr>
              <w:t xml:space="preserve">Last mile </w:t>
            </w:r>
            <w:r>
              <w:rPr>
                <w:rFonts w:ascii="Arial" w:cs="Arial" w:eastAsia="Arial" w:hAnsi="Arial"/>
                <w:sz w:val="23"/>
                <w:szCs w:val="23"/>
                <w:color w:val="auto"/>
                <w:vertAlign w:val="superscript"/>
              </w:rPr>
              <w:t>(1)</w:t>
            </w:r>
          </w:p>
        </w:tc>
        <w:tc>
          <w:tcPr>
            <w:tcW w:w="380" w:type="dxa"/>
            <w:vAlign w:val="bottom"/>
          </w:tcPr>
          <w:p>
            <w:pPr>
              <w:spacing w:after="0"/>
              <w:rPr>
                <w:sz w:val="23"/>
                <w:szCs w:val="23"/>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436</w:t>
            </w:r>
          </w:p>
        </w:tc>
      </w:tr>
      <w:tr>
        <w:trPr>
          <w:trHeight w:val="250"/>
        </w:trPr>
        <w:tc>
          <w:tcPr>
            <w:tcW w:w="4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Managed transportation</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266</w:t>
            </w:r>
          </w:p>
        </w:tc>
      </w:tr>
      <w:tr>
        <w:trPr>
          <w:trHeight w:val="243"/>
        </w:trPr>
        <w:tc>
          <w:tcPr>
            <w:tcW w:w="4360" w:type="dxa"/>
            <w:vAlign w:val="bottom"/>
            <w:gridSpan w:val="2"/>
          </w:tcPr>
          <w:p>
            <w:pPr>
              <w:ind w:left="340"/>
              <w:spacing w:after="0"/>
              <w:rPr>
                <w:sz w:val="20"/>
                <w:szCs w:val="20"/>
                <w:color w:val="auto"/>
              </w:rPr>
            </w:pPr>
            <w:r>
              <w:rPr>
                <w:rFonts w:ascii="Arial" w:cs="Arial" w:eastAsia="Arial" w:hAnsi="Arial"/>
                <w:sz w:val="18"/>
                <w:szCs w:val="18"/>
                <w:color w:val="auto"/>
              </w:rPr>
              <w:t>Global forwarding</w:t>
            </w:r>
          </w:p>
        </w:tc>
        <w:tc>
          <w:tcPr>
            <w:tcW w:w="380" w:type="dxa"/>
            <w:vAlign w:val="bottom"/>
          </w:tcPr>
          <w:p>
            <w:pPr>
              <w:spacing w:after="0"/>
              <w:rPr>
                <w:sz w:val="21"/>
                <w:szCs w:val="21"/>
                <w:color w:val="auto"/>
              </w:rPr>
            </w:pPr>
          </w:p>
        </w:tc>
        <w:tc>
          <w:tcPr>
            <w:tcW w:w="1260" w:type="dxa"/>
            <w:vAlign w:val="bottom"/>
          </w:tcPr>
          <w:p>
            <w:pPr>
              <w:jc w:val="right"/>
              <w:ind w:right="73"/>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53"/>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155</w:t>
            </w:r>
          </w:p>
        </w:tc>
      </w:tr>
      <w:tr>
        <w:trPr>
          <w:trHeight w:val="27"/>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Transportation eliminations</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r>
      <w:tr>
        <w:trPr>
          <w:trHeight w:val="237"/>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Total Transportation segment revenue</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4,586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5,406</w:t>
            </w:r>
          </w:p>
        </w:tc>
      </w:tr>
      <w:tr>
        <w:trPr>
          <w:trHeight w:val="27"/>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Logistics segment revenue</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3,020</w:t>
            </w:r>
          </w:p>
        </w:tc>
      </w:tr>
      <w:tr>
        <w:trPr>
          <w:trHeight w:val="243"/>
        </w:trPr>
        <w:tc>
          <w:tcPr>
            <w:tcW w:w="4360" w:type="dxa"/>
            <w:vAlign w:val="bottom"/>
            <w:gridSpan w:val="2"/>
          </w:tcPr>
          <w:p>
            <w:pPr>
              <w:ind w:left="20"/>
              <w:spacing w:after="0"/>
              <w:rPr>
                <w:sz w:val="20"/>
                <w:szCs w:val="20"/>
                <w:color w:val="auto"/>
              </w:rPr>
            </w:pPr>
            <w:r>
              <w:rPr>
                <w:rFonts w:ascii="Arial" w:cs="Arial" w:eastAsia="Arial" w:hAnsi="Arial"/>
                <w:sz w:val="18"/>
                <w:szCs w:val="18"/>
                <w:color w:val="auto"/>
              </w:rPr>
              <w:t>Intersegment eliminations</w:t>
            </w:r>
          </w:p>
        </w:tc>
        <w:tc>
          <w:tcPr>
            <w:tcW w:w="38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(68)</w:t>
            </w:r>
          </w:p>
        </w:tc>
      </w:tr>
      <w:tr>
        <w:trPr>
          <w:trHeight w:val="27"/>
        </w:trPr>
        <w:tc>
          <w:tcPr>
            <w:tcW w:w="4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4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3,502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4,238</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7,366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8,358</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 Comprised of our North American last mile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Remaining performance obligations represent firm contracts for which services have not been performed and future revenue recognition is expected. As permitted in determining the remaining performance obligation, we omit obligations that: (i) have original expected durations of one year or less or (ii) contain variable consideration. On June 30, 2020, the fixed consideration component of our remaining performance obligation was approximately $1.6 billion, and we expect to recognize approximately 75% of that amount over the next three years and the remainder thereafter. The majority of the remaining performance obligation relates to our Logistics reportable segment. We estimate remaining performance obligations at a point in time and actual amounts may differ from these estimates due to changes in foreign currency exchange rates and contract revisions or terminations.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Charges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including actions in response to COVID-19. These actions generally include severance and facility-related costs, including impairment of right-of-use assets, and are intended to improve our efficiency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were recorded on our Condensed Consolidated Statements of (Loss) Income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295"/>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4"/>
                <w:szCs w:val="14"/>
                <w:i w:val="1"/>
                <w:iCs w:val="1"/>
                <w:color w:val="auto"/>
              </w:rPr>
              <w:t>(In millions)</w:t>
            </w:r>
          </w:p>
        </w:tc>
        <w:tc>
          <w:tcPr>
            <w:tcW w:w="1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Cost of transportation and services</w:t>
            </w:r>
          </w:p>
        </w:tc>
        <w:tc>
          <w:tcPr>
            <w:tcW w:w="1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tcBorders>
              <w:bottom w:val="single" w:sz="8" w:color="CCEEFF"/>
            </w:tcBorders>
            <w:gridSpan w:val="4"/>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3"/>
            <w:shd w:val="clear" w:color="auto" w:fill="CCEEFF"/>
          </w:tcPr>
          <w:p>
            <w:pPr>
              <w:jc w:val="right"/>
              <w:ind w:right="1079"/>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Direct operating expense</w:t>
            </w: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80" w:type="dxa"/>
            <w:vAlign w:val="bottom"/>
            <w:gridSpan w:val="3"/>
          </w:tcPr>
          <w:p>
            <w:pPr>
              <w:jc w:val="right"/>
              <w:ind w:right="79"/>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Sales, general and administrative expense</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8"/>
                <w:szCs w:val="18"/>
                <w:color w:val="auto"/>
                <w:w w:val="99"/>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56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top w:val="single" w:sz="8" w:color="auto"/>
              <w:bottom w:val="single" w:sz="8" w:color="auto"/>
            </w:tcBorders>
            <w:gridSpan w:val="2"/>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7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gridSpan w:val="3"/>
          </w:tcPr>
          <w:p>
            <w:pPr>
              <w:jc w:val="right"/>
              <w:ind w:right="79"/>
              <w:spacing w:after="0"/>
              <w:rPr>
                <w:sz w:val="20"/>
                <w:szCs w:val="20"/>
                <w:color w:val="auto"/>
              </w:rPr>
            </w:pPr>
            <w:r>
              <w:rPr>
                <w:rFonts w:ascii="Arial" w:cs="Arial" w:eastAsia="Arial" w:hAnsi="Arial"/>
                <w:sz w:val="18"/>
                <w:szCs w:val="18"/>
                <w:color w:val="auto"/>
                <w:w w:val="99"/>
              </w:rPr>
              <w:t>53</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200" w:type="dxa"/>
            <w:vAlign w:val="bottom"/>
            <w:gridSpan w:val="4"/>
            <w:vMerge w:val="restart"/>
          </w:tcPr>
          <w:p>
            <w:pPr>
              <w:jc w:val="right"/>
              <w:ind w:right="579"/>
              <w:spacing w:after="0"/>
              <w:rPr>
                <w:sz w:val="20"/>
                <w:szCs w:val="20"/>
                <w:color w:val="auto"/>
              </w:rPr>
            </w:pPr>
            <w:r>
              <w:rPr>
                <w:rFonts w:ascii="Arial" w:cs="Arial" w:eastAsia="Arial" w:hAnsi="Arial"/>
                <w:sz w:val="18"/>
                <w:szCs w:val="18"/>
                <w:color w:val="auto"/>
                <w:w w:val="92"/>
              </w:rPr>
              <w:t>Our restructuring-related activity was as follows:</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20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1"/>
          </w:tcPr>
          <w:p>
            <w:pPr>
              <w:jc w:val="right"/>
              <w:ind w:right="1099"/>
              <w:spacing w:after="0"/>
              <w:rPr>
                <w:sz w:val="20"/>
                <w:szCs w:val="20"/>
                <w:color w:val="auto"/>
              </w:rPr>
            </w:pPr>
            <w:r>
              <w:rPr>
                <w:rFonts w:ascii="Arial" w:cs="Arial" w:eastAsia="Arial" w:hAnsi="Arial"/>
                <w:sz w:val="14"/>
                <w:szCs w:val="14"/>
                <w:b w:val="1"/>
                <w:bCs w:val="1"/>
                <w:color w:val="auto"/>
                <w:w w:val="93"/>
              </w:rPr>
              <w:t>Six Months Ended June 30, 2020</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5"/>
          </w:tcPr>
          <w:p>
            <w:pPr>
              <w:ind w:left="280"/>
              <w:spacing w:after="0" w:line="153" w:lineRule="exact"/>
              <w:rPr>
                <w:sz w:val="20"/>
                <w:szCs w:val="20"/>
                <w:color w:val="auto"/>
              </w:rPr>
            </w:pPr>
            <w:r>
              <w:rPr>
                <w:rFonts w:ascii="Arial" w:cs="Arial" w:eastAsia="Arial" w:hAnsi="Arial"/>
                <w:sz w:val="14"/>
                <w:szCs w:val="14"/>
                <w:b w:val="1"/>
                <w:bCs w:val="1"/>
                <w:color w:val="auto"/>
              </w:rPr>
              <w:t>Reserve Balance as of</w:t>
            </w:r>
          </w:p>
        </w:tc>
        <w:tc>
          <w:tcPr>
            <w:tcW w:w="10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Charges Incurred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Payments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w w:val="91"/>
              </w:rPr>
              <w:t>Foreign Exchange and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5"/>
          </w:tcPr>
          <w:p>
            <w:pPr>
              <w:ind w:left="20"/>
              <w:spacing w:after="0" w:line="153" w:lineRule="exact"/>
              <w:rPr>
                <w:sz w:val="20"/>
                <w:szCs w:val="20"/>
                <w:color w:val="auto"/>
              </w:rPr>
            </w:pPr>
            <w:r>
              <w:rPr>
                <w:rFonts w:ascii="Arial" w:cs="Arial" w:eastAsia="Arial" w:hAnsi="Arial"/>
                <w:sz w:val="14"/>
                <w:szCs w:val="14"/>
                <w:b w:val="1"/>
                <w:bCs w:val="1"/>
                <w:color w:val="auto"/>
                <w:w w:val="91"/>
              </w:rPr>
              <w:t>Reserve Balance as of June 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2019</w:t>
            </w: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Other</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Severance</w:t>
            </w:r>
          </w:p>
        </w:tc>
        <w:tc>
          <w:tcPr>
            <w:tcW w:w="1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Transportation</w:t>
            </w:r>
          </w:p>
        </w:tc>
        <w:tc>
          <w:tcPr>
            <w:tcW w:w="1560" w:type="dxa"/>
            <w:vAlign w:val="bottom"/>
          </w:tcPr>
          <w:p>
            <w:pPr>
              <w:jc w:val="right"/>
              <w:ind w:right="1379"/>
              <w:spacing w:after="0"/>
              <w:rPr>
                <w:sz w:val="20"/>
                <w:szCs w:val="20"/>
                <w:color w:val="auto"/>
              </w:rPr>
            </w:pPr>
            <w:r>
              <w:rPr>
                <w:rFonts w:ascii="Arial" w:cs="Arial" w:eastAsia="Arial" w:hAnsi="Arial"/>
                <w:sz w:val="18"/>
                <w:szCs w:val="18"/>
                <w:color w:val="auto"/>
                <w:w w:val="79"/>
              </w:rPr>
              <w:t>$</w:t>
            </w: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w w:val="89"/>
              </w:rPr>
              <w:t>12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46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Logistics</w:t>
            </w:r>
          </w:p>
        </w:tc>
        <w:tc>
          <w:tcPr>
            <w:tcW w:w="1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8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20" w:type="dxa"/>
            <w:vAlign w:val="bottom"/>
            <w:gridSpan w:val="2"/>
          </w:tcPr>
          <w:p>
            <w:pPr>
              <w:ind w:left="200"/>
              <w:spacing w:after="0"/>
              <w:rPr>
                <w:sz w:val="20"/>
                <w:szCs w:val="20"/>
                <w:color w:val="auto"/>
              </w:rPr>
            </w:pPr>
            <w:r>
              <w:rPr>
                <w:rFonts w:ascii="Arial" w:cs="Arial" w:eastAsia="Arial" w:hAnsi="Arial"/>
                <w:sz w:val="18"/>
                <w:szCs w:val="18"/>
                <w:color w:val="auto"/>
              </w:rPr>
              <w:t>Corporate</w:t>
            </w:r>
          </w:p>
        </w:tc>
        <w:tc>
          <w:tcPr>
            <w:tcW w:w="1560" w:type="dxa"/>
            <w:vAlign w:val="bottom"/>
          </w:tcPr>
          <w:p>
            <w:pPr>
              <w:spacing w:after="0"/>
              <w:rPr>
                <w:sz w:val="21"/>
                <w:szCs w:val="21"/>
                <w:color w:val="auto"/>
              </w:rPr>
            </w:pPr>
          </w:p>
        </w:tc>
        <w:tc>
          <w:tcPr>
            <w:tcW w:w="340" w:type="dxa"/>
            <w:vAlign w:val="bottom"/>
            <w:gridSpan w:val="3"/>
          </w:tcPr>
          <w:p>
            <w:pPr>
              <w:jc w:val="right"/>
              <w:ind w:right="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severance</w:t>
            </w:r>
          </w:p>
        </w:tc>
        <w:tc>
          <w:tcPr>
            <w:tcW w:w="15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w w:val="89"/>
              </w:rPr>
              <w:t>25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Facilities</w:t>
            </w:r>
          </w:p>
        </w:tc>
        <w:tc>
          <w:tcPr>
            <w:tcW w:w="15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Transportation</w:t>
            </w:r>
          </w:p>
        </w:tc>
        <w:tc>
          <w:tcPr>
            <w:tcW w:w="15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560" w:type="dxa"/>
            <w:vAlign w:val="bottom"/>
            <w:tcBorders>
              <w:top w:val="single" w:sz="8" w:color="auto"/>
              <w:bottom w:val="single" w:sz="8" w:color="auto"/>
            </w:tcBorders>
          </w:tcPr>
          <w:p>
            <w:pPr>
              <w:jc w:val="right"/>
              <w:ind w:right="137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w w:val="89"/>
              </w:rPr>
              <w:t>25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We expect to incur additional restructuring charges during the remainder of fiscal 2020 of approximately $15 million under previously approved restructuring actions. We expect the majority of the cash outlays related to the charges incurred in 2020 will be complete within twelve months.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normal course of business, we are exposed to risks arising from business operations and economic factors, including fluctuations in interest rates and foreign currencies. We use derivative instruments to manage the volatility related to these exposures. The objective of these derivative instruments is to reduce fluctuations in our earnings and cash flows associated with changes in foreign currency exchange rates and interest rates. These financial instruments are not used for trading or other speculative purposes. Historically, we have not incurred, and do not expect to incur in the future, any losses as a result of counterparty default.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derivative instruments and the related notional amounts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4"/>
              </w:rPr>
              <w:t>June 30, 2020</w:t>
            </w:r>
          </w:p>
        </w:tc>
        <w:tc>
          <w:tcPr>
            <w:tcW w:w="2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97"/>
              </w:rPr>
              <w:t>Derivative Assets</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rPr>
              <w:t>Derivative Liabilities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Notional</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Balance Sheet Caption</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vMerge w:val="restart"/>
          </w:tcPr>
          <w:p>
            <w:pPr>
              <w:spacing w:after="0"/>
              <w:rPr>
                <w:sz w:val="12"/>
                <w:szCs w:val="12"/>
                <w:color w:val="auto"/>
              </w:rPr>
            </w:pP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Balance Sheet Caption</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Derivatives designated as hedges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80" w:type="dxa"/>
            <w:vAlign w:val="bottom"/>
            <w:gridSpan w:val="2"/>
          </w:tcPr>
          <w:p>
            <w:pPr>
              <w:ind w:left="120"/>
              <w:spacing w:after="0"/>
              <w:rPr>
                <w:sz w:val="20"/>
                <w:szCs w:val="20"/>
                <w:color w:val="auto"/>
              </w:rPr>
            </w:pPr>
            <w:r>
              <w:rPr>
                <w:rFonts w:ascii="Arial" w:cs="Arial" w:eastAsia="Arial" w:hAnsi="Arial"/>
                <w:sz w:val="14"/>
                <w:szCs w:val="14"/>
                <w:color w:val="auto"/>
              </w:rPr>
              <w:t>Cross-currency swap agreements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Other current assets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Other current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8"/>
        </w:trPr>
        <w:tc>
          <w:tcPr>
            <w:tcW w:w="3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Cross-currency swap agreements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1,074</w:t>
            </w:r>
          </w:p>
        </w:tc>
        <w:tc>
          <w:tcPr>
            <w:tcW w:w="10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Other long-term 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Other long-term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7"/>
        </w:trPr>
        <w:tc>
          <w:tcPr>
            <w:tcW w:w="3980" w:type="dxa"/>
            <w:vAlign w:val="bottom"/>
            <w:gridSpan w:val="2"/>
          </w:tcPr>
          <w:p>
            <w:pPr>
              <w:ind w:left="120"/>
              <w:spacing w:after="0"/>
              <w:rPr>
                <w:sz w:val="20"/>
                <w:szCs w:val="20"/>
                <w:color w:val="auto"/>
              </w:rPr>
            </w:pPr>
            <w:r>
              <w:rPr>
                <w:rFonts w:ascii="Arial" w:cs="Arial" w:eastAsia="Arial" w:hAnsi="Arial"/>
                <w:sz w:val="14"/>
                <w:szCs w:val="14"/>
                <w:color w:val="auto"/>
              </w:rPr>
              <w:t>Interest rate swaps</w:t>
            </w:r>
          </w:p>
        </w:tc>
        <w:tc>
          <w:tcPr>
            <w:tcW w:w="14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2,003</w:t>
            </w:r>
          </w:p>
        </w:tc>
        <w:tc>
          <w:tcPr>
            <w:tcW w:w="100" w:type="dxa"/>
            <w:vAlign w:val="bottom"/>
          </w:tcPr>
          <w:p>
            <w:pPr>
              <w:spacing w:after="0"/>
              <w:rPr>
                <w:sz w:val="17"/>
                <w:szCs w:val="17"/>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Other current assets</w:t>
            </w:r>
          </w:p>
        </w:tc>
        <w:tc>
          <w:tcPr>
            <w:tcW w:w="1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30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Other current liabilities</w:t>
            </w:r>
          </w:p>
        </w:tc>
        <w:tc>
          <w:tcPr>
            <w:tcW w:w="10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8"/>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Derivatives not designated as hedges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Foreign currency option contracts</w:t>
            </w: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jc w:val="right"/>
              <w:ind w:right="68"/>
              <w:spacing w:after="0"/>
              <w:rPr>
                <w:sz w:val="20"/>
                <w:szCs w:val="20"/>
                <w:color w:val="auto"/>
              </w:rPr>
            </w:pPr>
            <w:r>
              <w:rPr>
                <w:rFonts w:ascii="Arial" w:cs="Arial" w:eastAsia="Arial" w:hAnsi="Arial"/>
                <w:sz w:val="14"/>
                <w:szCs w:val="14"/>
                <w:color w:val="auto"/>
              </w:rPr>
              <w:t>212</w:t>
            </w:r>
          </w:p>
        </w:tc>
        <w:tc>
          <w:tcPr>
            <w:tcW w:w="100" w:type="dxa"/>
            <w:vAlign w:val="bottom"/>
            <w:tcBorders>
              <w:bottom w:val="single" w:sz="8" w:color="CCEEFF"/>
            </w:tcBorders>
          </w:tcPr>
          <w:p>
            <w:pPr>
              <w:spacing w:after="0"/>
              <w:rPr>
                <w:sz w:val="17"/>
                <w:szCs w:val="17"/>
                <w:color w:val="auto"/>
              </w:rPr>
            </w:pPr>
          </w:p>
        </w:tc>
        <w:tc>
          <w:tcPr>
            <w:tcW w:w="21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89"/>
              </w:rPr>
              <w:t>Other current assets</w:t>
            </w: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23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6"/>
              </w:rPr>
              <w:t>Other current liabilities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2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8"/>
              </w:rPr>
              <w:t>December 31, 2019</w:t>
            </w:r>
          </w:p>
        </w:tc>
        <w:tc>
          <w:tcPr>
            <w:tcW w:w="1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89"/>
              </w:rPr>
              <w:t>Derivative Assets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Derivative Liabilities</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Notional</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Balance Sheet Caption</w:t>
            </w:r>
          </w:p>
        </w:tc>
        <w:tc>
          <w:tcPr>
            <w:tcW w:w="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2"/>
              </w:rPr>
              <w:t>Fair Value</w:t>
            </w:r>
          </w:p>
        </w:tc>
        <w:tc>
          <w:tcPr>
            <w:tcW w:w="12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19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0"/>
              </w:rPr>
              <w:t>Balance Sheet Caption</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Derivatives designated as hedges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80" w:type="dxa"/>
            <w:vAlign w:val="bottom"/>
            <w:gridSpan w:val="2"/>
          </w:tcPr>
          <w:p>
            <w:pPr>
              <w:ind w:left="120"/>
              <w:spacing w:after="0"/>
              <w:rPr>
                <w:sz w:val="20"/>
                <w:szCs w:val="20"/>
                <w:color w:val="auto"/>
              </w:rPr>
            </w:pPr>
            <w:r>
              <w:rPr>
                <w:rFonts w:ascii="Arial" w:cs="Arial" w:eastAsia="Arial" w:hAnsi="Arial"/>
                <w:sz w:val="14"/>
                <w:szCs w:val="14"/>
                <w:color w:val="auto"/>
              </w:rPr>
              <w:t>Cross-currency swap agreements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1,233</w:t>
            </w:r>
          </w:p>
        </w:tc>
        <w:tc>
          <w:tcPr>
            <w:tcW w:w="100" w:type="dxa"/>
            <w:vAlign w:val="bottom"/>
          </w:tcPr>
          <w:p>
            <w:pPr>
              <w:spacing w:after="0"/>
              <w:rPr>
                <w:sz w:val="17"/>
                <w:szCs w:val="17"/>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4"/>
                <w:szCs w:val="14"/>
                <w:color w:val="auto"/>
                <w:w w:val="91"/>
              </w:rPr>
              <w:t>Other long-term assets</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8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center"/>
              <w:ind w:right="340"/>
              <w:spacing w:after="0"/>
              <w:rPr>
                <w:sz w:val="20"/>
                <w:szCs w:val="20"/>
                <w:color w:val="auto"/>
              </w:rPr>
            </w:pPr>
            <w:r>
              <w:rPr>
                <w:rFonts w:ascii="Arial" w:cs="Arial" w:eastAsia="Arial" w:hAnsi="Arial"/>
                <w:sz w:val="14"/>
                <w:szCs w:val="14"/>
                <w:color w:val="auto"/>
                <w:w w:val="96"/>
              </w:rPr>
              <w:t>Other long-term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8"/>
        </w:trPr>
        <w:tc>
          <w:tcPr>
            <w:tcW w:w="3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rate swap</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89"/>
              </w:rPr>
              <w:t>Other 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w w:val="96"/>
              </w:rPr>
              <w:t>Other current liabilities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7"/>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Derivatives not designated as hedges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Foreign currency option contracts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365</w:t>
            </w:r>
          </w:p>
        </w:tc>
        <w:tc>
          <w:tcPr>
            <w:tcW w:w="100" w:type="dxa"/>
            <w:vAlign w:val="bottom"/>
            <w:shd w:val="clear" w:color="auto" w:fill="CCEEFF"/>
          </w:tcPr>
          <w:p>
            <w:pPr>
              <w:spacing w:after="0"/>
              <w:rPr>
                <w:sz w:val="17"/>
                <w:szCs w:val="17"/>
                <w:color w:val="auto"/>
              </w:rPr>
            </w:pPr>
          </w:p>
        </w:tc>
        <w:tc>
          <w:tcPr>
            <w:tcW w:w="200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89"/>
              </w:rPr>
              <w:t>Other current assets</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color w:val="auto"/>
                <w:w w:val="96"/>
              </w:rPr>
              <w:t>Other current liabilities</w:t>
            </w: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98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derivatives are classified as Level 2 within the fair value hierarchy. The derivatives are valued using inputs other than quoted prices such as foreign exchange rates and yield curves.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and nonderivative instruments designated as hedges on our Condensed Consolidated Statements of (Loss) Income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7"/>
          </w:tcPr>
          <w:p>
            <w:pPr>
              <w:ind w:left="200"/>
              <w:spacing w:after="0"/>
              <w:rPr>
                <w:sz w:val="20"/>
                <w:szCs w:val="20"/>
                <w:color w:val="auto"/>
              </w:rPr>
            </w:pPr>
            <w:r>
              <w:rPr>
                <w:rFonts w:ascii="Arial" w:cs="Arial" w:eastAsia="Arial" w:hAnsi="Arial"/>
                <w:sz w:val="14"/>
                <w:szCs w:val="14"/>
                <w:b w:val="1"/>
                <w:bCs w:val="1"/>
                <w:color w:val="auto"/>
              </w:rPr>
              <w:t>Amount of (Loss) Gain</w:t>
            </w:r>
          </w:p>
        </w:tc>
        <w:tc>
          <w:tcPr>
            <w:tcW w:w="192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0"/>
              </w:rPr>
              <w:t>Amount of Loss Reclassified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Amount of Gain Recognized in Income on</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7"/>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Recognized in Other</w:t>
            </w:r>
          </w:p>
        </w:tc>
        <w:tc>
          <w:tcPr>
            <w:tcW w:w="192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7"/>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Comprehensive Income on</w:t>
            </w:r>
          </w:p>
        </w:tc>
        <w:tc>
          <w:tcPr>
            <w:tcW w:w="120" w:type="dxa"/>
            <w:vAlign w:val="bottom"/>
          </w:tcPr>
          <w:p>
            <w:pPr>
              <w:spacing w:after="0"/>
              <w:rPr>
                <w:sz w:val="12"/>
                <w:szCs w:val="12"/>
                <w:color w:val="auto"/>
              </w:rPr>
            </w:pPr>
          </w:p>
        </w:tc>
        <w:tc>
          <w:tcPr>
            <w:tcW w:w="1800" w:type="dxa"/>
            <w:vAlign w:val="bottom"/>
            <w:gridSpan w:val="6"/>
          </w:tcPr>
          <w:p>
            <w:pPr>
              <w:jc w:val="center"/>
              <w:ind w:right="48"/>
              <w:spacing w:after="0" w:line="149" w:lineRule="exact"/>
              <w:rPr>
                <w:sz w:val="20"/>
                <w:szCs w:val="20"/>
                <w:color w:val="auto"/>
              </w:rPr>
            </w:pPr>
            <w:r>
              <w:rPr>
                <w:rFonts w:ascii="Arial" w:cs="Arial" w:eastAsia="Arial" w:hAnsi="Arial"/>
                <w:sz w:val="14"/>
                <w:szCs w:val="14"/>
                <w:b w:val="1"/>
                <w:bCs w:val="1"/>
                <w:color w:val="auto"/>
                <w:w w:val="95"/>
              </w:rPr>
              <w:t>from AOCI into Net (Loss)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gridSpan w:val="4"/>
          </w:tcPr>
          <w:p>
            <w:pPr>
              <w:jc w:val="center"/>
              <w:ind w:right="108"/>
              <w:spacing w:after="0" w:line="149" w:lineRule="exact"/>
              <w:rPr>
                <w:sz w:val="20"/>
                <w:szCs w:val="20"/>
                <w:color w:val="auto"/>
              </w:rPr>
            </w:pPr>
            <w:r>
              <w:rPr>
                <w:rFonts w:ascii="Arial" w:cs="Arial" w:eastAsia="Arial" w:hAnsi="Arial"/>
                <w:sz w:val="14"/>
                <w:szCs w:val="14"/>
                <w:b w:val="1"/>
                <w:bCs w:val="1"/>
                <w:color w:val="auto"/>
                <w:w w:val="94"/>
              </w:rPr>
              <w:t>Derivative (Amount Excluded from</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center"/>
              <w:ind w:left="428"/>
              <w:spacing w:after="0"/>
              <w:rPr>
                <w:sz w:val="20"/>
                <w:szCs w:val="20"/>
                <w:color w:val="auto"/>
              </w:rPr>
            </w:pPr>
            <w:r>
              <w:rPr>
                <w:rFonts w:ascii="Arial" w:cs="Arial" w:eastAsia="Arial" w:hAnsi="Arial"/>
                <w:sz w:val="14"/>
                <w:szCs w:val="14"/>
                <w:b w:val="1"/>
                <w:bCs w:val="1"/>
                <w:color w:val="auto"/>
                <w:w w:val="90"/>
              </w:rPr>
              <w:t>Derivatives</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tcPr>
          <w:p>
            <w:pPr>
              <w:jc w:val="center"/>
              <w:ind w:left="468"/>
              <w:spacing w:after="0"/>
              <w:rPr>
                <w:sz w:val="20"/>
                <w:szCs w:val="20"/>
                <w:color w:val="auto"/>
              </w:rPr>
            </w:pPr>
            <w:r>
              <w:rPr>
                <w:rFonts w:ascii="Arial" w:cs="Arial" w:eastAsia="Arial" w:hAnsi="Arial"/>
                <w:sz w:val="14"/>
                <w:szCs w:val="14"/>
                <w:b w:val="1"/>
                <w:bCs w:val="1"/>
                <w:color w:val="auto"/>
                <w:w w:val="89"/>
              </w:rPr>
              <w:t>Income</w:t>
            </w: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108"/>
              <w:spacing w:after="0"/>
              <w:rPr>
                <w:sz w:val="20"/>
                <w:szCs w:val="20"/>
                <w:color w:val="auto"/>
              </w:rPr>
            </w:pPr>
            <w:r>
              <w:rPr>
                <w:rFonts w:ascii="Arial" w:cs="Arial" w:eastAsia="Arial" w:hAnsi="Arial"/>
                <w:sz w:val="14"/>
                <w:szCs w:val="14"/>
                <w:b w:val="1"/>
                <w:bCs w:val="1"/>
                <w:color w:val="auto"/>
                <w:w w:val="90"/>
              </w:rPr>
              <w:t>Effectiveness Testing)</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10"/>
          </w:tcPr>
          <w:p>
            <w:pPr>
              <w:ind w:left="200"/>
              <w:spacing w:after="0"/>
              <w:rPr>
                <w:sz w:val="20"/>
                <w:szCs w:val="20"/>
                <w:color w:val="auto"/>
              </w:rPr>
            </w:pPr>
            <w:r>
              <w:rPr>
                <w:rFonts w:ascii="Arial" w:cs="Arial" w:eastAsia="Arial" w:hAnsi="Arial"/>
                <w:sz w:val="14"/>
                <w:szCs w:val="14"/>
                <w:b w:val="1"/>
                <w:bCs w:val="1"/>
                <w:color w:val="auto"/>
                <w:w w:val="96"/>
              </w:rPr>
              <w:t>Three Months Ended June 30,</w:t>
            </w: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Derivatives designated as cash flow hedges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20" w:type="dxa"/>
            <w:vAlign w:val="bottom"/>
            <w:gridSpan w:val="3"/>
          </w:tcPr>
          <w:p>
            <w:pPr>
              <w:ind w:left="120"/>
              <w:spacing w:after="0"/>
              <w:rPr>
                <w:sz w:val="20"/>
                <w:szCs w:val="20"/>
                <w:color w:val="auto"/>
              </w:rPr>
            </w:pPr>
            <w:r>
              <w:rPr>
                <w:rFonts w:ascii="Arial" w:cs="Arial" w:eastAsia="Arial" w:hAnsi="Arial"/>
                <w:sz w:val="14"/>
                <w:szCs w:val="14"/>
                <w:color w:val="auto"/>
              </w:rPr>
              <w:t>Cross-currency swap agreements</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2"/>
          </w:tcPr>
          <w:p>
            <w:pPr>
              <w:jc w:val="right"/>
              <w:ind w:right="260"/>
              <w:spacing w:after="0"/>
              <w:rPr>
                <w:sz w:val="20"/>
                <w:szCs w:val="20"/>
                <w:color w:val="auto"/>
              </w:rPr>
            </w:pPr>
            <w:r>
              <w:rPr>
                <w:rFonts w:ascii="Arial" w:cs="Arial" w:eastAsia="Arial" w:hAnsi="Arial"/>
                <w:sz w:val="14"/>
                <w:szCs w:val="14"/>
                <w:color w:val="auto"/>
                <w:w w:val="76"/>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ind w:left="50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380"/>
              <w:spacing w:after="0"/>
              <w:rPr>
                <w:sz w:val="20"/>
                <w:szCs w:val="20"/>
                <w:color w:val="auto"/>
              </w:rPr>
            </w:pPr>
            <w:r>
              <w:rPr>
                <w:rFonts w:ascii="Arial" w:cs="Arial" w:eastAsia="Arial" w:hAnsi="Arial"/>
                <w:sz w:val="14"/>
                <w:szCs w:val="14"/>
                <w:color w:val="auto"/>
              </w:rPr>
              <w:t>(3)</w:t>
            </w:r>
          </w:p>
        </w:tc>
        <w:tc>
          <w:tcPr>
            <w:tcW w:w="340" w:type="dxa"/>
            <w:vAlign w:val="bottom"/>
            <w:gridSpan w:val="4"/>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Interest rate swaps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120" w:type="dxa"/>
            <w:vAlign w:val="bottom"/>
            <w:gridSpan w:val="3"/>
          </w:tcPr>
          <w:p>
            <w:pPr>
              <w:ind w:left="20"/>
              <w:spacing w:after="0"/>
              <w:rPr>
                <w:sz w:val="20"/>
                <w:szCs w:val="20"/>
                <w:color w:val="auto"/>
              </w:rPr>
            </w:pPr>
            <w:r>
              <w:rPr>
                <w:rFonts w:ascii="Arial" w:cs="Arial" w:eastAsia="Arial" w:hAnsi="Arial"/>
                <w:sz w:val="14"/>
                <w:szCs w:val="14"/>
                <w:color w:val="auto"/>
              </w:rPr>
              <w:t>Derivatives designated as net investment hedges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Cross-currency swap agreements</w:t>
            </w: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2"/>
        </w:trPr>
        <w:tc>
          <w:tcPr>
            <w:tcW w:w="412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(3)</w:t>
            </w:r>
          </w:p>
        </w:tc>
        <w:tc>
          <w:tcPr>
            <w:tcW w:w="160" w:type="dxa"/>
            <w:vAlign w:val="bottom"/>
            <w:gridSpan w:val="3"/>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1"/>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4"/>
              </w:rPr>
              <w:t>Amount of Gain (Loss)</w:t>
            </w:r>
          </w:p>
        </w:tc>
        <w:tc>
          <w:tcPr>
            <w:tcW w:w="1920" w:type="dxa"/>
            <w:vAlign w:val="bottom"/>
            <w:gridSpan w:val="7"/>
            <w:vMerge w:val="restart"/>
          </w:tcPr>
          <w:p>
            <w:pPr>
              <w:jc w:val="center"/>
              <w:spacing w:after="0"/>
              <w:rPr>
                <w:sz w:val="20"/>
                <w:szCs w:val="20"/>
                <w:color w:val="auto"/>
              </w:rPr>
            </w:pPr>
            <w:r>
              <w:rPr>
                <w:rFonts w:ascii="Arial" w:cs="Arial" w:eastAsia="Arial" w:hAnsi="Arial"/>
                <w:sz w:val="14"/>
                <w:szCs w:val="14"/>
                <w:b w:val="1"/>
                <w:bCs w:val="1"/>
                <w:color w:val="auto"/>
                <w:w w:val="92"/>
              </w:rPr>
              <w:t>Amount of Gain Reclassified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Amount of Gain Recognized in Income on</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7"/>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Recognized in Other</w:t>
            </w:r>
          </w:p>
        </w:tc>
        <w:tc>
          <w:tcPr>
            <w:tcW w:w="192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7"/>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Comprehensive Loss on</w:t>
            </w:r>
          </w:p>
        </w:tc>
        <w:tc>
          <w:tcPr>
            <w:tcW w:w="120" w:type="dxa"/>
            <w:vAlign w:val="bottom"/>
          </w:tcPr>
          <w:p>
            <w:pPr>
              <w:spacing w:after="0"/>
              <w:rPr>
                <w:sz w:val="12"/>
                <w:szCs w:val="12"/>
                <w:color w:val="auto"/>
              </w:rPr>
            </w:pPr>
          </w:p>
        </w:tc>
        <w:tc>
          <w:tcPr>
            <w:tcW w:w="1800" w:type="dxa"/>
            <w:vAlign w:val="bottom"/>
            <w:gridSpan w:val="6"/>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from AOCI into Net (Loss)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20" w:type="dxa"/>
            <w:vAlign w:val="bottom"/>
            <w:gridSpan w:val="4"/>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Derivative (Amount Excluded from</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5"/>
          </w:tcPr>
          <w:p>
            <w:pPr>
              <w:jc w:val="center"/>
              <w:ind w:left="448"/>
              <w:spacing w:after="0"/>
              <w:rPr>
                <w:sz w:val="20"/>
                <w:szCs w:val="20"/>
                <w:color w:val="auto"/>
              </w:rPr>
            </w:pPr>
            <w:r>
              <w:rPr>
                <w:rFonts w:ascii="Arial" w:cs="Arial" w:eastAsia="Arial" w:hAnsi="Arial"/>
                <w:sz w:val="14"/>
                <w:szCs w:val="14"/>
                <w:b w:val="1"/>
                <w:bCs w:val="1"/>
                <w:color w:val="auto"/>
                <w:w w:val="93"/>
              </w:rPr>
              <w:t>Derivatives</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5"/>
          </w:tcPr>
          <w:p>
            <w:pPr>
              <w:jc w:val="center"/>
              <w:ind w:left="488"/>
              <w:spacing w:after="0"/>
              <w:rPr>
                <w:sz w:val="20"/>
                <w:szCs w:val="20"/>
                <w:color w:val="auto"/>
              </w:rPr>
            </w:pPr>
            <w:r>
              <w:rPr>
                <w:rFonts w:ascii="Arial" w:cs="Arial" w:eastAsia="Arial" w:hAnsi="Arial"/>
                <w:sz w:val="14"/>
                <w:szCs w:val="14"/>
                <w:b w:val="1"/>
                <w:bCs w:val="1"/>
                <w:color w:val="auto"/>
                <w:w w:val="93"/>
              </w:rPr>
              <w:t>Income</w:t>
            </w: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128"/>
              <w:spacing w:after="0"/>
              <w:rPr>
                <w:sz w:val="20"/>
                <w:szCs w:val="20"/>
                <w:color w:val="auto"/>
              </w:rPr>
            </w:pPr>
            <w:r>
              <w:rPr>
                <w:rFonts w:ascii="Arial" w:cs="Arial" w:eastAsia="Arial" w:hAnsi="Arial"/>
                <w:sz w:val="14"/>
                <w:szCs w:val="14"/>
                <w:b w:val="1"/>
                <w:bCs w:val="1"/>
                <w:color w:val="auto"/>
                <w:w w:val="88"/>
              </w:rPr>
              <w:t>Effectiveness Testing)</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10"/>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41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Derivatives designated as cash flow hedges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20" w:type="dxa"/>
            <w:vAlign w:val="bottom"/>
            <w:gridSpan w:val="3"/>
          </w:tcPr>
          <w:p>
            <w:pPr>
              <w:ind w:left="120"/>
              <w:spacing w:after="0"/>
              <w:rPr>
                <w:sz w:val="20"/>
                <w:szCs w:val="20"/>
                <w:color w:val="auto"/>
              </w:rPr>
            </w:pPr>
            <w:r>
              <w:rPr>
                <w:rFonts w:ascii="Arial" w:cs="Arial" w:eastAsia="Arial" w:hAnsi="Arial"/>
                <w:sz w:val="14"/>
                <w:szCs w:val="14"/>
                <w:color w:val="auto"/>
              </w:rPr>
              <w:t>Cross-currency swap agreements</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340" w:type="dxa"/>
            <w:vAlign w:val="bottom"/>
            <w:gridSpan w:val="4"/>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Interest rate swaps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120" w:type="dxa"/>
            <w:vAlign w:val="bottom"/>
            <w:gridSpan w:val="3"/>
          </w:tcPr>
          <w:p>
            <w:pPr>
              <w:ind w:left="20"/>
              <w:spacing w:after="0"/>
              <w:rPr>
                <w:sz w:val="20"/>
                <w:szCs w:val="20"/>
                <w:color w:val="auto"/>
              </w:rPr>
            </w:pPr>
            <w:r>
              <w:rPr>
                <w:rFonts w:ascii="Arial" w:cs="Arial" w:eastAsia="Arial" w:hAnsi="Arial"/>
                <w:sz w:val="14"/>
                <w:szCs w:val="14"/>
                <w:color w:val="auto"/>
              </w:rPr>
              <w:t>Derivatives designated as net investment hedges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Cross-currency swap agreements</w:t>
            </w: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2"/>
        </w:trPr>
        <w:tc>
          <w:tcPr>
            <w:tcW w:w="4120" w:type="dxa"/>
            <w:vAlign w:val="bottom"/>
            <w:gridSpan w:val="3"/>
          </w:tcPr>
          <w:p>
            <w:pPr>
              <w:ind w:left="20"/>
              <w:spacing w:after="0"/>
              <w:rPr>
                <w:sz w:val="20"/>
                <w:szCs w:val="20"/>
                <w:color w:val="auto"/>
              </w:rPr>
            </w:pPr>
            <w:r>
              <w:rPr>
                <w:rFonts w:ascii="Arial" w:cs="Arial" w:eastAsia="Arial" w:hAnsi="Arial"/>
                <w:sz w:val="14"/>
                <w:szCs w:val="14"/>
                <w:color w:val="auto"/>
              </w:rPr>
              <w:t>Total</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80" w:type="dxa"/>
            <w:vAlign w:val="bottom"/>
          </w:tcPr>
          <w:p>
            <w:pPr>
              <w:ind w:left="40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340" w:type="dxa"/>
            <w:vAlign w:val="bottom"/>
            <w:gridSpan w:val="4"/>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pre-tax gain (loss) recognized in earnings for foreign currency option and forward contracts not designated as hedging instruments was a loss of $2 million and a gain of $2 million for the three and six months ended June 30, 2020, respectively, and losses of $8 million and $10 million for the three and six months ended June 30, 2019, respectively. These amounts are recorded in Foreign currency loss (gain) on our Condensed Consolidated Statements of (Loss)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Swap Agreements</w:t>
      </w:r>
    </w:p>
    <w:p>
      <w:pPr>
        <w:spacing w:after="0" w:line="11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We enter into cross-currency swap agreements to manage the foreign currency exchange risk related to our international operations by effectively converting our fixed-rate U.S. Dollar (“USD”)-denominated debt, including the associated interest payments, to fixed-rate, euro (“EUR”)-denominated debt. The risk management objective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transactions is to manage foreign currency risk relating to net investments in subsidiaries denominated in foreign currencies and reduce the variability in the functional currency equivalent cash flows of this debt.</w:t>
      </w:r>
    </w:p>
    <w:p>
      <w:pPr>
        <w:spacing w:after="0" w:line="6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the term of the swap contracts, we will receive interest, either on a quarterly or semi-annual basis, from the counterparties based on USD fixed interest rates, and we will pay interest, also on a quarterly or semi-annual basis, to the counterparties based on EUR fixed interest rates. At maturity, we will repay the original principal amount in EUR and receive the principal amount in USD. These agreements expire at various dates through 2024.</w:t>
      </w:r>
    </w:p>
    <w:p>
      <w:pPr>
        <w:spacing w:after="0" w:line="4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designated these cross-currency swaps as qualifying hedging instruments and account for them as net investment hedges. We apply the simplified method of assessing the effectiveness of our net investment hedging relationships. Under this method, for each reporting period, the change in the fair value of the cross-currency swaps is initially recognized in Accumulated other comprehensive income (“AOCI”). The change in the fair value due to foreign exchange remains in AOCI and the initial component excluded from effectiveness testing will initially remain in AOCI and then will be reclassified from AOCI to Interest expense each period in a systematic manner. For net investment hedges that were de-designated prior to their maturity, the amounts in AOCI will remain in AOCI until the subsidiary is sold or substantially liquidated. Cash flows related to the periodic exchange of interest payments for these net investment hedges are included in Operating activities on our Condensed Consolidated Statements of Cash Flows.</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also enter into cross-currency swap agreements to manage the related foreign currency exposure from intercompany loans. We designated these cross-currency swaps as qualifying hedging instruments and account for them as cash flow hedges. Gains and losses resulting from the change in the fair value of the cross-currency swaps are initially recognized in AOCI and reclassified to Foreign currency loss (gain) to offset the foreign exchange impact in earnings created by the intercompany loans. Cash flows related to these cash flow hedges are included in Operating activities on our Condensed Consolidated Statements of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execute short-term interest rate swaps to mitigate variability in forecasted interest payments on our Senior Secured Term Loan Credit Agreement (the “Term Loan Credit Agreement”). The interest rate swaps convert floating-rate interest payments into fixed rate interest payments. We designated the interest rate swaps as qualifying hedging instruments and account for these derivatives as cash flow hedges. The interest rate swaps mature on various dates through 2020.</w:t>
      </w:r>
    </w:p>
    <w:p>
      <w:pPr>
        <w:spacing w:after="0" w:line="7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record gains and losses resulting from fair value adjustments to the designated portion of interest rate swaps in AOCI and reclassify them to Interest expense on the dates that interest payments accrue. Cash flows related to the interest rate swaps are included in Operating activities on our Condensed Consolidated Statements of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Option and Forward Contracts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use foreign currency option contracts to mitigate the risk of a reduction in the value of earnings from our operations that use the EUR or the British pound sterling as their functional currency. Additionally, we use foreign currency forward contracts to mitigate exposure from intercompany loans that are not designated as permanent and can create volatility in earnings. The foreign currency contracts (both option and forward contracts) were not designated as qualifying hedging instruments as of June 30, 2020. The contracts are used to manage our exposure to foreign currency exchange rate fluctuations and are not speculative. The contracts generally expire in 12 months or less. Gains or losses on the contracts are recorded in Foreign currency loss (gain) on our Condensed Consolidated Statements of (Loss) Income. Cash flows related to the foreign currency contracts are included in Investing activities on our Condensed Consolidated Statements of Cash Flows, consistent with the nature and purpose for which these derivatives were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w w:val="92"/>
              </w:rPr>
              <w:t>June 30, 2020</w:t>
            </w:r>
          </w:p>
        </w:tc>
        <w:tc>
          <w:tcPr>
            <w:tcW w:w="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right"/>
              <w:ind w:right="692"/>
              <w:spacing w:after="0"/>
              <w:rPr>
                <w:sz w:val="20"/>
                <w:szCs w:val="20"/>
                <w:color w:val="auto"/>
              </w:rPr>
            </w:pPr>
            <w:r>
              <w:rPr>
                <w:rFonts w:ascii="Arial" w:cs="Arial" w:eastAsia="Arial" w:hAnsi="Arial"/>
                <w:sz w:val="14"/>
                <w:szCs w:val="14"/>
                <w:b w:val="1"/>
                <w:bCs w:val="1"/>
                <w:color w:val="auto"/>
              </w:rPr>
              <w:t>December 31, 2019</w:t>
            </w:r>
          </w:p>
        </w:tc>
        <w:tc>
          <w:tcPr>
            <w:tcW w:w="20" w:type="dxa"/>
            <w:vAlign w:val="bottom"/>
          </w:tcPr>
          <w:p>
            <w:pPr>
              <w:spacing w:after="0"/>
              <w:rPr>
                <w:sz w:val="16"/>
                <w:szCs w:val="16"/>
                <w:color w:val="auto"/>
              </w:rPr>
            </w:pPr>
          </w:p>
        </w:tc>
      </w:tr>
      <w:tr>
        <w:trPr>
          <w:trHeight w:val="196"/>
        </w:trPr>
        <w:tc>
          <w:tcPr>
            <w:tcW w:w="5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Principal Balance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9"/>
              </w:rPr>
              <w:t>Carrying Value</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9"/>
              </w:rPr>
              <w:t>Principal Balance</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7"/>
              </w:rPr>
              <w:t>Carrying Value</w:t>
            </w:r>
          </w:p>
        </w:tc>
        <w:tc>
          <w:tcPr>
            <w:tcW w:w="20" w:type="dxa"/>
            <w:vAlign w:val="bottom"/>
          </w:tcPr>
          <w:p>
            <w:pPr>
              <w:spacing w:after="0"/>
              <w:rPr>
                <w:sz w:val="17"/>
                <w:szCs w:val="17"/>
                <w:color w:val="auto"/>
              </w:rPr>
            </w:pPr>
          </w:p>
        </w:tc>
      </w:tr>
      <w:tr>
        <w:trPr>
          <w:trHeight w:val="250"/>
        </w:trPr>
        <w:tc>
          <w:tcPr>
            <w:tcW w:w="5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ABL facility</w:t>
            </w: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Term loan facility</w:t>
            </w:r>
          </w:p>
        </w:tc>
        <w:tc>
          <w:tcPr>
            <w:tcW w:w="620" w:type="dxa"/>
            <w:vAlign w:val="bottom"/>
          </w:tcPr>
          <w:p>
            <w:pPr>
              <w:spacing w:after="0"/>
              <w:rPr>
                <w:sz w:val="21"/>
                <w:szCs w:val="21"/>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1,969</w:t>
            </w:r>
          </w:p>
        </w:tc>
        <w:tc>
          <w:tcPr>
            <w:tcW w:w="20" w:type="dxa"/>
            <w:vAlign w:val="bottom"/>
          </w:tcPr>
          <w:p>
            <w:pPr>
              <w:spacing w:after="0"/>
              <w:rPr>
                <w:sz w:val="21"/>
                <w:szCs w:val="21"/>
                <w:color w:val="auto"/>
              </w:rPr>
            </w:pPr>
          </w:p>
        </w:tc>
      </w:tr>
      <w:tr>
        <w:trPr>
          <w:trHeight w:val="27"/>
        </w:trPr>
        <w:tc>
          <w:tcPr>
            <w:tcW w:w="5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6.50%</w:t>
            </w: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62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1,192</w:t>
            </w:r>
          </w:p>
        </w:tc>
        <w:tc>
          <w:tcPr>
            <w:tcW w:w="20" w:type="dxa"/>
            <w:vAlign w:val="bottom"/>
          </w:tcPr>
          <w:p>
            <w:pPr>
              <w:spacing w:after="0"/>
              <w:rPr>
                <w:sz w:val="23"/>
                <w:szCs w:val="23"/>
                <w:color w:val="auto"/>
              </w:rPr>
            </w:pPr>
          </w:p>
        </w:tc>
      </w:tr>
      <w:tr>
        <w:trPr>
          <w:trHeight w:val="270"/>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6.125% Senior notes due 2023</w:t>
            </w:r>
          </w:p>
        </w:tc>
        <w:tc>
          <w:tcPr>
            <w:tcW w:w="620" w:type="dxa"/>
            <w:vAlign w:val="bottom"/>
          </w:tcPr>
          <w:p>
            <w:pPr>
              <w:spacing w:after="0"/>
              <w:rPr>
                <w:sz w:val="23"/>
                <w:szCs w:val="23"/>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23"/>
                <w:szCs w:val="23"/>
                <w:color w:val="auto"/>
              </w:rPr>
            </w:pPr>
          </w:p>
        </w:tc>
      </w:tr>
      <w:tr>
        <w:trPr>
          <w:trHeight w:val="27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6.75%</w:t>
            </w: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2024</w:t>
            </w:r>
          </w:p>
        </w:tc>
        <w:tc>
          <w:tcPr>
            <w:tcW w:w="62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23"/>
                <w:szCs w:val="23"/>
                <w:color w:val="auto"/>
              </w:rPr>
            </w:pPr>
          </w:p>
        </w:tc>
      </w:tr>
      <w:tr>
        <w:trPr>
          <w:trHeight w:val="270"/>
        </w:trPr>
        <w:tc>
          <w:tcPr>
            <w:tcW w:w="520" w:type="dxa"/>
            <w:vAlign w:val="bottom"/>
          </w:tcPr>
          <w:p>
            <w:pPr>
              <w:ind w:left="20"/>
              <w:spacing w:after="0"/>
              <w:rPr>
                <w:sz w:val="20"/>
                <w:szCs w:val="20"/>
                <w:color w:val="auto"/>
              </w:rPr>
            </w:pPr>
            <w:r>
              <w:rPr>
                <w:rFonts w:ascii="Arial" w:cs="Arial" w:eastAsia="Arial" w:hAnsi="Arial"/>
                <w:sz w:val="18"/>
                <w:szCs w:val="18"/>
                <w:color w:val="auto"/>
                <w:w w:val="93"/>
              </w:rPr>
              <w:t>6.25%</w:t>
            </w: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Senior notes due 2025</w:t>
            </w:r>
          </w:p>
        </w:tc>
        <w:tc>
          <w:tcPr>
            <w:tcW w:w="620" w:type="dxa"/>
            <w:vAlign w:val="bottom"/>
          </w:tcPr>
          <w:p>
            <w:pPr>
              <w:spacing w:after="0"/>
              <w:rPr>
                <w:sz w:val="23"/>
                <w:szCs w:val="23"/>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1,137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7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6.70%</w:t>
            </w: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debentures due 2034</w:t>
            </w:r>
          </w:p>
        </w:tc>
        <w:tc>
          <w:tcPr>
            <w:tcW w:w="62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23"/>
                <w:szCs w:val="23"/>
                <w:color w:val="auto"/>
              </w:rPr>
            </w:pPr>
          </w:p>
        </w:tc>
      </w:tr>
      <w:tr>
        <w:trPr>
          <w:trHeight w:val="243"/>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Borrowings related to securitization program</w:t>
            </w:r>
          </w:p>
        </w:tc>
        <w:tc>
          <w:tcPr>
            <w:tcW w:w="620" w:type="dxa"/>
            <w:vAlign w:val="bottom"/>
          </w:tcPr>
          <w:p>
            <w:pPr>
              <w:spacing w:after="0"/>
              <w:rPr>
                <w:sz w:val="21"/>
                <w:szCs w:val="21"/>
                <w:color w:val="auto"/>
              </w:rPr>
            </w:pPr>
          </w:p>
        </w:tc>
        <w:tc>
          <w:tcPr>
            <w:tcW w:w="680" w:type="dxa"/>
            <w:vAlign w:val="bottom"/>
            <w:gridSpan w:val="3"/>
          </w:tcPr>
          <w:p>
            <w:pPr>
              <w:jc w:val="right"/>
              <w:ind w:right="16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56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Finance leases, asset financing and other</w:t>
            </w:r>
          </w:p>
        </w:tc>
        <w:tc>
          <w:tcPr>
            <w:tcW w:w="6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23"/>
                <w:szCs w:val="23"/>
                <w:color w:val="auto"/>
              </w:rPr>
            </w:pPr>
          </w:p>
        </w:tc>
      </w:tr>
      <w:tr>
        <w:trPr>
          <w:trHeight w:val="237"/>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Total debt</w:t>
            </w:r>
          </w:p>
        </w:tc>
        <w:tc>
          <w:tcPr>
            <w:tcW w:w="6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7,295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7,137</w:t>
            </w: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5,418</w:t>
            </w:r>
          </w:p>
        </w:tc>
        <w:tc>
          <w:tcPr>
            <w:tcW w:w="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5,266</w:t>
            </w:r>
          </w:p>
        </w:tc>
        <w:tc>
          <w:tcPr>
            <w:tcW w:w="20" w:type="dxa"/>
            <w:vAlign w:val="bottom"/>
          </w:tcPr>
          <w:p>
            <w:pPr>
              <w:spacing w:after="0"/>
              <w:rPr>
                <w:sz w:val="20"/>
                <w:szCs w:val="20"/>
                <w:color w:val="auto"/>
              </w:rPr>
            </w:pPr>
          </w:p>
        </w:tc>
      </w:tr>
      <w:tr>
        <w:trPr>
          <w:trHeight w:val="27"/>
        </w:trPr>
        <w:tc>
          <w:tcPr>
            <w:tcW w:w="560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5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Short-term borrowings and current maturities of long-term debt</w:t>
            </w:r>
          </w:p>
        </w:tc>
        <w:tc>
          <w:tcPr>
            <w:tcW w:w="6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22"/>
                <w:szCs w:val="22"/>
                <w:color w:val="auto"/>
              </w:rPr>
            </w:pPr>
          </w:p>
        </w:tc>
      </w:tr>
      <w:tr>
        <w:trPr>
          <w:trHeight w:val="264"/>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62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7,097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6,939</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5,334</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5,182</w:t>
            </w:r>
          </w:p>
        </w:tc>
        <w:tc>
          <w:tcPr>
            <w:tcW w:w="20" w:type="dxa"/>
            <w:vAlign w:val="bottom"/>
          </w:tcPr>
          <w:p>
            <w:pPr>
              <w:spacing w:after="0"/>
              <w:rPr>
                <w:sz w:val="22"/>
                <w:szCs w:val="22"/>
                <w:color w:val="auto"/>
              </w:rPr>
            </w:pPr>
          </w:p>
        </w:tc>
      </w:tr>
      <w:tr>
        <w:trPr>
          <w:trHeight w:val="20"/>
        </w:trPr>
        <w:tc>
          <w:tcPr>
            <w:tcW w:w="5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6320" w:type="dxa"/>
            <w:vAlign w:val="bottom"/>
            <w:gridSpan w:val="4"/>
          </w:tcPr>
          <w:p>
            <w:pPr>
              <w:spacing w:after="0"/>
              <w:rPr>
                <w:sz w:val="20"/>
                <w:szCs w:val="20"/>
                <w:color w:val="auto"/>
              </w:rPr>
            </w:pPr>
            <w:r>
              <w:rPr>
                <w:rFonts w:ascii="Arial" w:cs="Arial" w:eastAsia="Arial" w:hAnsi="Arial"/>
                <w:sz w:val="18"/>
                <w:szCs w:val="18"/>
                <w:color w:val="auto"/>
                <w:w w:val="93"/>
              </w:rPr>
              <w:t>The fair value of our debt and classification in the fair value hierarchy was as follows: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5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Level 2</w:t>
            </w:r>
          </w:p>
        </w:tc>
        <w:tc>
          <w:tcPr>
            <w:tcW w:w="20" w:type="dxa"/>
            <w:vAlign w:val="bottom"/>
            <w:tcBorders>
              <w:bottom w:val="single" w:sz="8" w:color="auto"/>
            </w:tcBorders>
          </w:tcPr>
          <w:p>
            <w:pPr>
              <w:spacing w:after="0"/>
              <w:rPr>
                <w:sz w:val="24"/>
                <w:szCs w:val="24"/>
                <w:color w:val="auto"/>
              </w:rPr>
            </w:pPr>
          </w:p>
        </w:tc>
      </w:tr>
      <w:tr>
        <w:trPr>
          <w:trHeight w:val="250"/>
        </w:trPr>
        <w:tc>
          <w:tcPr>
            <w:tcW w:w="5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6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7,421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3,067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December 31, 2019</w:t>
            </w: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5,580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3,190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2,390</w:t>
            </w:r>
          </w:p>
        </w:tc>
        <w:tc>
          <w:tcPr>
            <w:tcW w:w="20" w:type="dxa"/>
            <w:vAlign w:val="bottom"/>
          </w:tcPr>
          <w:p>
            <w:pPr>
              <w:spacing w:after="0"/>
              <w:rPr>
                <w:sz w:val="21"/>
                <w:szCs w:val="21"/>
                <w:color w:val="auto"/>
              </w:rPr>
            </w:pPr>
          </w:p>
        </w:tc>
      </w:tr>
    </w:tbl>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valued Level 1 debt using quoted prices in active markets. We valued Level 2 debt using bid evaluation pricing models or quoted prices of securities with similar characteristics. The fair value of the asset financing arrangements approximates carrying value as the debt is primarily issued at a floating rate, the debt may be prepaid at any time at par without penalty, and the remaining life of the debt is short-term in nature.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w:t>
      </w:r>
    </w:p>
    <w:p>
      <w:pPr>
        <w:spacing w:after="0" w:line="11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As of June 30, 2020, we had a borrowing base of $969 million and availability under our revolving loan credit agreement (the “ABL Facility”) of $354 million after considering outstanding letters of credit on the ABL Facility of $15 million. The average interest rate on outstanding borrowings as of June 30, 2020 was 1.44%. As of June 30, 2020, we were in compliance with the ABL Facility’s financial covenants.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Debt</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April 2020, we entered into a Senior Secured Term Loan Credit Agreement, comprised of a $150 million committed secured term loan facility and a $200 million uncommitted secured evergreen letter of credit facility. The term loan facility is available to be drawn upon, subject to customary conditions, in multiple borrowings within six months of the closing date. Any term loans thereunder will bear interest at a rate equal to LIBOR or base rate, at our election, plus an applicable margin of 3.00% to 4.50%, for LIBOR loans, or 2.00% to 3.50%, for base rate loans, in each case depending upon the time elapsed since the closing date. The term loan facility matures in April 2021.</w:t>
      </w:r>
    </w:p>
    <w:p>
      <w:pPr>
        <w:spacing w:after="0" w:line="8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Letters of credit under the letter of credit facility shall expire within one year of issuance and may contain automatic one-year renewals until the letter of credit facility terminates. As of June 30, 2020, we have issued $199 million in aggregate face amount of letters of credit, which replaced letters of credit outstanding under our ABL Facility, and have not drawn on the term loan commitments. The credit agreement governing the term loan and letter of credit facilities contains representations and warranties and affirmative and negative covenants customary for financings of this type as well as customary events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In March 2019, we entered into an amendment to our Term Loan Credit Agreement and borrowed an additional $500 million of incremental loans under a new tranche of term loans (the “Incremental Term Loan Facility”), increasing our total borrowing under the Term Loan Facility to $2.0 billion. Proceeds from borrowings under the Incremental Term Loan Facility were used: (i) for general corporate purposes, including to fund purchases of our equity interests described in Note 7—Stockholders’ Equity; and (ii) to pay fees and expenses relating to, or in connection with, the transactions contemplated by the amendment. The incremental loans under the Incremental Term Loan Facility were issued at a price of 99.50% of par.</w:t>
      </w:r>
    </w:p>
    <w:p>
      <w:pPr>
        <w:spacing w:after="0" w:line="53" w:lineRule="exact"/>
        <w:rPr>
          <w:sz w:val="20"/>
          <w:szCs w:val="20"/>
          <w:color w:val="auto"/>
        </w:rPr>
      </w:pPr>
    </w:p>
    <w:p>
      <w:pPr>
        <w:ind w:right="980"/>
        <w:spacing w:after="0" w:line="406" w:lineRule="auto"/>
        <w:rPr>
          <w:sz w:val="20"/>
          <w:szCs w:val="20"/>
          <w:color w:val="auto"/>
        </w:rPr>
      </w:pPr>
      <w:r>
        <w:rPr>
          <w:rFonts w:ascii="Arial" w:cs="Arial" w:eastAsia="Arial" w:hAnsi="Arial"/>
          <w:sz w:val="18"/>
          <w:szCs w:val="18"/>
          <w:color w:val="auto"/>
        </w:rPr>
        <w:t xml:space="preserve">The interest rates on the Term Loan Facility and the Incremental Term Loan Facility were 2.18% and 2.69%, respectively, as of June 30, 2020. </w:t>
      </w:r>
      <w:r>
        <w:rPr>
          <w:rFonts w:ascii="Arial" w:cs="Arial" w:eastAsia="Arial" w:hAnsi="Arial"/>
          <w:sz w:val="18"/>
          <w:szCs w:val="18"/>
          <w:b w:val="1"/>
          <w:bCs w:val="1"/>
          <w:i w:val="1"/>
          <w:iCs w:val="1"/>
          <w:color w:val="auto"/>
        </w:rPr>
        <w:t>Senior Notes due 2025</w:t>
      </w:r>
    </w:p>
    <w:p>
      <w:pPr>
        <w:spacing w:after="0" w:line="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second quarter of 2020, we completed private placements of $1.15 billion aggregate principal amount of Senior Notes due 2025. The Senior Notes due 2025 mature on May 1, 2025 and bear interest at a rate of 6.25% per annum. Interest on the notes is paid semi-annually. $850 million of the notes were issued at par, and $300 million of the notes were issued subsequently at 101.75% of face value. Net proceeds from the notes have been invested in cash and cash equivalents.</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Senior Notes due 2025 are guaranteed by each of our direct and indirect wholly-owned restricted subsidiaries (other than some excluded subsidiaries) that are obligors under, or guarantee obligations under, our ABL Facility or existing term loan facility or guarantee certain of our other indebtedness. The Senior Notes due 2025 and the related guarantees are unsecured, unsubordinated indebtedness for us and our guarantors. The Senior Notes due 2025 contain covenants customary for notes of this nature.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2024</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 February 2019, we completed a private placement of $1.0 billion aggregate principal amount of senior notes (“Senior Notes due 2024”), which bear interest at a rate of 6.75% per annum. Proceeds from the Senior Notes due 2024 were used to repay our outstanding obligation under an unsecured credit facility and to finance a portion of our share repurchases described in Note 7—Stockholders’ Equity.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related to Securitization Program</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trade receivables securitization program permits us to borrow, on an unsecured basis, cash collected in a servicing capacity on previously sold receivables. These borrowings are owed to the program’s Purchasers and are included in short-term debt until they are repaid in the following month’s settlement. The securitization program expires in July 2022 and contains financial covenants customary for this type of arrangement, including maintaining a defined average days sales outstanding ratio. For additional information on the securitization program, see Note 1—Organization, Description of Business and Basis of Presentation.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December 2018, our Board of Directors authorized the repurchase of up to $1 billion of our common stock (the “2018 Program”), which was completed in the first quarter of 2019. The share repurchases under the 2018 Program were funded by an unsecured credit facility and our available cash.</w:t>
      </w:r>
    </w:p>
    <w:p>
      <w:pPr>
        <w:spacing w:after="0" w:line="1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February 2019, our Board of Directors authorized additional repurchases of up to $1.5 billion of our common stock (the “2019 Program”). The 2019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 The share purchases under the 2019 Program were funded by our available cash and proceeds from our 2019 debt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shares repurchased, based on settlement date,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2"/>
              </w:rPr>
              <w:t>Six Months Ended June 30,</w:t>
            </w:r>
          </w:p>
        </w:tc>
        <w:tc>
          <w:tcPr>
            <w:tcW w:w="1300" w:type="dxa"/>
            <w:vAlign w:val="bottom"/>
          </w:tcPr>
          <w:p>
            <w:pPr>
              <w:spacing w:after="0"/>
              <w:rPr>
                <w:sz w:val="16"/>
                <w:szCs w:val="16"/>
                <w:color w:val="auto"/>
              </w:rPr>
            </w:pPr>
          </w:p>
        </w:tc>
      </w:tr>
      <w:tr>
        <w:trPr>
          <w:trHeight w:val="196"/>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2019</w:t>
            </w:r>
          </w:p>
        </w:tc>
        <w:tc>
          <w:tcPr>
            <w:tcW w:w="1300" w:type="dxa"/>
            <w:vAlign w:val="bottom"/>
            <w:tcBorders>
              <w:top w:val="single" w:sz="8" w:color="auto"/>
              <w:bottom w:val="single" w:sz="8" w:color="auto"/>
            </w:tcBorders>
          </w:tcPr>
          <w:p>
            <w:pPr>
              <w:spacing w:after="0"/>
              <w:rPr>
                <w:sz w:val="17"/>
                <w:szCs w:val="17"/>
                <w:color w:val="auto"/>
              </w:rPr>
            </w:pPr>
          </w:p>
        </w:tc>
      </w:tr>
      <w:tr>
        <w:trPr>
          <w:trHeight w:val="196"/>
        </w:trPr>
        <w:tc>
          <w:tcPr>
            <w:tcW w:w="3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2019 Program</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 Program</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 Program</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 Program</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 Program</w:t>
            </w:r>
          </w:p>
        </w:tc>
      </w:tr>
      <w:tr>
        <w:trPr>
          <w:trHeight w:val="250"/>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purchased and retired</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w:t>
            </w:r>
          </w:p>
        </w:tc>
      </w:tr>
      <w:tr>
        <w:trPr>
          <w:trHeight w:val="243"/>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Aggregate value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6"/>
              <w:spacing w:after="0"/>
              <w:rPr>
                <w:sz w:val="20"/>
                <w:szCs w:val="20"/>
                <w:color w:val="auto"/>
              </w:rPr>
            </w:pPr>
            <w:r>
              <w:rPr>
                <w:rFonts w:ascii="Arial" w:cs="Arial" w:eastAsia="Arial" w:hAnsi="Arial"/>
                <w:sz w:val="18"/>
                <w:szCs w:val="18"/>
                <w:color w:val="auto"/>
              </w:rPr>
              <w:t>114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883</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464</w:t>
            </w:r>
          </w:p>
        </w:tc>
      </w:tr>
      <w:tr>
        <w:trPr>
          <w:trHeight w:val="27"/>
        </w:trPr>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Average price per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66.58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59.47</w:t>
            </w:r>
          </w:p>
        </w:tc>
      </w:tr>
      <w:tr>
        <w:trPr>
          <w:trHeight w:val="243"/>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Remaining authorization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6"/>
              <w:spacing w:after="0"/>
              <w:rPr>
                <w:sz w:val="20"/>
                <w:szCs w:val="20"/>
                <w:color w:val="auto"/>
              </w:rPr>
            </w:pPr>
            <w:r>
              <w:rPr>
                <w:rFonts w:ascii="Arial" w:cs="Arial" w:eastAsia="Arial" w:hAnsi="Arial"/>
                <w:sz w:val="18"/>
                <w:szCs w:val="18"/>
                <w:color w:val="auto"/>
              </w:rPr>
              <w:t>503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617</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color w:val="auto"/>
        </w:rPr>
        <w:t>The Series A Convertible Perpetual Preferred Stock pays quarterly cash dividends equal to the greater of: (i) the “as-converted” dividends on our underlying common stock for the relevant quarter; and (ii) 4% of the then-applicable liquidation preference per annum.</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(Loss) per Share</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compute basic and diluted earnings per share using the two-class method, which allocates earnings to participating securities. The participating securities consist of our Series A Convertible Perpetual Preferred Stock. The undistributed earnings are allocated between common shares and participating securities as if all earnings had been distributed during the period. Losses are not allocated to the preferred shares.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per share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25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Basic (loss) 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gridSpan w:val="2"/>
          </w:tcPr>
          <w:p>
            <w:pPr>
              <w:ind w:left="220"/>
              <w:spacing w:after="0"/>
              <w:rPr>
                <w:sz w:val="20"/>
                <w:szCs w:val="20"/>
                <w:color w:val="auto"/>
              </w:rPr>
            </w:pPr>
            <w:r>
              <w:rPr>
                <w:rFonts w:ascii="Arial" w:cs="Arial" w:eastAsia="Arial" w:hAnsi="Arial"/>
                <w:sz w:val="18"/>
                <w:szCs w:val="18"/>
                <w:color w:val="auto"/>
              </w:rPr>
              <w:t>Net (loss) income attributable to XPO</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182</w:t>
            </w: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Series A preferred stock dividends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5480" w:type="dxa"/>
            <w:vAlign w:val="bottom"/>
            <w:gridSpan w:val="2"/>
          </w:tcPr>
          <w:p>
            <w:pPr>
              <w:ind w:left="220"/>
              <w:spacing w:after="0"/>
              <w:rPr>
                <w:sz w:val="20"/>
                <w:szCs w:val="20"/>
                <w:color w:val="auto"/>
              </w:rPr>
            </w:pPr>
            <w:r>
              <w:rPr>
                <w:rFonts w:ascii="Arial" w:cs="Arial" w:eastAsia="Arial" w:hAnsi="Arial"/>
                <w:sz w:val="18"/>
                <w:szCs w:val="18"/>
                <w:color w:val="auto"/>
              </w:rPr>
              <w:t>Non-cash allocation of undistributed loss (earnings)</w:t>
            </w:r>
          </w:p>
        </w:tc>
        <w:tc>
          <w:tcPr>
            <w:tcW w:w="300" w:type="dxa"/>
            <w:vAlign w:val="bottom"/>
          </w:tcPr>
          <w:p>
            <w:pPr>
              <w:spacing w:after="0"/>
              <w:rPr>
                <w:sz w:val="21"/>
                <w:szCs w:val="21"/>
                <w:color w:val="auto"/>
              </w:rPr>
            </w:pPr>
          </w:p>
        </w:tc>
        <w:tc>
          <w:tcPr>
            <w:tcW w:w="11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w:t>
            </w:r>
          </w:p>
        </w:tc>
      </w:tr>
      <w:tr>
        <w:trPr>
          <w:trHeight w:val="27"/>
        </w:trPr>
        <w:tc>
          <w:tcPr>
            <w:tcW w:w="5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common shares, basic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165</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weighted-average common shares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r>
      <w:tr>
        <w:trPr>
          <w:trHeight w:val="243"/>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Basic (loss) earnings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1.66</w:t>
            </w: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43"/>
        </w:trPr>
        <w:tc>
          <w:tcPr>
            <w:tcW w:w="548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 (loss) earnings per common share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common shares,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165</w:t>
            </w:r>
          </w:p>
        </w:tc>
      </w:tr>
      <w:tr>
        <w:trPr>
          <w:trHeight w:val="270"/>
        </w:trPr>
        <w:tc>
          <w:tcPr>
            <w:tcW w:w="5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weighted-average common shares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w:t>
            </w:r>
          </w:p>
        </w:tc>
      </w:tr>
      <w:tr>
        <w:trPr>
          <w:trHeight w:val="243"/>
        </w:trPr>
        <w:tc>
          <w:tcPr>
            <w:tcW w:w="5480" w:type="dxa"/>
            <w:vAlign w:val="bottom"/>
            <w:gridSpan w:val="2"/>
          </w:tcPr>
          <w:p>
            <w:pPr>
              <w:ind w:left="220"/>
              <w:spacing w:after="0"/>
              <w:rPr>
                <w:sz w:val="20"/>
                <w:szCs w:val="20"/>
                <w:color w:val="auto"/>
              </w:rPr>
            </w:pPr>
            <w:r>
              <w:rPr>
                <w:rFonts w:ascii="Arial" w:cs="Arial" w:eastAsia="Arial" w:hAnsi="Arial"/>
                <w:sz w:val="18"/>
                <w:szCs w:val="18"/>
                <w:color w:val="auto"/>
              </w:rPr>
              <w:t>Dilutive effect of non-participating stock-based awards</w:t>
            </w:r>
          </w:p>
        </w:tc>
        <w:tc>
          <w:tcPr>
            <w:tcW w:w="300" w:type="dxa"/>
            <w:vAlign w:val="bottom"/>
          </w:tcPr>
          <w:p>
            <w:pPr>
              <w:spacing w:after="0"/>
              <w:rPr>
                <w:sz w:val="21"/>
                <w:szCs w:val="21"/>
                <w:color w:val="auto"/>
              </w:rPr>
            </w:pPr>
          </w:p>
        </w:tc>
        <w:tc>
          <w:tcPr>
            <w:tcW w:w="11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10</w:t>
            </w:r>
          </w:p>
        </w:tc>
      </w:tr>
      <w:tr>
        <w:trPr>
          <w:trHeight w:val="27"/>
        </w:trPr>
        <w:tc>
          <w:tcPr>
            <w:tcW w:w="5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w:t>
            </w:r>
          </w:p>
        </w:tc>
      </w:tr>
      <w:tr>
        <w:trPr>
          <w:trHeight w:val="270"/>
        </w:trPr>
        <w:tc>
          <w:tcPr>
            <w:tcW w:w="5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Diluted (loss) earnings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w:t>
            </w:r>
          </w:p>
        </w:tc>
      </w:tr>
      <w:tr>
        <w:trPr>
          <w:trHeight w:val="270"/>
        </w:trPr>
        <w:tc>
          <w:tcPr>
            <w:tcW w:w="5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43"/>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Potential common shares excluded</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r>
      <w:tr>
        <w:trPr>
          <w:trHeight w:val="27"/>
        </w:trPr>
        <w:tc>
          <w:tcPr>
            <w:tcW w:w="5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Certain shares were not included in the computation of Diluted (loss) earnings per share because the effect was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Legal and Regulatory Matters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involved, and will continue to be involved, in numerous proceedings arising out of the conduct of our business. These proceedings may include claims for property damage or personal injury incurred in connection with the transportation of freight, claims regarding anti-competitive practices, and employment-related claims, including claims involving asserted breaches of employee restrictive covenants. These matters also include numerous putative class action, multi-plaintiff and individual lawsuits, and administrative proceedings that claim either that our owner-operators or contract carriers should be treated as employees, rather than independent contractors, or that some of our drivers were not paid for all compensable time or were not provided with required meal or rest breaks. These lawsuits and proceedings may seek substantial monetary damages (including claims for unpaid wages, overtime, failure to provide meal and rest periods, unreimbursed business expenses and other items), injunctive relief, or both.</w:t>
      </w:r>
    </w:p>
    <w:p>
      <w:pPr>
        <w:spacing w:after="0" w:line="5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6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believe that we have adequately accrued for the potential impact of loss contingencies that are probable and reasonably estimable. We do not believe that the ultimate resolution of any matters to which we are presently a party 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carry liability and excess umbrella insurance policies that we deem sufficient to cover potential legal claims arising in the normal course of conducting our operations as a transportation and logistics company. The liability and excess umbrella insurance policies generally do not cover the misclassification claims described in this note. In the event we are required to satisfy a legal claim outside the scope of the coverage provided by insurance, our financial condition, results of operations or cash flows could be negatively impacted.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117"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Quarterly Report on Form 10-Q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Quarterly Report are qualified by these cautionary statements, and there can be no assurance that the actual results or developments anticipated by the Company will be realized or, even if substantially realized,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they will have the expected consequence to or effects on the Company or its business or operations. The following discussion should be read in conjunction with the Company’s unaudited Condensed Consolidated Financial Statements and related notes thereto included elsewhere in this Quarterly Report, and with the audited consolidated financial statements and related notes thereto included in the 2019 Annual Report on Form 10-K. Forward-looking statements set forth in this Quarterly Report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XPO Logistics, Inc., a Delaware corporation, together with its subsidiaries (“XPO,” or “we”), is a top ten global provider of cutting-edge supply chain solutions to the most successful companies in the world.</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have two reporting segments: Transportation and Logistics. In 2019, approximately 64% of our revenue came from Transportation; the other 36% came from Logistics. Within each segment, we have robust service offerings that are positioned to capitalize on fast-growing areas of customer demand. Substantially all of our services operate under the single brand of XPO Logistics.</w:t>
      </w:r>
    </w:p>
    <w:p>
      <w:pPr>
        <w:spacing w:after="0" w:line="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of June 30, 2020, we had approximately 96,000 employees and 1,506 locations in 30 countries, and over 50,000 customers. Our operations help our customers move their goods most efficiently throughout their supply chains.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are closely monitoring the impact of the COVID-19 pandemic on all aspects of our business, including how it impacts our customers, employees and other business partners. See “Effects of COVID-19”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 Segment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Transportation segment includes our services for truck brokerage; expedite; truckload; less-than-truckload (“LTL”); last mile; intermodal and drayage; managed transportation; and global forwarding. We offer these services in both North America and Europe with the exception of intermodal and drayage, which are North American services, and truckload, which is primarily in Europe. Within each region, the complementary services we provide represent an opportunity to provide multiple solutions to our larger customers.</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Globally, we are the second largest freight brokerage provider, and a top five provider of managed transportation. Many of our other transportation services hold market-leading positions in their respective geographies.</w:t>
      </w:r>
    </w:p>
    <w:p>
      <w:pPr>
        <w:spacing w:after="0" w:line="6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In North America, we are the largest provider of last mile logistics for heavy goods, the largest manager of expedited shipments, a top three provider of LTL transportation and a top three provider of intermodal services, with a national drayage network. We also offer ocean, air, ground and cross-border freight forwarding services domestically and internationally.</w:t>
      </w:r>
    </w:p>
    <w:p>
      <w:pPr>
        <w:spacing w:after="0" w:line="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Europe, we provide truckload transportation as a brokered service using independent carriers, and as dedicated and non-dedicated capacity using our owned fleet. Our other transportation offerings in Europe are LTL transportation, which we provide with one of the largest LTL networks in Western Europe, last mile logistics for heavy goods and freight forwarding. Our transportation networks in Europe cover the regions that produce over 90% of its combined gross domestic product.</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Transportation segment uses a blended model of owned, contracted and brokered capacity that gives us extensive flexibility in providing shippers with optimal solutions. The non-asset portion of our model is predominately variable-cost and includes our brokerage operations, as well as contracted capacity with independent providers. As of June 30, 2020, globally, we had approximately 10,000 independent carriers and owner-operators under contract to provide drayage, expedite, last mile and LTL services to our customers, and more than 50,000 independent brokered carriers representing over 1,000,000 trucks on the road.</w:t>
      </w:r>
    </w:p>
    <w:p>
      <w:pPr>
        <w:spacing w:after="0" w:line="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asset portion of our transportation model encompasses approximately 15,000 tractors and 38,000 trailers operated by professional drivers employed by XPO. These assets are primarily related to our LTL operations in North America and our truckload operations in Europe. Our owned fleet also provides supplemental capacity for our brokerage operations as needed.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Logistics Segment</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Logistics segment, which we sometimes refer to as supply chain or contract logistics, provides order fulfillment and other distribution services differentiated by our ability to deliver technology-enabled, customized solutions. XPO is the second largest provider of contract logistics globally. We have the largest outsourced e-fulfillment platform in Europe and a major platform for e-fulfillment in North America. Once we secure a logistics contract, the average customer tenure is approximately five years and can lead to more opportunities.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logistics services include high-value-add warehousing and distribution, e-commerce and omnichannel fulfillment, cold-chain logistics, packaging and labeling, factory support, aftermarket support, inventory management, order personalization and supply chain optimization, such as production flow management. In addition, we are a major provider of reverse logistics, which is also called returns management. Reverse logistics is a fast-growing area of contract logistics that includes the inspection, repackaging, refurbishment, resale or disposal of returned merchandise, as well as refunding and warranty management. These services are highly valued by companies with consumer end-markets, as shoppers are increasingly “test-driving” the products they buy online.</w:t>
      </w:r>
    </w:p>
    <w:p>
      <w:pPr>
        <w:spacing w:after="0" w:line="8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As of June 30, 2020, we operated 201 million square feet (19 million square meters) of contract logistics warehouse space worldwide. Approximately 94 million square feet (9 million square meters) was located in North America, where we are a market leader in logistics capacity; 99 million square feet (9 million square meters) was located in Europe; and 8 million square feet (1 million square meters) was located in Asia. Customers served by our Logistics segment include many of the preeminent names in retail and e-commerce, food and beverage, technology, aerospace, wireless, industrial and manufacturing, chemical, agribusiness, life sciences and healthcare. These are all sectors where we have significant expertise.</w:t>
      </w:r>
    </w:p>
    <w:p>
      <w:pPr>
        <w:spacing w:after="0" w:line="5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logistics network benefits from deep roots in the e-commerce sector, which continues to show strong, secular growth. E-commerce is predicted to continue to grow globally at a double-digit rate through at least 2022, even before the tailwind of COVID-19 stay-at-home mandates. This level of growth makes it difficult for many companies to handle fulfillment in-house while providing high levels of service.</w:t>
      </w:r>
    </w:p>
    <w:p>
      <w:pPr>
        <w:spacing w:after="0" w:line="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the capabilities to provide solutions for pure-play e-commerce companies, omnichannel retailers, manufacturers with aftermarket distribution channels, and the reverse logistics inflows that have become a natural byproduct of order fulfillment. In March 2020, we announced a definitive agreement to acquire the majority of Kuehne + Nagel’s contract logistics operations in the United Kingdom, with closing planned for later this year. This will expand our platform in European e-commerce — where we are the largest outsourced e-fulfillment provider — and deepen our presence in the beverage, technology and food service sectors.</w:t>
      </w:r>
    </w:p>
    <w:p>
      <w:pPr>
        <w:spacing w:after="0" w:line="8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Our experience with fast-growing product categories makes us a valuable partner to customers who need agile logistics processes. Together with XPO Direct™, our shared-space distribution offering, our Logistics segment provides companies with superior control, flexible warehousing and staffing, advanced automation and predictive analytics that help manage peaks in demand.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Philosophy</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believe that our rapid pace of innovation differentiates our services, allows us to better utilize our assets and makes the most of the talent within our organization. Our proprietary technology strengthens our relationships with customers by addressing their immediate supply chain needs and anticipating their future needs. Technology allows us to be a true partner to our customers, helping them meet their objectives for efficiency, safety and customer service.</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concentrate our technology efforts in four areas: our digital freight marketplace, automation and intelligent machines, dynamic data science, and visibility and customer service, specifically in the e-commerce supply chain. Our 2019 investment in technology was among the highest in our industry at approximately $550 million. Our global team of approximately 1,600 technology professionals works closely with our operations in North America and Europe and can deploy new software very rapidly on our cloud-based platform.</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prioritize innovations that can benefit our customers and create value for our shareholders. For example, our XPO Smart™ analytics and planning tools use machine learning to drive productivity in our logistics and LTL operations. Our XPO Connect™ digital marketplace gives our transportation customers a bird’s-eye view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available capacity under real-time market conditions. The platform matches shippers and carriers with digital efficiency, benefitting both parties and contributing to our financial performance.</w:t>
      </w:r>
    </w:p>
    <w:p>
      <w:pPr>
        <w:spacing w:after="0" w:line="62"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 xml:space="preserve">Environmental sustainability is another area where our commitment sets an example in the industry. In the U.S., XPO has been named a Top 75 Green Supply Chain Partner by </w:t>
      </w:r>
      <w:r>
        <w:rPr>
          <w:rFonts w:ascii="Arial" w:cs="Arial" w:eastAsia="Arial" w:hAnsi="Arial"/>
          <w:sz w:val="17"/>
          <w:szCs w:val="17"/>
          <w:i w:val="1"/>
          <w:iCs w:val="1"/>
          <w:color w:val="auto"/>
        </w:rPr>
        <w:t>Inbound Logistics</w:t>
      </w:r>
      <w:r>
        <w:rPr>
          <w:rFonts w:ascii="Arial" w:cs="Arial" w:eastAsia="Arial" w:hAnsi="Arial"/>
          <w:sz w:val="17"/>
          <w:szCs w:val="17"/>
          <w:color w:val="auto"/>
        </w:rPr>
        <w:t xml:space="preserve"> for five consecutive years. In France, where XPO has been awarded the designation Objectif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for outstanding environmental performance by the Ministry of the Environment, we have renewed our commitment to the CO</w:t>
      </w:r>
      <w:r>
        <w:rPr>
          <w:rFonts w:ascii="Arial" w:cs="Arial" w:eastAsia="Arial" w:hAnsi="Arial"/>
          <w:sz w:val="22"/>
          <w:szCs w:val="22"/>
          <w:color w:val="auto"/>
          <w:vertAlign w:val="subscript"/>
        </w:rPr>
        <w:t>2</w:t>
      </w:r>
      <w:r>
        <w:rPr>
          <w:rFonts w:ascii="Arial" w:cs="Arial" w:eastAsia="Arial" w:hAnsi="Arial"/>
          <w:sz w:val="17"/>
          <w:szCs w:val="17"/>
          <w:color w:val="auto"/>
        </w:rPr>
        <w:t xml:space="preserve"> Charter for another three years. In Spain, all of our sites meet Leadership in Energy and Environmental Design (“LEED”) energy certification standards for 100% consumption of renewable energy. In the United Kingdom, the warehouse of the future we created with Nestlé is operating with environmentally friendly ammonia refrigeration systems, energy-saving lighting, air-source heat pumps for administration areas and rainwater harvesting.</w:t>
      </w:r>
    </w:p>
    <w:p>
      <w:pPr>
        <w:spacing w:after="0" w:line="9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 number of our logistics facilities are ISO14001-certified, which ensures environmental and other regulatory compliances. We monitor fuel emissions from forklifts in our warehouses, with protocols in place to take immediate corrective action if needed. Our packaging engineers ensure that the optimal carton size is used for each product slated for distribution, and when feasible, we purchase recycled packaging. As a byproduct of our reverse logistics operations, we recycle millions of electronic components and batteries each year.</w:t>
      </w:r>
    </w:p>
    <w:p>
      <w:pPr>
        <w:spacing w:after="0" w:line="79"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In transportation, we have made substantial investments in fuel-efficient Freightliner Cascadia tractors in North America; these use Environmental Protection Agency (“EPA”) 2013-compliant and Greenhouse Gas 2014-compliant Selective Catalytic Reduction technology. Our North American LTL locations have energy-saving policies in place and are implementing a phased upgrade to LED lighting. In Europe, we own one of the industry’s most modern road fleets: our tractors are 98% compliant with Euro V, EEV and Euro VI standards.</w:t>
      </w:r>
    </w:p>
    <w:p>
      <w:pPr>
        <w:spacing w:after="0" w:line="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also own a large fleet of natural gas trucks operating in France, the United Kingdom, Spain and Portugal and, in 2019, we invested in 100 new Stralis Natural Power Euro VI tractors for our LTL network in France. These tractors use a combination of liquified and compressed natural gas to generate lower NOx emissions than the Euro VI standard and reduce noise in densely populated areas. In Spain, where we own government-approved mega-trucks, we have embarked on a collaborative research project with the General State Administration to test duo-trailer vehicles and capture data about environmental and safety performance in commercial use. Our last mile operations in Europe are using electric vehicles for deliveries in certain urban areas, reducing those emissions to zero.</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COVID-19</w:t>
      </w:r>
    </w:p>
    <w:p>
      <w:pPr>
        <w:spacing w:after="0" w:line="12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As a global provider of supply chain solutions, our business can be impacted to varying degrees by factors beyond our control. The rapid escalation of COVID-19 into a pandemic in 2020 has affected, and will continue to affect, economic activity broadly and customer sectors served by our industry.</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response to the COVID-19 pandemic, the governments of many countries, states, cities and other geographic regions have taken and are continuing to take preventative or reactive actions, such as imposing restrictions on travel and business operations and establishing guidelines for social distancing and occupational safety. Due to the critical role we play in moving goods and equipment in the markets we serve, XPO is considered an “essential business,” providing supply chain solutions to crucial industries and delivering critical consumer goods. As a result, the substantial majority of our sites have remained open and operating, and we have continued to serve our customers while employing significant measures to protect our employees and keep them safe.</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COVID-19 pandemic and associated impacts on economic activity had an adverse effect on our results of operations and financial condition for the three and six months ended June 30, 2020, as discussed below. We experienced declines in demand for our services beginning in the first quarter, reaching their lowest levels in April, and sequentially strengthening in May and June. Impacts on our business generally began a few weeks earlier in Europe than in the U.S., following the onset of the pandemic in Asia.</w:t>
      </w:r>
    </w:p>
    <w:p>
      <w:pPr>
        <w:spacing w:after="0" w:line="7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Due to the unprecedented and evolving nature of the COVID-19 pandemic, it remains very difficult to predict the extent of the impact on our industry generally and our business in particular. Furthermore, the extent and pace of a recovery remains uncertain and may differ significantly among the countries in which we operate. While we anticipate that our results of operations will continue to be impacted by this pandemic in the third and fourth quarters of 2020, we are unable to reasonably estimate the extent of the impact on our full-year results of operations, our liquidity or our overall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have incurred incremental costs related to COVID-19 to ensure that we meet the needs of our customers and employees; these include costs for personal protective equipment (“PPE”), temporary site closures, site cleanings and enhanced employee benefits. In the second quarter of 2020, we also implemented supplemental “appreciation pay” programs for thousands of frontline employees who continued to work during the pandemic. We expect to continue to incur additional costs, which may be significant, as we continue to implement operational changes in response to the pandemic. However, the majority of our cost base is variable, and we have taken and will continue to take aggressive actions to adjust our expenses to reflect changes in demand for our services. These actions include reduced use of contractors, reduced employee hours, furloughs, layoffs and required use of paid time off, consistent with local regulations. While we do not expect to be able to fully offset the decrease in demand for our services arising from the economic disruption of the pandemic, the actions we are taking and have taken, combined with the variable components of our cost structure, should help mitigate the impact on our profitability relative to the impact on our revenue and volumes.</w:t>
      </w:r>
    </w:p>
    <w:p>
      <w:pPr>
        <w:spacing w:after="0" w:line="73"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Maintaining strong liquidity has been and will continue to be a top priority for XPO amid the current economic disruption. As discussed in greater detail below, as of June 30, 2020, we had $2.8 billion of available liquidity, including $2.3 billion of cash and cash equivalents. In the three months ended June 30, 2020, we expanded our liquidity by $1.5 billion through the addition of a $350 million term loan and letter of credit facility and the issuance of $1.15 billion in senior notes. We expect to incur incremental interest expense in 2020 as a result of issuing this new debt. We have reduced our planned capital expenditures substantially for 2020, while continuing to invest in key growth initiatives.</w:t>
      </w:r>
    </w:p>
    <w:p>
      <w:pPr>
        <w:spacing w:after="0" w:line="6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response to the pandemic, we are using a combination of rigorous protective measures, technology and virtual communications to keep our employees safe, including these and other measures:</w:t>
      </w:r>
    </w:p>
    <w:p>
      <w:pPr>
        <w:spacing w:after="0" w:line="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Globally, our employees are working remotely if able to do so.</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employees who need to work on site, we follow the guidance of the World Health Organization, the U.S. Centers for Disease Control, local regulators, and our own health and safety protocols.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providing PPE in all our workplaces and social distancing is in effect.</w:t>
      </w:r>
    </w:p>
    <w:p>
      <w:pPr>
        <w:spacing w:after="0" w:line="117"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facilities worldwide engage in ongoing cleaning of high-touch areas, as well as deep cleaning in facilities likely to have been exposed to COVID-19.</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added Pandemic Paid Sick Leave to provide U.S. and Canadian employees an additional two weeks of 100% sick leave.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guarantee up to three additional paid days for employees of a facility that closes temporarily for deep cleaning.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instituted a contactless delivery policy to ensure that our drivers can maintain a safe distance from customers when delivering freight.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provided Frontline Employee Appreciation Pay to U.S. and Canadian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expanded access to mental health counseling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further discussion of the impact of the COVID-19 pandemic on our business is set forth below in Part II,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Summary Financial Table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7"/>
          </w:tcPr>
          <w:p>
            <w:pPr>
              <w:ind w:left="60"/>
              <w:spacing w:after="0"/>
              <w:rPr>
                <w:sz w:val="20"/>
                <w:szCs w:val="20"/>
                <w:color w:val="auto"/>
              </w:rPr>
            </w:pPr>
            <w:r>
              <w:rPr>
                <w:rFonts w:ascii="Arial" w:cs="Arial" w:eastAsia="Arial" w:hAnsi="Arial"/>
                <w:sz w:val="14"/>
                <w:szCs w:val="14"/>
                <w:b w:val="1"/>
                <w:bCs w:val="1"/>
                <w:color w:val="auto"/>
              </w:rPr>
              <w:t>Three Months Ended June</w:t>
            </w:r>
          </w:p>
        </w:tc>
        <w:tc>
          <w:tcPr>
            <w:tcW w:w="14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Percent of Revenue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vMerge w:val="restart"/>
          </w:tcPr>
          <w:p>
            <w:pPr>
              <w:spacing w:after="0"/>
              <w:rPr>
                <w:sz w:val="14"/>
                <w:szCs w:val="14"/>
                <w:color w:val="auto"/>
              </w:rPr>
            </w:pPr>
          </w:p>
        </w:tc>
        <w:tc>
          <w:tcPr>
            <w:tcW w:w="18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4"/>
              </w:rPr>
              <w:t>Six Months Ended June 30,</w:t>
            </w:r>
          </w:p>
        </w:tc>
        <w:tc>
          <w:tcPr>
            <w:tcW w:w="80" w:type="dxa"/>
            <w:vAlign w:val="bottom"/>
            <w:vMerge w:val="restart"/>
          </w:tcPr>
          <w:p>
            <w:pPr>
              <w:spacing w:after="0"/>
              <w:rPr>
                <w:sz w:val="14"/>
                <w:szCs w:val="14"/>
                <w:color w:val="auto"/>
              </w:rPr>
            </w:pPr>
          </w:p>
        </w:tc>
        <w:tc>
          <w:tcPr>
            <w:tcW w:w="1520" w:type="dxa"/>
            <w:vAlign w:val="bottom"/>
            <w:gridSpan w:val="4"/>
            <w:vMerge w:val="restart"/>
          </w:tcPr>
          <w:p>
            <w:pPr>
              <w:jc w:val="right"/>
              <w:ind w:right="8"/>
              <w:spacing w:after="0"/>
              <w:rPr>
                <w:sz w:val="20"/>
                <w:szCs w:val="20"/>
                <w:color w:val="auto"/>
              </w:rPr>
            </w:pPr>
            <w:r>
              <w:rPr>
                <w:rFonts w:ascii="Arial" w:cs="Arial" w:eastAsia="Arial" w:hAnsi="Arial"/>
                <w:sz w:val="14"/>
                <w:szCs w:val="14"/>
                <w:b w:val="1"/>
                <w:bCs w:val="1"/>
                <w:color w:val="auto"/>
              </w:rPr>
              <w:t>Percent of Revenue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gridSpan w:val="4"/>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00" w:type="dxa"/>
            <w:vAlign w:val="bottom"/>
            <w:tcBorders>
              <w:bottom w:val="single" w:sz="8" w:color="auto"/>
            </w:tcBorders>
            <w:gridSpan w:val="5"/>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520" w:type="dxa"/>
            <w:vAlign w:val="bottom"/>
            <w:tcBorders>
              <w:bottom w:val="single" w:sz="8" w:color="auto"/>
            </w:tcBorders>
            <w:gridSpan w:val="4"/>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9"/>
              </w:rPr>
              <w:t xml:space="preserve">2020 </w:t>
            </w:r>
            <w:r>
              <w:rPr>
                <w:rFonts w:ascii="Arial" w:cs="Arial" w:eastAsia="Arial" w:hAnsi="Arial"/>
                <w:sz w:val="9"/>
                <w:szCs w:val="9"/>
                <w:b w:val="1"/>
                <w:bCs w:val="1"/>
                <w:color w:val="auto"/>
                <w:w w:val="99"/>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9"/>
              </w:rPr>
              <w:t xml:space="preserve">2019 </w:t>
            </w:r>
            <w:r>
              <w:rPr>
                <w:rFonts w:ascii="Arial" w:cs="Arial" w:eastAsia="Arial" w:hAnsi="Arial"/>
                <w:sz w:val="9"/>
                <w:szCs w:val="9"/>
                <w:b w:val="1"/>
                <w:bCs w:val="1"/>
                <w:color w:val="auto"/>
                <w:w w:val="99"/>
              </w:rPr>
              <w:t>(2)</w:t>
            </w:r>
          </w:p>
        </w:tc>
        <w:tc>
          <w:tcPr>
            <w:tcW w:w="100" w:type="dxa"/>
            <w:vAlign w:val="bottom"/>
          </w:tcPr>
          <w:p>
            <w:pPr>
              <w:spacing w:after="0"/>
              <w:rPr>
                <w:sz w:val="13"/>
                <w:szCs w:val="13"/>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2020 vs.</w:t>
            </w:r>
          </w:p>
        </w:tc>
        <w:tc>
          <w:tcPr>
            <w:tcW w:w="140" w:type="dxa"/>
            <w:vAlign w:val="bottom"/>
          </w:tcPr>
          <w:p>
            <w:pPr>
              <w:spacing w:after="0"/>
              <w:rPr>
                <w:sz w:val="13"/>
                <w:szCs w:val="13"/>
                <w:color w:val="auto"/>
              </w:rPr>
            </w:pPr>
          </w:p>
        </w:tc>
        <w:tc>
          <w:tcPr>
            <w:tcW w:w="7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9"/>
                <w:szCs w:val="9"/>
                <w:b w:val="1"/>
                <w:bCs w:val="1"/>
                <w:color w:val="auto"/>
              </w:rPr>
              <w:t>(3)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9"/>
              </w:rPr>
              <w:t xml:space="preserve">2019 </w:t>
            </w:r>
            <w:r>
              <w:rPr>
                <w:rFonts w:ascii="Arial" w:cs="Arial" w:eastAsia="Arial" w:hAnsi="Arial"/>
                <w:sz w:val="9"/>
                <w:szCs w:val="9"/>
                <w:b w:val="1"/>
                <w:bCs w:val="1"/>
                <w:color w:val="auto"/>
                <w:w w:val="99"/>
              </w:rPr>
              <w:t>(4)</w:t>
            </w:r>
          </w:p>
        </w:tc>
        <w:tc>
          <w:tcPr>
            <w:tcW w:w="80" w:type="dxa"/>
            <w:vAlign w:val="bottom"/>
          </w:tcPr>
          <w:p>
            <w:pPr>
              <w:spacing w:after="0"/>
              <w:rPr>
                <w:sz w:val="13"/>
                <w:szCs w:val="13"/>
                <w:color w:val="auto"/>
              </w:rPr>
            </w:pP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3,502</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4,238</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7,366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8,358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 %</w:t>
            </w:r>
          </w:p>
        </w:tc>
        <w:tc>
          <w:tcPr>
            <w:tcW w:w="0" w:type="dxa"/>
            <w:vAlign w:val="bottom"/>
          </w:tcPr>
          <w:p>
            <w:pPr>
              <w:spacing w:after="0"/>
              <w:rPr>
                <w:sz w:val="1"/>
                <w:szCs w:val="1"/>
                <w:color w:val="auto"/>
              </w:rPr>
            </w:pPr>
          </w:p>
        </w:tc>
      </w:tr>
      <w:tr>
        <w:trPr>
          <w:trHeight w:val="153"/>
        </w:trPr>
        <w:tc>
          <w:tcPr>
            <w:tcW w:w="21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Cost of transportation and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1,641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2,108</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(22.2)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3,539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4,204</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48.0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(15.8) %</w:t>
            </w:r>
          </w:p>
        </w:tc>
        <w:tc>
          <w:tcPr>
            <w:tcW w:w="0" w:type="dxa"/>
            <w:vAlign w:val="bottom"/>
          </w:tcPr>
          <w:p>
            <w:pPr>
              <w:spacing w:after="0"/>
              <w:rPr>
                <w:sz w:val="1"/>
                <w:szCs w:val="1"/>
                <w:color w:val="auto"/>
              </w:rPr>
            </w:pPr>
          </w:p>
        </w:tc>
      </w:tr>
      <w:tr>
        <w:trPr>
          <w:trHeight w:val="209"/>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Direct operating expense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2,823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SG&amp;A expense</w:t>
            </w: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632</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455</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38.9 %</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1,157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941</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23.0 %</w:t>
            </w:r>
          </w:p>
        </w:tc>
        <w:tc>
          <w:tcPr>
            <w:tcW w:w="0" w:type="dxa"/>
            <w:vAlign w:val="bottom"/>
          </w:tcPr>
          <w:p>
            <w:pPr>
              <w:spacing w:after="0"/>
              <w:rPr>
                <w:sz w:val="1"/>
                <w:szCs w:val="1"/>
                <w:color w:val="auto"/>
              </w:rPr>
            </w:pPr>
          </w:p>
        </w:tc>
      </w:tr>
      <w:tr>
        <w:trPr>
          <w:trHeight w:val="202"/>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(loss) income</w:t>
            </w: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8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7"/>
                <w:szCs w:val="17"/>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(154.7) %</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390</w:t>
            </w: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(115.4) %</w:t>
            </w:r>
          </w:p>
        </w:tc>
        <w:tc>
          <w:tcPr>
            <w:tcW w:w="0" w:type="dxa"/>
            <w:vAlign w:val="bottom"/>
          </w:tcPr>
          <w:p>
            <w:pPr>
              <w:spacing w:after="0"/>
              <w:rPr>
                <w:sz w:val="1"/>
                <w:szCs w:val="1"/>
                <w:color w:val="auto"/>
              </w:rPr>
            </w:pPr>
          </w:p>
        </w:tc>
      </w:tr>
      <w:tr>
        <w:trPr>
          <w:trHeight w:val="190"/>
        </w:trPr>
        <w:tc>
          <w:tcPr>
            <w:tcW w:w="2160" w:type="dxa"/>
            <w:vAlign w:val="bottom"/>
            <w:gridSpan w:val="2"/>
          </w:tcPr>
          <w:p>
            <w:pPr>
              <w:ind w:left="220"/>
              <w:spacing w:after="0"/>
              <w:rPr>
                <w:sz w:val="20"/>
                <w:szCs w:val="20"/>
                <w:color w:val="auto"/>
              </w:rPr>
            </w:pPr>
            <w:r>
              <w:rPr>
                <w:rFonts w:ascii="Arial" w:cs="Arial" w:eastAsia="Arial" w:hAnsi="Arial"/>
                <w:sz w:val="14"/>
                <w:szCs w:val="14"/>
                <w:color w:val="auto"/>
              </w:rPr>
              <w:t>Other expense (income)</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(0.6) %</w:t>
            </w: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(0.3) %</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61.5 %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(0.5) %</w:t>
            </w:r>
          </w:p>
        </w:tc>
        <w:tc>
          <w:tcPr>
            <w:tcW w:w="1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(0.4) %</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30.0 %</w:t>
            </w:r>
          </w:p>
        </w:tc>
        <w:tc>
          <w:tcPr>
            <w:tcW w:w="0" w:type="dxa"/>
            <w:vAlign w:val="bottom"/>
          </w:tcPr>
          <w:p>
            <w:pPr>
              <w:spacing w:after="0"/>
              <w:rPr>
                <w:sz w:val="1"/>
                <w:szCs w:val="1"/>
                <w:color w:val="auto"/>
              </w:rPr>
            </w:pPr>
          </w:p>
        </w:tc>
      </w:tr>
      <w:tr>
        <w:trPr>
          <w:trHeight w:val="209"/>
        </w:trPr>
        <w:tc>
          <w:tcPr>
            <w:tcW w:w="21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Foreign currency loss (gain)</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 %</w:t>
            </w:r>
          </w:p>
        </w:tc>
        <w:tc>
          <w:tcPr>
            <w:tcW w:w="0" w:type="dxa"/>
            <w:vAlign w:val="bottom"/>
          </w:tcPr>
          <w:p>
            <w:pPr>
              <w:spacing w:after="0"/>
              <w:rPr>
                <w:sz w:val="1"/>
                <w:szCs w:val="1"/>
                <w:color w:val="auto"/>
              </w:rPr>
            </w:pPr>
          </w:p>
        </w:tc>
      </w:tr>
      <w:tr>
        <w:trPr>
          <w:trHeight w:val="196"/>
        </w:trPr>
        <w:tc>
          <w:tcPr>
            <w:tcW w:w="2160" w:type="dxa"/>
            <w:vAlign w:val="bottom"/>
            <w:gridSpan w:val="2"/>
          </w:tcPr>
          <w:p>
            <w:pPr>
              <w:ind w:left="220"/>
              <w:spacing w:after="0"/>
              <w:rPr>
                <w:sz w:val="20"/>
                <w:szCs w:val="20"/>
                <w:color w:val="auto"/>
              </w:rPr>
            </w:pPr>
            <w:r>
              <w:rPr>
                <w:rFonts w:ascii="Arial" w:cs="Arial" w:eastAsia="Arial" w:hAnsi="Arial"/>
                <w:sz w:val="14"/>
                <w:szCs w:val="14"/>
                <w:color w:val="auto"/>
              </w:rPr>
              <w:t>Debt extinguishment loss</w:t>
            </w:r>
          </w:p>
        </w:tc>
        <w:tc>
          <w:tcPr>
            <w:tcW w:w="14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 %</w:t>
            </w:r>
          </w:p>
        </w:tc>
        <w:tc>
          <w:tcPr>
            <w:tcW w:w="880" w:type="dxa"/>
            <w:vAlign w:val="bottom"/>
            <w:gridSpan w:val="3"/>
          </w:tcPr>
          <w:p>
            <w:pPr>
              <w:jc w:val="right"/>
              <w:ind w:right="100"/>
              <w:spacing w:after="0"/>
              <w:rPr>
                <w:sz w:val="20"/>
                <w:szCs w:val="20"/>
                <w:color w:val="auto"/>
              </w:rPr>
            </w:pPr>
            <w:r>
              <w:rPr>
                <w:rFonts w:ascii="Arial" w:cs="Arial" w:eastAsia="Arial" w:hAnsi="Arial"/>
                <w:sz w:val="14"/>
                <w:szCs w:val="14"/>
                <w:color w:val="auto"/>
              </w:rPr>
              <w:t>— %</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 %</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0.1 %</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9"/>
        </w:trPr>
        <w:tc>
          <w:tcPr>
            <w:tcW w:w="21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143</w:t>
            </w:r>
          </w:p>
        </w:tc>
        <w:tc>
          <w:tcPr>
            <w:tcW w:w="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0" w:type="dxa"/>
            <w:vAlign w:val="bottom"/>
          </w:tcPr>
          <w:p>
            <w:pPr>
              <w:spacing w:after="0"/>
              <w:rPr>
                <w:sz w:val="1"/>
                <w:szCs w:val="1"/>
                <w:color w:val="auto"/>
              </w:rPr>
            </w:pPr>
          </w:p>
        </w:tc>
      </w:tr>
      <w:tr>
        <w:trPr>
          <w:trHeight w:val="133"/>
        </w:trPr>
        <w:tc>
          <w:tcPr>
            <w:tcW w:w="21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6"/>
              </w:rPr>
              <w:t>(Loss) income before income tax</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(benefit) provision</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(5.9) %</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(207.3)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262</w:t>
            </w: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(164.9) %</w:t>
            </w:r>
          </w:p>
        </w:tc>
        <w:tc>
          <w:tcPr>
            <w:tcW w:w="0" w:type="dxa"/>
            <w:vAlign w:val="bottom"/>
          </w:tcPr>
          <w:p>
            <w:pPr>
              <w:spacing w:after="0"/>
              <w:rPr>
                <w:sz w:val="1"/>
                <w:szCs w:val="1"/>
                <w:color w:val="auto"/>
              </w:rPr>
            </w:pPr>
          </w:p>
        </w:tc>
      </w:tr>
      <w:tr>
        <w:trPr>
          <w:trHeight w:val="208"/>
        </w:trPr>
        <w:tc>
          <w:tcPr>
            <w:tcW w:w="21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 (benefit) provision</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(254.3)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65</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(193.8) %</w:t>
            </w:r>
          </w:p>
        </w:tc>
        <w:tc>
          <w:tcPr>
            <w:tcW w:w="0" w:type="dxa"/>
            <w:vAlign w:val="bottom"/>
          </w:tcPr>
          <w:p>
            <w:pPr>
              <w:spacing w:after="0"/>
              <w:rPr>
                <w:sz w:val="1"/>
                <w:szCs w:val="1"/>
                <w:color w:val="auto"/>
              </w:rPr>
            </w:pPr>
          </w:p>
        </w:tc>
      </w:tr>
      <w:tr>
        <w:trPr>
          <w:trHeight w:val="190"/>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(loss) income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(134)</w:t>
            </w: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6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(3.8) %</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(192.4) %</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197</w:t>
            </w:r>
          </w:p>
        </w:tc>
        <w:tc>
          <w:tcPr>
            <w:tcW w:w="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(155.3) %</w:t>
            </w:r>
          </w:p>
        </w:tc>
        <w:tc>
          <w:tcPr>
            <w:tcW w:w="0" w:type="dxa"/>
            <w:vAlign w:val="bottom"/>
          </w:tcPr>
          <w:p>
            <w:pPr>
              <w:spacing w:after="0"/>
              <w:rPr>
                <w:sz w:val="1"/>
                <w:szCs w:val="1"/>
                <w:color w:val="auto"/>
              </w:rPr>
            </w:pPr>
          </w:p>
        </w:tc>
      </w:tr>
      <w:tr>
        <w:trPr>
          <w:trHeight w:val="27"/>
        </w:trPr>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7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80" w:hanging="31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Consolidated operating loss for the three months ended June 30, 2020 includes $50 million of restructuring expense and $46 million of transaction and integration costs.</w:t>
      </w:r>
    </w:p>
    <w:p>
      <w:pPr>
        <w:spacing w:after="0" w:line="109" w:lineRule="exact"/>
        <w:rPr>
          <w:rFonts w:ascii="Arial" w:cs="Arial" w:eastAsia="Arial" w:hAnsi="Arial"/>
          <w:sz w:val="14"/>
          <w:szCs w:val="14"/>
          <w:color w:val="auto"/>
        </w:rPr>
      </w:pPr>
    </w:p>
    <w:p>
      <w:pPr>
        <w:ind w:left="480" w:hanging="31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Consolidated operating income for the three months ended June 30, 2019 includes $4 million of restructuring expense and $1 million of transaction and integration costs.</w:t>
      </w:r>
    </w:p>
    <w:p>
      <w:pPr>
        <w:spacing w:after="0" w:line="109" w:lineRule="exact"/>
        <w:rPr>
          <w:rFonts w:ascii="Arial" w:cs="Arial" w:eastAsia="Arial" w:hAnsi="Arial"/>
          <w:sz w:val="14"/>
          <w:szCs w:val="14"/>
          <w:color w:val="auto"/>
        </w:rPr>
      </w:pPr>
    </w:p>
    <w:p>
      <w:pPr>
        <w:ind w:left="480" w:hanging="31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Consolidated operating loss for the six months ended June 30, 2020 includes $90 million of transaction and integration costs and $53 million of restructuring expense.</w:t>
      </w:r>
    </w:p>
    <w:p>
      <w:pPr>
        <w:spacing w:after="0" w:line="109" w:lineRule="exact"/>
        <w:rPr>
          <w:rFonts w:ascii="Arial" w:cs="Arial" w:eastAsia="Arial" w:hAnsi="Arial"/>
          <w:sz w:val="14"/>
          <w:szCs w:val="14"/>
          <w:color w:val="auto"/>
        </w:rPr>
      </w:pPr>
    </w:p>
    <w:p>
      <w:pPr>
        <w:ind w:left="480" w:hanging="310"/>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Consolidated operating income for the six months ended June 30, 2019 includes $17 million of restructuring expense and $2 million of transaction and integration costs.</w:t>
      </w:r>
    </w:p>
    <w:p>
      <w:pPr>
        <w:spacing w:after="0" w:line="113"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transaction and integration costs for the second quarter and first six months of 2020 are primarily related to our previously announced exploration of strategic alternatives. The review of strategic alternatives was terminated in March 2020, but certain of these costs continued into the second quarter of 2020. For further information on our restructuring actions, see Note 4—Restructuring Charges to the Condensed Consolidated Financial Statements. We also incurred in the second quarter and first six months of 2020, net incremental and direct costs as a result of the COVID-19 pandemic.</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2020 Compared with Three and Six Months Ended June 30, 2019</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Revenue for the second quarter of 2020 decreased 17.4% to $3.5 billion, compared with the same quarter in 2019. Revenue for the first six months of 2020 decreased 11.9% to $7.4 billion, compared with the same period in 2019. The decrease in both periods is primarily due to the impact of COVID-19. The revenue decrease in the first six months of 2020 also resulted from the curtailment of our direct postal injection business in the first quarter of 2019. Additionally, foreign currency movement reduced revenue by approximately 0.8 percentage points in the second quarter of 2020 and 0.9 percentage points in the first six months of 2020.</w:t>
      </w:r>
    </w:p>
    <w:p>
      <w:pPr>
        <w:spacing w:after="0" w:line="8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Cost of transportation and services includes the cost of providing or procuring freight transportation for XPO customers and salaries paid to employee drivers in our truckload and LTL businesses.</w:t>
      </w:r>
    </w:p>
    <w:p>
      <w:pPr>
        <w:spacing w:after="0" w:line="62"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Cost of transportation and services for the second quarter of 2020 was $1.6 billion, or 46.9% of revenue, compared with $2.1 billion, or 49.7% of revenue, for the same quarter in 2019. Cost of transportation and services for the first six months of 2020 was $3.5 billion, or 48.0% of revenue, compared with $4.2 billion, or 50.3% of revenue, for the same period in 2019. The year-over-year reduction as a percentage of revenue in both periods was primarily driven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by a higher mix of contract logistics revenue, lower third-party transportation costs in our transportation segment, and lower fuel costs. These lower costs were partially offset by incremental PPE and other COVID-19-related costs.</w:t>
      </w:r>
    </w:p>
    <w:p>
      <w:pPr>
        <w:spacing w:after="0" w:line="6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Direct operating expenses are comprised of both fixed and variable expenses and consist of operating costs related to our contract logistics facilities, last mile warehousing facilities, LTL service centers and European LTL network. Direct operating expenses consist mainly of personnel costs, facility and equipment expenses, such as rent, utilities, equipment maintenance and repair, costs of materials and supplies, information technology expenses, depreciation expense, and gains and losses on sales of property and equipment.</w:t>
      </w:r>
    </w:p>
    <w:p>
      <w:pPr>
        <w:spacing w:after="0" w:line="79"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Direct operating expense for the second quarter of 2020 was $1.4 billion, or 39.1% of revenue, compared with $1.4 billion, or 33.4% of revenue, for the same quarter in 2019. Direct operating expense for the first six months of 2020 was $2.7 billion, or 37.1% of revenue, compared with $2.8 billion, or</w:t>
      </w:r>
    </w:p>
    <w:p>
      <w:pPr>
        <w:ind w:right="20"/>
        <w:spacing w:after="0" w:line="253" w:lineRule="auto"/>
        <w:rPr>
          <w:sz w:val="20"/>
          <w:szCs w:val="20"/>
          <w:color w:val="auto"/>
        </w:rPr>
      </w:pPr>
      <w:r>
        <w:rPr>
          <w:rFonts w:ascii="Arial" w:cs="Arial" w:eastAsia="Arial" w:hAnsi="Arial"/>
          <w:sz w:val="18"/>
          <w:szCs w:val="18"/>
          <w:color w:val="auto"/>
        </w:rPr>
        <w:t>33.8% of revenue, for the same period in 2019. The year-over-year increases as a percentage of revenue were primarily driven by the significant decline in revenue due to COVID-19, as well as incremental PPE and other COVID-19-related costs. Additionally, the second quarters of 2020 and 2019 included $12 million and $19 million, respectively, and the first six months of 2020 and 2019 included $39 million and $40 million, respectively, from gains on sales of property and equipment.</w:t>
      </w:r>
    </w:p>
    <w:p>
      <w:pPr>
        <w:spacing w:after="0" w:line="85"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Sales, general and administrative expense (“SG&amp;A”) primarily consists of salaries and commissions for the sales function, salary and benefit costs for executive and certain administration functions, depreciation and amortization expense, professional fees, facility costs, bad debt expense and legal costs.</w:t>
      </w:r>
    </w:p>
    <w:p>
      <w:pPr>
        <w:spacing w:after="0" w:line="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SG&amp;A for the second quarter of 2020 was $632 million, or 18.0% of revenue, compared with $455 million, or 10.7% of revenue, for the same quarter in 2019. SG&amp;A for the first six months of 2020 was $1.2 billion, or 15.7% of revenue, compared with $941 million, or 11.3% of revenue, for the same period in 2019. SG&amp;A in the second quarter and first six months of 2020 included approximately $33 million and $73 million, respectively, of expenses related to our exploration of strategic alternatives, including professional service fees and retention costs. The year-over-year increases as a percentage of revenue also resulted from the significant decline in revenue due to COVID-19, higher restructuring costs, increased bad debt and self-insurance expenses and incremental PPE and other COVID-19-related costs.</w:t>
      </w:r>
    </w:p>
    <w:p>
      <w:pPr>
        <w:spacing w:after="0" w:line="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expense (income) for the second quarter of 2020 was $21 million of income, compared with $13 million of income for the same quarter in 2019. Other expense (income) for the first six months of 2020 was $39 million of income, compared with $30 million of income for the same period in 2019. The year-over-year increases primarily reflect higher net periodic pension income of $7 million in the second quarter of 2020 and $13 million in the first six months of 2020, compared with the same periods in 2019.</w:t>
      </w:r>
    </w:p>
    <w:p>
      <w:pPr>
        <w:spacing w:after="0" w:line="7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Foreign currency loss (gain) was a $3 million loss for the second quarter of 2020, compared with an $8 million loss for the same quarter in 2019. Foreign currency loss in the second quarter of 2020 primarily reflected unrealized losses on foreign currency option and forward contracts. Foreign currency loss in the second quarter of 2019 primarily reflected unrealized losses incurred on foreign currency option and forward contracts. Foreign currency loss (gain) was a $5 million gain for the first six months of 2020, compared with a $10 million loss for the same period in 2019. Foreign currency gain in the first six months of 2020 primarily reflected realized gains on foreign currency option and forward contracts and other derivative contracts, including a gain on a terminated net investment hedge. Foreign currency loss in the first six months of 2019 primarily reflected unrealized losses on foreign currency option and forward contracts. For additional information on our foreign currency option and forward contracts, see Note 5—Derivative Instruments to our Condensed Consolidated Financial Statements.</w:t>
      </w:r>
    </w:p>
    <w:p>
      <w:pPr>
        <w:spacing w:after="0" w:line="8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Debt extinguishment loss was $5 million for the first six months of 2019 and related to the write-off of debt issuance costs for an unsecured credit facility that was repaid in the first quarter of 2019. There were no debt extinguishment losses in the second quarter of 2019 or in the first six months of 2020.</w:t>
      </w:r>
    </w:p>
    <w:p>
      <w:pPr>
        <w:spacing w:after="0" w:line="1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Interest expense increased to $82 million for the second quarter of 2020 from $72 million for the second quarter of 2019. Interest expense increased to $154 million for the first six months of 2020 from $143 million for the first six months of 2019. The increases in interest expense in both the second quarter and the six-month period were primarily due to higher average total indebtedness, including the senior notes due 2025 (the “Senior Notes due 2025”) that were issued in the second quarter of 2020, partially offset by lower interest rates in the second quarter and first six months of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Our effective income tax rates were 34.8% and 24.1% for the second quarter of 2020 and 2019, respectively, and 35.8% and 24.7% for the first six months of 2020 and 2019, respectively. The effective tax rates for both the second quarter and six-month periods of 2020 and 2019 were based on forecasted full-year effective tax rates, adjusted for discrete items that occurred within the periods presented. There were no material discrete items impacting the effective tax rate for the second quarter and six-month periods of 2020 or 2019. The increase in our effective income tax rates for the second quarter and first six months of 2020 compared to prior-year periods was primarily driven by contribution- and margin-based taxes and the mix of earnings among jurisdictions.</w:t>
      </w:r>
    </w:p>
    <w:p>
      <w:pPr>
        <w:spacing w:after="0" w:line="5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U.S. Coronavirus Aid, Relief, and Economic Security Act (the “CARES Act”) enacted in March 2020 provides numerous tax provisions and other stimulus measures, including temporary changes regarding the prior and future utilization of net operating losses, temporary changes to the prior and future limitations on interest deductions, and technical corrections from prior tax legislation for tax depreciation of certain qualified improvement property. We have applied the provisions of the CARES Act relating to income taxes and realized a $4 million reduction in cash taxes as well as an immaterial income tax benefit on our Condensed Consolidated Statements of (Loss) Income in the first quarter of 2020. Additionally, we are benefiting from the ability to defer the payment of certain payroll taxes that would otherwise be required in 2020. We have not applied for any government loans under the CARES Act or similar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engage in restructuring actions as part of our ongoing efforts to best use our resources and infrastructure, including actions in response to COVID-19.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were recorded on our Condensed Consolidated Statements of (Loss) Income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6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transportation and services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w:t>
            </w:r>
          </w:p>
        </w:tc>
      </w:tr>
      <w:tr>
        <w:trPr>
          <w:trHeight w:val="243"/>
        </w:trPr>
        <w:tc>
          <w:tcPr>
            <w:tcW w:w="4940" w:type="dxa"/>
            <w:vAlign w:val="bottom"/>
            <w:gridSpan w:val="2"/>
          </w:tcPr>
          <w:p>
            <w:pPr>
              <w:ind w:left="20"/>
              <w:spacing w:after="0"/>
              <w:rPr>
                <w:sz w:val="20"/>
                <w:szCs w:val="20"/>
                <w:color w:val="auto"/>
              </w:rPr>
            </w:pPr>
            <w:r>
              <w:rPr>
                <w:rFonts w:ascii="Arial" w:cs="Arial" w:eastAsia="Arial" w:hAnsi="Arial"/>
                <w:sz w:val="18"/>
                <w:szCs w:val="18"/>
                <w:color w:val="auto"/>
              </w:rPr>
              <w:t>Direct operating expense</w:t>
            </w:r>
          </w:p>
        </w:tc>
        <w:tc>
          <w:tcPr>
            <w:tcW w:w="36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w:t>
            </w:r>
          </w:p>
        </w:tc>
      </w:tr>
      <w:tr>
        <w:trPr>
          <w:trHeight w:val="263"/>
        </w:trPr>
        <w:tc>
          <w:tcPr>
            <w:tcW w:w="49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17</w:t>
            </w:r>
          </w:p>
        </w:tc>
      </w:tr>
      <w:tr>
        <w:trPr>
          <w:trHeight w:val="21"/>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spacing w:after="0" w:line="275" w:lineRule="auto"/>
        <w:rPr>
          <w:sz w:val="20"/>
          <w:szCs w:val="20"/>
          <w:color w:val="auto"/>
        </w:rPr>
      </w:pPr>
      <w:r>
        <w:rPr>
          <w:rFonts w:ascii="Arial" w:cs="Arial" w:eastAsia="Arial" w:hAnsi="Arial"/>
          <w:sz w:val="17"/>
          <w:szCs w:val="17"/>
          <w:color w:val="auto"/>
        </w:rPr>
        <w:t>For more information, see Note 4—Restructuring Charges to the Condensed Consolidated Financial Statements. Upon successful completion of the restructuring initiatives recorded in the first six months of 2020, we expect to achieve annualized pre-tax savings of approximately $100 million by mid-2021. We expect to incur additional restructuring charges during the remainder of fiscal 2020 of approximately $15 million under previously approved restructuring actions. In addition, we may incur incremental restructuring costs in 2020 as we modify and right-size our operations due to the business impacts of COVID-19; however, we are currently unable to reasonably estimate these costs.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tcPr>
          <w:p>
            <w:pPr>
              <w:ind w:left="40"/>
              <w:spacing w:after="0"/>
              <w:rPr>
                <w:sz w:val="20"/>
                <w:szCs w:val="20"/>
                <w:color w:val="auto"/>
              </w:rPr>
            </w:pPr>
            <w:r>
              <w:rPr>
                <w:rFonts w:ascii="Arial" w:cs="Arial" w:eastAsia="Arial" w:hAnsi="Arial"/>
                <w:sz w:val="14"/>
                <w:szCs w:val="14"/>
                <w:b w:val="1"/>
                <w:bCs w:val="1"/>
                <w:color w:val="auto"/>
                <w:w w:val="99"/>
              </w:rPr>
              <w:t>Three Months Ended June</w:t>
            </w:r>
          </w:p>
        </w:tc>
        <w:tc>
          <w:tcPr>
            <w:tcW w:w="156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Percent of Revenue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17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2"/>
              </w:rPr>
              <w:t>Six Months Ended June</w:t>
            </w:r>
          </w:p>
        </w:tc>
        <w:tc>
          <w:tcPr>
            <w:tcW w:w="1560" w:type="dxa"/>
            <w:vAlign w:val="bottom"/>
            <w:gridSpan w:val="4"/>
            <w:vMerge w:val="restart"/>
          </w:tcPr>
          <w:p>
            <w:pPr>
              <w:jc w:val="right"/>
              <w:ind w:right="28"/>
              <w:spacing w:after="0"/>
              <w:rPr>
                <w:sz w:val="20"/>
                <w:szCs w:val="20"/>
                <w:color w:val="auto"/>
              </w:rPr>
            </w:pPr>
            <w:r>
              <w:rPr>
                <w:rFonts w:ascii="Arial" w:cs="Arial" w:eastAsia="Arial" w:hAnsi="Arial"/>
                <w:sz w:val="14"/>
                <w:szCs w:val="14"/>
                <w:b w:val="1"/>
                <w:bCs w:val="1"/>
                <w:color w:val="auto"/>
              </w:rPr>
              <w:t>Percent of Revenue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2"/>
              </w:rPr>
              <w:t>30,</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30,</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Borders>
              <w:bottom w:val="single" w:sz="8" w:color="auto"/>
            </w:tcBorders>
            <w:gridSpan w:val="4"/>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2020 vs. 2019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202"/>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2,127</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2,747</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(22.6) %  $</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4,586</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5,406</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0" w:type="dxa"/>
            <w:vAlign w:val="bottom"/>
          </w:tcPr>
          <w:p>
            <w:pPr>
              <w:spacing w:after="0"/>
              <w:rPr>
                <w:sz w:val="1"/>
                <w:szCs w:val="1"/>
                <w:color w:val="auto"/>
              </w:rPr>
            </w:pPr>
          </w:p>
        </w:tc>
      </w:tr>
      <w:tr>
        <w:trPr>
          <w:trHeight w:val="197"/>
        </w:trPr>
        <w:tc>
          <w:tcPr>
            <w:tcW w:w="21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(loss) income</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243</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(0.7)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(106.2)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color w:val="auto"/>
              </w:rPr>
              <w:t>371</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(71.7) %</w:t>
            </w:r>
          </w:p>
        </w:tc>
        <w:tc>
          <w:tcPr>
            <w:tcW w:w="0" w:type="dxa"/>
            <w:vAlign w:val="bottom"/>
          </w:tcPr>
          <w:p>
            <w:pPr>
              <w:spacing w:after="0"/>
              <w:rPr>
                <w:sz w:val="1"/>
                <w:szCs w:val="1"/>
                <w:color w:val="auto"/>
              </w:rPr>
            </w:pPr>
          </w:p>
        </w:tc>
      </w:tr>
      <w:tr>
        <w:trPr>
          <w:trHeight w:val="159"/>
        </w:trPr>
        <w:tc>
          <w:tcPr>
            <w:tcW w:w="214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b w:val="1"/>
                <w:bCs w:val="1"/>
                <w:color w:val="auto"/>
              </w:rPr>
              <w:t>Total depreciation and</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14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224</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Transportation segment revenue decreased 22.6% to $2.1 billion for the second quarter of 2020, compared with $2.7 billion for the same quarter in 2019. Revenue decreased 15.2% to $4.6 billion for the first six months of 2020, compared with $5.4 billion for the same period in 2019. The decline in revenue in both the second quarter and the six-month period of 2020 reflected the impact of COVID-19. The revenue decrease in the first six months of 2020 also resulted from the curtailment of our direct postal injection business in the first quarter of 2019. Additionally,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foreign currency movement reduced revenue by approximately 0.4 percentage points in the second quarter of 2020 and 0.6 percentage points in the first six months of 2020.</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Transportation segment operating loss was $15 million, or 0.7% of revenue, for the second quarter of 2020, compared with operating income of $243 million, or 8.8% of revenue, for the same quarter in 2019. Operating income for the first six months of 2020 decreased to $105 million, or 2.3% of revenue, compared with $371 million, or 6.9% of revenue, for the same period in 2019. The decrease in both periods was primarily driven by lower revenue, partially offset by lower third-party transportation, fuel and personnel costs. Partially offsetting these lower costs were higher facility costs, expenses related to our exploration of strategic alternatives, restructuring-related expenses, bad debt expense and incremental PPE and other COVID-19-related costs. Additionally, the second quarter of 2020 reflected lower gains on sales of property and equipment of $9 million, while for the first six-month period, the gains in 2020 were essentially unchanged compared to the prior-year period. Depreciation and amortization expense in the first six months of 2019 included $6 million related to the impairment of customer relationship intangible assets associated with exiting the direct postal injection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Segment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7"/>
          </w:tcPr>
          <w:p>
            <w:pPr>
              <w:ind w:left="40"/>
              <w:spacing w:after="0"/>
              <w:rPr>
                <w:sz w:val="20"/>
                <w:szCs w:val="20"/>
                <w:color w:val="auto"/>
              </w:rPr>
            </w:pPr>
            <w:r>
              <w:rPr>
                <w:rFonts w:ascii="Arial" w:cs="Arial" w:eastAsia="Arial" w:hAnsi="Arial"/>
                <w:sz w:val="14"/>
                <w:szCs w:val="14"/>
                <w:b w:val="1"/>
                <w:bCs w:val="1"/>
                <w:color w:val="auto"/>
                <w:w w:val="99"/>
              </w:rPr>
              <w:t>Three Months Ended June</w:t>
            </w:r>
          </w:p>
        </w:tc>
        <w:tc>
          <w:tcPr>
            <w:tcW w:w="156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Percent of Revenue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100" w:type="dxa"/>
            <w:vAlign w:val="bottom"/>
            <w:vMerge w:val="restart"/>
          </w:tcPr>
          <w:p>
            <w:pPr>
              <w:spacing w:after="0"/>
              <w:rPr>
                <w:sz w:val="14"/>
                <w:szCs w:val="14"/>
                <w:color w:val="auto"/>
              </w:rPr>
            </w:pPr>
          </w:p>
        </w:tc>
        <w:tc>
          <w:tcPr>
            <w:tcW w:w="17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2"/>
              </w:rPr>
              <w:t>Six Months Ended June 30,</w:t>
            </w:r>
          </w:p>
        </w:tc>
        <w:tc>
          <w:tcPr>
            <w:tcW w:w="100" w:type="dxa"/>
            <w:vAlign w:val="bottom"/>
            <w:vMerge w:val="restart"/>
          </w:tcPr>
          <w:p>
            <w:pPr>
              <w:spacing w:after="0"/>
              <w:rPr>
                <w:sz w:val="14"/>
                <w:szCs w:val="14"/>
                <w:color w:val="auto"/>
              </w:rPr>
            </w:pPr>
          </w:p>
        </w:tc>
        <w:tc>
          <w:tcPr>
            <w:tcW w:w="1540" w:type="dxa"/>
            <w:vAlign w:val="bottom"/>
            <w:gridSpan w:val="3"/>
            <w:vMerge w:val="restart"/>
          </w:tcPr>
          <w:p>
            <w:pPr>
              <w:jc w:val="right"/>
              <w:ind w:right="28"/>
              <w:spacing w:after="0"/>
              <w:rPr>
                <w:sz w:val="20"/>
                <w:szCs w:val="20"/>
                <w:color w:val="auto"/>
              </w:rPr>
            </w:pPr>
            <w:r>
              <w:rPr>
                <w:rFonts w:ascii="Arial" w:cs="Arial" w:eastAsia="Arial" w:hAnsi="Arial"/>
                <w:sz w:val="14"/>
                <w:szCs w:val="14"/>
                <w:b w:val="1"/>
                <w:bCs w:val="1"/>
                <w:color w:val="auto"/>
              </w:rPr>
              <w:t>Percent of Revenue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720" w:type="dxa"/>
            <w:vAlign w:val="bottom"/>
            <w:tcBorders>
              <w:bottom w:val="single" w:sz="8" w:color="auto"/>
            </w:tcBorders>
            <w:gridSpan w:val="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2020 vs. 2019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2020 vs. 2019</w:t>
            </w:r>
          </w:p>
        </w:tc>
        <w:tc>
          <w:tcPr>
            <w:tcW w:w="0" w:type="dxa"/>
            <w:vAlign w:val="bottom"/>
          </w:tcPr>
          <w:p>
            <w:pPr>
              <w:spacing w:after="0"/>
              <w:rPr>
                <w:sz w:val="1"/>
                <w:szCs w:val="1"/>
                <w:color w:val="auto"/>
              </w:rPr>
            </w:pPr>
          </w:p>
        </w:tc>
      </w:tr>
      <w:tr>
        <w:trPr>
          <w:trHeight w:val="202"/>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1,526</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3,020</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96"/>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(loss) income</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 %</w:t>
            </w: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(170.5)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(0.2) %</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(104.7) %</w:t>
            </w:r>
          </w:p>
        </w:tc>
        <w:tc>
          <w:tcPr>
            <w:tcW w:w="0" w:type="dxa"/>
            <w:vAlign w:val="bottom"/>
          </w:tcPr>
          <w:p>
            <w:pPr>
              <w:spacing w:after="0"/>
              <w:rPr>
                <w:sz w:val="1"/>
                <w:szCs w:val="1"/>
                <w:color w:val="auto"/>
              </w:rPr>
            </w:pPr>
          </w:p>
        </w:tc>
      </w:tr>
      <w:tr>
        <w:trPr>
          <w:trHeight w:val="159"/>
        </w:trPr>
        <w:tc>
          <w:tcPr>
            <w:tcW w:w="216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b w:val="1"/>
                <w:bCs w:val="1"/>
                <w:color w:val="auto"/>
              </w:rPr>
              <w:t>Total depreciation and</w:t>
            </w: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160" w:type="dxa"/>
            <w:vAlign w:val="bottom"/>
            <w:gridSpan w:val="2"/>
            <w:shd w:val="clear" w:color="auto" w:fill="CCEEFF"/>
          </w:tcPr>
          <w:p>
            <w:pPr>
              <w:ind w:left="18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Logistics segment revenue decreased 8.0% to $1.4 billion for the second quarter of 2020, compared with $1.5 billion for the same quarter in 2019. Revenue decreased 5.9% to $2.8 billion for the first six months of 2020, compared with $3.0 billion for the same period in 2019. These decreases reflect the impact of COVID-19, our elimination of certain low-margin business and the downsizing of business by our largest customer in North America. Additionally, foreign currency movement reduced revenue by approximately 1.6 percentage points in the second quarter of 2020 and 1.5 percentage points in the first six months of 2020.</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Logistics segment operating loss was $43 million, or 3.1% of revenue, for the second quarter of 2020, compared with operating income of $61 million, or 4.0% of revenue, for the same quarter in 2019. Operating loss for the first six months of 2020 was $5 million, or 0.2% of revenue, compared with operating income of $107 million, or 3.5% of revenue, for the same period in 2019. The decrease in both periods was primarily driven by lower revenue, increased depreciation and amortization expense, expenses related to our exploration of strategic alternatives, restructuring-related expenses and incremental PPE and other COVID-19-related costs, partially offset by lower temporary labor costs. Depreciation and amortization expense was higher in the second quarter and first six months of 2020 compared to the prior-year periods due to the impact of prior capital investments, new contract startups, and accelerated depreciation due to contract modifications.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of June 30, 2020, we had cash and cash equivalents of $2.3 billion. Our principal existing sources of cash are (i) cash generated from operations; (ii) borrowings available under our Second Amended and Restated Revolving Loan Credit Agreement, as amended (the “ABL Facility”) and a Senior Secured Term Loan Credit Agreement; and (iii) proceeds from the issuance of other debt. As of June 30, 2020, we have $354 million available to draw under our ABL Facility, based on a borrowing base of $969 million, outstanding borrowings of $600 million and outstanding letters of credit of $15 million. We also have $150 million available to draw under the Senior Secured Term Loan Credit Agreement.</w:t>
      </w:r>
    </w:p>
    <w:p>
      <w:pPr>
        <w:spacing w:after="0" w:line="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Managing our balance sheet prudently and maintaining appropriate liquidity are high priorities during the disruption caused by COVID-19. In order to best position us to navigate this uncertain period, we have taken a number of actions to further strengthen our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borrowed a net $600 million in revolving loans under our existing ABL Facility during the six months ended June 30, 2020. In addition, in early April 2020 we entered into the Senior Secured Term Loan Credit Agreement which allows us to borrow up to $150 million in aggregate principal amount of committed secured term loans and request the issuance of up to $200 million in aggregate face amount of secured letters of credit under an evergreen letter of credit facility. Also in the second quarter of 2020, we completed private placements of $1.15 billion aggregate principal amount of Senior Notes due 2025. The Senior Secured Term Loan Credit Agreement and Senior Notes due 2025 are discussed further below. And in June 2020, we amended certain provisions of the ABL Facility to provide additional debt financing flexibility.</w:t>
      </w:r>
    </w:p>
    <w:p>
      <w:pPr>
        <w:spacing w:after="0" w:line="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continually evaluate our liquidity requirements in light of our operating needs, growth initiatives and capital resources. We believe that our existing liquidity and sources of capital are sufficient to support our operations over the next 12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Condensed Consolidated Statements of Cash Flows. We also sell trade accounts receivable under a securitization program described below. We use trade receivables securitization and factoring programs to help manage our cash flows and offset the impact of extended payment terms for some of our customers.</w:t>
      </w:r>
    </w:p>
    <w:p>
      <w:pPr>
        <w:spacing w:after="0" w:line="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XPO Logistics Europe SA (“XPO Logistics Europe”), one of our majority-owned subsidiaries, participates in a trade receivables securitization program co-arranged by Crédit Agricole, BNP Paribas and HSBC (the “Purchasers”). Under the program, a wholly-owned bankruptcy-remote special purpose entity of XPO Logistics Europe sells trade receivables that originate with wholly-owned subsidiaries of XPO Logistics Europe in the United Kingdom and France to unaffiliated entities managed by the Purchasers. The special purpose entity is a variable interest entity and is consolidated by XPO based on our control of the entity’s activities.</w:t>
      </w:r>
    </w:p>
    <w:p>
      <w:pPr>
        <w:spacing w:after="0" w:line="8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Condensed Consolidated Balance Sheets at the date of transfer. In the securitization and factoring arrangements, any continuing involvement with the receivables is limited to servicing the receivables. The fair value of any servicing assets and liabilities is immaterial. Our trade receivables securitization program permits us to borrow, on an unsecured basis, cash collected in a servicing capacity on previously sold receivables, which we report within short-term debt on our Condensed Consolidated Balance Sheets. These borrowings amounted to €98 million ($110 million) as of June 30, 2020. See Note 6—Debt to our Condensed Consolidated Financial Statements for additional information on these borrowings.</w:t>
      </w:r>
    </w:p>
    <w:p>
      <w:pPr>
        <w:spacing w:after="0" w:line="6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Under a securitization program that was terminated in July 2019, if transfers were accounted for as sales, the consideration received included a simultaneous cash payment and a deferred purchase price receivable. The deferred purchase price receivable was not a trade receivable and was recorded based on its fair value and reported within Other current assets on our Condensed Consolidated Balance Sheets. The cash payment which we received on the date of the transfer was reflected within Net cash provided by operating activities on our Condensed Consolidated Statements of Cash Flows. As we received cash payments on the deferred purchase price receivable, it was reflected as an investing activity. The new program does not include a deferred purchase price mechanism.</w:t>
      </w:r>
    </w:p>
    <w:p>
      <w:pPr>
        <w:spacing w:after="0" w:line="8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maximum amount of net cash proceeds available at any one time under the current securitization program is €400 million (approximately $449 million as of June 30, 2020), and this amount includes any unsecured borrowings related to the program. As of June 30, 2020, €161 million (approximately $181 million) was available to us based on the level of receivables sold and outstanding as of that date. The securitization program expires in July 2022 and contains financial covenants customary for this type of arrangement, including maintaining a defined average days sales outstanding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8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4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29"/>
        </w:trPr>
        <w:tc>
          <w:tcPr>
            <w:tcW w:w="4760" w:type="dxa"/>
            <w:vAlign w:val="bottom"/>
            <w:tcBorders>
              <w:top w:val="single" w:sz="8" w:color="auto"/>
            </w:tcBorders>
            <w:shd w:val="clear" w:color="auto" w:fill="CCEEFF"/>
          </w:tcPr>
          <w:p>
            <w:pPr>
              <w:ind w:left="20"/>
              <w:spacing w:after="0" w:line="229" w:lineRule="exact"/>
              <w:rPr>
                <w:sz w:val="20"/>
                <w:szCs w:val="20"/>
                <w:color w:val="auto"/>
              </w:rPr>
            </w:pPr>
            <w:r>
              <w:rPr>
                <w:rFonts w:ascii="Arial" w:cs="Arial" w:eastAsia="Arial" w:hAnsi="Arial"/>
                <w:sz w:val="18"/>
                <w:szCs w:val="18"/>
                <w:b w:val="1"/>
                <w:bCs w:val="1"/>
                <w:color w:val="auto"/>
              </w:rPr>
              <w:t xml:space="preserve">Securitization programs </w:t>
            </w:r>
            <w:r>
              <w:rPr>
                <w:rFonts w:ascii="Arial" w:cs="Arial" w:eastAsia="Arial" w:hAnsi="Arial"/>
                <w:sz w:val="23"/>
                <w:szCs w:val="23"/>
                <w:b w:val="1"/>
                <w:bCs w:val="1"/>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7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661</w:t>
            </w:r>
          </w:p>
        </w:tc>
      </w:tr>
      <w:tr>
        <w:trPr>
          <w:trHeight w:val="27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529</w:t>
            </w:r>
          </w:p>
        </w:tc>
      </w:tr>
      <w:tr>
        <w:trPr>
          <w:trHeight w:val="27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Deferred purchase price</w:t>
            </w:r>
          </w:p>
        </w:tc>
        <w:tc>
          <w:tcPr>
            <w:tcW w:w="360" w:type="dxa"/>
            <w:vAlign w:val="bottom"/>
          </w:tcPr>
          <w:p>
            <w:pPr>
              <w:spacing w:after="0"/>
              <w:rPr>
                <w:sz w:val="23"/>
                <w:szCs w:val="2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132</w:t>
            </w:r>
          </w:p>
        </w:tc>
      </w:tr>
      <w:tr>
        <w:trPr>
          <w:trHeight w:val="270"/>
        </w:trPr>
        <w:tc>
          <w:tcPr>
            <w:tcW w:w="4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Receivables sold in period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419</w:t>
            </w:r>
          </w:p>
        </w:tc>
      </w:tr>
      <w:tr>
        <w:trPr>
          <w:trHeight w:val="27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Cash consideration</w:t>
            </w:r>
          </w:p>
        </w:tc>
        <w:tc>
          <w:tcPr>
            <w:tcW w:w="360" w:type="dxa"/>
            <w:vAlign w:val="bottom"/>
          </w:tcPr>
          <w:p>
            <w:pPr>
              <w:spacing w:after="0"/>
              <w:rPr>
                <w:sz w:val="23"/>
                <w:szCs w:val="23"/>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417</w:t>
            </w:r>
          </w:p>
        </w:tc>
      </w:tr>
    </w:tbl>
    <w:p>
      <w:pPr>
        <w:spacing w:after="0" w:line="89" w:lineRule="exact"/>
        <w:rPr>
          <w:sz w:val="20"/>
          <w:szCs w:val="20"/>
          <w:color w:val="auto"/>
        </w:rPr>
      </w:pPr>
    </w:p>
    <w:p>
      <w:pPr>
        <w:ind w:left="500" w:right="40" w:hanging="330"/>
        <w:spacing w:after="0" w:line="257"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Receivable transfers under the securitization programs are accounted for as either sales or secured borrowings. In the prior program, a portion of the transfers were accounted for as secured borrowings whereas under the new program, all transfers are accounted for as sales. This change had the effect of significantly increasing the amount of trade receivables we reported as sold in the second quarter of 2020.</w:t>
      </w:r>
    </w:p>
    <w:p>
      <w:pPr>
        <w:spacing w:after="0" w:line="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addition to the cash considerations referenced above, we received $66 million and $137 million in the three and six months ended June 30, 2019, respectively, for the realization of cash on the deferred purchase price receivable for our prior securitization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Debt</w:t>
      </w:r>
    </w:p>
    <w:p>
      <w:pPr>
        <w:spacing w:after="0" w:line="1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April 2020, we entered into the Senior Secured Term Loan Credit Agreement, comprised of a $150 million committed secured term loan facility and a $200 million uncommitted secured evergreen letter of credit facility. The term loan facility is available to be drawn upon, subject to customary conditions, in multiple borrowings within six months of the closing date. Any term loans thereunder will bear interest at a rate equal to London Interbank Offered Rate (“LIBOR”) or base rate, at our election, plus an applicable margin of 3.00% to 4.50%, for LIBOR loans, or 2.00% to 3.50%, for base rate loans, in each case depending upon the time elapsed since the closing date. The term loan facility matures in April 2021.</w:t>
      </w:r>
    </w:p>
    <w:p>
      <w:pPr>
        <w:spacing w:after="0" w:line="6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Letters of credit under the letter of credit facility shall expire within one year of issuance and may contain automatic one-year renewals until the letter of credit facility terminates. As of June 30, 2020, we have issued $199 million in aggregate face amount of letters of credit, which replaced letters of credit outstanding under our ABL Facility, and have not drawn on the term loan commitments. The credit agreement governing the term loan and letter of credit facilities contains representations and warranties and affirmative and negative covenants customary for financings of this type as well as customary events of default.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March 2019, we entered into an amendment to our senior secured term loan credit agreement and borrowed an additional $500 million of incremental loans under a new tranche of term loans. For more information on these amendments, refer to Note 6—Debt to our Condensed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2025</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second quarter of 2020, we completed private placements of $1.15 billion aggregate principal amount of Senior Notes due 2025. The Senior Notes due 2025 mature on May 1, 2025 and bear interest at a rate of 6.25% per annum. Interest on the notes is paid semi-annually. $850 million of the notes were issued at par, and $300 million of the notes were issued subsequently at 101.75% of face value. Net proceeds from the notes have been invested in cash and cash equivalents.</w:t>
      </w:r>
    </w:p>
    <w:p>
      <w:pPr>
        <w:spacing w:after="0" w:line="7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Senior Notes due 2025 are guaranteed by each of our direct and indirect wholly-owned restricted subsidiaries (other than some excluded subsidiaries) that are obligors under, or guarantee obligations under, our ABL Facility or existing term loan facility or guarantee certain of our other indebtedness. The Senior Notes due 2025 and the related guarantees are unsecured, unsubordinated indebtedness for us and our guarantors. The Senior Notes due 2025 contain covenants customary for notes of this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2024</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February 2019, we completed a private placement of $1.0 billion aggregate principal amount of senior notes (“Senior Notes due 2024”), which bear interest at a rate of 6.75% per annum. Proceeds from the Senior Notes due 2024 were used to repay our outstanding obligation under an unsecured credit facility and to finance a portion of our share repurchases described in Note 7—Stockholders’ Equity to our Condensed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related to Securitization Program</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trade receivables securitization program permits us to borrow, on an unsecured basis, cash collected in a servicing capacity on previously sold receivables. These borrowings, which amounted to $110 million as of June 30, 2020, are owed to the program’s Purchasers and are included in short-term debt until they are repaid in the following month’s settlement. There were no borrowings related to the program at December 31, 2019. The securitization program expires in July 2022 and contains financial covenants customary for this type of arrangement, including maintaining a defined average days sales outstanding ratio. For additional information on the securitization program, see Note 1—Organization, Description of Business and Basis of Presentation to our Condensed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December 2018, our Board of Directors authorized the repurchase of up to $1 billion of our common stock (the “2018 Program”), which was completed in the first quarter of 2019. The share repurchases under the 2018 Program were funded by an unsecured credit facility and our available cash.</w:t>
      </w:r>
    </w:p>
    <w:p>
      <w:pPr>
        <w:spacing w:after="0" w:line="1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February 2019, our Board of Directors authorized additional repurchases of up to $1.5 billion of our common stock (the “2019 Program”). The 2019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 The share purchases under the 2019 Program were funded by our available cash and proceeds from our 2019 debt offerings.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shares repurchased, based on settlement date,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2"/>
              </w:rPr>
              <w:t>Six Months Ended June 30,</w:t>
            </w:r>
          </w:p>
        </w:tc>
        <w:tc>
          <w:tcPr>
            <w:tcW w:w="1300" w:type="dxa"/>
            <w:vAlign w:val="bottom"/>
          </w:tcPr>
          <w:p>
            <w:pPr>
              <w:spacing w:after="0"/>
              <w:rPr>
                <w:sz w:val="16"/>
                <w:szCs w:val="16"/>
                <w:color w:val="auto"/>
              </w:rPr>
            </w:pPr>
          </w:p>
        </w:tc>
      </w:tr>
      <w:tr>
        <w:trPr>
          <w:trHeight w:val="196"/>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2019</w:t>
            </w:r>
          </w:p>
        </w:tc>
        <w:tc>
          <w:tcPr>
            <w:tcW w:w="1300" w:type="dxa"/>
            <w:vAlign w:val="bottom"/>
            <w:tcBorders>
              <w:top w:val="single" w:sz="8" w:color="auto"/>
              <w:bottom w:val="single" w:sz="8" w:color="auto"/>
            </w:tcBorders>
          </w:tcPr>
          <w:p>
            <w:pPr>
              <w:spacing w:after="0"/>
              <w:rPr>
                <w:sz w:val="17"/>
                <w:szCs w:val="17"/>
                <w:color w:val="auto"/>
              </w:rPr>
            </w:pPr>
          </w:p>
        </w:tc>
      </w:tr>
      <w:tr>
        <w:trPr>
          <w:trHeight w:val="196"/>
        </w:trPr>
        <w:tc>
          <w:tcPr>
            <w:tcW w:w="32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2019 Program</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 Program</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2019 Program</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 Program</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2018 Program</w:t>
            </w:r>
          </w:p>
        </w:tc>
      </w:tr>
      <w:tr>
        <w:trPr>
          <w:trHeight w:val="249"/>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Shares purchased and retired</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w:t>
            </w:r>
          </w:p>
        </w:tc>
      </w:tr>
      <w:tr>
        <w:trPr>
          <w:trHeight w:val="243"/>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Aggregate value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6"/>
              <w:spacing w:after="0"/>
              <w:rPr>
                <w:sz w:val="20"/>
                <w:szCs w:val="20"/>
                <w:color w:val="auto"/>
              </w:rPr>
            </w:pPr>
            <w:r>
              <w:rPr>
                <w:rFonts w:ascii="Arial" w:cs="Arial" w:eastAsia="Arial" w:hAnsi="Arial"/>
                <w:sz w:val="18"/>
                <w:szCs w:val="18"/>
                <w:color w:val="auto"/>
              </w:rPr>
              <w:t>114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883</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464</w:t>
            </w:r>
          </w:p>
        </w:tc>
      </w:tr>
      <w:tr>
        <w:trPr>
          <w:trHeight w:val="27"/>
        </w:trPr>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Average price per share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66.58</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59.47</w:t>
            </w:r>
          </w:p>
        </w:tc>
      </w:tr>
      <w:tr>
        <w:trPr>
          <w:trHeight w:val="243"/>
        </w:trPr>
        <w:tc>
          <w:tcPr>
            <w:tcW w:w="3360" w:type="dxa"/>
            <w:vAlign w:val="bottom"/>
            <w:gridSpan w:val="2"/>
          </w:tcPr>
          <w:p>
            <w:pPr>
              <w:ind w:left="20"/>
              <w:spacing w:after="0"/>
              <w:rPr>
                <w:sz w:val="20"/>
                <w:szCs w:val="20"/>
                <w:color w:val="auto"/>
              </w:rPr>
            </w:pPr>
            <w:r>
              <w:rPr>
                <w:rFonts w:ascii="Arial" w:cs="Arial" w:eastAsia="Arial" w:hAnsi="Arial"/>
                <w:sz w:val="18"/>
                <w:szCs w:val="18"/>
                <w:color w:val="auto"/>
              </w:rPr>
              <w:t>Remaining authorization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78"/>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6"/>
              <w:spacing w:after="0"/>
              <w:rPr>
                <w:sz w:val="20"/>
                <w:szCs w:val="20"/>
                <w:color w:val="auto"/>
              </w:rPr>
            </w:pPr>
            <w:r>
              <w:rPr>
                <w:rFonts w:ascii="Arial" w:cs="Arial" w:eastAsia="Arial" w:hAnsi="Arial"/>
                <w:sz w:val="18"/>
                <w:szCs w:val="18"/>
                <w:color w:val="auto"/>
              </w:rPr>
              <w:t>503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617</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Covenants and Compliance</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June 30, 2020, we were in compliance with the covenants and other provisions of our debt agreements. Any failure to comply with any material provision or covenant of these agreements could have a material adverse effect on our liquidity and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50"/>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164</w:t>
            </w:r>
          </w:p>
        </w:tc>
      </w:tr>
      <w:tr>
        <w:trPr>
          <w:trHeight w:val="243"/>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(14)</w:t>
            </w:r>
          </w:p>
        </w:tc>
      </w:tr>
      <w:tr>
        <w:trPr>
          <w:trHeight w:val="27"/>
        </w:trPr>
        <w:tc>
          <w:tcPr>
            <w:tcW w:w="7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w:t>
            </w:r>
          </w:p>
        </w:tc>
      </w:tr>
      <w:tr>
        <w:trPr>
          <w:trHeight w:val="243"/>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w:t>
            </w:r>
          </w:p>
        </w:tc>
      </w:tr>
      <w:tr>
        <w:trPr>
          <w:trHeight w:val="27"/>
        </w:trPr>
        <w:tc>
          <w:tcPr>
            <w:tcW w:w="7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six months ended June 30, 2020, we: (i) generated cash from operating activities of $394 million; (ii) received net proceeds of $1.8 billion on our debt and short-term borrowings; and (iii) generated proceeds from sales of property and equipment (primarily real estate) of $77 million. We used cash during this period primarily to: (i) purchase property and equipment of $255 million; (ii) repurchase common stock of $114 million; and (iii) make payments on debt and finance leases of $40 million.</w:t>
      </w:r>
    </w:p>
    <w:p>
      <w:pPr>
        <w:spacing w:after="0" w:line="79"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During the six months ended June 30, 2019, we: (i) generated cash from operating activities of $164 million; (ii) collected $137 million on a deferred purchase price receivable; (iii) generated proceeds from sales of property and equipment of $85 million, and (iv) received proceeds of $1.8 billion on our long-term debt. We used cash during this period primarily to: (i) purchase property and equipment of $236 million, (ii) repurchase common stock of $1.3 billion, (iii) make payments on long-term debt and capital leases of $565 million, and (iv) pay debt issuance costs of $27 million.</w:t>
      </w:r>
    </w:p>
    <w:p>
      <w:pPr>
        <w:spacing w:after="0" w:line="4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Cash flows from operating activities for the six months ended June 30, 2020 increased by $230 million, compared with the same period in 2019. The increase reflects the impact of lower cash usage of $514 million from operating assets and liabilities, partially offset by $284 million of lower cash-related net income for the six months ended June 30, 2020, compared with the same period in 2019. Cash-related net income represents total cash flows from operating activities less changes in assets and liabilities on the Condensed Consolidated Statements of Cash Flows. The largest components of cash-related net income are Net (loss) income plus Depreciation, amortization and net lease activity. Within operating assets and liabilities, accounts receivable were a source of cash for the six months ended June 30, 2020 as compared to a significant use of cash in the prior period reflecting lower revenues in the current period and a year-over-year increase of $45 million in proceeds from factoring. Also impacting our operating assets and liabilities were payments of approximately $75 million related to the exploration of strategic alternatives and higher interest payments of $24 million in the first half of 2020, partially offset by lower tax payments of $48 million.</w:t>
      </w:r>
    </w:p>
    <w:p>
      <w:pPr>
        <w:spacing w:after="0" w:line="7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Investing activities used $172 million and $14 million of cash in the six months ended June 30, 2020 and 2019, respectively. During the six months ended June 30, 2020, we used $255 million of cash to purchase property and equipment and received $77 million from sales of property and equipment. During the six months ended June 30, 2019, we primarily: (i) used $236 million of cash to purchase property and equipment; (ii) received $85 million from sales of property and equipment; and (iii) received proceeds of $137 million related to the realization of cash on deferred purchase price receivable.</w:t>
      </w:r>
    </w:p>
    <w:p>
      <w:pPr>
        <w:spacing w:after="0" w:line="4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Financing activities provided $1.7 billion of cash in the six months ended June 30, 2020 and used $153 million of cash in the six months ended June 30, 2019. The primary sources of cash from financing activities during the six months ended June 30, 2020 were: (i) $1.1 billion of net proceeds from the issuance of Senior Notes due 2025; (ii) $600 million of proceeds from borrowings on our ABL Facility, net of payments; and (iii) $109 million from borrowings related to our securitization program. The primary uses of cash from financing activities during the first six months of 2020 were $114 million used to purchase XPO common stock and $40 million used to repay debt and finance leases. By comparison, the primary uses of cash during the six months ended June 30, 2019 were the $1.3 billion repurchase of XPO common stock and $565 million used to repay debt and finance leases, including a $500 million repayment of borrowings under the unsecured credit facility. The primary sources of cash from financing activities during the six months ended June 30, 2019 were $1.7 billion of net proceeds from the issuance of long-term debt, consisting of the incremental term loans and Senior Notes due 2024, as well as amounts received under the senior variable funding notes in connection with our previously terminated trade securitization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described more fully above, we received proceeds of approximately $1.15 billion from our Senior Notes due 2025 in the second quarter of 2020. Additional interest payments of approximately $38 million are due in 2020, and additional annual interest payments of approximately $76 million are due in 2021 through 2024. During the six months ended June 30, 2020, there were no other material changes to our December 31, 2019 contractual obligations. We anticipate net capital expenditures to be between $250 million and $300 million in 2020, which reflects a decrease of approximately $225 million from the estimate provided in our 2019 Form 10-K, primarily due to the impact of COVID-19, as discussed previously.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Information related to new accounting standards is included in Note 1—Organization, Description of Business and Basis of Presentation to our Condensed Consolidated Financial Statements in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exposed to market risk related to changes in interest rates, foreign currency exchange rates and commodity risk. Other than the broad effects on economic conditions as a result of the COVID-19 pandemic, there have been no material changes to our quantitative and qualitative disclosures about market risk during the six months ended June 30, 2020, as compared with the quantitative and qualitative disclosures about market risk described in our Annual Report on Form 10-K for the year ended December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as such term is defined in Rule 13a-15(e) and Rule 15d-15(e) under the Securities Exchange Act of 1934, as amended as of June 30, 2020. Based on that evaluation, our CEO and CFO concluded that our disclosure controls and procedures as of June 30, 2020 were effective as of such time such that the information required to be included in our Securities and Exchange Commission (“SEC”) reports is: (i) recorded, processed, summarized and reported within the time periods specified in SEC rules and forms relating to the Company, including our consolidated subsidiaries; and (ii) accumulated and communicated to our management, including our CEO and CFO, as appropriate to allow timely decisions regarding required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quarter ended June 30, 2020 that have materially affected, or are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Intermodal Drayage Classification Claims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Certain of our intermodal drayage subsidiaries are defendants in several multi-plaintiff and putative class action litigations brought by independent contract carriers in California who contracted with these subsidiaries. In these cases, the contract carriers, and in some instances the contract carriers’ employees, assert that they should be classified as employees, rather than independent contractors. The particular claims asserted vary from case to case but generally include claims for unpaid wages, unpaid overtime, unpaid wages for missed meal and rest periods, and reimbursement of the contract carriers’ business expenses. We are unable at this time to estimate the amount of the possible loss or range of loss, if any, that we may incur as a result of these claims given, among other reasons, that the range of potential loss could be impacted substantially by future rulings by the courts involved, including on the merits of the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Last Mile Logistics Classification Claims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Some of our last mile logistics subsidiaries are defendants in several putative class action litigations brought by independent contract carriers in multiple jurisdictions who contracted with these subsidiaries. In these cases, the contract carriers, and in certain instances the contract carriers’ employees, assert that they should be classified as employees, rather than independent contractors. The particular claims asserted vary from case to case but generally include claims for unpaid wages, unpaid overtime, unpaid wages for missed meal and rest periods, and reimbursement of the contract carriers’ business expenses. We are unable at this time to estimate the amount of the possible loss or range of loss, if any, in excess of our accrued liability that we may incur as a result of these claims given, among other reasons, that the number and identities of plaintiffs in these lawsuits are uncertain and the range of potential loss could be impacted substantially by future rulings by the courts involved, including on the merits of the claims.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117" w:lineRule="exact"/>
        <w:rPr>
          <w:sz w:val="20"/>
          <w:szCs w:val="20"/>
          <w:color w:val="auto"/>
        </w:rPr>
      </w:pPr>
    </w:p>
    <w:p>
      <w:pPr>
        <w:jc w:val="both"/>
        <w:ind w:right="280"/>
        <w:spacing w:after="0" w:line="285" w:lineRule="auto"/>
        <w:rPr>
          <w:sz w:val="20"/>
          <w:szCs w:val="20"/>
          <w:color w:val="auto"/>
        </w:rPr>
      </w:pPr>
      <w:r>
        <w:rPr>
          <w:rFonts w:ascii="Arial" w:cs="Arial" w:eastAsia="Arial" w:hAnsi="Arial"/>
          <w:sz w:val="16"/>
          <w:szCs w:val="16"/>
          <w:color w:val="auto"/>
        </w:rPr>
        <w:t xml:space="preserve">On December 14, 2018, a putative class action captioned </w:t>
      </w:r>
      <w:r>
        <w:rPr>
          <w:rFonts w:ascii="Arial" w:cs="Arial" w:eastAsia="Arial" w:hAnsi="Arial"/>
          <w:sz w:val="16"/>
          <w:szCs w:val="16"/>
          <w:i w:val="1"/>
          <w:iCs w:val="1"/>
          <w:color w:val="auto"/>
        </w:rPr>
        <w:t>Labul v. XPO Logistics, Inc. et al.</w:t>
      </w:r>
      <w:r>
        <w:rPr>
          <w:rFonts w:ascii="Arial" w:cs="Arial" w:eastAsia="Arial" w:hAnsi="Arial"/>
          <w:sz w:val="16"/>
          <w:szCs w:val="16"/>
          <w:color w:val="auto"/>
        </w:rPr>
        <w:t>, No. 3:18-cv-02062 (D. Conn.) was filed in the U.S. District Court for the District of Connecticut against us and some of our current and former executives, alleging violations of Section 10(b) of the Exchange Act and Rule 10b-5 thereunder, and Section 20(a) of the Exchange Act, based on alleged material misstatements and omissions in our public filings with the U.S. Securities and Exchange Commission. On June 3, 2019, lead plaintiffs Local 817 IBT Pension Fund, Local 272 Labor-Management Pension Fund, and Local 282 Pension Trust Fund and Local 282 Welfare Trust Fund (together, the “Pension Funds”) filed a consolidated class action complaint.</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Defendants moved to dismiss the consolidated class action complaint on August 2, 2019. On November 4, 2019, the court dismissed the consolidated class action complaint without prejudice to the filing of an amended complaint. The Pension Funds, on January 3, 2020, filed a first amended consolidated class action complaint against us and a current executive. Defendants moved to dismiss the first amended consolidated class action complaint on March 3, 2020. Briefing on defendants’ motion was completed on June 18, 2020, and the Court heard oral argument on June 30, 2020. The Court has not yet issued a decision on defendants’ motion to dismiss.</w:t>
      </w:r>
    </w:p>
    <w:p>
      <w:pPr>
        <w:spacing w:after="0" w:line="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Also, on May 13, 2019, Adriana Jez filed a purported shareholder derivative action captioned </w:t>
      </w:r>
      <w:r>
        <w:rPr>
          <w:rFonts w:ascii="Arial" w:cs="Arial" w:eastAsia="Arial" w:hAnsi="Arial"/>
          <w:sz w:val="17"/>
          <w:szCs w:val="17"/>
          <w:i w:val="1"/>
          <w:iCs w:val="1"/>
          <w:color w:val="auto"/>
        </w:rPr>
        <w:t>Jez v. Jacobs, et al.</w:t>
      </w:r>
      <w:r>
        <w:rPr>
          <w:rFonts w:ascii="Arial" w:cs="Arial" w:eastAsia="Arial" w:hAnsi="Arial"/>
          <w:sz w:val="17"/>
          <w:szCs w:val="17"/>
          <w:color w:val="auto"/>
        </w:rPr>
        <w:t>, No. 19-cv-889-RGA (D. Del.) (“</w:t>
      </w:r>
      <w:r>
        <w:rPr>
          <w:rFonts w:ascii="Arial" w:cs="Arial" w:eastAsia="Arial" w:hAnsi="Arial"/>
          <w:sz w:val="17"/>
          <w:szCs w:val="17"/>
          <w:i w:val="1"/>
          <w:iCs w:val="1"/>
          <w:color w:val="auto"/>
        </w:rPr>
        <w:t>Jez</w:t>
      </w:r>
      <w:r>
        <w:rPr>
          <w:rFonts w:ascii="Arial" w:cs="Arial" w:eastAsia="Arial" w:hAnsi="Arial"/>
          <w:sz w:val="17"/>
          <w:szCs w:val="17"/>
          <w:color w:val="auto"/>
        </w:rPr>
        <w:t xml:space="preserve"> complaint”) in the U.S. District Court for the District of Delaware, alleging breaches of fiduciary duty, unjust enrichment, waste of corporate assets, and violations of the Exchange Act against some of our current and former directors and officers, with the company as a nominal defendant. The </w:t>
      </w:r>
      <w:r>
        <w:rPr>
          <w:rFonts w:ascii="Arial" w:cs="Arial" w:eastAsia="Arial" w:hAnsi="Arial"/>
          <w:sz w:val="17"/>
          <w:szCs w:val="17"/>
          <w:i w:val="1"/>
          <w:iCs w:val="1"/>
          <w:color w:val="auto"/>
        </w:rPr>
        <w:t>Jez</w:t>
      </w:r>
      <w:r>
        <w:rPr>
          <w:rFonts w:ascii="Arial" w:cs="Arial" w:eastAsia="Arial" w:hAnsi="Arial"/>
          <w:sz w:val="17"/>
          <w:szCs w:val="17"/>
          <w:color w:val="auto"/>
        </w:rPr>
        <w:t xml:space="preserve"> complaint was later consolidated with similar derivative complaints filed by purported shareholders Erin Candler and Kevin Rose under the caption </w:t>
      </w:r>
      <w:r>
        <w:rPr>
          <w:rFonts w:ascii="Arial" w:cs="Arial" w:eastAsia="Arial" w:hAnsi="Arial"/>
          <w:sz w:val="17"/>
          <w:szCs w:val="17"/>
          <w:i w:val="1"/>
          <w:iCs w:val="1"/>
          <w:color w:val="auto"/>
        </w:rPr>
        <w:t>In re XPO</w:t>
      </w:r>
      <w:r>
        <w:rPr>
          <w:rFonts w:ascii="Arial" w:cs="Arial" w:eastAsia="Arial" w:hAnsi="Arial"/>
          <w:sz w:val="17"/>
          <w:szCs w:val="17"/>
          <w:color w:val="auto"/>
        </w:rPr>
        <w:t xml:space="preserve"> </w:t>
      </w:r>
      <w:r>
        <w:rPr>
          <w:rFonts w:ascii="Arial" w:cs="Arial" w:eastAsia="Arial" w:hAnsi="Arial"/>
          <w:sz w:val="17"/>
          <w:szCs w:val="17"/>
          <w:i w:val="1"/>
          <w:iCs w:val="1"/>
          <w:color w:val="auto"/>
        </w:rPr>
        <w:t>Logistics, Inc. Derivative Litigation</w:t>
      </w:r>
      <w:r>
        <w:rPr>
          <w:rFonts w:ascii="Arial" w:cs="Arial" w:eastAsia="Arial" w:hAnsi="Arial"/>
          <w:sz w:val="17"/>
          <w:szCs w:val="17"/>
          <w:color w:val="auto"/>
        </w:rPr>
        <w:t>, No. 19-cv-889-RGA (D. Del.). On December 12, 2019, the court ordered plaintiffs to designate an operative complaint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file an amended complaint within 45 days. On January 27, 2020, plaintiffs designated the </w:t>
      </w:r>
      <w:r>
        <w:rPr>
          <w:rFonts w:ascii="Arial" w:cs="Arial" w:eastAsia="Arial" w:hAnsi="Arial"/>
          <w:sz w:val="17"/>
          <w:szCs w:val="17"/>
          <w:i w:val="1"/>
          <w:iCs w:val="1"/>
          <w:color w:val="auto"/>
        </w:rPr>
        <w:t>Jez</w:t>
      </w:r>
      <w:r>
        <w:rPr>
          <w:rFonts w:ascii="Arial" w:cs="Arial" w:eastAsia="Arial" w:hAnsi="Arial"/>
          <w:sz w:val="17"/>
          <w:szCs w:val="17"/>
          <w:color w:val="auto"/>
        </w:rPr>
        <w:t xml:space="preserve"> complaint as the operative complaint in the consolidated cases. Defendants moved to dismiss the operative complaint on February 26, 2020. Rather than file a brief in opposition, on March 27, 2020, plaintiffs moved for leave to file a further amended complaint and to stay briefing on defendants’ motions to dismiss. The Court granted plaintiffs’ motion on July 6, 2020. Defendants have not yet answered or moved against the operative complaint.</w:t>
      </w:r>
    </w:p>
    <w:p>
      <w:pPr>
        <w:spacing w:after="0" w:line="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these suits are without merit and we intend to defend the company vigorously against the allegations. We are unable at this time to determine the amount of the possible loss or range of loss, if any, that we may incur as a result of these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In addition to the information set forth in this Form 10-Q and the risk factors previously disclosed in Part I, Item 1A of our Annual Report on Form 10-K for the year ended December 31, 2019, you should carefully consider the following risk factors which could materially affect our business, financial condition or future results.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could have a material adverse effect on our business operations, results of operations, cash flows and financial position</w:t>
      </w:r>
    </w:p>
    <w:p>
      <w:pPr>
        <w:spacing w:after="0" w:line="14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are closely monitoring the impact of the COVID-19 pandemic on all aspects of our business and geographies, including how it will impact our customers, employees and other business partners. The COVID-19 pandemic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created significant volatility, uncertainty and economic disruption, which will adversely affect our business operations and may materially and adversely affect our results of operations, cash flows and financial position.</w:t>
      </w:r>
    </w:p>
    <w:p>
      <w:pPr>
        <w:spacing w:after="0" w:line="62"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For example, customer demand for our services in many parts of our business has been materially and negatively impacted by the mandated closure of our customers’ operations or points of sale, while customer demand for our services in other parts of our business has increased as consumers stockpile goods or switch to e-commerce platforms to make purchases. We experienced declines in demand for our services beginning in the first quarter of 2020, reaching their lowest levels in April, and sequentially strengthening in May and June. Impacts on our business generally began a few weeks earlier in Europe than in the U.S., following the onset of the pandemic in Asia.</w:t>
      </w:r>
    </w:p>
    <w:p>
      <w:pPr>
        <w:spacing w:after="0" w:line="8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We have incurred additional costs to ensure we meet the needs of our customers and employees, including costs for PPE, site closures and cleaning, and enhanced employee benefits such as additional paid leave and health benefits (including pandemic paid sick leave). We expect to continue to incur additional costs, which may be significant, as we continue to implement operational changes in response to the pandemic.</w:t>
      </w:r>
    </w:p>
    <w:p>
      <w:pPr>
        <w:spacing w:after="0" w:line="5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Further, our management is focused on mitigating the effects of COVID-19 on our business operations while protecting the health of our employees, which has required and will continue to require, a large investment of time and resources across our enterprise. In addition, we expect to reduce our capital expenditures this year substantially from the level at which we have invested in our business in prior years.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we do not respond appropriately to the pandemic, or if customers do not perceive our response to be adequate for the United States, Europe or our other international markets, we could suffer damage to our reputation and our brand, which could adversely affect our business. Likewise, an extended period of remote work arrangements could strain our business continuity plans, introduce operational risk, including but not limited to cybersecurity risks, and impair our ability to manage our business.</w:t>
      </w:r>
    </w:p>
    <w:p>
      <w:pPr>
        <w:spacing w:after="0" w:line="7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effect of the COVID-19 pandemic may remain prevalent for a significant period of time and may continue to adversely affect our business, results of operations and financial condition even after the COVID-19 outbreak has subsided. The extent to which the COVID-19 pandemic impacts us will depend on numerous evolving factors and future developments that we are not able to predict, including: the severity and duration of the outbreak; governmental, business and other actions (which could include limitations on our operations or mandates to provide services in a specified manner); the promotion of social distancing and the adoption of shelter-in-place orders affecting our ability to provide our services; the impact of the pandemic on economic activity; the extent and duration of the effect on consumer confidence and spending, customer demand and buying patterns; the health of and the effect on our workforce and our ability to meet staffing needs, particularly if members of our workforce are quarantined as a result of exposure; any impairment in value of our tangible or intangible assets which could be recorded as a result of weaker economic conditions; and the potential effects on our internal controls including those over financial reporting as a result of changes in working environments such as shelter-in-place and similar orders that are applicable to our employees and business partners, among others. Further, provisions for bad debt expense may increase given the financial difficulty faced by our business partners, which could, among other things, impact our ability to borrow under our trade receivables securitization program and/or our revolving credit facility. In addition, if the pandemic continues to create disruptions or turmoil in the credit or financial markets, or impacts our credit ratings, it could adversely affect our ability to access capital on favorable terms and continue to meet our liquidity needs, all of which are highly uncertain and cannot be predicted.</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There are no comparable recent events that provide guidance as to the effect the spread of COVID-19 as a global pandemic may have, and, as a result, the ultimate impact of the outbreak is highly uncertain and subject to change. Due to the unprecedented and evolving nature of the COVID-19 pandemic, it remains very difficult to predict the extent of the impact on our industry generally and our business in particular. Furthermore, the extent and pace of a recovery remains uncertain and may differ significantly among the countries in which we operate. While we anticipate that our results of operations will continue to be impacted by this pandemic in the third and fourth quarters of 2020, we are unable to reasonably estimate the extent of the impact on our full-year results of operations, our liquidity or our overall financial position. However, the effects could have a material impact on our results of operations and heighten many of our known risks described in this Form 10-Q and the “Risk Factors” section of our Annual Report on Form 10-K for the year ended December 31, 2019, which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July 31, 2020, XPO entered into employment agreements (the “Employment Agreements”) with each of Bradley S. Jacobs, Troy A. Cooper, and Mario A. Harik (collectively, the “Executives”). The Employment Agreements replace prior employment agreements with the Executives that expired on February 9, 2020. The principal terms of the Employment Agreements are described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Each Employment Agreement provides for a four-year term, commencing on July 31, 2020.</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u w:val="single" w:color="auto"/>
          <w:color w:val="auto"/>
        </w:rPr>
        <w:t>Position; Reporting</w:t>
      </w:r>
      <w:r>
        <w:rPr>
          <w:rFonts w:ascii="Arial" w:cs="Arial" w:eastAsia="Arial" w:hAnsi="Arial"/>
          <w:sz w:val="18"/>
          <w:szCs w:val="18"/>
          <w:color w:val="auto"/>
        </w:rPr>
        <w:t>. Under the Employment Agreements, Mr. Jacobs will continue to serve as XPO’s Chairman and Chief Executive Officer, reporting to XPO’s Board of Directors, Mr. Cooper will continue to serve as XPO’s President, reporting to the Chief Executive Officer, and Mr. Harik will continue to serve as XPO’s Chief Information Officer, reporting to the President.</w:t>
      </w:r>
    </w:p>
    <w:p>
      <w:pPr>
        <w:spacing w:after="0" w:line="76"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u w:val="single" w:color="auto"/>
          <w:color w:val="auto"/>
        </w:rPr>
        <w:t>Salary; Target Annual Bonus</w:t>
      </w:r>
      <w:r>
        <w:rPr>
          <w:rFonts w:ascii="Arial" w:cs="Arial" w:eastAsia="Arial" w:hAnsi="Arial"/>
          <w:sz w:val="18"/>
          <w:szCs w:val="18"/>
          <w:color w:val="auto"/>
        </w:rPr>
        <w:t>. The Employment Agreements provide that the annual base salary for each of Messrs. Jacobs, Cooper, and Harik will be $1,000,000, $650,000, $500,000, respectively, and that the target annual bonus will be 200% of base salary for each of Messrs. Jacobs and Cooper and 125% of base salary for Mr. Harik.</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u w:val="single" w:color="auto"/>
          <w:color w:val="auto"/>
        </w:rPr>
        <w:t>Termination Events</w:t>
      </w:r>
      <w:r>
        <w:rPr>
          <w:rFonts w:ascii="Arial" w:cs="Arial" w:eastAsia="Arial" w:hAnsi="Arial"/>
          <w:sz w:val="18"/>
          <w:szCs w:val="18"/>
          <w:color w:val="auto"/>
        </w:rPr>
        <w:t>. Each of the Employment Agreements provides that XPO may terminate the Executive’s employment during the term with or without cause and each of the Executives may terminate his employment on 30 days prior written notice to XPO. The severance payments described below are subject to and conditioned upon the Executive (i) signing an irrevocable waiver and general release in favor of XPO and (ii) complying with the restrictive covenants contained in the Employment Agreement.</w:t>
      </w:r>
    </w:p>
    <w:p>
      <w:pPr>
        <w:spacing w:after="0" w:line="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Non-CIC Termination</w:t>
      </w:r>
      <w:r>
        <w:rPr>
          <w:rFonts w:ascii="Arial" w:cs="Arial" w:eastAsia="Arial" w:hAnsi="Arial"/>
          <w:sz w:val="18"/>
          <w:szCs w:val="18"/>
          <w:color w:val="auto"/>
        </w:rPr>
        <w:t>. In the event that either prior to a change of control of XPO or more than two years after a change of control of XPO occurs, XPO</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terminates the Executive’s employment without cause, the Executive will be entitled to receive:</w:t>
      </w:r>
    </w:p>
    <w:p>
      <w:pPr>
        <w:spacing w:after="0" w:line="6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cash payment equal to 12 months of base salary;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medical and dental coverage for a period of six months from the date of termination, or, if earlier, until the Executive secures other employment.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CIC Termination</w:t>
      </w:r>
      <w:r>
        <w:rPr>
          <w:rFonts w:ascii="Arial" w:cs="Arial" w:eastAsia="Arial" w:hAnsi="Arial"/>
          <w:sz w:val="16"/>
          <w:szCs w:val="16"/>
          <w:color w:val="auto"/>
        </w:rPr>
        <w:t>. In the event that upon or within the two-year period following a change of control of XPO, the Executive’s employment is terminated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XPO without cause or he resigns for good reason, the Executive will receive:</w:t>
      </w:r>
    </w:p>
    <w:p>
      <w:pPr>
        <w:spacing w:after="0" w:line="10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(or 2.99, in the case of Mr. Jacobs) times the sum of the Executive’s annual base salary and target bonus;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 rata target bonus for the year of termination;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Medical and dental coverage for a period of 24 months from the date of termination.</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event that any benefits due or amounts payable to the Executive in connection with a change of control of XPO constitute “parachute payments” within the meaning of Section 280G of the Internal Revenue Code of 1986, as amended (the “Code”), then any such amounts will be reduced to avoid triggering the excise tax imposed by Section 4999 of the Code, if it would be more favorable to the Executive on a net after-tax basis. The Executives are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entitled to a gross-up payment for excise taxes imposed by Section 4999 of the Code on “excess parachute payments,” as defined in Section 280G of the Code.</w:t>
      </w:r>
    </w:p>
    <w:p>
      <w:pPr>
        <w:spacing w:after="0" w:line="6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u w:val="single" w:color="auto"/>
          <w:color w:val="auto"/>
        </w:rPr>
        <w:t>Clawbacks</w:t>
      </w:r>
      <w:r>
        <w:rPr>
          <w:rFonts w:ascii="Arial" w:cs="Arial" w:eastAsia="Arial" w:hAnsi="Arial"/>
          <w:sz w:val="18"/>
          <w:szCs w:val="18"/>
          <w:color w:val="auto"/>
        </w:rPr>
        <w:t>. Under the Employment Agreements, in the event XPO terminates the Executive’s employment for cause or if the Executive violates the restrictive covenants in the Employment Agreement, the Executive’s long-term incentive compensation is subject to certain forfeiture and clawback provisions. In addition, if the Executive engages in fraud or willful misconduct that contributes materially to any financial restatement or material loss to XPO or any of its affiliates, then the Executive’s long-term incentive compensation and annual bonus payments are subject to certain forfeiture and clawback provisions.</w:t>
      </w:r>
    </w:p>
    <w:p>
      <w:pPr>
        <w:spacing w:after="0" w:line="8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Under the Employment Agreements, each of the Executives is generally subject to the following restrictive covenants: employee and customer non-solicitation covenants during his employment and for a period of two years thereafter; confidentiality and mutual non-disparagement covenants during his employment and thereafter; and non-competition covenants during his employment and for a period of three years thereafter, except that, other than following a change of control of XPO, XPO will have the right to extend the non-compete for an additional year so long as XPO pays the Executive his base salary for the additional one-year period.</w:t>
      </w:r>
    </w:p>
    <w:p>
      <w:pPr>
        <w:spacing w:after="0" w:line="8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foregoing summary of certain terms and conditions of the Employment Agreements does not purport to be complete and is qualified in its entirety by reference to the full text of the Employment Agreements, which are filed with this report as Exhibits 10.5, 10.6, and 10.7, respectively, and are incorporated herein by reference.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Long-Term Incentive Awards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u w:val="single" w:color="auto"/>
          <w:color w:val="auto"/>
        </w:rPr>
        <w:t>Grant of Cash LTI Awards</w:t>
      </w:r>
      <w:r>
        <w:rPr>
          <w:rFonts w:ascii="Arial" w:cs="Arial" w:eastAsia="Arial" w:hAnsi="Arial"/>
          <w:sz w:val="18"/>
          <w:szCs w:val="18"/>
          <w:color w:val="auto"/>
        </w:rPr>
        <w:t>. On July 31, 2020, in connection with the execution of the Employment Agreements, XPO entered into award agreements (the “Award Agreements”) with each Executive providing for the grant of cash long-term incentive awards (the “Cash LTI Awards”) and setting forth the terms and conditions applicable to each Cash LTI Award.</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Performance Periods</w:t>
      </w:r>
      <w:r>
        <w:rPr>
          <w:rFonts w:ascii="Arial" w:cs="Arial" w:eastAsia="Arial" w:hAnsi="Arial"/>
          <w:sz w:val="18"/>
          <w:szCs w:val="18"/>
          <w:color w:val="auto"/>
        </w:rPr>
        <w:t>. Each Cash LTI Award is divided into four tranches (each, a “Tranche”), with each Tranche relating to one of four annual performance periods: 2020, 2021, 2022, and 2023, except that for the 2020 Tranche the financial goals described below are based on a performance period commencing on July 1, 2020 and ending on December 31, 2020.</w:t>
      </w:r>
    </w:p>
    <w:p>
      <w:pPr>
        <w:spacing w:after="0" w:line="7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Target Value; Performance Goals</w:t>
      </w:r>
      <w:r>
        <w:rPr>
          <w:rFonts w:ascii="Arial" w:cs="Arial" w:eastAsia="Arial" w:hAnsi="Arial"/>
          <w:sz w:val="18"/>
          <w:szCs w:val="18"/>
          <w:color w:val="auto"/>
        </w:rPr>
        <w:t>. The target value of each of the four Tranches of each Cash LTI Award is $10,000,000 for Mr. Jacobs, $3,350,000 for Mr. Cooper, and $2,250,000 for Mr. Harik. Each Tranche may be earned at a level ranging from 0-200% of the target value, depending upon the degree of achievement of performance goals relating to XPO’s absolute adjusted cash flow per share (weighted 50%), XPO’s growth in adjusted cash flow per share relative to that of a specified group of XPO’s peers (weighted 25%), and XPO’s achievement of performance initiatives and metrics in an ESG scorecard encompassing the categories of workforce/talent, employee and community safety, diversity and inclusion, data security, environment and sustainability, and/or governance (weighted 25%).</w:t>
      </w:r>
    </w:p>
    <w:p>
      <w:pPr>
        <w:spacing w:after="0" w:line="8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Each Tranche will vest, if and to the extent earned based on achievement of the applicable performance goals, as follows: on the first anniversary of the grant date, in the case of the 2020 Tranche, on January 15, 2022, in the case of the 2021 Tranche, on January 15, 2024 in the case of the 2022 Tranche, and on January 15, 2026 in the case of the 2023 Tranche, in each case, subject to the Executive’s continued employment with XPO through the applicable vesting date. The vesting of the Cash LTI Awards may, in certain circumstances, be accelerated, including full acceleration upon a change of control of XPO or the Executive’s death and partial acceleration in the event of the termination of the Executive’s employment by XPO without cause.</w:t>
      </w:r>
    </w:p>
    <w:p>
      <w:pPr>
        <w:spacing w:after="0" w:line="5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foregoing summary of certain terms and conditions of the Cash LTI Awards does not purport to be complete and is qualified in its entirety by reference to the full text of the Award Agreements, the form of which is filed with this report as Exhibit 10.8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Number</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380" w:type="dxa"/>
            <w:vAlign w:val="bottom"/>
            <w:gridSpan w:val="3"/>
          </w:tcPr>
          <w:p>
            <w:pPr>
              <w:ind w:left="412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283"/>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40" w:type="dxa"/>
            <w:vAlign w:val="bottom"/>
            <w:tcBorders>
              <w:top w:val="single" w:sz="8" w:color="auto"/>
            </w:tcBorders>
            <w:gridSpan w:val="4"/>
            <w:vMerge w:val="restart"/>
          </w:tcPr>
          <w:p>
            <w:pPr>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Indenture, dated April 28, 2020, between the registrant, the guarantors party thereto and Wells Fargo Bank, National Association, as</w:t>
              </w:r>
            </w:hyperlink>
          </w:p>
        </w:tc>
        <w:tc>
          <w:tcPr>
            <w:tcW w:w="0" w:type="dxa"/>
            <w:vAlign w:val="bottom"/>
          </w:tcPr>
          <w:p>
            <w:pPr>
              <w:spacing w:after="0"/>
              <w:rPr>
                <w:sz w:val="1"/>
                <w:szCs w:val="1"/>
                <w:color w:val="auto"/>
              </w:rPr>
            </w:pPr>
          </w:p>
        </w:tc>
      </w:tr>
      <w:tr>
        <w:trPr>
          <w:trHeight w:val="67"/>
        </w:trPr>
        <w:tc>
          <w:tcPr>
            <w:tcW w:w="1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98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gridSpan w:val="4"/>
          </w:tcPr>
          <w:p>
            <w:pPr>
              <w:spacing w:after="0" w:line="196" w:lineRule="exact"/>
              <w:rPr>
                <w:rFonts w:ascii="Arial" w:cs="Arial" w:eastAsia="Arial" w:hAnsi="Arial"/>
                <w:sz w:val="18"/>
                <w:szCs w:val="18"/>
                <w:color w:val="0000FF"/>
                <w:w w:val="93"/>
              </w:rPr>
            </w:pPr>
            <w:hyperlink r:id="rId50">
              <w:r>
                <w:rPr>
                  <w:rFonts w:ascii="Arial" w:cs="Arial" w:eastAsia="Arial" w:hAnsi="Arial"/>
                  <w:sz w:val="18"/>
                  <w:szCs w:val="18"/>
                  <w:color w:val="0000FF"/>
                  <w:w w:val="93"/>
                </w:rPr>
                <w:t>Trustee (incorporated herein by reference to Exhibit 4.1 to the registrant’s current report on Form 8-K filed with the SEC on April 28,</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0">
              <w:r>
                <w:rPr>
                  <w:rFonts w:ascii="Arial" w:cs="Arial" w:eastAsia="Arial" w:hAnsi="Arial"/>
                  <w:sz w:val="18"/>
                  <w:szCs w:val="18"/>
                  <w:color w:val="0000FF"/>
                  <w:w w:val="86"/>
                </w:rPr>
                <w:t>2020).</w:t>
              </w:r>
            </w:hyperlink>
          </w:p>
        </w:tc>
        <w:tc>
          <w:tcPr>
            <w:tcW w:w="90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1">
            <w:col w:w="11240"/>
          </w:cols>
          <w:pgMar w:left="320" w:top="229" w:right="339" w:bottom="1440" w:gutter="0" w:footer="0" w:header="0"/>
        </w:sectPr>
      </w:pPr>
    </w:p>
    <w:p>
      <w:pPr>
        <w:ind w:left="420"/>
        <w:spacing w:after="0"/>
        <w:rPr>
          <w:sz w:val="20"/>
          <w:szCs w:val="20"/>
          <w:color w:val="auto"/>
        </w:rPr>
      </w:pPr>
      <w:r>
        <w:rPr>
          <w:rFonts w:ascii="Arial" w:cs="Arial" w:eastAsia="Arial" w:hAnsi="Arial"/>
          <w:sz w:val="16"/>
          <w:szCs w:val="16"/>
          <w:color w:val="auto"/>
        </w:rPr>
        <w:t>10.1 *</w:t>
      </w:r>
    </w:p>
    <w:p>
      <w:pPr>
        <w:spacing w:after="0" w:line="200" w:lineRule="exact"/>
        <w:rPr>
          <w:sz w:val="20"/>
          <w:szCs w:val="20"/>
          <w:color w:val="auto"/>
        </w:rPr>
      </w:pPr>
    </w:p>
    <w:p>
      <w:pPr>
        <w:spacing w:after="0" w:line="26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10.2 +</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620"/>
        <w:spacing w:after="0" w:line="342" w:lineRule="auto"/>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Amendment No. 4 to Second Amended and Restated Revolving Loan Credit Agreement, dated April 3, 2020, by and among the</w:t>
        </w:r>
      </w:hyperlink>
      <w:r>
        <w:rPr>
          <w:rFonts w:ascii="Arial" w:cs="Arial" w:eastAsia="Arial" w:hAnsi="Arial"/>
          <w:sz w:val="16"/>
          <w:szCs w:val="16"/>
          <w:u w:val="single" w:color="auto"/>
          <w:color w:val="0000FF"/>
        </w:rPr>
        <w:t xml:space="preserve"> </w:t>
      </w:r>
      <w:hyperlink w:anchor="page43">
        <w:r>
          <w:rPr>
            <w:rFonts w:ascii="Arial" w:cs="Arial" w:eastAsia="Arial" w:hAnsi="Arial"/>
            <w:sz w:val="16"/>
            <w:szCs w:val="16"/>
            <w:u w:val="single" w:color="auto"/>
            <w:color w:val="0000FF"/>
          </w:rPr>
          <w:t>registrant, certain subsidiaries signatory thereto, the lenders party thereto and Morgan Stanley Senior Funding Inc., as agent.</w:t>
        </w:r>
      </w:hyperlink>
    </w:p>
    <w:p>
      <w:pPr>
        <w:spacing w:after="0" w:line="124" w:lineRule="exact"/>
        <w:rPr>
          <w:sz w:val="20"/>
          <w:szCs w:val="20"/>
          <w:color w:val="auto"/>
        </w:rPr>
      </w:pPr>
    </w:p>
    <w:p>
      <w:pPr>
        <w:ind w:right="140"/>
        <w:spacing w:after="0" w:line="277" w:lineRule="auto"/>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Amendment No. 2 to the XPO Logistics, Inc. 2016 Omnibus Incentive Compensation Plan (incorporated herein by reference to Annex</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B to the registrant’s definitive proxy statement on Schedule 14A filed with the SEC on April 21, 2020).</w:t>
        </w:r>
      </w:hyperlink>
    </w:p>
    <w:p>
      <w:pPr>
        <w:spacing w:after="0" w:line="62" w:lineRule="exact"/>
        <w:rPr>
          <w:sz w:val="20"/>
          <w:szCs w:val="20"/>
          <w:color w:val="auto"/>
        </w:rPr>
      </w:pPr>
    </w:p>
    <w:p>
      <w:pPr>
        <w:sectPr>
          <w:pgSz w:w="11900" w:h="16838" w:orient="portrait"/>
          <w:cols w:equalWidth="0" w:num="2">
            <w:col w:w="860" w:space="540"/>
            <w:col w:w="9840"/>
          </w:cols>
          <w:pgMar w:left="320" w:top="229" w:right="339" w:bottom="1440" w:gutter="0" w:footer="0" w:header="0"/>
          <w:type w:val="continuous"/>
        </w:sectPr>
      </w:pPr>
    </w:p>
    <w:p>
      <w:pPr>
        <w:ind w:left="400"/>
        <w:spacing w:after="0"/>
        <w:rPr>
          <w:sz w:val="20"/>
          <w:szCs w:val="20"/>
          <w:color w:val="auto"/>
        </w:rPr>
      </w:pPr>
      <w:r>
        <w:rPr>
          <w:rFonts w:ascii="Arial" w:cs="Arial" w:eastAsia="Arial" w:hAnsi="Arial"/>
          <w:sz w:val="16"/>
          <w:szCs w:val="16"/>
          <w:color w:val="auto"/>
        </w:rPr>
        <w:t>10.3 +</w:t>
      </w:r>
    </w:p>
    <w:p>
      <w:pPr>
        <w:spacing w:after="0" w:line="200" w:lineRule="exact"/>
        <w:rPr>
          <w:sz w:val="20"/>
          <w:szCs w:val="20"/>
          <w:color w:val="auto"/>
        </w:rPr>
      </w:pPr>
    </w:p>
    <w:p>
      <w:pPr>
        <w:spacing w:after="0" w:line="2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10.4 *</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80"/>
        <w:spacing w:after="0" w:line="277" w:lineRule="auto"/>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Separation Agreement, dated May 4, 2020, between the registrant and Sarah J.S. Glickman (incorporated herein by reference to Exhibit</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99.1 to the registrant’s current report on Form 8-K filed with the SEC on May 8, 2020).</w:t>
        </w:r>
      </w:hyperlink>
    </w:p>
    <w:p>
      <w:pPr>
        <w:spacing w:after="0" w:line="170" w:lineRule="exact"/>
        <w:rPr>
          <w:sz w:val="20"/>
          <w:szCs w:val="20"/>
          <w:color w:val="auto"/>
        </w:rPr>
      </w:pPr>
    </w:p>
    <w:p>
      <w:pPr>
        <w:ind w:right="580"/>
        <w:spacing w:after="0" w:line="342" w:lineRule="auto"/>
        <w:rPr>
          <w:rFonts w:ascii="Arial" w:cs="Arial" w:eastAsia="Arial" w:hAnsi="Arial"/>
          <w:sz w:val="16"/>
          <w:szCs w:val="16"/>
          <w:u w:val="single" w:color="auto"/>
          <w:color w:val="0000FF"/>
        </w:rPr>
      </w:pPr>
      <w:hyperlink w:anchor="page63">
        <w:r>
          <w:rPr>
            <w:rFonts w:ascii="Arial" w:cs="Arial" w:eastAsia="Arial" w:hAnsi="Arial"/>
            <w:sz w:val="16"/>
            <w:szCs w:val="16"/>
            <w:u w:val="single" w:color="auto"/>
            <w:color w:val="0000FF"/>
          </w:rPr>
          <w:t>Amendment No. 5 to Second Amended and Restated Revolving Loan Credit Agreement, dated June 29, 2020, by and among the</w:t>
        </w:r>
      </w:hyperlink>
      <w:r>
        <w:rPr>
          <w:rFonts w:ascii="Arial" w:cs="Arial" w:eastAsia="Arial" w:hAnsi="Arial"/>
          <w:sz w:val="16"/>
          <w:szCs w:val="16"/>
          <w:u w:val="single" w:color="auto"/>
          <w:color w:val="0000FF"/>
        </w:rPr>
        <w:t xml:space="preserve"> </w:t>
      </w:r>
      <w:hyperlink w:anchor="page63">
        <w:r>
          <w:rPr>
            <w:rFonts w:ascii="Arial" w:cs="Arial" w:eastAsia="Arial" w:hAnsi="Arial"/>
            <w:sz w:val="16"/>
            <w:szCs w:val="16"/>
            <w:u w:val="single" w:color="auto"/>
            <w:color w:val="0000FF"/>
          </w:rPr>
          <w:t>registrant, certain subsidiaries signatory thereto, the lenders party thereto and Morgan Stanley Senior Funding Inc., as agent.</w:t>
        </w:r>
      </w:hyperlink>
    </w:p>
    <w:p>
      <w:pPr>
        <w:spacing w:after="0" w:line="16" w:lineRule="exact"/>
        <w:rPr>
          <w:sz w:val="20"/>
          <w:szCs w:val="20"/>
          <w:color w:val="auto"/>
        </w:rPr>
      </w:pPr>
    </w:p>
    <w:p>
      <w:pPr>
        <w:sectPr>
          <w:pgSz w:w="11900" w:h="16838" w:orient="portrait"/>
          <w:cols w:equalWidth="0" w:num="2">
            <w:col w:w="860" w:space="540"/>
            <w:col w:w="984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8"/>
          <w:szCs w:val="18"/>
          <w:color w:val="auto"/>
        </w:rPr>
        <w:t>10.5 +*</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10.6 +*</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10.7 +*</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10.8 +*</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31.1 *</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31.2 *</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32.1 **</w:t>
      </w:r>
    </w:p>
    <w:p>
      <w:pPr>
        <w:spacing w:after="0" w:line="200" w:lineRule="exact"/>
        <w:rPr>
          <w:sz w:val="20"/>
          <w:szCs w:val="20"/>
          <w:color w:val="auto"/>
        </w:rPr>
      </w:pPr>
    </w:p>
    <w:p>
      <w:pPr>
        <w:spacing w:after="0" w:line="2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32.2 **</w:t>
      </w:r>
    </w:p>
    <w:p>
      <w:pPr>
        <w:spacing w:after="0" w:line="200" w:lineRule="exact"/>
        <w:rPr>
          <w:sz w:val="20"/>
          <w:szCs w:val="20"/>
          <w:color w:val="auto"/>
        </w:rPr>
      </w:pPr>
    </w:p>
    <w:p>
      <w:pPr>
        <w:spacing w:after="0" w:line="241"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101.INS *</w:t>
      </w:r>
    </w:p>
    <w:p>
      <w:pPr>
        <w:spacing w:after="0" w:line="345"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101.SCH *</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101.CAL *</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101.DEF *</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101.LAB *</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101.PRE *</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rFonts w:ascii="Arial" w:cs="Arial" w:eastAsia="Arial" w:hAnsi="Arial"/>
          <w:sz w:val="18"/>
          <w:szCs w:val="18"/>
          <w:u w:val="single" w:color="auto"/>
          <w:color w:val="0000FF"/>
        </w:rPr>
      </w:pPr>
      <w:hyperlink w:anchor="page367">
        <w:r>
          <w:rPr>
            <w:rFonts w:ascii="Arial" w:cs="Arial" w:eastAsia="Arial" w:hAnsi="Arial"/>
            <w:sz w:val="18"/>
            <w:szCs w:val="18"/>
            <w:u w:val="single" w:color="auto"/>
            <w:color w:val="0000FF"/>
          </w:rPr>
          <w:t>Employment Agreement, effective as of July 31, 2020, between the registrant and Bradley S. Jacobs.</w:t>
        </w:r>
      </w:hyperlink>
    </w:p>
    <w:p>
      <w:pPr>
        <w:spacing w:after="0" w:line="225" w:lineRule="exact"/>
        <w:rPr>
          <w:sz w:val="20"/>
          <w:szCs w:val="20"/>
          <w:color w:val="auto"/>
        </w:rPr>
      </w:pPr>
    </w:p>
    <w:p>
      <w:pPr>
        <w:spacing w:after="0"/>
        <w:rPr>
          <w:rFonts w:ascii="Arial" w:cs="Arial" w:eastAsia="Arial" w:hAnsi="Arial"/>
          <w:sz w:val="18"/>
          <w:szCs w:val="18"/>
          <w:u w:val="single" w:color="auto"/>
          <w:color w:val="0000FF"/>
        </w:rPr>
      </w:pPr>
      <w:hyperlink w:anchor="page387">
        <w:r>
          <w:rPr>
            <w:rFonts w:ascii="Arial" w:cs="Arial" w:eastAsia="Arial" w:hAnsi="Arial"/>
            <w:sz w:val="18"/>
            <w:szCs w:val="18"/>
            <w:u w:val="single" w:color="auto"/>
            <w:color w:val="0000FF"/>
          </w:rPr>
          <w:t>Employment Agreement, effective as of July 31, 2020, between the registrant and Troy A. Cooper.</w:t>
        </w:r>
      </w:hyperlink>
    </w:p>
    <w:p>
      <w:pPr>
        <w:spacing w:after="0" w:line="225" w:lineRule="exact"/>
        <w:rPr>
          <w:sz w:val="20"/>
          <w:szCs w:val="20"/>
          <w:color w:val="auto"/>
        </w:rPr>
      </w:pPr>
    </w:p>
    <w:p>
      <w:pPr>
        <w:spacing w:after="0"/>
        <w:rPr>
          <w:rFonts w:ascii="Arial" w:cs="Arial" w:eastAsia="Arial" w:hAnsi="Arial"/>
          <w:sz w:val="18"/>
          <w:szCs w:val="18"/>
          <w:u w:val="single" w:color="auto"/>
          <w:color w:val="0000FF"/>
        </w:rPr>
      </w:pPr>
      <w:hyperlink w:anchor="page407">
        <w:r>
          <w:rPr>
            <w:rFonts w:ascii="Arial" w:cs="Arial" w:eastAsia="Arial" w:hAnsi="Arial"/>
            <w:sz w:val="18"/>
            <w:szCs w:val="18"/>
            <w:u w:val="single" w:color="auto"/>
            <w:color w:val="0000FF"/>
          </w:rPr>
          <w:t>Employment Agreement, effective as of July 31, 2020, between the registrant and Mario A. Harik.</w:t>
        </w:r>
      </w:hyperlink>
    </w:p>
    <w:p>
      <w:pPr>
        <w:spacing w:after="0" w:line="225" w:lineRule="exact"/>
        <w:rPr>
          <w:sz w:val="20"/>
          <w:szCs w:val="20"/>
          <w:color w:val="auto"/>
        </w:rPr>
      </w:pPr>
    </w:p>
    <w:p>
      <w:pPr>
        <w:spacing w:after="0"/>
        <w:rPr>
          <w:rFonts w:ascii="Arial" w:cs="Arial" w:eastAsia="Arial" w:hAnsi="Arial"/>
          <w:sz w:val="18"/>
          <w:szCs w:val="18"/>
          <w:u w:val="single" w:color="auto"/>
          <w:color w:val="0000FF"/>
        </w:rPr>
      </w:pPr>
      <w:hyperlink w:anchor="page427">
        <w:r>
          <w:rPr>
            <w:rFonts w:ascii="Arial" w:cs="Arial" w:eastAsia="Arial" w:hAnsi="Arial"/>
            <w:sz w:val="18"/>
            <w:szCs w:val="18"/>
            <w:u w:val="single" w:color="auto"/>
            <w:color w:val="0000FF"/>
          </w:rPr>
          <w:t>Form of Cash Long-Term Incentive Award Agreement (2016 Omnibus Incentive Compensation Plan).</w:t>
        </w:r>
      </w:hyperlink>
    </w:p>
    <w:p>
      <w:pPr>
        <w:spacing w:after="0" w:line="225" w:lineRule="exact"/>
        <w:rPr>
          <w:sz w:val="20"/>
          <w:szCs w:val="20"/>
          <w:color w:val="auto"/>
        </w:rPr>
      </w:pPr>
    </w:p>
    <w:p>
      <w:pPr>
        <w:ind w:right="720"/>
        <w:spacing w:after="0" w:line="277" w:lineRule="auto"/>
        <w:rPr>
          <w:rFonts w:ascii="Arial" w:cs="Arial" w:eastAsia="Arial" w:hAnsi="Arial"/>
          <w:sz w:val="18"/>
          <w:szCs w:val="18"/>
          <w:u w:val="single" w:color="auto"/>
          <w:color w:val="0000FF"/>
        </w:rPr>
      </w:pPr>
      <w:hyperlink w:anchor="page441">
        <w:r>
          <w:rPr>
            <w:rFonts w:ascii="Arial" w:cs="Arial" w:eastAsia="Arial" w:hAnsi="Arial"/>
            <w:sz w:val="18"/>
            <w:szCs w:val="18"/>
            <w:u w:val="single" w:color="auto"/>
            <w:color w:val="0000FF"/>
          </w:rPr>
          <w:t>Certification of the Principal Executive Officer pursuant to Section 302 of the Sarbanes-Oxley Act of 2002, with respect to the</w:t>
        </w:r>
      </w:hyperlink>
      <w:r>
        <w:rPr>
          <w:rFonts w:ascii="Arial" w:cs="Arial" w:eastAsia="Arial" w:hAnsi="Arial"/>
          <w:sz w:val="18"/>
          <w:szCs w:val="18"/>
          <w:u w:val="single" w:color="auto"/>
          <w:color w:val="0000FF"/>
        </w:rPr>
        <w:t xml:space="preserve"> </w:t>
      </w:r>
      <w:hyperlink w:anchor="page441">
        <w:r>
          <w:rPr>
            <w:rFonts w:ascii="Arial" w:cs="Arial" w:eastAsia="Arial" w:hAnsi="Arial"/>
            <w:sz w:val="18"/>
            <w:szCs w:val="18"/>
            <w:u w:val="single" w:color="auto"/>
            <w:color w:val="0000FF"/>
          </w:rPr>
          <w:t>registrant’s Quarterly Report on Form 10-Q for the fiscal quarter ended June 30, 2020.</w:t>
        </w:r>
      </w:hyperlink>
    </w:p>
    <w:p>
      <w:pPr>
        <w:spacing w:after="0" w:line="170" w:lineRule="exact"/>
        <w:rPr>
          <w:sz w:val="20"/>
          <w:szCs w:val="20"/>
          <w:color w:val="auto"/>
        </w:rPr>
      </w:pPr>
    </w:p>
    <w:p>
      <w:pPr>
        <w:ind w:right="780"/>
        <w:spacing w:after="0" w:line="277" w:lineRule="auto"/>
        <w:rPr>
          <w:rFonts w:ascii="Arial" w:cs="Arial" w:eastAsia="Arial" w:hAnsi="Arial"/>
          <w:sz w:val="18"/>
          <w:szCs w:val="18"/>
          <w:u w:val="single" w:color="auto"/>
          <w:color w:val="0000FF"/>
        </w:rPr>
      </w:pPr>
      <w:hyperlink w:anchor="page442">
        <w:r>
          <w:rPr>
            <w:rFonts w:ascii="Arial" w:cs="Arial" w:eastAsia="Arial" w:hAnsi="Arial"/>
            <w:sz w:val="18"/>
            <w:szCs w:val="18"/>
            <w:u w:val="single" w:color="auto"/>
            <w:color w:val="0000FF"/>
          </w:rPr>
          <w:t>Certification of the Principal Financial Officer pursuant to Section 302 of the Sarbanes-Oxley Act of 2002, with respect to the</w:t>
        </w:r>
      </w:hyperlink>
      <w:r>
        <w:rPr>
          <w:rFonts w:ascii="Arial" w:cs="Arial" w:eastAsia="Arial" w:hAnsi="Arial"/>
          <w:sz w:val="18"/>
          <w:szCs w:val="18"/>
          <w:u w:val="single" w:color="auto"/>
          <w:color w:val="0000FF"/>
        </w:rPr>
        <w:t xml:space="preserve"> </w:t>
      </w:r>
      <w:hyperlink w:anchor="page442">
        <w:r>
          <w:rPr>
            <w:rFonts w:ascii="Arial" w:cs="Arial" w:eastAsia="Arial" w:hAnsi="Arial"/>
            <w:sz w:val="18"/>
            <w:szCs w:val="18"/>
            <w:u w:val="single" w:color="auto"/>
            <w:color w:val="0000FF"/>
          </w:rPr>
          <w:t>registrant’s Quarterly Report on Form 10-Q for the fiscal quarter ended June 30, 2020.</w:t>
        </w:r>
      </w:hyperlink>
    </w:p>
    <w:p>
      <w:pPr>
        <w:spacing w:after="0" w:line="170" w:lineRule="exact"/>
        <w:rPr>
          <w:sz w:val="20"/>
          <w:szCs w:val="20"/>
          <w:color w:val="auto"/>
        </w:rPr>
      </w:pPr>
    </w:p>
    <w:p>
      <w:pPr>
        <w:ind w:right="720"/>
        <w:spacing w:after="0" w:line="277" w:lineRule="auto"/>
        <w:rPr>
          <w:rFonts w:ascii="Arial" w:cs="Arial" w:eastAsia="Arial" w:hAnsi="Arial"/>
          <w:sz w:val="18"/>
          <w:szCs w:val="18"/>
          <w:u w:val="single" w:color="auto"/>
          <w:color w:val="0000FF"/>
        </w:rPr>
      </w:pPr>
      <w:hyperlink w:anchor="page443">
        <w:r>
          <w:rPr>
            <w:rFonts w:ascii="Arial" w:cs="Arial" w:eastAsia="Arial" w:hAnsi="Arial"/>
            <w:sz w:val="18"/>
            <w:szCs w:val="18"/>
            <w:u w:val="single" w:color="auto"/>
            <w:color w:val="0000FF"/>
          </w:rPr>
          <w:t>Certification of the Principal Executive Officer pursuant to Section 906 of the Sarbanes-Oxley Act of 2002, with respect to the</w:t>
        </w:r>
      </w:hyperlink>
      <w:r>
        <w:rPr>
          <w:rFonts w:ascii="Arial" w:cs="Arial" w:eastAsia="Arial" w:hAnsi="Arial"/>
          <w:sz w:val="18"/>
          <w:szCs w:val="18"/>
          <w:u w:val="single" w:color="auto"/>
          <w:color w:val="0000FF"/>
        </w:rPr>
        <w:t xml:space="preserve"> </w:t>
      </w:r>
      <w:hyperlink w:anchor="page443">
        <w:r>
          <w:rPr>
            <w:rFonts w:ascii="Arial" w:cs="Arial" w:eastAsia="Arial" w:hAnsi="Arial"/>
            <w:sz w:val="18"/>
            <w:szCs w:val="18"/>
            <w:u w:val="single" w:color="auto"/>
            <w:color w:val="0000FF"/>
          </w:rPr>
          <w:t>registrant’s Quarterly Report on Form 10-Q for the fiscal quarter ended June 30, 2020.</w:t>
        </w:r>
      </w:hyperlink>
    </w:p>
    <w:p>
      <w:pPr>
        <w:spacing w:after="0" w:line="170" w:lineRule="exact"/>
        <w:rPr>
          <w:sz w:val="20"/>
          <w:szCs w:val="20"/>
          <w:color w:val="auto"/>
        </w:rPr>
      </w:pPr>
    </w:p>
    <w:p>
      <w:pPr>
        <w:ind w:right="780"/>
        <w:spacing w:after="0" w:line="277" w:lineRule="auto"/>
        <w:rPr>
          <w:rFonts w:ascii="Arial" w:cs="Arial" w:eastAsia="Arial" w:hAnsi="Arial"/>
          <w:sz w:val="18"/>
          <w:szCs w:val="18"/>
          <w:u w:val="single" w:color="auto"/>
          <w:color w:val="0000FF"/>
        </w:rPr>
      </w:pPr>
      <w:hyperlink w:anchor="page444">
        <w:r>
          <w:rPr>
            <w:rFonts w:ascii="Arial" w:cs="Arial" w:eastAsia="Arial" w:hAnsi="Arial"/>
            <w:sz w:val="18"/>
            <w:szCs w:val="18"/>
            <w:u w:val="single" w:color="auto"/>
            <w:color w:val="0000FF"/>
          </w:rPr>
          <w:t>Certification of the Principal Financial Officer pursuant to Section 906 of the Sarbanes-Oxley Act of 2002, with respect to the</w:t>
        </w:r>
      </w:hyperlink>
      <w:r>
        <w:rPr>
          <w:rFonts w:ascii="Arial" w:cs="Arial" w:eastAsia="Arial" w:hAnsi="Arial"/>
          <w:sz w:val="18"/>
          <w:szCs w:val="18"/>
          <w:u w:val="single" w:color="auto"/>
          <w:color w:val="0000FF"/>
        </w:rPr>
        <w:t xml:space="preserve"> </w:t>
      </w:r>
      <w:hyperlink w:anchor="page444">
        <w:r>
          <w:rPr>
            <w:rFonts w:ascii="Arial" w:cs="Arial" w:eastAsia="Arial" w:hAnsi="Arial"/>
            <w:sz w:val="18"/>
            <w:szCs w:val="18"/>
            <w:u w:val="single" w:color="auto"/>
            <w:color w:val="0000FF"/>
          </w:rPr>
          <w:t>registrant’s Quarterly Report on Form 10-Q for the fiscal quarter ended June 30, 2020.</w:t>
        </w:r>
      </w:hyperlink>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XBRL Instance Document - the instance document does not appear in the Interactive Data File because its XBRL tags are embedded within the Inline XBRL document.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Schema.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Calculation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Definition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Label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Presentation Linkbase.</w:t>
      </w:r>
    </w:p>
    <w:p>
      <w:pPr>
        <w:spacing w:after="0" w:line="200" w:lineRule="exact"/>
        <w:rPr>
          <w:sz w:val="20"/>
          <w:szCs w:val="20"/>
          <w:color w:val="auto"/>
        </w:rPr>
      </w:pPr>
    </w:p>
    <w:p>
      <w:pPr>
        <w:sectPr>
          <w:pgSz w:w="11900" w:h="16838" w:orient="portrait"/>
          <w:cols w:equalWidth="0" w:num="2">
            <w:col w:w="1040" w:space="360"/>
            <w:col w:w="9840"/>
          </w:cols>
          <w:pgMar w:left="320" w:top="22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0" w:name="page41"/>
    <w:bookmarkEnd w:id="40"/>
    <w:p>
      <w:pPr>
        <w:spacing w:after="0"/>
        <w:rPr>
          <w:rFonts w:ascii="Arial" w:cs="Arial" w:eastAsia="Arial" w:hAnsi="Arial"/>
          <w:sz w:val="16"/>
          <w:szCs w:val="16"/>
          <w:b w:val="1"/>
          <w:bCs w:val="1"/>
          <w:u w:val="single" w:color="auto"/>
          <w:color w:val="0000FF"/>
        </w:rPr>
      </w:pPr>
      <w:hyperlink w:anchor="page1">
        <w:r>
          <w:rPr>
            <w:rFonts w:ascii="Arial" w:cs="Arial" w:eastAsia="Arial" w:hAnsi="Arial"/>
            <w:sz w:val="16"/>
            <w:szCs w:val="16"/>
            <w:b w:val="1"/>
            <w:bCs w:val="1"/>
            <w:u w:val="single" w:color="auto"/>
            <w:color w:val="0000FF"/>
          </w:rPr>
          <w:t>Table of Contents</w:t>
        </w:r>
      </w:hyperlink>
    </w:p>
    <w:p>
      <w:pPr>
        <w:sectPr>
          <w:pgSz w:w="11900" w:h="16838" w:orient="portrait"/>
          <w:cols w:equalWidth="0" w:num="1">
            <w:col w:w="10139"/>
          </w:cols>
          <w:pgMar w:left="320" w:top="22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20"/>
        <w:spacing w:after="0"/>
        <w:rPr>
          <w:sz w:val="20"/>
          <w:szCs w:val="20"/>
          <w:color w:val="auto"/>
        </w:rPr>
      </w:pPr>
      <w:r>
        <w:rPr>
          <w:rFonts w:ascii="Arial" w:cs="Arial" w:eastAsia="Arial" w:hAnsi="Arial"/>
          <w:sz w:val="14"/>
          <w:szCs w:val="14"/>
          <w:color w:val="auto"/>
        </w:rPr>
        <w:t>Exhibit</w:t>
      </w:r>
    </w:p>
    <w:p>
      <w:pPr>
        <w:ind w:left="400"/>
        <w:spacing w:after="0"/>
        <w:rPr>
          <w:sz w:val="20"/>
          <w:szCs w:val="20"/>
          <w:color w:val="auto"/>
        </w:rPr>
      </w:pPr>
      <w:r>
        <w:rPr>
          <w:rFonts w:ascii="Arial" w:cs="Arial" w:eastAsia="Arial" w:hAnsi="Arial"/>
          <w:sz w:val="14"/>
          <w:szCs w:val="14"/>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969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6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104 *</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580"/>
        <w:spacing w:after="0"/>
        <w:rPr>
          <w:sz w:val="20"/>
          <w:szCs w:val="20"/>
          <w:color w:val="auto"/>
        </w:rPr>
      </w:pP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20955</wp:posOffset>
            </wp:positionV>
            <wp:extent cx="62579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Cover Page Interactive Data File (formatted as inline XBRL and contained in Exhibit 101).</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exhibit is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-883285</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240" w:space="160"/>
            <w:col w:w="8739"/>
          </w:cols>
          <w:pgMar w:left="320" w:top="229" w:right="1440"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74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XPO LOGISTICS, INC.</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tcPr>
          <w:p>
            <w:pPr>
              <w:ind w:left="20"/>
              <w:spacing w:after="0"/>
              <w:rPr>
                <w:sz w:val="20"/>
                <w:szCs w:val="20"/>
                <w:color w:val="auto"/>
              </w:rPr>
            </w:pPr>
            <w:r>
              <w:rPr>
                <w:rFonts w:ascii="Arial" w:cs="Arial" w:eastAsia="Arial" w:hAnsi="Arial"/>
                <w:sz w:val="18"/>
                <w:szCs w:val="18"/>
                <w:color w:val="auto"/>
              </w:rPr>
              <w:t>/s/ Bradley S. Jacobs</w:t>
            </w:r>
          </w:p>
        </w:tc>
      </w:tr>
      <w:tr>
        <w:trPr>
          <w:trHeight w:val="27"/>
        </w:trPr>
        <w:tc>
          <w:tcPr>
            <w:tcW w:w="100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Bradley S. Jacobs</w:t>
            </w:r>
          </w:p>
        </w:tc>
      </w:tr>
      <w:tr>
        <w:trPr>
          <w:trHeight w:val="270"/>
        </w:trPr>
        <w:tc>
          <w:tcPr>
            <w:tcW w:w="1000" w:type="dxa"/>
            <w:vAlign w:val="bottom"/>
          </w:tcPr>
          <w:p>
            <w:pPr>
              <w:spacing w:after="0"/>
              <w:rPr>
                <w:sz w:val="23"/>
                <w:szCs w:val="23"/>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1000" w:type="dxa"/>
            <w:vAlign w:val="bottom"/>
          </w:tcPr>
          <w:p>
            <w:pPr>
              <w:spacing w:after="0"/>
              <w:rPr>
                <w:sz w:val="23"/>
                <w:szCs w:val="23"/>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5500" w:type="dxa"/>
            <w:vAlign w:val="bottom"/>
          </w:tcPr>
          <w:p>
            <w:pPr>
              <w:ind w:left="20"/>
              <w:spacing w:after="0"/>
              <w:rPr>
                <w:sz w:val="20"/>
                <w:szCs w:val="20"/>
                <w:color w:val="auto"/>
              </w:rPr>
            </w:pPr>
            <w:r>
              <w:rPr>
                <w:rFonts w:ascii="Arial" w:cs="Arial" w:eastAsia="Arial" w:hAnsi="Arial"/>
                <w:sz w:val="18"/>
                <w:szCs w:val="18"/>
                <w:color w:val="auto"/>
              </w:rPr>
              <w:t>/s/ David B. Wyshner</w:t>
            </w:r>
          </w:p>
        </w:tc>
      </w:tr>
      <w:tr>
        <w:trPr>
          <w:trHeight w:val="27"/>
        </w:trPr>
        <w:tc>
          <w:tcPr>
            <w:tcW w:w="1000" w:type="dxa"/>
            <w:vAlign w:val="bottom"/>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David B. Wyshner</w:t>
            </w:r>
          </w:p>
        </w:tc>
      </w:tr>
      <w:tr>
        <w:trPr>
          <w:trHeight w:val="270"/>
        </w:trPr>
        <w:tc>
          <w:tcPr>
            <w:tcW w:w="1000" w:type="dxa"/>
            <w:vAlign w:val="bottom"/>
          </w:tcPr>
          <w:p>
            <w:pPr>
              <w:spacing w:after="0"/>
              <w:rPr>
                <w:sz w:val="23"/>
                <w:szCs w:val="23"/>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1000" w:type="dxa"/>
            <w:vAlign w:val="bottom"/>
          </w:tcPr>
          <w:p>
            <w:pPr>
              <w:spacing w:after="0"/>
              <w:rPr>
                <w:sz w:val="23"/>
                <w:szCs w:val="23"/>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229"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b w:val="1"/>
          <w:bCs w:val="1"/>
          <w:color w:val="auto"/>
        </w:rPr>
        <w:t>Exhibit 10.1</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NO. 4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SECOND AMENDED AND RESTATED REVOLVING LOAN CREDIT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APRIL 3, 2020</w:t>
      </w:r>
    </w:p>
    <w:p>
      <w:pPr>
        <w:spacing w:after="0" w:line="22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Amendment No. 4 to the Second Amended and Restated Revolving Loan Credit Agreement, dated as of October 30, 2015 (this “</w:t>
      </w:r>
      <w:r>
        <w:rPr>
          <w:rFonts w:ascii="Arial" w:cs="Arial" w:eastAsia="Arial" w:hAnsi="Arial"/>
          <w:sz w:val="19"/>
          <w:szCs w:val="19"/>
          <w:u w:val="single" w:color="auto"/>
          <w:color w:val="auto"/>
        </w:rPr>
        <w:t>Amendment</w:t>
      </w:r>
      <w:r>
        <w:rPr>
          <w:rFonts w:ascii="Arial" w:cs="Arial" w:eastAsia="Arial" w:hAnsi="Arial"/>
          <w:sz w:val="19"/>
          <w:szCs w:val="19"/>
          <w:color w:val="auto"/>
        </w:rPr>
        <w:t>”), by and among XPO LOGISTICS, INC., a Delaware corporation (“</w:t>
      </w:r>
      <w:r>
        <w:rPr>
          <w:rFonts w:ascii="Arial" w:cs="Arial" w:eastAsia="Arial" w:hAnsi="Arial"/>
          <w:sz w:val="19"/>
          <w:szCs w:val="19"/>
          <w:u w:val="single" w:color="auto"/>
          <w:color w:val="auto"/>
        </w:rPr>
        <w:t>Parent Borrower</w:t>
      </w:r>
      <w:r>
        <w:rPr>
          <w:rFonts w:ascii="Arial" w:cs="Arial" w:eastAsia="Arial" w:hAnsi="Arial"/>
          <w:sz w:val="19"/>
          <w:szCs w:val="19"/>
          <w:color w:val="auto"/>
        </w:rPr>
        <w:t>”), certain of Parent Borrower’s Subsidiaries signatory thereto, as borrowers (collectively with Parent Borrower, the “</w:t>
      </w:r>
      <w:r>
        <w:rPr>
          <w:rFonts w:ascii="Arial" w:cs="Arial" w:eastAsia="Arial" w:hAnsi="Arial"/>
          <w:sz w:val="19"/>
          <w:szCs w:val="19"/>
          <w:u w:val="single" w:color="auto"/>
          <w:color w:val="auto"/>
        </w:rPr>
        <w:t>Borrowers</w:t>
      </w:r>
      <w:r>
        <w:rPr>
          <w:rFonts w:ascii="Arial" w:cs="Arial" w:eastAsia="Arial" w:hAnsi="Arial"/>
          <w:sz w:val="19"/>
          <w:szCs w:val="19"/>
          <w:color w:val="auto"/>
        </w:rPr>
        <w:t>” and each, individually, as a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from time to time party thereto, MORGAN STANLEY SENIOR FUNDING, INC., in its capacity as agent (in such capacity and together with any successors and assigns in such capacity, the “</w:t>
      </w:r>
      <w:r>
        <w:rPr>
          <w:rFonts w:ascii="Arial" w:cs="Arial" w:eastAsia="Arial" w:hAnsi="Arial"/>
          <w:sz w:val="19"/>
          <w:szCs w:val="19"/>
          <w:u w:val="single" w:color="auto"/>
          <w:color w:val="auto"/>
        </w:rPr>
        <w:t>Agent</w:t>
      </w:r>
      <w:r>
        <w:rPr>
          <w:rFonts w:ascii="Arial" w:cs="Arial" w:eastAsia="Arial" w:hAnsi="Arial"/>
          <w:sz w:val="19"/>
          <w:szCs w:val="19"/>
          <w:color w:val="auto"/>
        </w:rPr>
        <w:t>”) and MORGAN STANLEY SENIOR FUNDING, INC. and JPMORGAN CHASE BANK, N.A. in their capacity as co-collateral agents (in such capacity and together with any successors and assigns in such capacity, the “</w:t>
      </w:r>
      <w:r>
        <w:rPr>
          <w:rFonts w:ascii="Arial" w:cs="Arial" w:eastAsia="Arial" w:hAnsi="Arial"/>
          <w:sz w:val="19"/>
          <w:szCs w:val="19"/>
          <w:u w:val="single" w:color="auto"/>
          <w:color w:val="auto"/>
        </w:rPr>
        <w:t>Co-Collateral Agents</w:t>
      </w:r>
      <w:r>
        <w:rPr>
          <w:rFonts w:ascii="Arial" w:cs="Arial" w:eastAsia="Arial" w:hAnsi="Arial"/>
          <w:sz w:val="19"/>
          <w:szCs w:val="19"/>
          <w:color w:val="auto"/>
        </w:rPr>
        <w:t>”) (as amended, restated, modified and supplemented prior to the date hereof,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the Credit Agreement, as amended by this Amendment, the “</w:t>
      </w:r>
      <w:r>
        <w:rPr>
          <w:rFonts w:ascii="Arial" w:cs="Arial" w:eastAsia="Arial" w:hAnsi="Arial"/>
          <w:sz w:val="19"/>
          <w:szCs w:val="19"/>
          <w:u w:val="single" w:color="auto"/>
          <w:color w:val="auto"/>
        </w:rPr>
        <w:t>Amended Credit Agreement</w:t>
      </w:r>
      <w:r>
        <w:rPr>
          <w:rFonts w:ascii="Arial" w:cs="Arial" w:eastAsia="Arial" w:hAnsi="Arial"/>
          <w:sz w:val="19"/>
          <w:szCs w:val="19"/>
          <w:color w:val="auto"/>
        </w:rPr>
        <w:t>”); capitalized terms used and not otherwise defined herein shall have the meanings assigned to such terms in the Credit Agreement.</w:t>
      </w:r>
    </w:p>
    <w:p>
      <w:pPr>
        <w:spacing w:after="0" w:line="184" w:lineRule="exact"/>
        <w:rPr>
          <w:sz w:val="20"/>
          <w:szCs w:val="20"/>
          <w:color w:val="auto"/>
        </w:rPr>
      </w:pPr>
    </w:p>
    <w:p>
      <w:pPr>
        <w:jc w:val="both"/>
        <w:ind w:right="20" w:firstLine="1296"/>
        <w:spacing w:after="0" w:line="260" w:lineRule="auto"/>
        <w:rPr>
          <w:sz w:val="20"/>
          <w:szCs w:val="20"/>
          <w:color w:val="auto"/>
        </w:rPr>
      </w:pPr>
      <w:r>
        <w:rPr>
          <w:rFonts w:ascii="Arial" w:cs="Arial" w:eastAsia="Arial" w:hAnsi="Arial"/>
          <w:sz w:val="20"/>
          <w:szCs w:val="20"/>
          <w:color w:val="auto"/>
        </w:rPr>
        <w:t>WHEREAS, pursuant to Section 12.2(a) of the Credit Agreement, the Parent Borrower and the Requisite Lenders have agreed to amend the Credit Agreement as set forth herein;</w:t>
      </w:r>
    </w:p>
    <w:p>
      <w:pPr>
        <w:spacing w:after="0" w:line="177"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2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b w:val="1"/>
          <w:bCs w:val="1"/>
          <w:u w:val="single" w:color="auto"/>
          <w:color w:val="auto"/>
        </w:rPr>
        <w:t>Amendment</w:t>
      </w:r>
      <w:r>
        <w:rPr>
          <w:rFonts w:ascii="Arial" w:cs="Arial" w:eastAsia="Arial" w:hAnsi="Arial"/>
          <w:sz w:val="20"/>
          <w:szCs w:val="20"/>
          <w:color w:val="auto"/>
        </w:rPr>
        <w:t xml:space="preserve">. Effective as of the Amendment Effective Date (as defined below), clause (x) of the proviso to clause (25) of the definition of “Permitted Liens” shall be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add the double-underlined text (indicated textually in the same manner as the following example: </w:t>
      </w:r>
      <w:r>
        <w:rPr>
          <w:rFonts w:ascii="Arial" w:cs="Arial" w:eastAsia="Arial" w:hAnsi="Arial"/>
          <w:sz w:val="20"/>
          <w:szCs w:val="20"/>
          <w:u w:val="single" w:color="auto"/>
          <w:color w:val="0000FF"/>
        </w:rPr>
        <w:t>double-underlined text</w:t>
      </w:r>
      <w:r>
        <w:rPr>
          <w:rFonts w:ascii="Arial" w:cs="Arial" w:eastAsia="Arial" w:hAnsi="Arial"/>
          <w:sz w:val="20"/>
          <w:szCs w:val="20"/>
          <w:color w:val="000000"/>
        </w:rPr>
        <w:t>) as follows:</w:t>
      </w:r>
    </w:p>
    <w:p>
      <w:pPr>
        <w:spacing w:after="0" w:line="189" w:lineRule="exact"/>
        <w:rPr>
          <w:sz w:val="20"/>
          <w:szCs w:val="20"/>
          <w:color w:val="auto"/>
        </w:rPr>
      </w:pPr>
    </w:p>
    <w:p>
      <w:pPr>
        <w:ind w:left="660" w:right="100"/>
        <w:spacing w:after="0" w:line="268" w:lineRule="auto"/>
        <w:rPr>
          <w:sz w:val="20"/>
          <w:szCs w:val="20"/>
          <w:color w:val="auto"/>
        </w:rPr>
      </w:pPr>
      <w:r>
        <w:rPr>
          <w:rFonts w:ascii="Arial" w:cs="Arial" w:eastAsia="Arial" w:hAnsi="Arial"/>
          <w:sz w:val="18"/>
          <w:szCs w:val="18"/>
          <w:color w:val="auto"/>
        </w:rPr>
        <w:t xml:space="preserve">“(25) other Liens securing obligations the outstanding principal amount of which does not, taken together with the principal amount of all other obligations secured by Liens incurred under this clause (25) that are at that time outstanding, exceed the greater of $480 million and 30% of Consolidated EBITDA at the time of incurrence,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any Lien on Term Priority Collateral may be </w:t>
      </w:r>
      <w:r>
        <w:rPr>
          <w:rFonts w:ascii="Arial" w:cs="Arial" w:eastAsia="Arial" w:hAnsi="Arial"/>
          <w:sz w:val="18"/>
          <w:szCs w:val="18"/>
          <w:u w:val="single" w:color="auto"/>
          <w:color w:val="0000FF"/>
        </w:rPr>
        <w:t>senior to,</w:t>
      </w:r>
      <w:r>
        <w:rPr>
          <w:rFonts w:ascii="Arial" w:cs="Arial" w:eastAsia="Arial" w:hAnsi="Arial"/>
          <w:sz w:val="18"/>
          <w:szCs w:val="18"/>
          <w:color w:val="0000FF"/>
        </w:rPr>
        <w:t xml:space="preserve"> </w:t>
      </w:r>
      <w:r>
        <w:rPr>
          <w:rFonts w:ascii="Arial" w:cs="Arial" w:eastAsia="Arial" w:hAnsi="Arial"/>
          <w:sz w:val="18"/>
          <w:szCs w:val="18"/>
          <w:color w:val="000000"/>
        </w:rPr>
        <w:t>pari passu with or junior to</w:t>
      </w:r>
      <w:r>
        <w:rPr>
          <w:rFonts w:ascii="Arial" w:cs="Arial" w:eastAsia="Arial" w:hAnsi="Arial"/>
          <w:sz w:val="18"/>
          <w:szCs w:val="18"/>
          <w:color w:val="FF0000"/>
          <w:strike w:val="1"/>
        </w:rPr>
        <w:t>, but not senior to,</w:t>
      </w:r>
      <w:r>
        <w:rPr>
          <w:rFonts w:ascii="Arial" w:cs="Arial" w:eastAsia="Arial" w:hAnsi="Arial"/>
          <w:sz w:val="18"/>
          <w:szCs w:val="18"/>
          <w:color w:val="0000FF"/>
        </w:rPr>
        <w:t xml:space="preserve"> </w:t>
      </w:r>
      <w:r>
        <w:rPr>
          <w:rFonts w:ascii="Arial" w:cs="Arial" w:eastAsia="Arial" w:hAnsi="Arial"/>
          <w:sz w:val="18"/>
          <w:szCs w:val="18"/>
          <w:color w:val="000000"/>
        </w:rPr>
        <w:t>the Lien</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on such Term Priority Collateral</w:t>
      </w:r>
      <w:r>
        <w:rPr>
          <w:rFonts w:ascii="Arial" w:cs="Arial" w:eastAsia="Arial" w:hAnsi="Arial"/>
          <w:sz w:val="18"/>
          <w:szCs w:val="18"/>
          <w:color w:val="0000FF"/>
        </w:rPr>
        <w:t xml:space="preserve"> </w:t>
      </w:r>
      <w:r>
        <w:rPr>
          <w:rFonts w:ascii="Arial" w:cs="Arial" w:eastAsia="Arial" w:hAnsi="Arial"/>
          <w:sz w:val="18"/>
          <w:szCs w:val="18"/>
          <w:color w:val="000000"/>
        </w:rPr>
        <w:t>securing the Obligations, except to</w:t>
      </w:r>
      <w:r>
        <w:rPr>
          <w:rFonts w:ascii="Arial" w:cs="Arial" w:eastAsia="Arial" w:hAnsi="Arial"/>
          <w:sz w:val="18"/>
          <w:szCs w:val="18"/>
          <w:color w:val="0000FF"/>
        </w:rPr>
        <w:t xml:space="preserve"> </w:t>
      </w:r>
      <w:r>
        <w:rPr>
          <w:rFonts w:ascii="Arial" w:cs="Arial" w:eastAsia="Arial" w:hAnsi="Arial"/>
          <w:sz w:val="18"/>
          <w:szCs w:val="18"/>
          <w:color w:val="000000"/>
        </w:rPr>
        <w:t>the extent such Liens secure any Capitalized Lease Obligation or any purchase money Indebtedness, in which case such Liens may be prior to the Liens securing the Obligations, but only as to the applicable assets securing the Capitalized Lease Obligation or purchase money Indebtedness and (y) any Lien on the ABL Priority Collateral and the Canadian Collateral in reliance on this clause</w:t>
      </w:r>
    </w:p>
    <w:p>
      <w:pPr>
        <w:spacing w:after="0" w:line="5" w:lineRule="exact"/>
        <w:rPr>
          <w:sz w:val="20"/>
          <w:szCs w:val="20"/>
          <w:color w:val="auto"/>
        </w:rPr>
      </w:pPr>
    </w:p>
    <w:p>
      <w:pPr>
        <w:ind w:left="660" w:right="280" w:hanging="4"/>
        <w:spacing w:after="0" w:line="241" w:lineRule="auto"/>
        <w:tabs>
          <w:tab w:leader="none" w:pos="1039" w:val="left"/>
        </w:tabs>
        <w:numPr>
          <w:ilvl w:val="0"/>
          <w:numId w:val="10"/>
        </w:numPr>
        <w:rPr>
          <w:rFonts w:ascii="Arial" w:cs="Arial" w:eastAsia="Arial" w:hAnsi="Arial"/>
          <w:sz w:val="20"/>
          <w:szCs w:val="20"/>
          <w:color w:val="auto"/>
        </w:rPr>
      </w:pPr>
      <w:r>
        <w:rPr>
          <w:rFonts w:ascii="Arial" w:cs="Arial" w:eastAsia="Arial" w:hAnsi="Arial"/>
          <w:sz w:val="20"/>
          <w:szCs w:val="20"/>
          <w:color w:val="auto"/>
        </w:rPr>
        <w:t>shall be junior to the Liens on the ABL Priority Collateral or the Canadian Collateral securing the Obligations pursuant to the ABL Intercreditor Agreement and/or a junior lien intercreditor agreement or collateral trust agreement reasonably satisfactory to Agent reflecting the junior lien status securing such Indebtedness as it relates to the ABL Priority Collateral and Canadian Collateral.”</w:t>
      </w:r>
    </w:p>
    <w:p>
      <w:pPr>
        <w:sectPr>
          <w:pgSz w:w="11900" w:h="16838" w:orient="portrait"/>
          <w:cols w:equalWidth="0" w:num="1">
            <w:col w:w="11240"/>
          </w:cols>
          <w:pgMar w:left="320" w:top="1251" w:right="339" w:bottom="1440" w:gutter="0" w:footer="0" w:header="0"/>
        </w:sectPr>
      </w:pPr>
    </w:p>
    <w:bookmarkStart w:id="43" w:name="page44"/>
    <w:bookmarkEnd w:id="43"/>
    <w:p>
      <w:pPr>
        <w:jc w:val="both"/>
        <w:ind w:firstLine="1296"/>
        <w:spacing w:after="0" w:line="242"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color w:val="auto"/>
        </w:rPr>
        <w:t xml:space="preserve">. Each Credit Party hereby represents and warrants that as of the Amendment Effective Date, after giving effect to this Amendment, (i) no Default or Event of Default has occurred and is continuing under the Amended Credit Agreement and (ii) all representations and warranties made by any Credit Party contained in the Amended Credit Agreement or in the other Loan Documents are true and correct in all material respects with the same effect as though such representations and warranties had been made on and as of the Amendment Effective Date (except where such representations and warranties expressly relate to an earlier date, in which case such representations and warranties were true and correct in all material respects as of such earlier date);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any representation and warranty that is qualified as to “materiality,” “Material Adverse Effect” or similar language shall be true and correct in all respects on the Amendment Effective Date or on such earlier date, as the case may be (after giving effect to such qualification).</w:t>
      </w:r>
    </w:p>
    <w:p>
      <w:pPr>
        <w:spacing w:after="0" w:line="19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b w:val="1"/>
          <w:bCs w:val="1"/>
          <w:u w:val="single" w:color="auto"/>
          <w:color w:val="auto"/>
        </w:rPr>
        <w:t>Effectiveness.</w:t>
      </w:r>
      <w:r>
        <w:rPr>
          <w:rFonts w:ascii="Arial" w:cs="Arial" w:eastAsia="Arial" w:hAnsi="Arial"/>
          <w:sz w:val="20"/>
          <w:szCs w:val="20"/>
          <w:color w:val="auto"/>
        </w:rPr>
        <w:t xml:space="preserve"> This Amendment shall become effective as of the first date when each of the following conditions shall have been satisfied (the date of satisfaction of such conditions, which date is April 3, 2020, the “</w:t>
      </w:r>
      <w:r>
        <w:rPr>
          <w:rFonts w:ascii="Arial" w:cs="Arial" w:eastAsia="Arial" w:hAnsi="Arial"/>
          <w:sz w:val="20"/>
          <w:szCs w:val="20"/>
          <w:b w:val="1"/>
          <w:bCs w:val="1"/>
          <w:color w:val="auto"/>
        </w:rPr>
        <w:t>Amendment Effective</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w:t>
      </w:r>
    </w:p>
    <w:p>
      <w:pPr>
        <w:spacing w:after="0" w:line="183" w:lineRule="exact"/>
        <w:rPr>
          <w:sz w:val="20"/>
          <w:szCs w:val="20"/>
          <w:color w:val="auto"/>
        </w:rPr>
      </w:pPr>
    </w:p>
    <w:p>
      <w:pPr>
        <w:ind w:right="200" w:firstLine="1304"/>
        <w:spacing w:after="0" w:line="250" w:lineRule="auto"/>
        <w:tabs>
          <w:tab w:leader="none" w:pos="1934"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Agent shall have received from the Parent Borrower, each other Credit Party, the Agent and Requisite Lenders an executed counterpart hereof or other written confirmation (in form satisfactory to the Agent) that such party has signed a counterpart hereof;</w:t>
      </w:r>
    </w:p>
    <w:p>
      <w:pPr>
        <w:spacing w:after="0" w:line="185" w:lineRule="exact"/>
        <w:rPr>
          <w:rFonts w:ascii="Arial" w:cs="Arial" w:eastAsia="Arial" w:hAnsi="Arial"/>
          <w:sz w:val="20"/>
          <w:szCs w:val="20"/>
          <w:color w:val="auto"/>
        </w:rPr>
      </w:pPr>
    </w:p>
    <w:p>
      <w:pPr>
        <w:jc w:val="both"/>
        <w:ind w:right="280" w:firstLine="1304"/>
        <w:spacing w:after="0" w:line="269" w:lineRule="auto"/>
        <w:tabs>
          <w:tab w:leader="none" w:pos="1932" w:val="left"/>
        </w:tabs>
        <w:numPr>
          <w:ilvl w:val="0"/>
          <w:numId w:val="11"/>
        </w:numPr>
        <w:rPr>
          <w:rFonts w:ascii="Arial" w:cs="Arial" w:eastAsia="Arial" w:hAnsi="Arial"/>
          <w:sz w:val="19"/>
          <w:szCs w:val="19"/>
          <w:color w:val="auto"/>
        </w:rPr>
      </w:pPr>
      <w:r>
        <w:rPr>
          <w:rFonts w:ascii="Arial" w:cs="Arial" w:eastAsia="Arial" w:hAnsi="Arial"/>
          <w:sz w:val="19"/>
          <w:szCs w:val="19"/>
          <w:color w:val="auto"/>
        </w:rPr>
        <w:t>All fees and out-of-pocket expenses of the Agent required to be paid or reimbursed by the Parent Borrower on the Amendment Effective Date under Section 12.3 of the Credit Agreement, shall, to the extent invoiced and provided in writing to the Parent Borrower at least one Business Day prior to the Amendment Effective Date, have been paid or reimbursed; and</w:t>
      </w:r>
    </w:p>
    <w:p>
      <w:pPr>
        <w:spacing w:after="0" w:line="169" w:lineRule="exact"/>
        <w:rPr>
          <w:rFonts w:ascii="Arial" w:cs="Arial" w:eastAsia="Arial" w:hAnsi="Arial"/>
          <w:sz w:val="19"/>
          <w:szCs w:val="19"/>
          <w:color w:val="auto"/>
        </w:rPr>
      </w:pPr>
    </w:p>
    <w:p>
      <w:pPr>
        <w:ind w:right="60" w:firstLine="1304"/>
        <w:spacing w:after="0" w:line="250" w:lineRule="auto"/>
        <w:tabs>
          <w:tab w:leader="none" w:pos="1934"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representations and warranties made pursuant to Section 2 hereof shall be true and correct in all material respects on and as of the Amendment Effective Date, except to the extent that such representations or warranties expressly relate to an earlier date, in which case they shall be true and correct in all material respects as of such earlier date.</w:t>
      </w:r>
    </w:p>
    <w:p>
      <w:pPr>
        <w:spacing w:after="0" w:line="180" w:lineRule="exact"/>
        <w:rPr>
          <w:sz w:val="20"/>
          <w:szCs w:val="20"/>
          <w:color w:val="auto"/>
        </w:rPr>
      </w:pPr>
    </w:p>
    <w:p>
      <w:pPr>
        <w:ind w:right="280" w:firstLine="1296"/>
        <w:spacing w:after="0" w:line="267"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Amendment shall be governed by, and construed and enforced in accordance with, the internal laws of the State of New York applicable to contracts made and performed in that state.</w:t>
      </w:r>
    </w:p>
    <w:p>
      <w:pPr>
        <w:spacing w:after="0" w:line="163"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u w:val="single" w:color="auto"/>
          <w:color w:val="auto"/>
        </w:rPr>
        <w:t>Credit Agreement Governs</w:t>
      </w:r>
      <w:r>
        <w:rPr>
          <w:rFonts w:ascii="Arial" w:cs="Arial" w:eastAsia="Arial" w:hAnsi="Arial"/>
          <w:sz w:val="18"/>
          <w:szCs w:val="18"/>
          <w:color w:val="auto"/>
        </w:rPr>
        <w:t>. Except as expressly set forth herein, this Amendment shall not by implication or otherwise limit, impair, constitute a waiver of or otherwise affect the rights and remedies of any Lender or the Agent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Nothing herein shall be deemed to entitle any Credit Party to a future consent to, or a waiver, amendment, modification or other change of, any of the terms, conditions, obligations, covenants or agreements contained in the Credit Agreement or any other Loan Document in similar or different circumstances. This Amendment shall constitute a Loan Document for purposes of the Credit Agreement and from and after the Amendment Effective Date, all references to the Credit Agreement in any Loan Document and all references in the Credit Agreement to “this Agreement,” “hereunder,” “hereof” or words of like import referring to the Credit Agreement, shall, unless expressly provided otherwise, refer to the Credit Agreement as amended by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251" w:right="339" w:bottom="1440" w:gutter="0" w:footer="0" w:header="0"/>
        </w:sectPr>
      </w:pPr>
    </w:p>
    <w:bookmarkStart w:id="44" w:name="page45"/>
    <w:bookmarkEnd w:id="44"/>
    <w:p>
      <w:pPr>
        <w:jc w:val="both"/>
        <w:ind w:firstLine="1296"/>
        <w:spacing w:after="0" w:line="248"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Amendment may be signed (including via “DocuSign” or other electronic means) in any number of counterparts, each of which shall be an original, with the same effect as if the signatures thereto and hereto were upon the same instrument. Delivery of an executed counterpart of a signature page to this Amendment by facsimile or electronic (i.e., “pdf” or “tif”) transmission shall be effective as delivery of a manually executed counterpart of this Amendment.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51"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t>IN WITNESS WHEREOF, the parties hereto have caused this Amendment to be duly executed as of the date first above written.</w:t>
      </w:r>
    </w:p>
    <w:p>
      <w:pPr>
        <w:sectPr>
          <w:pgSz w:w="11900" w:h="16838" w:orient="portrait"/>
          <w:cols w:equalWidth="0" w:num="1">
            <w:col w:w="10180"/>
          </w:cols>
          <w:pgMar w:left="980" w:top="1257" w:right="7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BORROWERS</w:t>
      </w:r>
      <w:r>
        <w:rPr>
          <w:rFonts w:ascii="Arial" w:cs="Arial" w:eastAsia="Arial" w:hAnsi="Arial"/>
          <w:sz w:val="20"/>
          <w:szCs w:val="20"/>
          <w:color w:val="auto"/>
        </w:rPr>
        <w:t>:</w:t>
      </w:r>
    </w:p>
    <w:p>
      <w:pPr>
        <w:spacing w:after="0" w:line="200" w:lineRule="exact"/>
        <w:rPr>
          <w:sz w:val="20"/>
          <w:szCs w:val="20"/>
          <w:color w:val="auto"/>
        </w:rPr>
      </w:pPr>
    </w:p>
    <w:p>
      <w:pPr>
        <w:spacing w:after="0" w:line="26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XPO LOGISTICS,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Ravi Tulsyan</w:t>
      </w:r>
    </w:p>
    <w:p>
      <w:pPr>
        <w:spacing w:after="0" w:line="15"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Name: Ravi Tulsyan</w:t>
      </w:r>
    </w:p>
    <w:p>
      <w:pPr>
        <w:ind w:left="3640"/>
        <w:spacing w:after="0"/>
        <w:rPr>
          <w:sz w:val="20"/>
          <w:szCs w:val="20"/>
          <w:color w:val="auto"/>
        </w:rPr>
      </w:pPr>
      <w:r>
        <w:rPr>
          <w:rFonts w:ascii="Arial" w:cs="Arial" w:eastAsia="Arial" w:hAnsi="Arial"/>
          <w:sz w:val="20"/>
          <w:szCs w:val="20"/>
          <w:color w:val="auto"/>
        </w:rPr>
        <w:t>Title: Senior Vice President and Treasurer</w:t>
      </w:r>
    </w:p>
    <w:p>
      <w:pPr>
        <w:spacing w:after="0" w:line="200" w:lineRule="exact"/>
        <w:rPr>
          <w:sz w:val="20"/>
          <w:szCs w:val="20"/>
          <w:color w:val="auto"/>
        </w:rPr>
      </w:pPr>
    </w:p>
    <w:p>
      <w:pPr>
        <w:spacing w:after="0" w:line="216"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XPO LOGISTICS CANADA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Ravi Tulsyan</w:t>
      </w:r>
    </w:p>
    <w:p>
      <w:pPr>
        <w:spacing w:after="0" w:line="15" w:lineRule="exact"/>
        <w:rPr>
          <w:sz w:val="20"/>
          <w:szCs w:val="20"/>
          <w:color w:val="auto"/>
        </w:rPr>
      </w:pPr>
    </w:p>
    <w:p>
      <w:pPr>
        <w:ind w:left="3640"/>
        <w:spacing w:after="0"/>
        <w:rPr>
          <w:sz w:val="20"/>
          <w:szCs w:val="20"/>
          <w:color w:val="auto"/>
        </w:rPr>
      </w:pPr>
      <w:r>
        <w:rPr>
          <w:rFonts w:ascii="Arial" w:cs="Arial" w:eastAsia="Arial" w:hAnsi="Arial"/>
          <w:sz w:val="20"/>
          <w:szCs w:val="20"/>
          <w:u w:val="single" w:color="auto"/>
          <w:color w:val="auto"/>
        </w:rPr>
        <w:t>N</w:t>
      </w:r>
      <w:r>
        <w:rPr>
          <w:rFonts w:ascii="Arial" w:cs="Arial" w:eastAsia="Arial" w:hAnsi="Arial"/>
          <w:sz w:val="20"/>
          <w:szCs w:val="20"/>
          <w:color w:val="auto"/>
        </w:rPr>
        <w:t>ame: Ravi Tulsyan</w:t>
      </w:r>
    </w:p>
    <w:p>
      <w:pPr>
        <w:ind w:left="3640"/>
        <w:spacing w:after="0"/>
        <w:rPr>
          <w:sz w:val="20"/>
          <w:szCs w:val="20"/>
          <w:color w:val="auto"/>
        </w:rPr>
      </w:pPr>
      <w:r>
        <w:rPr>
          <w:rFonts w:ascii="Arial" w:cs="Arial" w:eastAsia="Arial" w:hAnsi="Arial"/>
          <w:sz w:val="20"/>
          <w:szCs w:val="20"/>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4 to ABL Credit Agreement</w:t>
      </w:r>
      <w:r>
        <w:rPr>
          <w:rFonts w:ascii="Arial" w:cs="Arial" w:eastAsia="Arial" w:hAnsi="Arial"/>
          <w:sz w:val="19"/>
          <w:szCs w:val="19"/>
          <w:color w:val="auto"/>
        </w:rPr>
        <w:t>]</w:t>
      </w:r>
    </w:p>
    <w:p>
      <w:pPr>
        <w:sectPr>
          <w:pgSz w:w="11900" w:h="16838" w:orient="portrait"/>
          <w:cols w:equalWidth="0" w:num="1">
            <w:col w:w="10180"/>
          </w:cols>
          <w:pgMar w:left="980" w:top="1257" w:right="739" w:bottom="1440" w:gutter="0" w:footer="0" w:header="0"/>
          <w:type w:val="continuous"/>
        </w:sectPr>
      </w:pPr>
    </w:p>
    <w:bookmarkStart w:id="46" w:name="page47"/>
    <w:bookmarkEnd w:id="46"/>
    <w:p>
      <w:pPr>
        <w:ind w:left="1880"/>
        <w:spacing w:after="0"/>
        <w:rPr>
          <w:sz w:val="20"/>
          <w:szCs w:val="20"/>
          <w:color w:val="auto"/>
        </w:rPr>
      </w:pPr>
      <w:r>
        <w:rPr>
          <w:rFonts w:ascii="Arial" w:cs="Arial" w:eastAsia="Arial" w:hAnsi="Arial"/>
          <w:sz w:val="20"/>
          <w:szCs w:val="20"/>
          <w:b w:val="1"/>
          <w:bCs w:val="1"/>
          <w:color w:val="auto"/>
        </w:rPr>
        <w:t>GUARANTORS</w:t>
      </w:r>
      <w:r>
        <w:rPr>
          <w:rFonts w:ascii="Arial" w:cs="Arial" w:eastAsia="Arial" w:hAnsi="Arial"/>
          <w:sz w:val="20"/>
          <w:szCs w:val="20"/>
          <w:color w:val="auto"/>
        </w:rPr>
        <w:t>:</w:t>
      </w:r>
    </w:p>
    <w:p>
      <w:pPr>
        <w:spacing w:after="0" w:line="216"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BOUNCE LOGISTICS, LLC</w:t>
      </w:r>
    </w:p>
    <w:p>
      <w:pPr>
        <w:spacing w:after="0" w:line="21"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CON-WAY MULTIMODAL INC.</w:t>
      </w:r>
    </w:p>
    <w:p>
      <w:pPr>
        <w:ind w:left="1880"/>
        <w:spacing w:after="0"/>
        <w:rPr>
          <w:sz w:val="20"/>
          <w:szCs w:val="20"/>
          <w:color w:val="auto"/>
        </w:rPr>
      </w:pPr>
      <w:r>
        <w:rPr>
          <w:rFonts w:ascii="Arial" w:cs="Arial" w:eastAsia="Arial" w:hAnsi="Arial"/>
          <w:sz w:val="19"/>
          <w:szCs w:val="19"/>
          <w:b w:val="1"/>
          <w:bCs w:val="1"/>
          <w:color w:val="auto"/>
        </w:rPr>
        <w:t>MANUFACTURERS CONSOLIDATION SERVICE OF CANADA, INC.</w:t>
      </w:r>
    </w:p>
    <w:p>
      <w:pPr>
        <w:spacing w:after="0" w:line="11"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XPO AIR CHARTER, LLC</w:t>
      </w:r>
    </w:p>
    <w:p>
      <w:pPr>
        <w:ind w:left="1880"/>
        <w:spacing w:after="0"/>
        <w:rPr>
          <w:sz w:val="20"/>
          <w:szCs w:val="20"/>
          <w:color w:val="auto"/>
        </w:rPr>
      </w:pPr>
      <w:r>
        <w:rPr>
          <w:rFonts w:ascii="Arial" w:cs="Arial" w:eastAsia="Arial" w:hAnsi="Arial"/>
          <w:sz w:val="20"/>
          <w:szCs w:val="20"/>
          <w:b w:val="1"/>
          <w:bCs w:val="1"/>
          <w:color w:val="auto"/>
        </w:rPr>
        <w:t>XPO CNW, INC.</w:t>
      </w:r>
    </w:p>
    <w:p>
      <w:pPr>
        <w:ind w:left="1880"/>
        <w:spacing w:after="0"/>
        <w:rPr>
          <w:sz w:val="20"/>
          <w:szCs w:val="20"/>
          <w:color w:val="auto"/>
        </w:rPr>
      </w:pPr>
      <w:r>
        <w:rPr>
          <w:rFonts w:ascii="Arial" w:cs="Arial" w:eastAsia="Arial" w:hAnsi="Arial"/>
          <w:sz w:val="20"/>
          <w:szCs w:val="20"/>
          <w:b w:val="1"/>
          <w:bCs w:val="1"/>
          <w:color w:val="auto"/>
        </w:rPr>
        <w:t>XPO COURIER, LLC</w:t>
      </w:r>
    </w:p>
    <w:p>
      <w:pPr>
        <w:ind w:left="1880"/>
        <w:spacing w:after="0"/>
        <w:rPr>
          <w:sz w:val="20"/>
          <w:szCs w:val="20"/>
          <w:color w:val="auto"/>
        </w:rPr>
      </w:pPr>
      <w:r>
        <w:rPr>
          <w:rFonts w:ascii="Arial" w:cs="Arial" w:eastAsia="Arial" w:hAnsi="Arial"/>
          <w:sz w:val="20"/>
          <w:szCs w:val="20"/>
          <w:b w:val="1"/>
          <w:bCs w:val="1"/>
          <w:color w:val="auto"/>
        </w:rPr>
        <w:t>XPO CUSTOMS CLEARANCE SOLUTIONS, LLC</w:t>
      </w:r>
    </w:p>
    <w:p>
      <w:pPr>
        <w:ind w:left="1880"/>
        <w:spacing w:after="0"/>
        <w:rPr>
          <w:sz w:val="20"/>
          <w:szCs w:val="20"/>
          <w:color w:val="auto"/>
        </w:rPr>
      </w:pPr>
      <w:r>
        <w:rPr>
          <w:rFonts w:ascii="Arial" w:cs="Arial" w:eastAsia="Arial" w:hAnsi="Arial"/>
          <w:sz w:val="20"/>
          <w:szCs w:val="20"/>
          <w:b w:val="1"/>
          <w:bCs w:val="1"/>
          <w:color w:val="auto"/>
        </w:rPr>
        <w:t>XPO DEDICATED, LLC</w:t>
      </w:r>
    </w:p>
    <w:p>
      <w:pPr>
        <w:ind w:left="1880"/>
        <w:spacing w:after="0"/>
        <w:rPr>
          <w:sz w:val="20"/>
          <w:szCs w:val="20"/>
          <w:color w:val="auto"/>
        </w:rPr>
      </w:pPr>
      <w:r>
        <w:rPr>
          <w:rFonts w:ascii="Arial" w:cs="Arial" w:eastAsia="Arial" w:hAnsi="Arial"/>
          <w:sz w:val="20"/>
          <w:szCs w:val="20"/>
          <w:b w:val="1"/>
          <w:bCs w:val="1"/>
          <w:color w:val="auto"/>
        </w:rPr>
        <w:t>XPO ENTERPRISE SERVICES, LLC</w:t>
      </w:r>
    </w:p>
    <w:p>
      <w:pPr>
        <w:ind w:left="1880"/>
        <w:spacing w:after="0"/>
        <w:rPr>
          <w:sz w:val="20"/>
          <w:szCs w:val="20"/>
          <w:color w:val="auto"/>
        </w:rPr>
      </w:pPr>
      <w:r>
        <w:rPr>
          <w:rFonts w:ascii="Arial" w:cs="Arial" w:eastAsia="Arial" w:hAnsi="Arial"/>
          <w:sz w:val="20"/>
          <w:szCs w:val="20"/>
          <w:b w:val="1"/>
          <w:bCs w:val="1"/>
          <w:color w:val="auto"/>
        </w:rPr>
        <w:t>XPO GLOBAL FORWARDING, INC.</w:t>
      </w:r>
    </w:p>
    <w:p>
      <w:pPr>
        <w:ind w:left="1880"/>
        <w:spacing w:after="0"/>
        <w:rPr>
          <w:sz w:val="20"/>
          <w:szCs w:val="20"/>
          <w:color w:val="auto"/>
        </w:rPr>
      </w:pPr>
      <w:r>
        <w:rPr>
          <w:rFonts w:ascii="Arial" w:cs="Arial" w:eastAsia="Arial" w:hAnsi="Arial"/>
          <w:sz w:val="20"/>
          <w:szCs w:val="20"/>
          <w:b w:val="1"/>
          <w:bCs w:val="1"/>
          <w:color w:val="auto"/>
        </w:rPr>
        <w:t>XPO INTERMODAL, INC.</w:t>
      </w:r>
    </w:p>
    <w:p>
      <w:pPr>
        <w:ind w:left="1880"/>
        <w:spacing w:after="0"/>
        <w:rPr>
          <w:sz w:val="20"/>
          <w:szCs w:val="20"/>
          <w:color w:val="auto"/>
        </w:rPr>
      </w:pPr>
      <w:r>
        <w:rPr>
          <w:rFonts w:ascii="Arial" w:cs="Arial" w:eastAsia="Arial" w:hAnsi="Arial"/>
          <w:sz w:val="20"/>
          <w:szCs w:val="20"/>
          <w:b w:val="1"/>
          <w:bCs w:val="1"/>
          <w:color w:val="auto"/>
        </w:rPr>
        <w:t>XPO INTERMODAL SERVICES, LLC</w:t>
      </w:r>
    </w:p>
    <w:p>
      <w:pPr>
        <w:ind w:left="1880"/>
        <w:spacing w:after="0"/>
        <w:rPr>
          <w:sz w:val="20"/>
          <w:szCs w:val="20"/>
          <w:color w:val="auto"/>
        </w:rPr>
      </w:pPr>
      <w:r>
        <w:rPr>
          <w:rFonts w:ascii="Arial" w:cs="Arial" w:eastAsia="Arial" w:hAnsi="Arial"/>
          <w:sz w:val="20"/>
          <w:szCs w:val="20"/>
          <w:b w:val="1"/>
          <w:bCs w:val="1"/>
          <w:color w:val="auto"/>
        </w:rPr>
        <w:t>XPO INTERMODAL SOLUTIONS, INC.</w:t>
      </w:r>
    </w:p>
    <w:p>
      <w:pPr>
        <w:ind w:left="1880"/>
        <w:spacing w:after="0"/>
        <w:rPr>
          <w:sz w:val="20"/>
          <w:szCs w:val="20"/>
          <w:color w:val="auto"/>
        </w:rPr>
      </w:pPr>
      <w:r>
        <w:rPr>
          <w:rFonts w:ascii="Arial" w:cs="Arial" w:eastAsia="Arial" w:hAnsi="Arial"/>
          <w:sz w:val="20"/>
          <w:szCs w:val="20"/>
          <w:b w:val="1"/>
          <w:bCs w:val="1"/>
          <w:color w:val="auto"/>
        </w:rPr>
        <w:t>XPO LAND HOLDINGS, LLC</w:t>
      </w:r>
    </w:p>
    <w:p>
      <w:pPr>
        <w:ind w:left="1880"/>
        <w:spacing w:after="0"/>
        <w:rPr>
          <w:sz w:val="20"/>
          <w:szCs w:val="20"/>
          <w:color w:val="auto"/>
        </w:rPr>
      </w:pPr>
      <w:r>
        <w:rPr>
          <w:rFonts w:ascii="Arial" w:cs="Arial" w:eastAsia="Arial" w:hAnsi="Arial"/>
          <w:sz w:val="20"/>
          <w:szCs w:val="20"/>
          <w:b w:val="1"/>
          <w:bCs w:val="1"/>
          <w:color w:val="auto"/>
        </w:rPr>
        <w:t>XPO LAST MILE, INC.</w:t>
      </w:r>
    </w:p>
    <w:p>
      <w:pPr>
        <w:ind w:left="1880"/>
        <w:spacing w:after="0"/>
        <w:rPr>
          <w:sz w:val="20"/>
          <w:szCs w:val="20"/>
          <w:color w:val="auto"/>
        </w:rPr>
      </w:pPr>
      <w:r>
        <w:rPr>
          <w:rFonts w:ascii="Arial" w:cs="Arial" w:eastAsia="Arial" w:hAnsi="Arial"/>
          <w:sz w:val="20"/>
          <w:szCs w:val="20"/>
          <w:b w:val="1"/>
          <w:bCs w:val="1"/>
          <w:color w:val="auto"/>
        </w:rPr>
        <w:t>XPO LAST MILE HOLDING, INC.</w:t>
      </w:r>
    </w:p>
    <w:p>
      <w:pPr>
        <w:ind w:left="1880"/>
        <w:spacing w:after="0"/>
        <w:rPr>
          <w:sz w:val="20"/>
          <w:szCs w:val="20"/>
          <w:color w:val="auto"/>
        </w:rPr>
      </w:pPr>
      <w:r>
        <w:rPr>
          <w:rFonts w:ascii="Arial" w:cs="Arial" w:eastAsia="Arial" w:hAnsi="Arial"/>
          <w:sz w:val="20"/>
          <w:szCs w:val="20"/>
          <w:b w:val="1"/>
          <w:bCs w:val="1"/>
          <w:color w:val="auto"/>
        </w:rPr>
        <w:t>XPO LOGISTICS CARTAGE, LLC</w:t>
      </w:r>
    </w:p>
    <w:p>
      <w:pPr>
        <w:ind w:left="1880"/>
        <w:spacing w:after="0"/>
        <w:rPr>
          <w:sz w:val="20"/>
          <w:szCs w:val="20"/>
          <w:color w:val="auto"/>
        </w:rPr>
      </w:pPr>
      <w:r>
        <w:rPr>
          <w:rFonts w:ascii="Arial" w:cs="Arial" w:eastAsia="Arial" w:hAnsi="Arial"/>
          <w:sz w:val="20"/>
          <w:szCs w:val="20"/>
          <w:b w:val="1"/>
          <w:bCs w:val="1"/>
          <w:color w:val="auto"/>
        </w:rPr>
        <w:t>XPO LOGISTICS DRAYAGE, LLC</w:t>
      </w:r>
    </w:p>
    <w:p>
      <w:pPr>
        <w:ind w:left="1880"/>
        <w:spacing w:after="0"/>
        <w:rPr>
          <w:sz w:val="20"/>
          <w:szCs w:val="20"/>
          <w:color w:val="auto"/>
        </w:rPr>
      </w:pPr>
      <w:r>
        <w:rPr>
          <w:rFonts w:ascii="Arial" w:cs="Arial" w:eastAsia="Arial" w:hAnsi="Arial"/>
          <w:sz w:val="20"/>
          <w:szCs w:val="20"/>
          <w:b w:val="1"/>
          <w:bCs w:val="1"/>
          <w:color w:val="auto"/>
        </w:rPr>
        <w:t>XPO LOGISTICS EXPRESS, LLC</w:t>
      </w:r>
    </w:p>
    <w:p>
      <w:pPr>
        <w:ind w:left="1880"/>
        <w:spacing w:after="0"/>
        <w:rPr>
          <w:sz w:val="20"/>
          <w:szCs w:val="20"/>
          <w:color w:val="auto"/>
        </w:rPr>
      </w:pPr>
      <w:r>
        <w:rPr>
          <w:rFonts w:ascii="Arial" w:cs="Arial" w:eastAsia="Arial" w:hAnsi="Arial"/>
          <w:sz w:val="20"/>
          <w:szCs w:val="20"/>
          <w:b w:val="1"/>
          <w:bCs w:val="1"/>
          <w:color w:val="auto"/>
        </w:rPr>
        <w:t>XPO LOGISTICS FREIGHT, INC.</w:t>
      </w:r>
    </w:p>
    <w:p>
      <w:pPr>
        <w:ind w:left="1880" w:right="2099"/>
        <w:spacing w:after="0" w:line="239" w:lineRule="auto"/>
        <w:rPr>
          <w:sz w:val="20"/>
          <w:szCs w:val="20"/>
          <w:color w:val="auto"/>
        </w:rPr>
      </w:pPr>
      <w:r>
        <w:rPr>
          <w:rFonts w:ascii="Arial" w:cs="Arial" w:eastAsia="Arial" w:hAnsi="Arial"/>
          <w:sz w:val="20"/>
          <w:szCs w:val="20"/>
          <w:b w:val="1"/>
          <w:bCs w:val="1"/>
          <w:color w:val="auto"/>
        </w:rPr>
        <w:t>XPO LOGISTICS MANAGED TRANSPORTATION, LLC XPO LOGISTICS MANUFACTURING, LLC XPO LOGISTICS NLM, LLC</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XPO LOGISTICS PORT SERVICES, LLC</w:t>
      </w:r>
    </w:p>
    <w:p>
      <w:pPr>
        <w:ind w:left="1880"/>
        <w:spacing w:after="0"/>
        <w:rPr>
          <w:sz w:val="20"/>
          <w:szCs w:val="20"/>
          <w:color w:val="auto"/>
        </w:rPr>
      </w:pPr>
      <w:r>
        <w:rPr>
          <w:rFonts w:ascii="Arial" w:cs="Arial" w:eastAsia="Arial" w:hAnsi="Arial"/>
          <w:sz w:val="20"/>
          <w:szCs w:val="20"/>
          <w:b w:val="1"/>
          <w:bCs w:val="1"/>
          <w:color w:val="auto"/>
        </w:rPr>
        <w:t>XPO LOGISTICS SUPPLY CHAIN CORPORATE SERVICES, INC.</w:t>
      </w:r>
    </w:p>
    <w:p>
      <w:pPr>
        <w:ind w:left="1880" w:right="1919"/>
        <w:spacing w:after="0" w:line="239" w:lineRule="auto"/>
        <w:rPr>
          <w:sz w:val="20"/>
          <w:szCs w:val="20"/>
          <w:color w:val="auto"/>
        </w:rPr>
      </w:pPr>
      <w:r>
        <w:rPr>
          <w:rFonts w:ascii="Arial" w:cs="Arial" w:eastAsia="Arial" w:hAnsi="Arial"/>
          <w:sz w:val="20"/>
          <w:szCs w:val="20"/>
          <w:b w:val="1"/>
          <w:bCs w:val="1"/>
          <w:color w:val="auto"/>
        </w:rPr>
        <w:t>XPO LOGISTICS SUPPLY CHAIN HOLDING COMPANY XPO LOGISTICS SUPPLY CHAIN OF NEW JERSEY, LLC XPO LOGISTICS SUPPLY CHAIN OF TEXAS, LLC XPO LOGISTICS SUPPLY CHAIN, INC.</w:t>
      </w:r>
    </w:p>
    <w:p>
      <w:pPr>
        <w:spacing w:after="0" w:line="2" w:lineRule="exact"/>
        <w:rPr>
          <w:sz w:val="20"/>
          <w:szCs w:val="20"/>
          <w:color w:val="auto"/>
        </w:rPr>
      </w:pPr>
    </w:p>
    <w:p>
      <w:pPr>
        <w:ind w:left="1880" w:right="1159"/>
        <w:spacing w:after="0" w:line="239" w:lineRule="auto"/>
        <w:rPr>
          <w:sz w:val="20"/>
          <w:szCs w:val="20"/>
          <w:color w:val="auto"/>
        </w:rPr>
      </w:pPr>
      <w:r>
        <w:rPr>
          <w:rFonts w:ascii="Arial" w:cs="Arial" w:eastAsia="Arial" w:hAnsi="Arial"/>
          <w:sz w:val="20"/>
          <w:szCs w:val="20"/>
          <w:b w:val="1"/>
          <w:bCs w:val="1"/>
          <w:color w:val="auto"/>
        </w:rPr>
        <w:t>XPO LOGISTICS WORLDWIDE GOVERNMENT SERVICES, LLC XPO LOGISTICS WORLDWIDE, INC. XPO LOGISTICS WORLDWIDE, LLC</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XPO LOGISTICS, LLC</w:t>
      </w:r>
    </w:p>
    <w:p>
      <w:pPr>
        <w:ind w:left="1880"/>
        <w:spacing w:after="0"/>
        <w:rPr>
          <w:sz w:val="20"/>
          <w:szCs w:val="20"/>
          <w:color w:val="auto"/>
        </w:rPr>
      </w:pPr>
      <w:r>
        <w:rPr>
          <w:rFonts w:ascii="Arial" w:cs="Arial" w:eastAsia="Arial" w:hAnsi="Arial"/>
          <w:sz w:val="20"/>
          <w:szCs w:val="20"/>
          <w:b w:val="1"/>
          <w:bCs w:val="1"/>
          <w:color w:val="auto"/>
        </w:rPr>
        <w:t>XPO LTL HOLDINGS, LLC</w:t>
      </w:r>
    </w:p>
    <w:p>
      <w:pPr>
        <w:ind w:left="1880"/>
        <w:spacing w:after="0"/>
        <w:rPr>
          <w:sz w:val="20"/>
          <w:szCs w:val="20"/>
          <w:color w:val="auto"/>
        </w:rPr>
      </w:pPr>
      <w:r>
        <w:rPr>
          <w:rFonts w:ascii="Arial" w:cs="Arial" w:eastAsia="Arial" w:hAnsi="Arial"/>
          <w:sz w:val="20"/>
          <w:szCs w:val="20"/>
          <w:b w:val="1"/>
          <w:bCs w:val="1"/>
          <w:color w:val="auto"/>
        </w:rPr>
        <w:t>XPO LTL SOLUTIONS, LLC</w:t>
      </w:r>
    </w:p>
    <w:p>
      <w:pPr>
        <w:ind w:left="1880"/>
        <w:spacing w:after="0"/>
        <w:rPr>
          <w:sz w:val="20"/>
          <w:szCs w:val="20"/>
          <w:color w:val="auto"/>
        </w:rPr>
      </w:pPr>
      <w:r>
        <w:rPr>
          <w:rFonts w:ascii="Arial" w:cs="Arial" w:eastAsia="Arial" w:hAnsi="Arial"/>
          <w:sz w:val="20"/>
          <w:szCs w:val="20"/>
          <w:b w:val="1"/>
          <w:bCs w:val="1"/>
          <w:color w:val="auto"/>
        </w:rPr>
        <w:t>XPO PROPERTIES, INC.</w:t>
      </w:r>
    </w:p>
    <w:p>
      <w:pPr>
        <w:ind w:left="1880"/>
        <w:spacing w:after="0"/>
        <w:rPr>
          <w:sz w:val="20"/>
          <w:szCs w:val="20"/>
          <w:color w:val="auto"/>
        </w:rPr>
      </w:pPr>
      <w:r>
        <w:rPr>
          <w:rFonts w:ascii="Arial" w:cs="Arial" w:eastAsia="Arial" w:hAnsi="Arial"/>
          <w:sz w:val="20"/>
          <w:szCs w:val="20"/>
          <w:b w:val="1"/>
          <w:bCs w:val="1"/>
          <w:color w:val="auto"/>
        </w:rPr>
        <w:t>XPO SERVCO, LLC</w:t>
      </w:r>
    </w:p>
    <w:p>
      <w:pPr>
        <w:ind w:left="1880"/>
        <w:spacing w:after="0"/>
        <w:rPr>
          <w:sz w:val="20"/>
          <w:szCs w:val="20"/>
          <w:color w:val="auto"/>
        </w:rPr>
      </w:pPr>
      <w:r>
        <w:rPr>
          <w:rFonts w:ascii="Arial" w:cs="Arial" w:eastAsia="Arial" w:hAnsi="Arial"/>
          <w:sz w:val="20"/>
          <w:szCs w:val="20"/>
          <w:b w:val="1"/>
          <w:bCs w:val="1"/>
          <w:color w:val="auto"/>
        </w:rPr>
        <w:t>XPO STACKTRAIN, LLC</w:t>
      </w:r>
    </w:p>
    <w:p>
      <w:pPr>
        <w:ind w:left="1880"/>
        <w:spacing w:after="0"/>
        <w:rPr>
          <w:sz w:val="20"/>
          <w:szCs w:val="20"/>
          <w:color w:val="auto"/>
        </w:rPr>
      </w:pPr>
      <w:r>
        <w:rPr>
          <w:rFonts w:ascii="Arial" w:cs="Arial" w:eastAsia="Arial" w:hAnsi="Arial"/>
          <w:sz w:val="20"/>
          <w:szCs w:val="20"/>
          <w:b w:val="1"/>
          <w:bCs w:val="1"/>
          <w:color w:val="auto"/>
        </w:rPr>
        <w:t>XPO TRANSPORT, LLC</w:t>
      </w:r>
    </w:p>
    <w:p>
      <w:pPr>
        <w:spacing w:after="0" w:line="200" w:lineRule="exact"/>
        <w:rPr>
          <w:sz w:val="20"/>
          <w:szCs w:val="20"/>
          <w:color w:val="auto"/>
        </w:rPr>
      </w:pPr>
    </w:p>
    <w:p>
      <w:pPr>
        <w:spacing w:after="0" w:line="216"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Ravi Tulsyan</w:t>
      </w:r>
    </w:p>
    <w:p>
      <w:pPr>
        <w:spacing w:after="0" w:line="16"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Name: Ravi Tulsyan</w:t>
      </w:r>
    </w:p>
    <w:p>
      <w:pPr>
        <w:spacing w:after="0" w:line="4"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Title: Senior Vice President and Treasurer</w:t>
      </w:r>
    </w:p>
    <w:p>
      <w:pPr>
        <w:sectPr>
          <w:pgSz w:w="11900" w:h="16838" w:orient="portrait"/>
          <w:cols w:equalWidth="0" w:num="1">
            <w:col w:w="9019"/>
          </w:cols>
          <w:pgMar w:left="1440" w:top="12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4 to XPO ABL Credit Agreement</w:t>
      </w:r>
      <w:r>
        <w:rPr>
          <w:rFonts w:ascii="Arial" w:cs="Arial" w:eastAsia="Arial" w:hAnsi="Arial"/>
          <w:sz w:val="19"/>
          <w:szCs w:val="19"/>
          <w:color w:val="auto"/>
        </w:rPr>
        <w:t>]</w:t>
      </w:r>
    </w:p>
    <w:p>
      <w:pPr>
        <w:sectPr>
          <w:pgSz w:w="11900" w:h="16838" w:orient="portrait"/>
          <w:cols w:equalWidth="0" w:num="1">
            <w:col w:w="9019"/>
          </w:cols>
          <w:pgMar w:left="1440" w:top="1251" w:right="1440" w:bottom="1440" w:gutter="0" w:footer="0" w:header="0"/>
          <w:type w:val="continuous"/>
        </w:sectPr>
      </w:pPr>
    </w:p>
    <w:bookmarkStart w:id="47" w:name="page48"/>
    <w:bookmarkEnd w:id="47"/>
    <w:p>
      <w:pPr>
        <w:spacing w:after="0" w:line="60" w:lineRule="exact"/>
        <w:rPr>
          <w:sz w:val="20"/>
          <w:szCs w:val="20"/>
          <w:color w:val="auto"/>
        </w:rPr>
      </w:pPr>
    </w:p>
    <w:p>
      <w:pPr>
        <w:ind w:left="2340"/>
        <w:spacing w:after="0"/>
        <w:rPr>
          <w:sz w:val="20"/>
          <w:szCs w:val="20"/>
          <w:color w:val="auto"/>
        </w:rPr>
      </w:pPr>
      <w:r>
        <w:rPr>
          <w:rFonts w:ascii="Arial" w:cs="Arial" w:eastAsia="Arial" w:hAnsi="Arial"/>
          <w:sz w:val="20"/>
          <w:szCs w:val="20"/>
          <w:color w:val="auto"/>
        </w:rPr>
        <w:t>PDS TRUCKING, INC.</w:t>
      </w: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Riina Tohvert</w:t>
      </w:r>
    </w:p>
    <w:p>
      <w:pPr>
        <w:spacing w:after="0" w:line="15"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Name: Riina Tohvert</w:t>
      </w:r>
    </w:p>
    <w:p>
      <w:pPr>
        <w:ind w:left="3180"/>
        <w:spacing w:after="0"/>
        <w:rPr>
          <w:sz w:val="20"/>
          <w:szCs w:val="20"/>
          <w:color w:val="auto"/>
        </w:rPr>
      </w:pPr>
      <w:r>
        <w:rPr>
          <w:rFonts w:ascii="Arial" w:cs="Arial" w:eastAsia="Arial" w:hAnsi="Arial"/>
          <w:sz w:val="20"/>
          <w:szCs w:val="20"/>
          <w:color w:val="auto"/>
        </w:rPr>
        <w:t>Title: Secretary</w:t>
      </w:r>
    </w:p>
    <w:p>
      <w:pPr>
        <w:spacing w:after="0" w:line="200"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XPO DISTRIBUTION SERVICES,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Karlis P. Kirsis</w:t>
      </w:r>
    </w:p>
    <w:p>
      <w:pPr>
        <w:spacing w:after="0" w:line="15"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Name: Karlis P. Kirsis</w:t>
      </w:r>
    </w:p>
    <w:p>
      <w:pPr>
        <w:ind w:left="3180"/>
        <w:spacing w:after="0"/>
        <w:rPr>
          <w:sz w:val="20"/>
          <w:szCs w:val="20"/>
          <w:color w:val="auto"/>
        </w:rPr>
      </w:pPr>
      <w:r>
        <w:rPr>
          <w:rFonts w:ascii="Arial" w:cs="Arial" w:eastAsia="Arial" w:hAnsi="Arial"/>
          <w:sz w:val="20"/>
          <w:szCs w:val="20"/>
          <w:color w:val="auto"/>
        </w:rPr>
        <w:t>Title: Senior Vice President and Secretary</w:t>
      </w:r>
    </w:p>
    <w:p>
      <w:pPr>
        <w:spacing w:after="0" w:line="2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XPO LAST MILE CANADA INC.</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Ravi Tulsyan</w:t>
      </w:r>
    </w:p>
    <w:p>
      <w:pPr>
        <w:spacing w:after="0" w:line="216"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Name: Ravi Tulsyan</w:t>
      </w:r>
    </w:p>
    <w:p>
      <w:pPr>
        <w:spacing w:after="0" w:line="16"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Title: Senior Vice President and Treasurer</w:t>
      </w:r>
    </w:p>
    <w:p>
      <w:pPr>
        <w:spacing w:after="0" w:line="20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XPO LOGISTICS SUPPLY CHAIN CANADA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Ravi Tulsyan</w:t>
      </w:r>
    </w:p>
    <w:p>
      <w:pPr>
        <w:spacing w:after="0" w:line="216"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Name: Ravi Tulsyan</w:t>
      </w:r>
    </w:p>
    <w:p>
      <w:pPr>
        <w:spacing w:after="0" w:line="16"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4 to XPO ABL Credit Agreement</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bookmarkStart w:id="48" w:name="page49"/>
    <w:bookmarkEnd w:id="48"/>
    <w:p>
      <w:pPr>
        <w:ind w:left="2780"/>
        <w:spacing w:after="0"/>
        <w:rPr>
          <w:sz w:val="20"/>
          <w:szCs w:val="20"/>
          <w:color w:val="auto"/>
        </w:rPr>
      </w:pPr>
      <w:r>
        <w:rPr>
          <w:rFonts w:ascii="Arial" w:cs="Arial" w:eastAsia="Arial" w:hAnsi="Arial"/>
          <w:sz w:val="20"/>
          <w:szCs w:val="20"/>
          <w:b w:val="1"/>
          <w:bCs w:val="1"/>
          <w:color w:val="auto"/>
        </w:rPr>
        <w:t>AGENTS</w:t>
      </w:r>
      <w:r>
        <w:rPr>
          <w:rFonts w:ascii="Arial" w:cs="Arial" w:eastAsia="Arial" w:hAnsi="Arial"/>
          <w:sz w:val="20"/>
          <w:szCs w:val="20"/>
          <w:color w:val="auto"/>
        </w:rPr>
        <w:t>:</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MORGAN STANLEY SENIOR FUNDING, INC., as Agent and as Co-Collateral Agent</w:t>
      </w:r>
    </w:p>
    <w:p>
      <w:pPr>
        <w:spacing w:after="0" w:line="200" w:lineRule="exact"/>
        <w:rPr>
          <w:sz w:val="20"/>
          <w:szCs w:val="20"/>
          <w:color w:val="auto"/>
        </w:rPr>
      </w:pPr>
    </w:p>
    <w:p>
      <w:pPr>
        <w:spacing w:after="0" w:line="25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Lisa Hanson</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Lisa Hanson</w:t>
      </w:r>
    </w:p>
    <w:p>
      <w:pPr>
        <w:ind w:left="2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Amendment No. 4 to XPO ABL Credit Agreement</w:t>
      </w:r>
      <w:r>
        <w:rPr>
          <w:rFonts w:ascii="Arial" w:cs="Arial" w:eastAsia="Arial" w:hAnsi="Arial"/>
          <w:sz w:val="22"/>
          <w:szCs w:val="22"/>
          <w:color w:val="auto"/>
        </w:rPr>
        <w:t>]</w:t>
      </w:r>
    </w:p>
    <w:p>
      <w:pPr>
        <w:sectPr>
          <w:pgSz w:w="11900" w:h="16838" w:orient="portrait"/>
          <w:cols w:equalWidth="0" w:num="1">
            <w:col w:w="9780"/>
          </w:cols>
          <w:pgMar w:left="1440" w:top="1413" w:right="679" w:bottom="1440" w:gutter="0" w:footer="0" w:header="0"/>
        </w:sectPr>
      </w:pPr>
    </w:p>
    <w:bookmarkStart w:id="49" w:name="page50"/>
    <w:bookmarkEnd w:id="49"/>
    <w:p>
      <w:pPr>
        <w:ind w:left="278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 as Co-Collateral Agent</w:t>
      </w:r>
    </w:p>
    <w:p>
      <w:pPr>
        <w:spacing w:after="0" w:line="24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Lia Cornejo</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Lia Cornejo</w:t>
      </w:r>
    </w:p>
    <w:p>
      <w:pPr>
        <w:ind w:left="2780"/>
        <w:spacing w:after="0"/>
        <w:rPr>
          <w:sz w:val="20"/>
          <w:szCs w:val="20"/>
          <w:color w:val="auto"/>
        </w:rPr>
      </w:pPr>
      <w:r>
        <w:rPr>
          <w:rFonts w:ascii="Arial" w:cs="Arial" w:eastAsia="Arial" w:hAnsi="Arial"/>
          <w:sz w:val="20"/>
          <w:szCs w:val="20"/>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4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50" w:name="page51"/>
    <w:bookmarkEnd w:id="50"/>
    <w:p>
      <w:pPr>
        <w:ind w:left="2780"/>
        <w:spacing w:after="0"/>
        <w:rPr>
          <w:sz w:val="20"/>
          <w:szCs w:val="20"/>
          <w:color w:val="auto"/>
        </w:rPr>
      </w:pPr>
      <w:r>
        <w:rPr>
          <w:rFonts w:ascii="Arial" w:cs="Arial" w:eastAsia="Arial" w:hAnsi="Arial"/>
          <w:sz w:val="20"/>
          <w:szCs w:val="20"/>
          <w:b w:val="1"/>
          <w:bCs w:val="1"/>
          <w:color w:val="auto"/>
        </w:rPr>
        <w:t>LENDERS</w:t>
      </w:r>
      <w:r>
        <w:rPr>
          <w:rFonts w:ascii="Arial" w:cs="Arial" w:eastAsia="Arial" w:hAnsi="Arial"/>
          <w:sz w:val="20"/>
          <w:szCs w:val="20"/>
          <w:color w:val="auto"/>
        </w:rPr>
        <w:t>:</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Morgan Stanley Senior Funding, Inc., as a Lender and L/C Issuer and Swing-Line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Jack Kuhns</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Jack Kuhns</w:t>
      </w:r>
    </w:p>
    <w:p>
      <w:pPr>
        <w:ind w:left="2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4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Morgan Stanley Bank, N.A., as a Lender and L/C Issuer and Swing-Line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Jack Kuhns</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Jack Kuhns</w:t>
      </w: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Amendment No. 4 to XPO ABL Credit Agreement</w:t>
      </w:r>
      <w:r>
        <w:rPr>
          <w:rFonts w:ascii="Arial" w:cs="Arial" w:eastAsia="Arial" w:hAnsi="Arial"/>
          <w:sz w:val="22"/>
          <w:szCs w:val="22"/>
          <w:color w:val="auto"/>
        </w:rPr>
        <w:t>]</w:t>
      </w:r>
    </w:p>
    <w:p>
      <w:pPr>
        <w:sectPr>
          <w:pgSz w:w="11900" w:h="16838" w:orient="portrait"/>
          <w:cols w:equalWidth="0" w:num="1">
            <w:col w:w="9880"/>
          </w:cols>
          <w:pgMar w:left="1440" w:top="1413" w:right="579" w:bottom="1440" w:gutter="0" w:footer="0" w:header="0"/>
        </w:sectPr>
      </w:pPr>
    </w:p>
    <w:bookmarkStart w:id="51" w:name="page52"/>
    <w:bookmarkEnd w:id="51"/>
    <w:p>
      <w:pPr>
        <w:jc w:val="right"/>
        <w:ind w:right="799"/>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 as a Lender and an L/C Issuer</w:t>
      </w:r>
    </w:p>
    <w:p>
      <w:pPr>
        <w:spacing w:after="0" w:line="200" w:lineRule="exact"/>
        <w:rPr>
          <w:sz w:val="20"/>
          <w:szCs w:val="20"/>
          <w:color w:val="auto"/>
        </w:rPr>
      </w:pPr>
    </w:p>
    <w:p>
      <w:pPr>
        <w:spacing w:after="0" w:line="34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Lia Cornejo</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Lia Cornejo</w:t>
      </w:r>
    </w:p>
    <w:p>
      <w:pPr>
        <w:ind w:left="2780"/>
        <w:spacing w:after="0"/>
        <w:rPr>
          <w:sz w:val="20"/>
          <w:szCs w:val="20"/>
          <w:color w:val="auto"/>
        </w:rPr>
      </w:pPr>
      <w:r>
        <w:rPr>
          <w:rFonts w:ascii="Arial" w:cs="Arial" w:eastAsia="Arial" w:hAnsi="Arial"/>
          <w:sz w:val="20"/>
          <w:szCs w:val="20"/>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4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52" w:name="page53"/>
    <w:bookmarkEnd w:id="52"/>
    <w:p>
      <w:pPr>
        <w:ind w:left="2780"/>
        <w:spacing w:after="0"/>
        <w:rPr>
          <w:sz w:val="20"/>
          <w:szCs w:val="20"/>
          <w:color w:val="auto"/>
        </w:rPr>
      </w:pPr>
      <w:r>
        <w:rPr>
          <w:rFonts w:ascii="Arial" w:cs="Arial" w:eastAsia="Arial" w:hAnsi="Arial"/>
          <w:sz w:val="20"/>
          <w:szCs w:val="20"/>
          <w:b w:val="1"/>
          <w:bCs w:val="1"/>
          <w:color w:val="auto"/>
        </w:rPr>
        <w:t>LENDERS</w:t>
      </w:r>
      <w:r>
        <w:rPr>
          <w:rFonts w:ascii="Arial" w:cs="Arial" w:eastAsia="Arial" w:hAnsi="Arial"/>
          <w:sz w:val="20"/>
          <w:szCs w:val="20"/>
          <w:color w:val="auto"/>
        </w:rPr>
        <w:t>:</w:t>
      </w:r>
    </w:p>
    <w:p>
      <w:pPr>
        <w:spacing w:after="0" w:line="2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Bank of America, N.A., as a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Matthew Bourgeois</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Matthew Bourgeois</w:t>
      </w:r>
    </w:p>
    <w:p>
      <w:pPr>
        <w:ind w:left="27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4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53" w:name="page54"/>
    <w:bookmarkEnd w:id="53"/>
    <w:p>
      <w:pPr>
        <w:ind w:left="2780"/>
        <w:spacing w:after="0"/>
        <w:rPr>
          <w:sz w:val="20"/>
          <w:szCs w:val="20"/>
          <w:color w:val="auto"/>
        </w:rPr>
      </w:pPr>
      <w:r>
        <w:rPr>
          <w:rFonts w:ascii="Arial" w:cs="Arial" w:eastAsia="Arial" w:hAnsi="Arial"/>
          <w:sz w:val="20"/>
          <w:szCs w:val="20"/>
          <w:b w:val="1"/>
          <w:bCs w:val="1"/>
          <w:color w:val="auto"/>
        </w:rPr>
        <w:t>LENDERS</w:t>
      </w:r>
      <w:r>
        <w:rPr>
          <w:rFonts w:ascii="Arial" w:cs="Arial" w:eastAsia="Arial" w:hAnsi="Arial"/>
          <w:sz w:val="20"/>
          <w:szCs w:val="20"/>
          <w:color w:val="auto"/>
        </w:rPr>
        <w:t>:</w:t>
      </w:r>
    </w:p>
    <w:p>
      <w:pPr>
        <w:spacing w:after="0" w:line="2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HSBC Bank USA, National Association, as a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Patrick Mueller</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Patrick Mueller</w:t>
      </w: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4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54" w:name="page55"/>
    <w:bookmarkEnd w:id="54"/>
    <w:p>
      <w:pPr>
        <w:ind w:left="2780"/>
        <w:spacing w:after="0"/>
        <w:rPr>
          <w:sz w:val="20"/>
          <w:szCs w:val="20"/>
          <w:color w:val="auto"/>
        </w:rPr>
      </w:pPr>
      <w:r>
        <w:rPr>
          <w:rFonts w:ascii="Arial" w:cs="Arial" w:eastAsia="Arial" w:hAnsi="Arial"/>
          <w:sz w:val="20"/>
          <w:szCs w:val="20"/>
          <w:b w:val="1"/>
          <w:bCs w:val="1"/>
          <w:color w:val="auto"/>
        </w:rPr>
        <w:t>LENDERS</w:t>
      </w:r>
      <w:r>
        <w:rPr>
          <w:rFonts w:ascii="Arial" w:cs="Arial" w:eastAsia="Arial" w:hAnsi="Arial"/>
          <w:sz w:val="20"/>
          <w:szCs w:val="20"/>
          <w:color w:val="auto"/>
        </w:rPr>
        <w:t>:</w:t>
      </w:r>
    </w:p>
    <w:p>
      <w:pPr>
        <w:spacing w:after="0" w:line="2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Citibank, N.A., as a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Allister Chan</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Allister Chan</w:t>
      </w:r>
    </w:p>
    <w:p>
      <w:pPr>
        <w:ind w:left="2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4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55" w:name="page56"/>
    <w:bookmarkEnd w:id="55"/>
    <w:p>
      <w:pPr>
        <w:ind w:left="2780"/>
        <w:spacing w:after="0"/>
        <w:rPr>
          <w:sz w:val="20"/>
          <w:szCs w:val="20"/>
          <w:color w:val="auto"/>
        </w:rPr>
      </w:pPr>
      <w:r>
        <w:rPr>
          <w:rFonts w:ascii="Arial" w:cs="Arial" w:eastAsia="Arial" w:hAnsi="Arial"/>
          <w:sz w:val="20"/>
          <w:szCs w:val="20"/>
          <w:b w:val="1"/>
          <w:bCs w:val="1"/>
          <w:color w:val="auto"/>
        </w:rPr>
        <w:t>LENDERS</w:t>
      </w:r>
      <w:r>
        <w:rPr>
          <w:rFonts w:ascii="Arial" w:cs="Arial" w:eastAsia="Arial" w:hAnsi="Arial"/>
          <w:sz w:val="20"/>
          <w:szCs w:val="20"/>
          <w:color w:val="auto"/>
        </w:rPr>
        <w:t>:</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CREDIT AGRICOLE CORPORATE AND INVESTMENT BANK, as a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Jill Wong</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Jill Wong</w:t>
      </w:r>
    </w:p>
    <w:p>
      <w:pPr>
        <w:ind w:left="27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4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Gordon Yip</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Gordon Yip</w:t>
      </w:r>
    </w:p>
    <w:p>
      <w:pPr>
        <w:ind w:left="27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4 to XPO ABL Credit Agreement</w:t>
      </w:r>
      <w:r>
        <w:rPr>
          <w:rFonts w:ascii="Arial" w:cs="Arial" w:eastAsia="Arial" w:hAnsi="Arial"/>
          <w:sz w:val="19"/>
          <w:szCs w:val="19"/>
          <w:color w:val="auto"/>
        </w:rPr>
        <w:t>]</w:t>
      </w:r>
    </w:p>
    <w:p>
      <w:pPr>
        <w:sectPr>
          <w:pgSz w:w="11900" w:h="16838" w:orient="portrait"/>
          <w:cols w:equalWidth="0" w:num="1">
            <w:col w:w="9160"/>
          </w:cols>
          <w:pgMar w:left="1440" w:top="1413" w:right="1299" w:bottom="1440" w:gutter="0" w:footer="0" w:header="0"/>
        </w:sectPr>
      </w:pPr>
    </w:p>
    <w:bookmarkStart w:id="56" w:name="page57"/>
    <w:bookmarkEnd w:id="56"/>
    <w:p>
      <w:pPr>
        <w:ind w:left="2780"/>
        <w:spacing w:after="0"/>
        <w:rPr>
          <w:sz w:val="20"/>
          <w:szCs w:val="20"/>
          <w:color w:val="auto"/>
        </w:rPr>
      </w:pPr>
      <w:r>
        <w:rPr>
          <w:rFonts w:ascii="Arial" w:cs="Arial" w:eastAsia="Arial" w:hAnsi="Arial"/>
          <w:sz w:val="20"/>
          <w:szCs w:val="20"/>
          <w:b w:val="1"/>
          <w:bCs w:val="1"/>
          <w:color w:val="auto"/>
        </w:rPr>
        <w:t>LENDERS</w:t>
      </w:r>
      <w:r>
        <w:rPr>
          <w:rFonts w:ascii="Arial" w:cs="Arial" w:eastAsia="Arial" w:hAnsi="Arial"/>
          <w:sz w:val="20"/>
          <w:szCs w:val="20"/>
          <w:color w:val="auto"/>
        </w:rPr>
        <w:t>:</w:t>
      </w:r>
    </w:p>
    <w:p>
      <w:pPr>
        <w:spacing w:after="0" w:line="222" w:lineRule="exact"/>
        <w:rPr>
          <w:sz w:val="20"/>
          <w:szCs w:val="20"/>
          <w:color w:val="auto"/>
        </w:rPr>
      </w:pPr>
    </w:p>
    <w:p>
      <w:pPr>
        <w:jc w:val="right"/>
        <w:ind w:right="759"/>
        <w:spacing w:after="0"/>
        <w:rPr>
          <w:sz w:val="20"/>
          <w:szCs w:val="20"/>
          <w:color w:val="auto"/>
        </w:rPr>
      </w:pPr>
      <w:r>
        <w:rPr>
          <w:rFonts w:ascii="Arial" w:cs="Arial" w:eastAsia="Arial" w:hAnsi="Arial"/>
          <w:sz w:val="20"/>
          <w:szCs w:val="20"/>
          <w:color w:val="auto"/>
        </w:rPr>
        <w:t>CREDIT SUISSE AG, CAYMAN ISLANDS BRANCH, as a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Vipul Dhadda</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Vipul Dhadda</w:t>
      </w: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43"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Nicolas Thierry</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Nicolas Thierry</w:t>
      </w: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4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57" w:name="page58"/>
    <w:bookmarkEnd w:id="57"/>
    <w:p>
      <w:pPr>
        <w:ind w:left="2780"/>
        <w:spacing w:after="0"/>
        <w:rPr>
          <w:sz w:val="20"/>
          <w:szCs w:val="20"/>
          <w:color w:val="auto"/>
        </w:rPr>
      </w:pPr>
      <w:r>
        <w:rPr>
          <w:rFonts w:ascii="Arial" w:cs="Arial" w:eastAsia="Arial" w:hAnsi="Arial"/>
          <w:sz w:val="20"/>
          <w:szCs w:val="20"/>
          <w:b w:val="1"/>
          <w:bCs w:val="1"/>
          <w:color w:val="auto"/>
        </w:rPr>
        <w:t>LENDERS</w:t>
      </w:r>
      <w:r>
        <w:rPr>
          <w:rFonts w:ascii="Arial" w:cs="Arial" w:eastAsia="Arial" w:hAnsi="Arial"/>
          <w:sz w:val="20"/>
          <w:szCs w:val="20"/>
          <w:color w:val="auto"/>
        </w:rPr>
        <w:t>:</w:t>
      </w:r>
    </w:p>
    <w:p>
      <w:pPr>
        <w:spacing w:after="0" w:line="222"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Capital One, National Association, as a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Julianne Low</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Julianne Low</w:t>
      </w:r>
    </w:p>
    <w:p>
      <w:pPr>
        <w:ind w:left="2780"/>
        <w:spacing w:after="0"/>
        <w:rPr>
          <w:sz w:val="20"/>
          <w:szCs w:val="20"/>
          <w:color w:val="auto"/>
        </w:rPr>
      </w:pPr>
      <w:r>
        <w:rPr>
          <w:rFonts w:ascii="Arial" w:cs="Arial" w:eastAsia="Arial" w:hAnsi="Arial"/>
          <w:sz w:val="20"/>
          <w:szCs w:val="20"/>
          <w:color w:val="auto"/>
        </w:rPr>
        <w:t>Title: Senior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4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58" w:name="page59"/>
    <w:bookmarkEnd w:id="58"/>
    <w:p>
      <w:pPr>
        <w:ind w:left="2780"/>
        <w:spacing w:after="0"/>
        <w:rPr>
          <w:sz w:val="20"/>
          <w:szCs w:val="20"/>
          <w:color w:val="auto"/>
        </w:rPr>
      </w:pPr>
      <w:r>
        <w:rPr>
          <w:rFonts w:ascii="Arial" w:cs="Arial" w:eastAsia="Arial" w:hAnsi="Arial"/>
          <w:sz w:val="20"/>
          <w:szCs w:val="20"/>
          <w:b w:val="1"/>
          <w:bCs w:val="1"/>
          <w:color w:val="auto"/>
        </w:rPr>
        <w:t>LENDERS</w:t>
      </w:r>
      <w:r>
        <w:rPr>
          <w:rFonts w:ascii="Arial" w:cs="Arial" w:eastAsia="Arial" w:hAnsi="Arial"/>
          <w:sz w:val="20"/>
          <w:szCs w:val="20"/>
          <w:color w:val="auto"/>
        </w:rPr>
        <w:t>:</w:t>
      </w:r>
    </w:p>
    <w:p>
      <w:pPr>
        <w:spacing w:after="0" w:line="222" w:lineRule="exact"/>
        <w:rPr>
          <w:sz w:val="20"/>
          <w:szCs w:val="20"/>
          <w:color w:val="auto"/>
        </w:rPr>
      </w:pPr>
    </w:p>
    <w:p>
      <w:pPr>
        <w:jc w:val="right"/>
        <w:ind w:right="419"/>
        <w:spacing w:after="0"/>
        <w:rPr>
          <w:sz w:val="20"/>
          <w:szCs w:val="20"/>
          <w:color w:val="auto"/>
        </w:rPr>
      </w:pPr>
      <w:r>
        <w:rPr>
          <w:rFonts w:ascii="Arial" w:cs="Arial" w:eastAsia="Arial" w:hAnsi="Arial"/>
          <w:sz w:val="20"/>
          <w:szCs w:val="20"/>
          <w:color w:val="auto"/>
        </w:rPr>
        <w:t>U.S. BANK NATIONAL ASSOCIATION, as a Lender and an L/C Issuer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Lisa Freeman</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Lisa Freeman</w:t>
      </w:r>
    </w:p>
    <w:p>
      <w:pPr>
        <w:ind w:left="27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4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59" w:name="page60"/>
    <w:bookmarkEnd w:id="59"/>
    <w:p>
      <w:pPr>
        <w:ind w:left="2780"/>
        <w:spacing w:after="0"/>
        <w:rPr>
          <w:sz w:val="20"/>
          <w:szCs w:val="20"/>
          <w:color w:val="auto"/>
        </w:rPr>
      </w:pPr>
      <w:r>
        <w:rPr>
          <w:rFonts w:ascii="Arial" w:cs="Arial" w:eastAsia="Arial" w:hAnsi="Arial"/>
          <w:sz w:val="20"/>
          <w:szCs w:val="20"/>
          <w:b w:val="1"/>
          <w:bCs w:val="1"/>
          <w:color w:val="auto"/>
        </w:rPr>
        <w:t>LENDERS</w:t>
      </w:r>
      <w:r>
        <w:rPr>
          <w:rFonts w:ascii="Arial" w:cs="Arial" w:eastAsia="Arial" w:hAnsi="Arial"/>
          <w:sz w:val="20"/>
          <w:szCs w:val="20"/>
          <w:color w:val="auto"/>
        </w:rPr>
        <w:t>:</w:t>
      </w:r>
    </w:p>
    <w:p>
      <w:pPr>
        <w:spacing w:after="0" w:line="2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MUFG Union Bank, N.A., as a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Paul M. Angland</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Paul M. Angland</w:t>
      </w:r>
    </w:p>
    <w:p>
      <w:pPr>
        <w:ind w:left="27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4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60" w:name="page61"/>
    <w:bookmarkEnd w:id="60"/>
    <w:p>
      <w:pPr>
        <w:ind w:left="2780"/>
        <w:spacing w:after="0"/>
        <w:rPr>
          <w:sz w:val="20"/>
          <w:szCs w:val="20"/>
          <w:color w:val="auto"/>
        </w:rPr>
      </w:pPr>
      <w:r>
        <w:rPr>
          <w:rFonts w:ascii="Arial" w:cs="Arial" w:eastAsia="Arial" w:hAnsi="Arial"/>
          <w:sz w:val="20"/>
          <w:szCs w:val="20"/>
          <w:b w:val="1"/>
          <w:bCs w:val="1"/>
          <w:color w:val="auto"/>
        </w:rPr>
        <w:t>LENDERS</w:t>
      </w:r>
      <w:r>
        <w:rPr>
          <w:rFonts w:ascii="Arial" w:cs="Arial" w:eastAsia="Arial" w:hAnsi="Arial"/>
          <w:sz w:val="20"/>
          <w:szCs w:val="20"/>
          <w:color w:val="auto"/>
        </w:rPr>
        <w:t>:</w:t>
      </w:r>
    </w:p>
    <w:p>
      <w:pPr>
        <w:spacing w:after="0" w:line="2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Wells Fargo Bank, NA, as a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Marc J. Breier</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Marc J. Breier</w:t>
      </w: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4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61" w:name="page62"/>
    <w:bookmarkEnd w:id="61"/>
    <w:p>
      <w:pPr>
        <w:ind w:left="2780"/>
        <w:spacing w:after="0"/>
        <w:rPr>
          <w:sz w:val="20"/>
          <w:szCs w:val="20"/>
          <w:color w:val="auto"/>
        </w:rPr>
      </w:pPr>
      <w:r>
        <w:rPr>
          <w:rFonts w:ascii="Arial" w:cs="Arial" w:eastAsia="Arial" w:hAnsi="Arial"/>
          <w:sz w:val="20"/>
          <w:szCs w:val="20"/>
          <w:b w:val="1"/>
          <w:bCs w:val="1"/>
          <w:color w:val="auto"/>
        </w:rPr>
        <w:t>LENDERS</w:t>
      </w:r>
      <w:r>
        <w:rPr>
          <w:rFonts w:ascii="Arial" w:cs="Arial" w:eastAsia="Arial" w:hAnsi="Arial"/>
          <w:sz w:val="20"/>
          <w:szCs w:val="20"/>
          <w:color w:val="auto"/>
        </w:rPr>
        <w:t>:</w:t>
      </w:r>
    </w:p>
    <w:p>
      <w:pPr>
        <w:spacing w:after="0" w:line="2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BARCLAYS BANK PLC as a Lender and L/C Issuer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Komal Ramkirath</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Komal Ramkirath</w:t>
      </w:r>
    </w:p>
    <w:p>
      <w:pPr>
        <w:ind w:left="2780"/>
        <w:spacing w:after="0"/>
        <w:rPr>
          <w:sz w:val="20"/>
          <w:szCs w:val="20"/>
          <w:color w:val="auto"/>
        </w:rPr>
      </w:pPr>
      <w:r>
        <w:rPr>
          <w:rFonts w:ascii="Arial" w:cs="Arial" w:eastAsia="Arial" w:hAnsi="Arial"/>
          <w:sz w:val="20"/>
          <w:szCs w:val="20"/>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4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20"/>
          <w:szCs w:val="20"/>
          <w:b w:val="1"/>
          <w:bCs w:val="1"/>
          <w:color w:val="auto"/>
        </w:rPr>
        <w:t>EXHIBIT 10.4</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NO. 5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SECOND AMENDED AND RESTATED REVOLVING LOAN CREDIT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JUNE 29, 2020</w:t>
      </w:r>
    </w:p>
    <w:p>
      <w:pPr>
        <w:spacing w:after="0" w:line="222"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Amendment No. 5 to the Second Amended and Restated Revolving Loan Credit Agreement, dated as of October 30, 2015 (this “</w:t>
      </w:r>
      <w:r>
        <w:rPr>
          <w:rFonts w:ascii="Arial" w:cs="Arial" w:eastAsia="Arial" w:hAnsi="Arial"/>
          <w:sz w:val="19"/>
          <w:szCs w:val="19"/>
          <w:u w:val="single" w:color="auto"/>
          <w:color w:val="auto"/>
        </w:rPr>
        <w:t>Amendment</w:t>
      </w:r>
      <w:r>
        <w:rPr>
          <w:rFonts w:ascii="Arial" w:cs="Arial" w:eastAsia="Arial" w:hAnsi="Arial"/>
          <w:sz w:val="19"/>
          <w:szCs w:val="19"/>
          <w:color w:val="auto"/>
        </w:rPr>
        <w:t>”), by and among XPO LOGISTICS, INC., a Delaware corporation (“</w:t>
      </w:r>
      <w:r>
        <w:rPr>
          <w:rFonts w:ascii="Arial" w:cs="Arial" w:eastAsia="Arial" w:hAnsi="Arial"/>
          <w:sz w:val="19"/>
          <w:szCs w:val="19"/>
          <w:u w:val="single" w:color="auto"/>
          <w:color w:val="auto"/>
        </w:rPr>
        <w:t>Parent Borrower</w:t>
      </w:r>
      <w:r>
        <w:rPr>
          <w:rFonts w:ascii="Arial" w:cs="Arial" w:eastAsia="Arial" w:hAnsi="Arial"/>
          <w:sz w:val="19"/>
          <w:szCs w:val="19"/>
          <w:color w:val="auto"/>
        </w:rPr>
        <w:t>”), certain of Parent Borrower’s Subsidiaries signatory thereto, as borrowers (collectively with Parent Borrower, the “</w:t>
      </w:r>
      <w:r>
        <w:rPr>
          <w:rFonts w:ascii="Arial" w:cs="Arial" w:eastAsia="Arial" w:hAnsi="Arial"/>
          <w:sz w:val="19"/>
          <w:szCs w:val="19"/>
          <w:u w:val="single" w:color="auto"/>
          <w:color w:val="auto"/>
        </w:rPr>
        <w:t>Borrowers</w:t>
      </w:r>
      <w:r>
        <w:rPr>
          <w:rFonts w:ascii="Arial" w:cs="Arial" w:eastAsia="Arial" w:hAnsi="Arial"/>
          <w:sz w:val="19"/>
          <w:szCs w:val="19"/>
          <w:color w:val="auto"/>
        </w:rPr>
        <w:t>” and each, individually, as a “</w:t>
      </w:r>
      <w:r>
        <w:rPr>
          <w:rFonts w:ascii="Arial" w:cs="Arial" w:eastAsia="Arial" w:hAnsi="Arial"/>
          <w:sz w:val="19"/>
          <w:szCs w:val="19"/>
          <w:u w:val="single" w:color="auto"/>
          <w:color w:val="auto"/>
        </w:rPr>
        <w:t>Borrower</w:t>
      </w:r>
      <w:r>
        <w:rPr>
          <w:rFonts w:ascii="Arial" w:cs="Arial" w:eastAsia="Arial" w:hAnsi="Arial"/>
          <w:sz w:val="19"/>
          <w:szCs w:val="19"/>
          <w:color w:val="auto"/>
        </w:rPr>
        <w:t>”), the Lenders from time to time party thereto, MORGAN STANLEY SENIOR FUNDING, INC., in its capacity as agent (in such capacity and together with any successors and assigns in such capacity, the “</w:t>
      </w:r>
      <w:r>
        <w:rPr>
          <w:rFonts w:ascii="Arial" w:cs="Arial" w:eastAsia="Arial" w:hAnsi="Arial"/>
          <w:sz w:val="19"/>
          <w:szCs w:val="19"/>
          <w:u w:val="single" w:color="auto"/>
          <w:color w:val="auto"/>
        </w:rPr>
        <w:t>Agent</w:t>
      </w:r>
      <w:r>
        <w:rPr>
          <w:rFonts w:ascii="Arial" w:cs="Arial" w:eastAsia="Arial" w:hAnsi="Arial"/>
          <w:sz w:val="19"/>
          <w:szCs w:val="19"/>
          <w:color w:val="auto"/>
        </w:rPr>
        <w:t>”) and MORGAN STANLEY SENIOR FUNDING, INC. and JPMORGAN CHASE BANK, N.A. in their capacity as co-collateral agents (in such capacity and together with any successors and assigns in such capacity, the “</w:t>
      </w:r>
      <w:r>
        <w:rPr>
          <w:rFonts w:ascii="Arial" w:cs="Arial" w:eastAsia="Arial" w:hAnsi="Arial"/>
          <w:sz w:val="19"/>
          <w:szCs w:val="19"/>
          <w:u w:val="single" w:color="auto"/>
          <w:color w:val="auto"/>
        </w:rPr>
        <w:t>Co-Collateral Agents</w:t>
      </w:r>
      <w:r>
        <w:rPr>
          <w:rFonts w:ascii="Arial" w:cs="Arial" w:eastAsia="Arial" w:hAnsi="Arial"/>
          <w:sz w:val="19"/>
          <w:szCs w:val="19"/>
          <w:color w:val="auto"/>
        </w:rPr>
        <w:t>”) (as amended, restated, modified and supplemented prior to the date hereof, the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the Credit Agreement, as amended by this Amendment, the “</w:t>
      </w:r>
      <w:r>
        <w:rPr>
          <w:rFonts w:ascii="Arial" w:cs="Arial" w:eastAsia="Arial" w:hAnsi="Arial"/>
          <w:sz w:val="19"/>
          <w:szCs w:val="19"/>
          <w:u w:val="single" w:color="auto"/>
          <w:color w:val="auto"/>
        </w:rPr>
        <w:t>Amended Credit Agreement</w:t>
      </w:r>
      <w:r>
        <w:rPr>
          <w:rFonts w:ascii="Arial" w:cs="Arial" w:eastAsia="Arial" w:hAnsi="Arial"/>
          <w:sz w:val="19"/>
          <w:szCs w:val="19"/>
          <w:color w:val="auto"/>
        </w:rPr>
        <w:t>”); capitalized terms used and not otherwise defined herein shall have the meanings assigned to such terms in the Credit Agreement.</w:t>
      </w:r>
    </w:p>
    <w:p>
      <w:pPr>
        <w:spacing w:after="0" w:line="18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WHEREAS, pursuant to Sections 12.2(a), 12.2(b) and 12.2(c) of the Credit Agreement, the Parent Borrower has requested that the Credit Agreement be amended to (i) permit the future establishment of a “first in, last out” tranche of Commitments under Section 2.16 of the Credit Agreement, as modified by the terms and subject to the conditions set forth herein, and (ii) make other changes referred to herein;</w:t>
      </w:r>
    </w:p>
    <w:p>
      <w:pPr>
        <w:spacing w:after="0" w:line="19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WHEREAS, the Lenders signatory hereto (the “</w:t>
      </w:r>
      <w:r>
        <w:rPr>
          <w:rFonts w:ascii="Arial" w:cs="Arial" w:eastAsia="Arial" w:hAnsi="Arial"/>
          <w:sz w:val="20"/>
          <w:szCs w:val="20"/>
          <w:u w:val="single" w:color="auto"/>
          <w:color w:val="auto"/>
        </w:rPr>
        <w:t>Existing Lenders</w:t>
      </w:r>
      <w:r>
        <w:rPr>
          <w:rFonts w:ascii="Arial" w:cs="Arial" w:eastAsia="Arial" w:hAnsi="Arial"/>
          <w:sz w:val="20"/>
          <w:szCs w:val="20"/>
          <w:color w:val="auto"/>
        </w:rPr>
        <w:t>”) and the L/C Issuers signatory hereto, which constitute all Lenders and all L/C Issuers under the Credit Agreement immediately prior to, and as of, the Amendment Effective Date (as defined below), and the Agent have agreed to amend the Credit Agreement as set forth herein;</w:t>
      </w:r>
    </w:p>
    <w:p>
      <w:pPr>
        <w:spacing w:after="0" w:line="186"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24"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b w:val="1"/>
          <w:bCs w:val="1"/>
          <w:u w:val="single" w:color="auto"/>
          <w:color w:val="auto"/>
        </w:rPr>
        <w:t>Amendment</w:t>
      </w:r>
      <w:r>
        <w:rPr>
          <w:rFonts w:ascii="Arial" w:cs="Arial" w:eastAsia="Arial" w:hAnsi="Arial"/>
          <w:sz w:val="20"/>
          <w:szCs w:val="20"/>
          <w:color w:val="auto"/>
        </w:rPr>
        <w:t xml:space="preserve">. Effective as of the Amendment Effective Date, the Credit Agreement is hereby amended to delete the stricken text (indicated textually in the same manner as the following example: </w:t>
      </w:r>
      <w:r>
        <w:rPr>
          <w:rFonts w:ascii="Arial" w:cs="Arial" w:eastAsia="Arial" w:hAnsi="Arial"/>
          <w:sz w:val="20"/>
          <w:szCs w:val="20"/>
          <w:color w:val="FF0000"/>
          <w:strike w:val="1"/>
        </w:rPr>
        <w:t>stricken text</w:t>
      </w:r>
      <w:r>
        <w:rPr>
          <w:rFonts w:ascii="Arial" w:cs="Arial" w:eastAsia="Arial" w:hAnsi="Arial"/>
          <w:sz w:val="20"/>
          <w:szCs w:val="20"/>
          <w:color w:val="auto"/>
        </w:rPr>
        <w:t xml:space="preserve">) and add the double-underlined text (indicated textually in the same manner as the following example: </w:t>
      </w:r>
      <w:r>
        <w:rPr>
          <w:rFonts w:ascii="Arial" w:cs="Arial" w:eastAsia="Arial" w:hAnsi="Arial"/>
          <w:sz w:val="20"/>
          <w:szCs w:val="20"/>
          <w:u w:val="single" w:color="auto"/>
          <w:color w:val="0000FF"/>
        </w:rPr>
        <w:t>double-underlined text</w:t>
      </w:r>
      <w:r>
        <w:rPr>
          <w:rFonts w:ascii="Arial" w:cs="Arial" w:eastAsia="Arial" w:hAnsi="Arial"/>
          <w:sz w:val="20"/>
          <w:szCs w:val="20"/>
          <w:color w:val="auto"/>
        </w:rPr>
        <w:t xml:space="preserve">) as set forth in the pages of the Credit Agreement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183"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b w:val="1"/>
          <w:bCs w:val="1"/>
          <w:u w:val="single" w:color="auto"/>
          <w:color w:val="auto"/>
        </w:rPr>
        <w:t>Representations and Warranties</w:t>
      </w:r>
      <w:r>
        <w:rPr>
          <w:rFonts w:ascii="Arial" w:cs="Arial" w:eastAsia="Arial" w:hAnsi="Arial"/>
          <w:sz w:val="20"/>
          <w:szCs w:val="20"/>
          <w:color w:val="auto"/>
        </w:rPr>
        <w:t>. Each Credit Party hereby represents and warrants that as of the Amendment Effective Date, after giving effect to this Amendment, (i) no Default or Event of Default has occurred and is continuing under the Amended Credit Agreement and (ii) all representations and warranties made by any Credit Party contained in the Amended Credit Agreement or in the other Loan Documents are true and correct in all material respects with the same effect as though such representations and warranties had been made on and as of the Amendment Effective Date (except where such representations and warranties expressly relate to an earlier date, in which case such</w:t>
      </w:r>
    </w:p>
    <w:p>
      <w:pPr>
        <w:sectPr>
          <w:pgSz w:w="11900" w:h="16838" w:orient="portrait"/>
          <w:cols w:equalWidth="0" w:num="1">
            <w:col w:w="11240"/>
          </w:cols>
          <w:pgMar w:left="320" w:top="1251" w:right="339" w:bottom="1440" w:gutter="0" w:footer="0" w:header="0"/>
        </w:sectPr>
      </w:pPr>
    </w:p>
    <w:bookmarkStart w:id="63" w:name="page64"/>
    <w:bookmarkEnd w:id="63"/>
    <w:p>
      <w:pPr>
        <w:jc w:val="both"/>
        <w:spacing w:after="0" w:line="269" w:lineRule="auto"/>
        <w:rPr>
          <w:sz w:val="20"/>
          <w:szCs w:val="20"/>
          <w:color w:val="auto"/>
        </w:rPr>
      </w:pPr>
      <w:r>
        <w:rPr>
          <w:rFonts w:ascii="Arial" w:cs="Arial" w:eastAsia="Arial" w:hAnsi="Arial"/>
          <w:sz w:val="19"/>
          <w:szCs w:val="19"/>
          <w:color w:val="auto"/>
        </w:rPr>
        <w:t xml:space="preserve">representations and warranties were true and correct in all material respects as of such earlier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representation and warranty that is qualified as to “materiality,” “Material Adverse Effect” or similar language shall be true and correct in all respects on the Amendment Effective Date or on such earlier date, as the case may be (after giving effect to such qualification).</w:t>
      </w:r>
    </w:p>
    <w:p>
      <w:pPr>
        <w:spacing w:after="0" w:line="164"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b w:val="1"/>
          <w:bCs w:val="1"/>
          <w:u w:val="single" w:color="auto"/>
          <w:color w:val="auto"/>
        </w:rPr>
        <w:t>Effectiveness.</w:t>
      </w:r>
      <w:r>
        <w:rPr>
          <w:rFonts w:ascii="Arial" w:cs="Arial" w:eastAsia="Arial" w:hAnsi="Arial"/>
          <w:sz w:val="20"/>
          <w:szCs w:val="20"/>
          <w:color w:val="auto"/>
        </w:rPr>
        <w:t xml:space="preserve"> This Amendment shall become effective as of the first date when each of the following conditions shall have been satisfied (the date of satisfaction or waiver of such conditions, which date is June 29, 2020, the “</w:t>
      </w:r>
      <w:r>
        <w:rPr>
          <w:rFonts w:ascii="Arial" w:cs="Arial" w:eastAsia="Arial" w:hAnsi="Arial"/>
          <w:sz w:val="20"/>
          <w:szCs w:val="20"/>
          <w:b w:val="1"/>
          <w:bCs w:val="1"/>
          <w:color w:val="auto"/>
        </w:rPr>
        <w:t>Amendment</w:t>
      </w:r>
      <w:r>
        <w:rPr>
          <w:rFonts w:ascii="Arial" w:cs="Arial" w:eastAsia="Arial" w:hAnsi="Arial"/>
          <w:sz w:val="20"/>
          <w:szCs w:val="20"/>
          <w:color w:val="auto"/>
        </w:rPr>
        <w:t xml:space="preserv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183" w:lineRule="exact"/>
        <w:rPr>
          <w:sz w:val="20"/>
          <w:szCs w:val="20"/>
          <w:color w:val="auto"/>
        </w:rPr>
      </w:pPr>
    </w:p>
    <w:p>
      <w:pPr>
        <w:jc w:val="both"/>
        <w:ind w:firstLine="1304"/>
        <w:spacing w:after="0" w:line="250" w:lineRule="auto"/>
        <w:tabs>
          <w:tab w:leader="none" w:pos="1934"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Agent shall have received from the Parent Borrower, each other Credit Party, the Agent, each Existing Lender, the Swing Line Lender and each L/C Issuer an executed counterpart hereof or other written confirmation (in form satisfactory to the Agent) that such party has signed a counterpart hereof;</w:t>
      </w:r>
    </w:p>
    <w:p>
      <w:pPr>
        <w:spacing w:after="0" w:line="185" w:lineRule="exact"/>
        <w:rPr>
          <w:rFonts w:ascii="Arial" w:cs="Arial" w:eastAsia="Arial" w:hAnsi="Arial"/>
          <w:sz w:val="20"/>
          <w:szCs w:val="20"/>
          <w:color w:val="auto"/>
        </w:rPr>
      </w:pPr>
    </w:p>
    <w:p>
      <w:pPr>
        <w:jc w:val="both"/>
        <w:ind w:firstLine="1304"/>
        <w:spacing w:after="0" w:line="269" w:lineRule="auto"/>
        <w:tabs>
          <w:tab w:leader="none" w:pos="1932" w:val="left"/>
        </w:tabs>
        <w:numPr>
          <w:ilvl w:val="0"/>
          <w:numId w:val="12"/>
        </w:numPr>
        <w:rPr>
          <w:rFonts w:ascii="Arial" w:cs="Arial" w:eastAsia="Arial" w:hAnsi="Arial"/>
          <w:sz w:val="19"/>
          <w:szCs w:val="19"/>
          <w:color w:val="auto"/>
        </w:rPr>
      </w:pPr>
      <w:r>
        <w:rPr>
          <w:rFonts w:ascii="Arial" w:cs="Arial" w:eastAsia="Arial" w:hAnsi="Arial"/>
          <w:sz w:val="19"/>
          <w:szCs w:val="19"/>
          <w:color w:val="auto"/>
        </w:rPr>
        <w:t>All fees and out-of-pocket expenses of the Agent required to be paid or reimbursed by the Parent Borrower on the Amendment Effective Date under Section 12.3 of the Credit Agreement shall, to the extent invoiced and provided in writing to the Parent Borrower at least one Business Day prior to the Amendment Effective Date, have been paid or reimbursed;</w:t>
      </w:r>
    </w:p>
    <w:p>
      <w:pPr>
        <w:spacing w:after="0" w:line="169" w:lineRule="exact"/>
        <w:rPr>
          <w:rFonts w:ascii="Arial" w:cs="Arial" w:eastAsia="Arial" w:hAnsi="Arial"/>
          <w:sz w:val="19"/>
          <w:szCs w:val="19"/>
          <w:color w:val="auto"/>
        </w:rPr>
      </w:pPr>
    </w:p>
    <w:p>
      <w:pPr>
        <w:jc w:val="both"/>
        <w:ind w:firstLine="1304"/>
        <w:spacing w:after="0" w:line="246" w:lineRule="auto"/>
        <w:tabs>
          <w:tab w:leader="none" w:pos="1934" w:val="left"/>
        </w:tabs>
        <w:numPr>
          <w:ilvl w:val="0"/>
          <w:numId w:val="12"/>
        </w:numPr>
        <w:rPr>
          <w:rFonts w:ascii="Arial" w:cs="Arial" w:eastAsia="Arial" w:hAnsi="Arial"/>
          <w:sz w:val="20"/>
          <w:szCs w:val="20"/>
          <w:color w:val="auto"/>
        </w:rPr>
      </w:pPr>
      <w:r>
        <w:rPr>
          <w:rFonts w:ascii="Arial" w:cs="Arial" w:eastAsia="Arial" w:hAnsi="Arial"/>
          <w:sz w:val="20"/>
          <w:szCs w:val="20"/>
          <w:color w:val="auto"/>
        </w:rPr>
        <w:t>The representations and warranties made pursuant to Section 2 hereof shall be true and correct in all material respects (with respect to any representation or warranty that is not otherwise qualified as to materiality) on and as of the Amendment Effective Date, except to the extent that such representations or warranties expressly relate to an earlier date, in which case they shall be true and correct in all material respects as of such earlier date; and</w:t>
      </w:r>
    </w:p>
    <w:p>
      <w:pPr>
        <w:spacing w:after="0" w:line="191" w:lineRule="exact"/>
        <w:rPr>
          <w:rFonts w:ascii="Arial" w:cs="Arial" w:eastAsia="Arial" w:hAnsi="Arial"/>
          <w:sz w:val="20"/>
          <w:szCs w:val="20"/>
          <w:color w:val="auto"/>
        </w:rPr>
      </w:pPr>
    </w:p>
    <w:p>
      <w:pPr>
        <w:jc w:val="both"/>
        <w:ind w:firstLine="1304"/>
        <w:spacing w:after="0" w:line="272" w:lineRule="auto"/>
        <w:tabs>
          <w:tab w:leader="none" w:pos="19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Agent shall have received, from each Credit Party designated as a Designated Guarantor (as defined in the Amended Credit Agreement) as of the date hereof, (i) a supplemental guaranty in the form attached to the Credit Agreement as Exhibit 1.1(a), (ii) such other Collateral Documents and other documents that such Designated Guarantor is required to deliver pursuant to Section</w:t>
      </w:r>
    </w:p>
    <w:p>
      <w:pPr>
        <w:jc w:val="both"/>
        <w:spacing w:after="0" w:line="241" w:lineRule="auto"/>
        <w:rPr>
          <w:rFonts w:ascii="Arial" w:cs="Arial" w:eastAsia="Arial" w:hAnsi="Arial"/>
          <w:sz w:val="18"/>
          <w:szCs w:val="18"/>
          <w:color w:val="auto"/>
        </w:rPr>
      </w:pPr>
      <w:r>
        <w:rPr>
          <w:rFonts w:ascii="Arial" w:cs="Arial" w:eastAsia="Arial" w:hAnsi="Arial"/>
          <w:sz w:val="20"/>
          <w:szCs w:val="20"/>
          <w:color w:val="auto"/>
        </w:rPr>
        <w:t>6.12 of the Amended Credit Agreement in order to become a Guarantor as may be reasonably requested by Agent and (iii) all documentation and other information required by Governmental Authorities under applicable “know your customer” and anti-money laundering rules and regulations, including the Patriot Act, in each case to the extent requested by Agent (or any Lender through the Agent) from each Designated Guarantor.</w:t>
      </w:r>
    </w:p>
    <w:p>
      <w:pPr>
        <w:spacing w:after="0" w:line="188" w:lineRule="exact"/>
        <w:rPr>
          <w:sz w:val="20"/>
          <w:szCs w:val="20"/>
          <w:color w:val="auto"/>
        </w:rPr>
      </w:pPr>
    </w:p>
    <w:p>
      <w:pPr>
        <w:ind w:right="280" w:firstLine="1296"/>
        <w:spacing w:after="0" w:line="267"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Amendment shall be governed by, and construed and enforced in accordance with, the internal laws of the State of New York applicable to contracts made and performed in that state.</w:t>
      </w:r>
    </w:p>
    <w:p>
      <w:pPr>
        <w:spacing w:after="0" w:line="163"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b w:val="1"/>
          <w:bCs w:val="1"/>
          <w:u w:val="single" w:color="auto"/>
          <w:color w:val="auto"/>
        </w:rPr>
        <w:t>Credit Agreement Governs</w:t>
      </w:r>
      <w:r>
        <w:rPr>
          <w:rFonts w:ascii="Arial" w:cs="Arial" w:eastAsia="Arial" w:hAnsi="Arial"/>
          <w:sz w:val="19"/>
          <w:szCs w:val="19"/>
          <w:color w:val="auto"/>
        </w:rPr>
        <w:t>. Except as expressly set forth herein, this Amendment shall not by implication or otherwise limit, impair, constitute a waiver of or otherwise affect the rights and remedies of any Lender, any L/C Issuer, the Swing Line Lender, any Co-Collateral Agent or the Agent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Nothing herein shall be deemed to entitle any Credit Party to a future consent to, or a waiver, amendment, modification or other change of, any of the terms, conditions, obligations, covenants or agreements contained in the Credit Agreement or any other Loan Document in similar or different circumstances. This Amendment shall constitute a Loan Document for purposes of the Credit Agreement and from and after the Amendment Effective Date, all references to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257" w:right="339" w:bottom="1440" w:gutter="0" w:footer="0" w:header="0"/>
        </w:sectPr>
      </w:pPr>
    </w:p>
    <w:bookmarkStart w:id="64" w:name="page65"/>
    <w:bookmarkEnd w:id="64"/>
    <w:p>
      <w:pPr>
        <w:jc w:val="both"/>
        <w:spacing w:after="0" w:line="250" w:lineRule="auto"/>
        <w:rPr>
          <w:sz w:val="20"/>
          <w:szCs w:val="20"/>
          <w:color w:val="auto"/>
        </w:rPr>
      </w:pPr>
      <w:r>
        <w:rPr>
          <w:rFonts w:ascii="Arial" w:cs="Arial" w:eastAsia="Arial" w:hAnsi="Arial"/>
          <w:sz w:val="20"/>
          <w:szCs w:val="20"/>
          <w:color w:val="auto"/>
        </w:rPr>
        <w:t>Agreement in any Loan Document and all references in the Credit Agreement to “this Agreement,” “hereunder,” “hereof” or words of like import referring to the Credit Agreement, shall, unless expressly provided otherwise, refer to the Credit Agreement as amended by this Amendment.</w:t>
      </w:r>
    </w:p>
    <w:p>
      <w:pPr>
        <w:spacing w:after="0" w:line="18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b w:val="1"/>
          <w:bCs w:val="1"/>
          <w:u w:val="single" w:color="auto"/>
          <w:color w:val="auto"/>
        </w:rPr>
        <w:t>Counterparts</w:t>
      </w:r>
      <w:r>
        <w:rPr>
          <w:rFonts w:ascii="Arial" w:cs="Arial" w:eastAsia="Arial" w:hAnsi="Arial"/>
          <w:sz w:val="20"/>
          <w:szCs w:val="20"/>
          <w:color w:val="auto"/>
        </w:rPr>
        <w:t>. This Amendment may be signed (including via “DocuSign” or other electronic means) in any number of counterparts, each of which shall be an original, with the same effect as if the signatures thereto and hereto were upon the same instrument. Delivery of an executed counterpart of a signature page to this Amendment by facsimile or electronic (i.e., “pdf” or “tif”) transmission shall be effective as delivery of a manually executed counterpart of this Amendment.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57"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IN WITNESS WHEREOF, the parties hereto have caused this Amendment to be duly executed as of the date first above written.</w:t>
      </w:r>
    </w:p>
    <w:p>
      <w:pPr>
        <w:sectPr>
          <w:pgSz w:w="11900" w:h="16838" w:orient="portrait"/>
          <w:cols w:equalWidth="0" w:num="1">
            <w:col w:w="10180"/>
          </w:cols>
          <w:pgMar w:left="980" w:top="1419" w:right="7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3000"/>
        <w:spacing w:after="0"/>
        <w:rPr>
          <w:sz w:val="20"/>
          <w:szCs w:val="20"/>
          <w:color w:val="auto"/>
        </w:rPr>
      </w:pPr>
      <w:r>
        <w:rPr>
          <w:rFonts w:ascii="Arial" w:cs="Arial" w:eastAsia="Arial" w:hAnsi="Arial"/>
          <w:sz w:val="20"/>
          <w:szCs w:val="20"/>
          <w:b w:val="1"/>
          <w:bCs w:val="1"/>
          <w:color w:val="auto"/>
        </w:rPr>
        <w:t>BORROWERS</w:t>
      </w:r>
      <w:r>
        <w:rPr>
          <w:rFonts w:ascii="Arial" w:cs="Arial" w:eastAsia="Arial" w:hAnsi="Arial"/>
          <w:sz w:val="20"/>
          <w:szCs w:val="20"/>
          <w:color w:val="auto"/>
        </w:rPr>
        <w:t>:</w:t>
      </w:r>
    </w:p>
    <w:p>
      <w:pPr>
        <w:spacing w:after="0" w:line="200" w:lineRule="exact"/>
        <w:rPr>
          <w:sz w:val="20"/>
          <w:szCs w:val="20"/>
          <w:color w:val="auto"/>
        </w:rPr>
      </w:pPr>
    </w:p>
    <w:p>
      <w:pPr>
        <w:spacing w:after="0" w:line="265"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XPO LOGISTICS,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Ravi Tulsyan</w:t>
      </w:r>
    </w:p>
    <w:p>
      <w:pPr>
        <w:spacing w:after="0" w:line="16"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Name: Ravi Tulsyan</w:t>
      </w:r>
    </w:p>
    <w:p>
      <w:pPr>
        <w:spacing w:after="0" w:line="4"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Title: Senior Vice President and Treasurer</w:t>
      </w:r>
    </w:p>
    <w:p>
      <w:pPr>
        <w:spacing w:after="0" w:line="200" w:lineRule="exact"/>
        <w:rPr>
          <w:sz w:val="20"/>
          <w:szCs w:val="20"/>
          <w:color w:val="auto"/>
        </w:rPr>
      </w:pPr>
    </w:p>
    <w:p>
      <w:pPr>
        <w:spacing w:after="0" w:line="224"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XPO LOGISTICS CANADA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0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Ravi Tulsyan</w:t>
      </w:r>
    </w:p>
    <w:p>
      <w:pPr>
        <w:spacing w:after="0" w:line="15" w:lineRule="exact"/>
        <w:rPr>
          <w:sz w:val="20"/>
          <w:szCs w:val="20"/>
          <w:color w:val="auto"/>
        </w:rPr>
      </w:pPr>
    </w:p>
    <w:p>
      <w:pPr>
        <w:ind w:left="3640"/>
        <w:spacing w:after="0"/>
        <w:rPr>
          <w:sz w:val="20"/>
          <w:szCs w:val="20"/>
          <w:color w:val="auto"/>
        </w:rPr>
      </w:pPr>
      <w:r>
        <w:rPr>
          <w:rFonts w:ascii="Arial" w:cs="Arial" w:eastAsia="Arial" w:hAnsi="Arial"/>
          <w:sz w:val="20"/>
          <w:szCs w:val="20"/>
          <w:color w:val="auto"/>
        </w:rPr>
        <w:t>Name: Ravi Tulsyan</w:t>
      </w:r>
    </w:p>
    <w:p>
      <w:pPr>
        <w:ind w:left="3640"/>
        <w:spacing w:after="0"/>
        <w:rPr>
          <w:sz w:val="20"/>
          <w:szCs w:val="20"/>
          <w:color w:val="auto"/>
        </w:rPr>
      </w:pPr>
      <w:r>
        <w:rPr>
          <w:rFonts w:ascii="Arial" w:cs="Arial" w:eastAsia="Arial" w:hAnsi="Arial"/>
          <w:sz w:val="20"/>
          <w:szCs w:val="20"/>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10180"/>
          </w:cols>
          <w:pgMar w:left="980" w:top="1419" w:right="739" w:bottom="1440" w:gutter="0" w:footer="0" w:header="0"/>
          <w:type w:val="continuous"/>
        </w:sectPr>
      </w:pPr>
    </w:p>
    <w:bookmarkStart w:id="66" w:name="page67"/>
    <w:bookmarkEnd w:id="66"/>
    <w:p>
      <w:pPr>
        <w:ind w:left="1880"/>
        <w:spacing w:after="0"/>
        <w:rPr>
          <w:sz w:val="20"/>
          <w:szCs w:val="20"/>
          <w:color w:val="auto"/>
        </w:rPr>
      </w:pPr>
      <w:r>
        <w:rPr>
          <w:rFonts w:ascii="Arial" w:cs="Arial" w:eastAsia="Arial" w:hAnsi="Arial"/>
          <w:sz w:val="20"/>
          <w:szCs w:val="20"/>
          <w:b w:val="1"/>
          <w:bCs w:val="1"/>
          <w:color w:val="auto"/>
        </w:rPr>
        <w:t>GUARANTORS</w:t>
      </w:r>
      <w:r>
        <w:rPr>
          <w:rFonts w:ascii="Arial" w:cs="Arial" w:eastAsia="Arial" w:hAnsi="Arial"/>
          <w:sz w:val="20"/>
          <w:szCs w:val="20"/>
          <w:color w:val="auto"/>
        </w:rPr>
        <w:t>:</w:t>
      </w:r>
    </w:p>
    <w:p>
      <w:pPr>
        <w:spacing w:after="0" w:line="222"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BONCE LOGISTICS, LLC</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CON-WAY MULTIMODAL INC.</w:t>
      </w:r>
    </w:p>
    <w:p>
      <w:pPr>
        <w:ind w:left="1880"/>
        <w:spacing w:after="0"/>
        <w:rPr>
          <w:sz w:val="20"/>
          <w:szCs w:val="20"/>
          <w:color w:val="auto"/>
        </w:rPr>
      </w:pPr>
      <w:r>
        <w:rPr>
          <w:rFonts w:ascii="Arial" w:cs="Arial" w:eastAsia="Arial" w:hAnsi="Arial"/>
          <w:sz w:val="19"/>
          <w:szCs w:val="19"/>
          <w:color w:val="auto"/>
        </w:rPr>
        <w:t>MANUFACTURERS CONSOLIDATION SERVICE OF CANADA, INC.</w:t>
      </w:r>
    </w:p>
    <w:p>
      <w:pPr>
        <w:spacing w:after="0" w:line="11"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XPO AIR CHARTER, LLC</w:t>
      </w:r>
    </w:p>
    <w:p>
      <w:pPr>
        <w:ind w:left="1880"/>
        <w:spacing w:after="0"/>
        <w:rPr>
          <w:sz w:val="20"/>
          <w:szCs w:val="20"/>
          <w:color w:val="auto"/>
        </w:rPr>
      </w:pPr>
      <w:r>
        <w:rPr>
          <w:rFonts w:ascii="Arial" w:cs="Arial" w:eastAsia="Arial" w:hAnsi="Arial"/>
          <w:sz w:val="20"/>
          <w:szCs w:val="20"/>
          <w:color w:val="auto"/>
        </w:rPr>
        <w:t>XPO CNW, INC.</w:t>
      </w:r>
    </w:p>
    <w:p>
      <w:pPr>
        <w:ind w:left="1880"/>
        <w:spacing w:after="0"/>
        <w:rPr>
          <w:sz w:val="20"/>
          <w:szCs w:val="20"/>
          <w:color w:val="auto"/>
        </w:rPr>
      </w:pPr>
      <w:r>
        <w:rPr>
          <w:rFonts w:ascii="Arial" w:cs="Arial" w:eastAsia="Arial" w:hAnsi="Arial"/>
          <w:sz w:val="20"/>
          <w:szCs w:val="20"/>
          <w:color w:val="auto"/>
        </w:rPr>
        <w:t>XPO COURIER, LLC</w:t>
      </w:r>
    </w:p>
    <w:p>
      <w:pPr>
        <w:ind w:left="1880"/>
        <w:spacing w:after="0"/>
        <w:rPr>
          <w:sz w:val="20"/>
          <w:szCs w:val="20"/>
          <w:color w:val="auto"/>
        </w:rPr>
      </w:pPr>
      <w:r>
        <w:rPr>
          <w:rFonts w:ascii="Arial" w:cs="Arial" w:eastAsia="Arial" w:hAnsi="Arial"/>
          <w:sz w:val="20"/>
          <w:szCs w:val="20"/>
          <w:color w:val="auto"/>
        </w:rPr>
        <w:t>XPO CUSTOMS CLEARANCE SOLUTIONS, LLC</w:t>
      </w:r>
    </w:p>
    <w:p>
      <w:pPr>
        <w:ind w:left="1880"/>
        <w:spacing w:after="0"/>
        <w:rPr>
          <w:sz w:val="20"/>
          <w:szCs w:val="20"/>
          <w:color w:val="auto"/>
        </w:rPr>
      </w:pPr>
      <w:r>
        <w:rPr>
          <w:rFonts w:ascii="Arial" w:cs="Arial" w:eastAsia="Arial" w:hAnsi="Arial"/>
          <w:sz w:val="20"/>
          <w:szCs w:val="20"/>
          <w:color w:val="auto"/>
        </w:rPr>
        <w:t>XPO DEDICATED, LLC</w:t>
      </w:r>
    </w:p>
    <w:p>
      <w:pPr>
        <w:ind w:left="1880"/>
        <w:spacing w:after="0"/>
        <w:rPr>
          <w:sz w:val="20"/>
          <w:szCs w:val="20"/>
          <w:color w:val="auto"/>
        </w:rPr>
      </w:pPr>
      <w:r>
        <w:rPr>
          <w:rFonts w:ascii="Arial" w:cs="Arial" w:eastAsia="Arial" w:hAnsi="Arial"/>
          <w:sz w:val="20"/>
          <w:szCs w:val="20"/>
          <w:color w:val="auto"/>
        </w:rPr>
        <w:t>XPO ENTERPRISE SERVICES, INC.</w:t>
      </w:r>
    </w:p>
    <w:p>
      <w:pPr>
        <w:ind w:left="1880"/>
        <w:spacing w:after="0"/>
        <w:rPr>
          <w:sz w:val="20"/>
          <w:szCs w:val="20"/>
          <w:color w:val="auto"/>
        </w:rPr>
      </w:pPr>
      <w:r>
        <w:rPr>
          <w:rFonts w:ascii="Arial" w:cs="Arial" w:eastAsia="Arial" w:hAnsi="Arial"/>
          <w:sz w:val="20"/>
          <w:szCs w:val="20"/>
          <w:color w:val="auto"/>
        </w:rPr>
        <w:t>XPO GLOBAL FORWARDING, INC.</w:t>
      </w:r>
    </w:p>
    <w:p>
      <w:pPr>
        <w:ind w:left="1880"/>
        <w:spacing w:after="0"/>
        <w:rPr>
          <w:sz w:val="20"/>
          <w:szCs w:val="20"/>
          <w:color w:val="auto"/>
        </w:rPr>
      </w:pPr>
      <w:r>
        <w:rPr>
          <w:rFonts w:ascii="Arial" w:cs="Arial" w:eastAsia="Arial" w:hAnsi="Arial"/>
          <w:sz w:val="20"/>
          <w:szCs w:val="20"/>
          <w:color w:val="auto"/>
        </w:rPr>
        <w:t>XPO INTERMODAL, INC.</w:t>
      </w:r>
    </w:p>
    <w:p>
      <w:pPr>
        <w:ind w:left="1880"/>
        <w:spacing w:after="0"/>
        <w:rPr>
          <w:sz w:val="20"/>
          <w:szCs w:val="20"/>
          <w:color w:val="auto"/>
        </w:rPr>
      </w:pPr>
      <w:r>
        <w:rPr>
          <w:rFonts w:ascii="Arial" w:cs="Arial" w:eastAsia="Arial" w:hAnsi="Arial"/>
          <w:sz w:val="20"/>
          <w:szCs w:val="20"/>
          <w:color w:val="auto"/>
        </w:rPr>
        <w:t>XPO INTERMODAL SERVICES, LLC</w:t>
      </w:r>
    </w:p>
    <w:p>
      <w:pPr>
        <w:ind w:left="1880"/>
        <w:spacing w:after="0"/>
        <w:rPr>
          <w:sz w:val="20"/>
          <w:szCs w:val="20"/>
          <w:color w:val="auto"/>
        </w:rPr>
      </w:pPr>
      <w:r>
        <w:rPr>
          <w:rFonts w:ascii="Arial" w:cs="Arial" w:eastAsia="Arial" w:hAnsi="Arial"/>
          <w:sz w:val="20"/>
          <w:szCs w:val="20"/>
          <w:color w:val="auto"/>
        </w:rPr>
        <w:t>XPO INTERMODAL SOLUTIONS, INC.</w:t>
      </w:r>
    </w:p>
    <w:p>
      <w:pPr>
        <w:ind w:left="1880"/>
        <w:spacing w:after="0"/>
        <w:rPr>
          <w:sz w:val="20"/>
          <w:szCs w:val="20"/>
          <w:color w:val="auto"/>
        </w:rPr>
      </w:pPr>
      <w:r>
        <w:rPr>
          <w:rFonts w:ascii="Arial" w:cs="Arial" w:eastAsia="Arial" w:hAnsi="Arial"/>
          <w:sz w:val="20"/>
          <w:szCs w:val="20"/>
          <w:color w:val="auto"/>
        </w:rPr>
        <w:t>XPO LAND HOLDINGS, LLC</w:t>
      </w:r>
    </w:p>
    <w:p>
      <w:pPr>
        <w:ind w:left="1880"/>
        <w:spacing w:after="0"/>
        <w:rPr>
          <w:sz w:val="20"/>
          <w:szCs w:val="20"/>
          <w:color w:val="auto"/>
        </w:rPr>
      </w:pPr>
      <w:r>
        <w:rPr>
          <w:rFonts w:ascii="Arial" w:cs="Arial" w:eastAsia="Arial" w:hAnsi="Arial"/>
          <w:sz w:val="20"/>
          <w:szCs w:val="20"/>
          <w:color w:val="auto"/>
        </w:rPr>
        <w:t>XPO LAST MILE, INC.</w:t>
      </w:r>
    </w:p>
    <w:p>
      <w:pPr>
        <w:ind w:left="1880"/>
        <w:spacing w:after="0"/>
        <w:rPr>
          <w:sz w:val="20"/>
          <w:szCs w:val="20"/>
          <w:color w:val="auto"/>
        </w:rPr>
      </w:pPr>
      <w:r>
        <w:rPr>
          <w:rFonts w:ascii="Arial" w:cs="Arial" w:eastAsia="Arial" w:hAnsi="Arial"/>
          <w:sz w:val="20"/>
          <w:szCs w:val="20"/>
          <w:color w:val="auto"/>
        </w:rPr>
        <w:t>XPO LAST MILE HOLDING, INC.</w:t>
      </w:r>
    </w:p>
    <w:p>
      <w:pPr>
        <w:ind w:left="1880"/>
        <w:spacing w:after="0"/>
        <w:rPr>
          <w:sz w:val="20"/>
          <w:szCs w:val="20"/>
          <w:color w:val="auto"/>
        </w:rPr>
      </w:pPr>
      <w:r>
        <w:rPr>
          <w:rFonts w:ascii="Arial" w:cs="Arial" w:eastAsia="Arial" w:hAnsi="Arial"/>
          <w:sz w:val="20"/>
          <w:szCs w:val="20"/>
          <w:color w:val="auto"/>
        </w:rPr>
        <w:t>XPO LOGISTICS CARTAGE, LLC</w:t>
      </w:r>
    </w:p>
    <w:p>
      <w:pPr>
        <w:ind w:left="1880"/>
        <w:spacing w:after="0"/>
        <w:rPr>
          <w:sz w:val="20"/>
          <w:szCs w:val="20"/>
          <w:color w:val="auto"/>
        </w:rPr>
      </w:pPr>
      <w:r>
        <w:rPr>
          <w:rFonts w:ascii="Arial" w:cs="Arial" w:eastAsia="Arial" w:hAnsi="Arial"/>
          <w:sz w:val="20"/>
          <w:szCs w:val="20"/>
          <w:color w:val="auto"/>
        </w:rPr>
        <w:t>XPO LOGISTICS DRAYAGE, LLC</w:t>
      </w:r>
    </w:p>
    <w:p>
      <w:pPr>
        <w:ind w:left="1880"/>
        <w:spacing w:after="0"/>
        <w:rPr>
          <w:sz w:val="20"/>
          <w:szCs w:val="20"/>
          <w:color w:val="auto"/>
        </w:rPr>
      </w:pPr>
      <w:r>
        <w:rPr>
          <w:rFonts w:ascii="Arial" w:cs="Arial" w:eastAsia="Arial" w:hAnsi="Arial"/>
          <w:sz w:val="20"/>
          <w:szCs w:val="20"/>
          <w:color w:val="auto"/>
        </w:rPr>
        <w:t>XPO LOGISTICS EXPRESS, LLC</w:t>
      </w:r>
    </w:p>
    <w:p>
      <w:pPr>
        <w:ind w:left="1880"/>
        <w:spacing w:after="0"/>
        <w:rPr>
          <w:sz w:val="20"/>
          <w:szCs w:val="20"/>
          <w:color w:val="auto"/>
        </w:rPr>
      </w:pPr>
      <w:r>
        <w:rPr>
          <w:rFonts w:ascii="Arial" w:cs="Arial" w:eastAsia="Arial" w:hAnsi="Arial"/>
          <w:sz w:val="20"/>
          <w:szCs w:val="20"/>
          <w:color w:val="auto"/>
        </w:rPr>
        <w:t>XPO LOGISTICS FREIGHT, INC.</w:t>
      </w:r>
    </w:p>
    <w:p>
      <w:pPr>
        <w:ind w:left="1880" w:right="2379"/>
        <w:spacing w:after="0" w:line="239" w:lineRule="auto"/>
        <w:rPr>
          <w:sz w:val="20"/>
          <w:szCs w:val="20"/>
          <w:color w:val="auto"/>
        </w:rPr>
      </w:pPr>
      <w:r>
        <w:rPr>
          <w:rFonts w:ascii="Arial" w:cs="Arial" w:eastAsia="Arial" w:hAnsi="Arial"/>
          <w:sz w:val="20"/>
          <w:szCs w:val="20"/>
          <w:color w:val="auto"/>
        </w:rPr>
        <w:t>XPO LOGISTICS MANAGED TRANSPORTATION, LLC XPO LOGISTICS MANUFACTURING, LLC XPO LOGISTICS NLM, LLC</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XPO LOGISTICS PORT SERVICES, LLC</w:t>
      </w:r>
    </w:p>
    <w:p>
      <w:pPr>
        <w:ind w:left="1880"/>
        <w:spacing w:after="0"/>
        <w:rPr>
          <w:sz w:val="20"/>
          <w:szCs w:val="20"/>
          <w:color w:val="auto"/>
        </w:rPr>
      </w:pPr>
      <w:r>
        <w:rPr>
          <w:rFonts w:ascii="Arial" w:cs="Arial" w:eastAsia="Arial" w:hAnsi="Arial"/>
          <w:sz w:val="19"/>
          <w:szCs w:val="19"/>
          <w:color w:val="auto"/>
        </w:rPr>
        <w:t>XPO LOGISTICS SUPPLY CHAIN CORPORATE SERVICES, INC.</w:t>
      </w:r>
    </w:p>
    <w:p>
      <w:pPr>
        <w:spacing w:after="0" w:line="11" w:lineRule="exact"/>
        <w:rPr>
          <w:sz w:val="20"/>
          <w:szCs w:val="20"/>
          <w:color w:val="auto"/>
        </w:rPr>
      </w:pPr>
    </w:p>
    <w:p>
      <w:pPr>
        <w:ind w:left="1880" w:right="2239"/>
        <w:spacing w:after="0" w:line="252" w:lineRule="auto"/>
        <w:rPr>
          <w:sz w:val="20"/>
          <w:szCs w:val="20"/>
          <w:color w:val="auto"/>
        </w:rPr>
      </w:pPr>
      <w:r>
        <w:rPr>
          <w:rFonts w:ascii="Arial" w:cs="Arial" w:eastAsia="Arial" w:hAnsi="Arial"/>
          <w:sz w:val="19"/>
          <w:szCs w:val="19"/>
          <w:color w:val="auto"/>
        </w:rPr>
        <w:t>XPO LOGISTICS SUPPLY CHAIN HOLDING COMPANY XPO LOGISTICS SUPPLY CHAIN OF NEW JERSEY, LLC XPO LOGISTICS SUPPLY CHAIN OF TEXAS, LLC XPO LOGISTICS SUPPLY CHAIN, INC.</w:t>
      </w:r>
    </w:p>
    <w:p>
      <w:pPr>
        <w:ind w:left="1880" w:right="1519"/>
        <w:spacing w:after="0" w:line="239" w:lineRule="auto"/>
        <w:rPr>
          <w:sz w:val="20"/>
          <w:szCs w:val="20"/>
          <w:color w:val="auto"/>
        </w:rPr>
      </w:pPr>
      <w:r>
        <w:rPr>
          <w:rFonts w:ascii="Arial" w:cs="Arial" w:eastAsia="Arial" w:hAnsi="Arial"/>
          <w:sz w:val="20"/>
          <w:szCs w:val="20"/>
          <w:color w:val="auto"/>
        </w:rPr>
        <w:t>XPO LOGISTICS WORLDWIDE GOVERNMENT SERVICES, LLC XPO LOGISTICS WORLDWIDE, INC. XPO LOGISTICS WORLDWIDE, LLC</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XPO LOGISTICS, LLC</w:t>
      </w:r>
    </w:p>
    <w:p>
      <w:pPr>
        <w:ind w:left="1880"/>
        <w:spacing w:after="0"/>
        <w:rPr>
          <w:sz w:val="20"/>
          <w:szCs w:val="20"/>
          <w:color w:val="auto"/>
        </w:rPr>
      </w:pPr>
      <w:r>
        <w:rPr>
          <w:rFonts w:ascii="Arial" w:cs="Arial" w:eastAsia="Arial" w:hAnsi="Arial"/>
          <w:sz w:val="20"/>
          <w:szCs w:val="20"/>
          <w:color w:val="auto"/>
        </w:rPr>
        <w:t>XPO LTL SOLUTIONS, INC.</w:t>
      </w:r>
    </w:p>
    <w:p>
      <w:pPr>
        <w:ind w:left="1880"/>
        <w:spacing w:after="0"/>
        <w:rPr>
          <w:sz w:val="20"/>
          <w:szCs w:val="20"/>
          <w:color w:val="auto"/>
        </w:rPr>
      </w:pPr>
      <w:r>
        <w:rPr>
          <w:rFonts w:ascii="Arial" w:cs="Arial" w:eastAsia="Arial" w:hAnsi="Arial"/>
          <w:sz w:val="20"/>
          <w:szCs w:val="20"/>
          <w:color w:val="auto"/>
        </w:rPr>
        <w:t>XPO PROPERTIES, INC.</w:t>
      </w:r>
    </w:p>
    <w:p>
      <w:pPr>
        <w:ind w:left="1880"/>
        <w:spacing w:after="0"/>
        <w:rPr>
          <w:sz w:val="20"/>
          <w:szCs w:val="20"/>
          <w:color w:val="auto"/>
        </w:rPr>
      </w:pPr>
      <w:r>
        <w:rPr>
          <w:rFonts w:ascii="Arial" w:cs="Arial" w:eastAsia="Arial" w:hAnsi="Arial"/>
          <w:sz w:val="20"/>
          <w:szCs w:val="20"/>
          <w:color w:val="auto"/>
        </w:rPr>
        <w:t>XPO SERVCO, LLC</w:t>
      </w:r>
    </w:p>
    <w:p>
      <w:pPr>
        <w:ind w:left="1880"/>
        <w:spacing w:after="0"/>
        <w:rPr>
          <w:sz w:val="20"/>
          <w:szCs w:val="20"/>
          <w:color w:val="auto"/>
        </w:rPr>
      </w:pPr>
      <w:r>
        <w:rPr>
          <w:rFonts w:ascii="Arial" w:cs="Arial" w:eastAsia="Arial" w:hAnsi="Arial"/>
          <w:sz w:val="20"/>
          <w:szCs w:val="20"/>
          <w:color w:val="auto"/>
        </w:rPr>
        <w:t>XPO STACKTRAIN, LLC</w:t>
      </w:r>
    </w:p>
    <w:p>
      <w:pPr>
        <w:ind w:left="1880"/>
        <w:spacing w:after="0"/>
        <w:rPr>
          <w:sz w:val="20"/>
          <w:szCs w:val="20"/>
          <w:color w:val="auto"/>
        </w:rPr>
      </w:pPr>
      <w:r>
        <w:rPr>
          <w:rFonts w:ascii="Arial" w:cs="Arial" w:eastAsia="Arial" w:hAnsi="Arial"/>
          <w:sz w:val="20"/>
          <w:szCs w:val="20"/>
          <w:color w:val="auto"/>
        </w:rPr>
        <w:t>XPO TRANSPORT, LLC</w:t>
      </w:r>
    </w:p>
    <w:p>
      <w:pPr>
        <w:spacing w:after="0" w:line="200" w:lineRule="exact"/>
        <w:rPr>
          <w:sz w:val="20"/>
          <w:szCs w:val="20"/>
          <w:color w:val="auto"/>
        </w:rPr>
      </w:pPr>
    </w:p>
    <w:p>
      <w:pPr>
        <w:spacing w:after="0" w:line="216"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Ravi Tulsyan</w:t>
      </w:r>
    </w:p>
    <w:p>
      <w:pPr>
        <w:spacing w:after="0" w:line="16"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Name: Ravi Tulsyan</w:t>
      </w:r>
    </w:p>
    <w:p>
      <w:pPr>
        <w:spacing w:after="0" w:line="4"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67" w:name="page68"/>
    <w:bookmarkEnd w:id="67"/>
    <w:p>
      <w:pPr>
        <w:spacing w:after="0" w:line="2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PDS TRUCKING, INC.</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XPO DISTRIBUTION SERVICES, INC.</w:t>
      </w:r>
    </w:p>
    <w:p>
      <w:pPr>
        <w:spacing w:after="0" w:line="200" w:lineRule="exact"/>
        <w:rPr>
          <w:sz w:val="20"/>
          <w:szCs w:val="20"/>
          <w:color w:val="auto"/>
        </w:rPr>
      </w:pPr>
    </w:p>
    <w:p>
      <w:pPr>
        <w:spacing w:after="0" w:line="27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Karlis P. Kirsis</w:t>
      </w:r>
    </w:p>
    <w:p>
      <w:pPr>
        <w:spacing w:after="0" w:line="15"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Name: Karlis P. Kirsis</w:t>
      </w:r>
    </w:p>
    <w:p>
      <w:pPr>
        <w:ind w:left="3180"/>
        <w:spacing w:after="0"/>
        <w:rPr>
          <w:sz w:val="20"/>
          <w:szCs w:val="20"/>
          <w:color w:val="auto"/>
        </w:rPr>
      </w:pPr>
      <w:r>
        <w:rPr>
          <w:rFonts w:ascii="Arial" w:cs="Arial" w:eastAsia="Arial" w:hAnsi="Arial"/>
          <w:sz w:val="20"/>
          <w:szCs w:val="20"/>
          <w:color w:val="auto"/>
        </w:rPr>
        <w:t>Title: President and Secretary</w:t>
      </w:r>
    </w:p>
    <w:p>
      <w:pPr>
        <w:spacing w:after="0" w:line="200" w:lineRule="exact"/>
        <w:rPr>
          <w:sz w:val="20"/>
          <w:szCs w:val="20"/>
          <w:color w:val="auto"/>
        </w:rPr>
      </w:pPr>
    </w:p>
    <w:p>
      <w:pPr>
        <w:spacing w:after="0" w:line="243"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XPO LAST MILE CANADA INC.</w:t>
      </w:r>
    </w:p>
    <w:p>
      <w:pPr>
        <w:spacing w:after="0" w:line="16" w:lineRule="exact"/>
        <w:rPr>
          <w:sz w:val="20"/>
          <w:szCs w:val="20"/>
          <w:color w:val="auto"/>
        </w:rPr>
      </w:pPr>
    </w:p>
    <w:p>
      <w:pPr>
        <w:ind w:left="1880"/>
        <w:spacing w:after="0"/>
        <w:rPr>
          <w:sz w:val="20"/>
          <w:szCs w:val="20"/>
          <w:color w:val="auto"/>
        </w:rPr>
      </w:pPr>
      <w:r>
        <w:rPr>
          <w:rFonts w:ascii="Arial" w:cs="Arial" w:eastAsia="Arial" w:hAnsi="Arial"/>
          <w:sz w:val="20"/>
          <w:szCs w:val="20"/>
          <w:color w:val="auto"/>
        </w:rPr>
        <w:t>XPO LOGISTICS SUPPLY CHAIN CANADA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Ravi Tulsyan</w:t>
      </w:r>
    </w:p>
    <w:p>
      <w:pPr>
        <w:spacing w:after="0" w:line="15"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Name: Ravi Tulsyan</w:t>
      </w:r>
    </w:p>
    <w:p>
      <w:pPr>
        <w:ind w:left="3180"/>
        <w:spacing w:after="0"/>
        <w:rPr>
          <w:sz w:val="20"/>
          <w:szCs w:val="20"/>
          <w:color w:val="auto"/>
        </w:rPr>
      </w:pPr>
      <w:r>
        <w:rPr>
          <w:rFonts w:ascii="Arial" w:cs="Arial" w:eastAsia="Arial" w:hAnsi="Arial"/>
          <w:sz w:val="20"/>
          <w:szCs w:val="20"/>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40" w:right="1440" w:bottom="1440" w:gutter="0" w:footer="0" w:header="0"/>
        </w:sectPr>
      </w:pPr>
    </w:p>
    <w:bookmarkStart w:id="68" w:name="page69"/>
    <w:bookmarkEnd w:id="68"/>
    <w:p>
      <w:pPr>
        <w:ind w:left="2780"/>
        <w:spacing w:after="0"/>
        <w:rPr>
          <w:sz w:val="20"/>
          <w:szCs w:val="20"/>
          <w:color w:val="auto"/>
        </w:rPr>
      </w:pPr>
      <w:r>
        <w:rPr>
          <w:rFonts w:ascii="Arial" w:cs="Arial" w:eastAsia="Arial" w:hAnsi="Arial"/>
          <w:sz w:val="20"/>
          <w:szCs w:val="20"/>
          <w:b w:val="1"/>
          <w:bCs w:val="1"/>
          <w:color w:val="auto"/>
        </w:rPr>
        <w:t>NEW GUARANTORS</w:t>
      </w:r>
      <w:r>
        <w:rPr>
          <w:rFonts w:ascii="Arial" w:cs="Arial" w:eastAsia="Arial" w:hAnsi="Arial"/>
          <w:sz w:val="20"/>
          <w:szCs w:val="20"/>
          <w:color w:val="auto"/>
        </w:rPr>
        <w:t>:</w:t>
      </w:r>
    </w:p>
    <w:p>
      <w:pPr>
        <w:spacing w:after="0" w:line="222"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JACOBSON LOGISTICS COMPANY, L.C.</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JACOBSON PACKAGING COMPANY, L.C.</w:t>
      </w:r>
    </w:p>
    <w:p>
      <w:pPr>
        <w:ind w:left="2780"/>
        <w:spacing w:after="0"/>
        <w:rPr>
          <w:sz w:val="20"/>
          <w:szCs w:val="20"/>
          <w:color w:val="auto"/>
        </w:rPr>
      </w:pPr>
      <w:r>
        <w:rPr>
          <w:rFonts w:ascii="Arial" w:cs="Arial" w:eastAsia="Arial" w:hAnsi="Arial"/>
          <w:sz w:val="20"/>
          <w:szCs w:val="20"/>
          <w:color w:val="auto"/>
        </w:rPr>
        <w:t>JACOBSON TRANSPORTATION COMPANY, INC.</w:t>
      </w:r>
    </w:p>
    <w:p>
      <w:pPr>
        <w:ind w:left="2780"/>
        <w:spacing w:after="0"/>
        <w:rPr>
          <w:sz w:val="20"/>
          <w:szCs w:val="20"/>
          <w:color w:val="auto"/>
        </w:rPr>
      </w:pPr>
      <w:r>
        <w:rPr>
          <w:rFonts w:ascii="Arial" w:cs="Arial" w:eastAsia="Arial" w:hAnsi="Arial"/>
          <w:sz w:val="20"/>
          <w:szCs w:val="20"/>
          <w:color w:val="auto"/>
        </w:rPr>
        <w:t>JACOBSON WAREHOUSE COMPANY, INC.</w:t>
      </w:r>
    </w:p>
    <w:p>
      <w:pPr>
        <w:spacing w:after="0" w:line="227"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Ravi Tulsyan</w:t>
      </w:r>
    </w:p>
    <w:p>
      <w:pPr>
        <w:spacing w:after="0" w:line="1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Ravi Tulsyan</w:t>
      </w:r>
    </w:p>
    <w:p>
      <w:pPr>
        <w:spacing w:after="0" w:line="4"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69" w:name="page70"/>
    <w:bookmarkEnd w:id="69"/>
    <w:p>
      <w:pPr>
        <w:ind w:left="2780"/>
        <w:spacing w:after="0"/>
        <w:rPr>
          <w:sz w:val="20"/>
          <w:szCs w:val="20"/>
          <w:color w:val="auto"/>
        </w:rPr>
      </w:pPr>
      <w:r>
        <w:rPr>
          <w:rFonts w:ascii="Arial" w:cs="Arial" w:eastAsia="Arial" w:hAnsi="Arial"/>
          <w:sz w:val="20"/>
          <w:szCs w:val="20"/>
          <w:b w:val="1"/>
          <w:bCs w:val="1"/>
          <w:color w:val="auto"/>
        </w:rPr>
        <w:t>AGENTS</w:t>
      </w:r>
      <w:r>
        <w:rPr>
          <w:rFonts w:ascii="Arial" w:cs="Arial" w:eastAsia="Arial" w:hAnsi="Arial"/>
          <w:sz w:val="20"/>
          <w:szCs w:val="20"/>
          <w:color w:val="auto"/>
        </w:rPr>
        <w:t>:</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MORGAN STANLEY SENIOR FUNDING, INC.</w:t>
      </w:r>
      <w:r>
        <w:rPr>
          <w:rFonts w:ascii="Arial" w:cs="Arial" w:eastAsia="Arial" w:hAnsi="Arial"/>
          <w:sz w:val="20"/>
          <w:szCs w:val="20"/>
          <w:color w:val="auto"/>
        </w:rPr>
        <w:t>, as Agent and as Co-Collateral Agent</w:t>
      </w:r>
    </w:p>
    <w:p>
      <w:pPr>
        <w:spacing w:after="0" w:line="200" w:lineRule="exact"/>
        <w:rPr>
          <w:sz w:val="20"/>
          <w:szCs w:val="20"/>
          <w:color w:val="auto"/>
        </w:rPr>
      </w:pPr>
    </w:p>
    <w:p>
      <w:pPr>
        <w:spacing w:after="0" w:line="26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Lisa Hanson</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Lisa Hanson</w:t>
      </w:r>
    </w:p>
    <w:p>
      <w:pPr>
        <w:ind w:left="2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Amendment No. 5 to XPO ABL Credit Agreement</w:t>
      </w:r>
      <w:r>
        <w:rPr>
          <w:rFonts w:ascii="Arial" w:cs="Arial" w:eastAsia="Arial" w:hAnsi="Arial"/>
          <w:sz w:val="22"/>
          <w:szCs w:val="22"/>
          <w:color w:val="auto"/>
        </w:rPr>
        <w:t>]</w:t>
      </w:r>
    </w:p>
    <w:p>
      <w:pPr>
        <w:sectPr>
          <w:pgSz w:w="11900" w:h="16838" w:orient="portrait"/>
          <w:cols w:equalWidth="0" w:num="1">
            <w:col w:w="9960"/>
          </w:cols>
          <w:pgMar w:left="1440" w:top="1413" w:right="499" w:bottom="1440" w:gutter="0" w:footer="0" w:header="0"/>
        </w:sectPr>
      </w:pPr>
    </w:p>
    <w:bookmarkStart w:id="70" w:name="page71"/>
    <w:bookmarkEnd w:id="70"/>
    <w:p>
      <w:pPr>
        <w:ind w:left="2780"/>
        <w:spacing w:after="0"/>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 as Co-Collateral Agent</w:t>
      </w:r>
    </w:p>
    <w:p>
      <w:pPr>
        <w:spacing w:after="0" w:line="24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Lia Cornejo</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Lia Cornejo</w:t>
      </w:r>
    </w:p>
    <w:p>
      <w:pPr>
        <w:ind w:left="2780"/>
        <w:spacing w:after="0"/>
        <w:rPr>
          <w:sz w:val="20"/>
          <w:szCs w:val="20"/>
          <w:color w:val="auto"/>
        </w:rPr>
      </w:pPr>
      <w:r>
        <w:rPr>
          <w:rFonts w:ascii="Arial" w:cs="Arial" w:eastAsia="Arial" w:hAnsi="Arial"/>
          <w:sz w:val="20"/>
          <w:szCs w:val="20"/>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71" w:name="page72"/>
    <w:bookmarkEnd w:id="71"/>
    <w:p>
      <w:pPr>
        <w:ind w:left="2780"/>
        <w:spacing w:after="0"/>
        <w:rPr>
          <w:sz w:val="20"/>
          <w:szCs w:val="20"/>
          <w:color w:val="auto"/>
        </w:rPr>
      </w:pPr>
      <w:r>
        <w:rPr>
          <w:rFonts w:ascii="Arial" w:cs="Arial" w:eastAsia="Arial" w:hAnsi="Arial"/>
          <w:sz w:val="20"/>
          <w:szCs w:val="20"/>
          <w:b w:val="1"/>
          <w:bCs w:val="1"/>
          <w:color w:val="auto"/>
        </w:rPr>
        <w:t>LENDERS</w:t>
      </w:r>
      <w:r>
        <w:rPr>
          <w:rFonts w:ascii="Arial" w:cs="Arial" w:eastAsia="Arial" w:hAnsi="Arial"/>
          <w:sz w:val="20"/>
          <w:szCs w:val="20"/>
          <w:color w:val="auto"/>
        </w:rPr>
        <w:t>:</w:t>
      </w:r>
    </w:p>
    <w:p>
      <w:pPr>
        <w:spacing w:after="0" w:line="21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Morgan Stanley Bank, N.A.</w:t>
      </w:r>
      <w:r>
        <w:rPr>
          <w:rFonts w:ascii="Arial" w:cs="Arial" w:eastAsia="Arial" w:hAnsi="Arial"/>
          <w:sz w:val="18"/>
          <w:szCs w:val="18"/>
          <w:color w:val="auto"/>
        </w:rPr>
        <w:t>, as a Lender and L/C Issuer</w:t>
      </w:r>
    </w:p>
    <w:p>
      <w:pPr>
        <w:spacing w:after="0" w:line="200" w:lineRule="exact"/>
        <w:rPr>
          <w:sz w:val="20"/>
          <w:szCs w:val="20"/>
          <w:color w:val="auto"/>
        </w:rPr>
      </w:pPr>
    </w:p>
    <w:p>
      <w:pPr>
        <w:spacing w:after="0" w:line="369"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Jack Kuhns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8585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Jack Kuhns</w:t>
      </w: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b w:val="1"/>
          <w:bCs w:val="1"/>
          <w:color w:val="auto"/>
        </w:rPr>
        <w:t>MORGAN STANLEY SENIOR FUNDING, INC.</w:t>
      </w:r>
      <w:r>
        <w:rPr>
          <w:rFonts w:ascii="Arial" w:cs="Arial" w:eastAsia="Arial" w:hAnsi="Arial"/>
          <w:sz w:val="20"/>
          <w:szCs w:val="20"/>
          <w:color w:val="auto"/>
        </w:rPr>
        <w:t>, as a Lender and Swing-Line Lender</w:t>
      </w:r>
    </w:p>
    <w:p>
      <w:pPr>
        <w:spacing w:after="0" w:line="200" w:lineRule="exact"/>
        <w:rPr>
          <w:sz w:val="20"/>
          <w:szCs w:val="20"/>
          <w:color w:val="auto"/>
        </w:rPr>
      </w:pPr>
    </w:p>
    <w:p>
      <w:pPr>
        <w:spacing w:after="0" w:line="34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Jack Kuhns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8585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858520"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Jack Kuhns</w:t>
      </w: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Amendment No. 5 to XPO ABL Credit Agreement</w:t>
      </w:r>
      <w:r>
        <w:rPr>
          <w:rFonts w:ascii="Arial" w:cs="Arial" w:eastAsia="Arial" w:hAnsi="Arial"/>
          <w:sz w:val="22"/>
          <w:szCs w:val="22"/>
          <w:color w:val="auto"/>
        </w:rPr>
        <w:t>]</w:t>
      </w:r>
    </w:p>
    <w:p>
      <w:pPr>
        <w:sectPr>
          <w:pgSz w:w="11900" w:h="16838" w:orient="portrait"/>
          <w:cols w:equalWidth="0" w:num="1">
            <w:col w:w="9900"/>
          </w:cols>
          <w:pgMar w:left="1440" w:top="1413" w:right="559" w:bottom="1440" w:gutter="0" w:footer="0" w:header="0"/>
        </w:sectPr>
      </w:pPr>
    </w:p>
    <w:bookmarkStart w:id="73" w:name="page74"/>
    <w:bookmarkEnd w:id="73"/>
    <w:p>
      <w:pPr>
        <w:jc w:val="right"/>
        <w:ind w:right="1039"/>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 as a Lender and L/C Issuer</w:t>
      </w:r>
    </w:p>
    <w:p>
      <w:pPr>
        <w:spacing w:after="0" w:line="200" w:lineRule="exact"/>
        <w:rPr>
          <w:sz w:val="20"/>
          <w:szCs w:val="20"/>
          <w:color w:val="auto"/>
        </w:rPr>
      </w:pPr>
    </w:p>
    <w:p>
      <w:pPr>
        <w:spacing w:after="0" w:line="34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Lia Cornejo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8794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879475" cy="8890"/>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Lia Cornejo</w:t>
      </w:r>
    </w:p>
    <w:p>
      <w:pPr>
        <w:ind w:left="2780"/>
        <w:spacing w:after="0"/>
        <w:rPr>
          <w:sz w:val="20"/>
          <w:szCs w:val="20"/>
          <w:color w:val="auto"/>
        </w:rPr>
      </w:pPr>
      <w:r>
        <w:rPr>
          <w:rFonts w:ascii="Arial" w:cs="Arial" w:eastAsia="Arial" w:hAnsi="Arial"/>
          <w:sz w:val="20"/>
          <w:szCs w:val="20"/>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74" w:name="page75"/>
    <w:bookmarkEnd w:id="74"/>
    <w:p>
      <w:pPr>
        <w:jc w:val="right"/>
        <w:ind w:right="239"/>
        <w:spacing w:after="0"/>
        <w:rPr>
          <w:sz w:val="20"/>
          <w:szCs w:val="20"/>
          <w:color w:val="auto"/>
        </w:rPr>
      </w:pPr>
      <w:r>
        <w:rPr>
          <w:rFonts w:ascii="Arial" w:cs="Arial" w:eastAsia="Arial" w:hAnsi="Arial"/>
          <w:sz w:val="20"/>
          <w:szCs w:val="20"/>
          <w:b w:val="1"/>
          <w:bCs w:val="1"/>
          <w:color w:val="auto"/>
        </w:rPr>
        <w:t>JPMORGAN CHASE BANK, N.A., TORONTO BRANCH</w:t>
      </w:r>
      <w:r>
        <w:rPr>
          <w:rFonts w:ascii="Arial" w:cs="Arial" w:eastAsia="Arial" w:hAnsi="Arial"/>
          <w:sz w:val="20"/>
          <w:szCs w:val="20"/>
          <w:color w:val="auto"/>
        </w:rPr>
        <w:t>, as a Lender</w:t>
      </w:r>
    </w:p>
    <w:p>
      <w:pPr>
        <w:spacing w:after="0" w:line="200" w:lineRule="exact"/>
        <w:rPr>
          <w:sz w:val="20"/>
          <w:szCs w:val="20"/>
          <w:color w:val="auto"/>
        </w:rPr>
      </w:pPr>
    </w:p>
    <w:p>
      <w:pPr>
        <w:spacing w:after="0" w:line="34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Auggie Marchetti</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Auggie Marchetti</w:t>
      </w:r>
    </w:p>
    <w:p>
      <w:pPr>
        <w:ind w:left="2780"/>
        <w:spacing w:after="0"/>
        <w:rPr>
          <w:sz w:val="20"/>
          <w:szCs w:val="20"/>
          <w:color w:val="auto"/>
        </w:rPr>
      </w:pPr>
      <w:r>
        <w:rPr>
          <w:rFonts w:ascii="Arial" w:cs="Arial" w:eastAsia="Arial" w:hAnsi="Arial"/>
          <w:sz w:val="20"/>
          <w:szCs w:val="20"/>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75" w:name="page76"/>
    <w:bookmarkEnd w:id="75"/>
    <w:p>
      <w:pPr>
        <w:ind w:left="2780"/>
        <w:spacing w:after="0"/>
        <w:rPr>
          <w:sz w:val="20"/>
          <w:szCs w:val="20"/>
          <w:color w:val="auto"/>
        </w:rPr>
      </w:pPr>
      <w:r>
        <w:rPr>
          <w:rFonts w:ascii="Arial" w:cs="Arial" w:eastAsia="Arial" w:hAnsi="Arial"/>
          <w:sz w:val="20"/>
          <w:szCs w:val="20"/>
          <w:color w:val="auto"/>
        </w:rPr>
        <w:t>BARCLAYS BANK PLC, as a Lender and L/C Issuer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949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Craig Malloy</w:t>
      </w:r>
    </w:p>
    <w:p>
      <w:pPr>
        <w:ind w:left="27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9" w:right="1440" w:bottom="1440" w:gutter="0" w:footer="0" w:header="0"/>
        </w:sectPr>
      </w:pPr>
    </w:p>
    <w:bookmarkStart w:id="76" w:name="page77"/>
    <w:bookmarkEnd w:id="76"/>
    <w:p>
      <w:pPr>
        <w:jc w:val="center"/>
        <w:ind w:right="-180"/>
        <w:spacing w:after="0"/>
        <w:rPr>
          <w:sz w:val="20"/>
          <w:szCs w:val="20"/>
          <w:color w:val="auto"/>
        </w:rPr>
      </w:pPr>
      <w:r>
        <w:rPr>
          <w:rFonts w:ascii="Arial" w:cs="Arial" w:eastAsia="Arial" w:hAnsi="Arial"/>
          <w:sz w:val="20"/>
          <w:szCs w:val="20"/>
          <w:color w:val="auto"/>
        </w:rPr>
        <w:t>CITIBANK, N.A., as a Lender and L/C Issuer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Allister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9423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94234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Allister Chan</w:t>
      </w:r>
    </w:p>
    <w:p>
      <w:pPr>
        <w:ind w:left="2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9" w:right="1440" w:bottom="1440" w:gutter="0" w:footer="0" w:header="0"/>
        </w:sectPr>
      </w:pPr>
    </w:p>
    <w:bookmarkStart w:id="77" w:name="page78"/>
    <w:bookmarkEnd w:id="77"/>
    <w:p>
      <w:pPr>
        <w:jc w:val="right"/>
        <w:ind w:right="999"/>
        <w:spacing w:after="0"/>
        <w:rPr>
          <w:sz w:val="20"/>
          <w:szCs w:val="20"/>
          <w:color w:val="auto"/>
        </w:rPr>
      </w:pPr>
      <w:r>
        <w:rPr>
          <w:rFonts w:ascii="Arial" w:cs="Arial" w:eastAsia="Arial" w:hAnsi="Arial"/>
          <w:sz w:val="20"/>
          <w:szCs w:val="20"/>
          <w:color w:val="auto"/>
        </w:rPr>
        <w:t>Deutsche Bank AG New York Branch, as a Lender and L/C Issuer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Michael Strobel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0820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Michael Strobel</w:t>
      </w:r>
    </w:p>
    <w:p>
      <w:pPr>
        <w:ind w:left="2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32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Yumi Okabe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9029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90297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Yumi Okabe</w:t>
      </w:r>
    </w:p>
    <w:p>
      <w:pPr>
        <w:ind w:left="2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9" w:right="1440" w:bottom="1440" w:gutter="0" w:footer="0" w:header="0"/>
        </w:sectPr>
      </w:pPr>
    </w:p>
    <w:bookmarkStart w:id="78" w:name="page79"/>
    <w:bookmarkEnd w:id="78"/>
    <w:p>
      <w:pPr>
        <w:ind w:left="2780"/>
        <w:spacing w:after="0"/>
        <w:rPr>
          <w:sz w:val="20"/>
          <w:szCs w:val="20"/>
          <w:color w:val="auto"/>
        </w:rPr>
      </w:pPr>
      <w:r>
        <w:rPr>
          <w:rFonts w:ascii="Arial" w:cs="Arial" w:eastAsia="Arial" w:hAnsi="Arial"/>
          <w:sz w:val="20"/>
          <w:szCs w:val="20"/>
          <w:color w:val="auto"/>
        </w:rPr>
        <w:t>Bank of America, N.A., as a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Matthew Bourgeois</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Matthew Bourgeois</w:t>
      </w:r>
    </w:p>
    <w:p>
      <w:pPr>
        <w:ind w:left="27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9"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20"/>
          <w:szCs w:val="20"/>
          <w:b w:val="1"/>
          <w:bCs w:val="1"/>
          <w:color w:val="auto"/>
        </w:rPr>
        <w:t>BANK OF AMERICA, N.A. (acting through its Canada Branch)</w:t>
      </w:r>
      <w:r>
        <w:rPr>
          <w:rFonts w:ascii="Arial" w:cs="Arial" w:eastAsia="Arial" w:hAnsi="Arial"/>
          <w:sz w:val="20"/>
          <w:szCs w:val="20"/>
          <w:color w:val="auto"/>
        </w:rPr>
        <w:t>, as a Lender</w:t>
      </w:r>
    </w:p>
    <w:p>
      <w:pPr>
        <w:spacing w:after="0" w:line="200" w:lineRule="exact"/>
        <w:rPr>
          <w:sz w:val="20"/>
          <w:szCs w:val="20"/>
          <w:color w:val="auto"/>
        </w:rPr>
      </w:pPr>
    </w:p>
    <w:p>
      <w:pPr>
        <w:spacing w:after="0" w:line="34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Sylwia Durkiewicz</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Sylwia Durkiewicz</w:t>
      </w:r>
    </w:p>
    <w:p>
      <w:pPr>
        <w:ind w:left="2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Amendment No. 5 to XPO ABL Credit Agreement</w:t>
      </w:r>
      <w:r>
        <w:rPr>
          <w:rFonts w:ascii="Arial" w:cs="Arial" w:eastAsia="Arial" w:hAnsi="Arial"/>
          <w:sz w:val="22"/>
          <w:szCs w:val="22"/>
          <w:color w:val="auto"/>
        </w:rPr>
        <w:t>]</w:t>
      </w:r>
    </w:p>
    <w:p>
      <w:pPr>
        <w:sectPr>
          <w:pgSz w:w="11900" w:h="16838" w:orient="portrait"/>
          <w:cols w:equalWidth="0" w:num="1">
            <w:col w:w="9240"/>
          </w:cols>
          <w:pgMar w:left="1440" w:top="1413" w:right="1219" w:bottom="1440" w:gutter="0" w:footer="0" w:header="0"/>
        </w:sectPr>
      </w:pPr>
    </w:p>
    <w:bookmarkStart w:id="80" w:name="page81"/>
    <w:bookmarkEnd w:id="80"/>
    <w:p>
      <w:pPr>
        <w:ind w:left="2780"/>
        <w:spacing w:after="0"/>
        <w:rPr>
          <w:sz w:val="20"/>
          <w:szCs w:val="20"/>
          <w:color w:val="auto"/>
        </w:rPr>
      </w:pPr>
      <w:r>
        <w:rPr>
          <w:rFonts w:ascii="Arial" w:cs="Arial" w:eastAsia="Arial" w:hAnsi="Arial"/>
          <w:sz w:val="20"/>
          <w:szCs w:val="20"/>
          <w:b w:val="1"/>
          <w:bCs w:val="1"/>
          <w:color w:val="auto"/>
        </w:rPr>
        <w:t xml:space="preserve">Capital One, National Association </w:t>
      </w:r>
      <w:r>
        <w:rPr>
          <w:rFonts w:ascii="Arial" w:cs="Arial" w:eastAsia="Arial" w:hAnsi="Arial"/>
          <w:sz w:val="20"/>
          <w:szCs w:val="20"/>
          <w:color w:val="auto"/>
        </w:rPr>
        <w:t>as a Lender</w:t>
      </w:r>
    </w:p>
    <w:p>
      <w:pPr>
        <w:spacing w:after="0" w:line="200" w:lineRule="exact"/>
        <w:rPr>
          <w:sz w:val="20"/>
          <w:szCs w:val="20"/>
          <w:color w:val="auto"/>
        </w:rPr>
      </w:pPr>
    </w:p>
    <w:p>
      <w:pPr>
        <w:spacing w:after="0" w:line="34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Julianne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9563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Julianne Low</w:t>
      </w:r>
    </w:p>
    <w:p>
      <w:pPr>
        <w:ind w:left="2780"/>
        <w:spacing w:after="0"/>
        <w:rPr>
          <w:sz w:val="20"/>
          <w:szCs w:val="20"/>
          <w:color w:val="auto"/>
        </w:rPr>
      </w:pPr>
      <w:r>
        <w:rPr>
          <w:rFonts w:ascii="Arial" w:cs="Arial" w:eastAsia="Arial" w:hAnsi="Arial"/>
          <w:sz w:val="20"/>
          <w:szCs w:val="20"/>
          <w:color w:val="auto"/>
        </w:rPr>
        <w:t>Title: Senior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81" w:name="page82"/>
    <w:bookmarkEnd w:id="81"/>
    <w:p>
      <w:pPr>
        <w:jc w:val="right"/>
        <w:spacing w:after="0"/>
        <w:rPr>
          <w:sz w:val="20"/>
          <w:szCs w:val="20"/>
          <w:color w:val="auto"/>
        </w:rPr>
      </w:pPr>
      <w:r>
        <w:rPr>
          <w:rFonts w:ascii="Arial" w:cs="Arial" w:eastAsia="Arial" w:hAnsi="Arial"/>
          <w:sz w:val="20"/>
          <w:szCs w:val="20"/>
          <w:color w:val="auto"/>
        </w:rPr>
        <w:t>CREDIT AGRICOLE CORPORATE AND INVESTMENT BANK, as a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8724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87249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Gordon Yip</w:t>
      </w:r>
    </w:p>
    <w:p>
      <w:pPr>
        <w:ind w:left="27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32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7575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5755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Jill Wong</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160"/>
          </w:cols>
          <w:pgMar w:left="1440" w:top="1419" w:right="1299" w:bottom="1440" w:gutter="0" w:footer="0" w:header="0"/>
        </w:sectPr>
      </w:pPr>
    </w:p>
    <w:bookmarkStart w:id="82" w:name="page83"/>
    <w:bookmarkEnd w:id="82"/>
    <w:p>
      <w:pPr>
        <w:jc w:val="right"/>
        <w:ind w:right="779"/>
        <w:spacing w:after="0"/>
        <w:rPr>
          <w:sz w:val="20"/>
          <w:szCs w:val="20"/>
          <w:color w:val="auto"/>
        </w:rPr>
      </w:pPr>
      <w:r>
        <w:rPr>
          <w:rFonts w:ascii="Arial" w:cs="Arial" w:eastAsia="Arial" w:hAnsi="Arial"/>
          <w:sz w:val="20"/>
          <w:szCs w:val="20"/>
          <w:color w:val="auto"/>
        </w:rPr>
        <w:t>CREDIT SUISSE AG, CAYMAN ISLANDS BRANCE, as a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Vipul Dhadda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9740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Vipul Dhadda</w:t>
      </w: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32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Nicolas Thierry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067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06743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Nicolas Thierry</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9" w:right="1440" w:bottom="1440" w:gutter="0" w:footer="0" w:header="0"/>
        </w:sectPr>
      </w:pPr>
    </w:p>
    <w:bookmarkStart w:id="83" w:name="page84"/>
    <w:bookmarkEnd w:id="83"/>
    <w:p>
      <w:pPr>
        <w:jc w:val="center"/>
        <w:ind w:right="279"/>
        <w:spacing w:after="0"/>
        <w:rPr>
          <w:sz w:val="20"/>
          <w:szCs w:val="20"/>
          <w:color w:val="auto"/>
        </w:rPr>
      </w:pPr>
      <w:r>
        <w:rPr>
          <w:rFonts w:ascii="Arial" w:cs="Arial" w:eastAsia="Arial" w:hAnsi="Arial"/>
          <w:sz w:val="20"/>
          <w:szCs w:val="20"/>
          <w:color w:val="auto"/>
        </w:rPr>
        <w:t>Goldman Sachs Bank USA, as a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Jamie Minieri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9772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Jamie Minieri</w:t>
      </w: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9" w:right="1440" w:bottom="1440" w:gutter="0" w:footer="0" w:header="0"/>
        </w:sectPr>
      </w:pPr>
    </w:p>
    <w:bookmarkStart w:id="84" w:name="page85"/>
    <w:bookmarkEnd w:id="84"/>
    <w:p>
      <w:pPr>
        <w:ind w:left="2780"/>
        <w:spacing w:after="0"/>
        <w:rPr>
          <w:sz w:val="20"/>
          <w:szCs w:val="20"/>
          <w:color w:val="auto"/>
        </w:rPr>
      </w:pPr>
      <w:r>
        <w:rPr>
          <w:rFonts w:ascii="Arial" w:cs="Arial" w:eastAsia="Arial" w:hAnsi="Arial"/>
          <w:sz w:val="20"/>
          <w:szCs w:val="20"/>
          <w:b w:val="1"/>
          <w:bCs w:val="1"/>
          <w:color w:val="auto"/>
        </w:rPr>
        <w:t>Wells Fargo Bank, N.A.</w:t>
      </w:r>
      <w:r>
        <w:rPr>
          <w:rFonts w:ascii="Arial" w:cs="Arial" w:eastAsia="Arial" w:hAnsi="Arial"/>
          <w:sz w:val="20"/>
          <w:szCs w:val="20"/>
          <w:color w:val="auto"/>
        </w:rPr>
        <w:t>, as a Lender</w:t>
      </w:r>
    </w:p>
    <w:p>
      <w:pPr>
        <w:spacing w:after="0" w:line="200" w:lineRule="exact"/>
        <w:rPr>
          <w:sz w:val="20"/>
          <w:szCs w:val="20"/>
          <w:color w:val="auto"/>
        </w:rPr>
      </w:pPr>
    </w:p>
    <w:p>
      <w:pPr>
        <w:spacing w:after="0" w:line="34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Marc J. Breier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9975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99758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Marc J. Brier</w:t>
      </w: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85" w:name="page86"/>
    <w:bookmarkEnd w:id="85"/>
    <w:p>
      <w:pPr>
        <w:jc w:val="right"/>
        <w:spacing w:after="0"/>
        <w:rPr>
          <w:sz w:val="20"/>
          <w:szCs w:val="20"/>
          <w:color w:val="auto"/>
        </w:rPr>
      </w:pPr>
      <w:r>
        <w:rPr>
          <w:rFonts w:ascii="Arial" w:cs="Arial" w:eastAsia="Arial" w:hAnsi="Arial"/>
          <w:sz w:val="20"/>
          <w:szCs w:val="20"/>
          <w:b w:val="1"/>
          <w:bCs w:val="1"/>
          <w:color w:val="auto"/>
        </w:rPr>
        <w:t>WELLS FARGO CAPITAL FINANCE CORPORATION CANADA</w:t>
      </w:r>
      <w:r>
        <w:rPr>
          <w:rFonts w:ascii="Arial" w:cs="Arial" w:eastAsia="Arial" w:hAnsi="Arial"/>
          <w:sz w:val="20"/>
          <w:szCs w:val="20"/>
          <w:color w:val="auto"/>
        </w:rPr>
        <w:t>, as a Lender</w:t>
      </w:r>
    </w:p>
    <w:p>
      <w:pPr>
        <w:spacing w:after="0" w:line="200" w:lineRule="exact"/>
        <w:rPr>
          <w:sz w:val="20"/>
          <w:szCs w:val="20"/>
          <w:color w:val="auto"/>
        </w:rPr>
      </w:pPr>
    </w:p>
    <w:p>
      <w:pPr>
        <w:spacing w:after="0" w:line="34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David G. Phillips</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David G. Phillips</w:t>
      </w:r>
    </w:p>
    <w:p>
      <w:pPr>
        <w:ind w:left="2780"/>
        <w:spacing w:after="0"/>
        <w:rPr>
          <w:sz w:val="20"/>
          <w:szCs w:val="20"/>
          <w:color w:val="auto"/>
        </w:rPr>
      </w:pPr>
      <w:r>
        <w:rPr>
          <w:rFonts w:ascii="Arial" w:cs="Arial" w:eastAsia="Arial" w:hAnsi="Arial"/>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5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 Amendment No. 5 to XPO ABL Credit Agreement</w:t>
      </w:r>
      <w:r>
        <w:rPr>
          <w:rFonts w:ascii="Arial" w:cs="Arial" w:eastAsia="Arial" w:hAnsi="Arial"/>
          <w:sz w:val="22"/>
          <w:szCs w:val="22"/>
          <w:color w:val="auto"/>
        </w:rPr>
        <w:t>]</w:t>
      </w:r>
    </w:p>
    <w:p>
      <w:pPr>
        <w:sectPr>
          <w:pgSz w:w="11900" w:h="16838" w:orient="portrait"/>
          <w:cols w:equalWidth="0" w:num="1">
            <w:col w:w="9560"/>
          </w:cols>
          <w:pgMar w:left="1440" w:top="1413" w:right="899" w:bottom="1440" w:gutter="0" w:footer="0" w:header="0"/>
        </w:sectPr>
      </w:pPr>
    </w:p>
    <w:bookmarkStart w:id="86" w:name="page87"/>
    <w:bookmarkEnd w:id="86"/>
    <w:p>
      <w:pPr>
        <w:jc w:val="right"/>
        <w:ind w:right="659"/>
        <w:spacing w:after="0"/>
        <w:rPr>
          <w:sz w:val="20"/>
          <w:szCs w:val="20"/>
          <w:color w:val="auto"/>
        </w:rPr>
      </w:pPr>
      <w:r>
        <w:rPr>
          <w:rFonts w:ascii="Arial" w:cs="Arial" w:eastAsia="Arial" w:hAnsi="Arial"/>
          <w:sz w:val="20"/>
          <w:szCs w:val="20"/>
          <w:color w:val="auto"/>
        </w:rPr>
        <w:t>U.S. BANK NATIONAL ASSOCIATION, as a Lender and L/C Issuer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Lisa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9626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Lisa Freeman</w:t>
      </w:r>
    </w:p>
    <w:p>
      <w:pPr>
        <w:ind w:left="27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9" w:right="1440" w:bottom="1440" w:gutter="0" w:footer="0" w:header="0"/>
        </w:sectPr>
      </w:pPr>
    </w:p>
    <w:bookmarkStart w:id="87" w:name="page88"/>
    <w:bookmarkEnd w:id="87"/>
    <w:p>
      <w:pPr>
        <w:jc w:val="right"/>
        <w:ind w:right="519"/>
        <w:spacing w:after="0"/>
        <w:rPr>
          <w:sz w:val="20"/>
          <w:szCs w:val="20"/>
          <w:color w:val="auto"/>
        </w:rPr>
      </w:pPr>
      <w:r>
        <w:rPr>
          <w:rFonts w:ascii="Arial" w:cs="Arial" w:eastAsia="Arial" w:hAnsi="Arial"/>
          <w:sz w:val="20"/>
          <w:szCs w:val="20"/>
          <w:b w:val="1"/>
          <w:bCs w:val="1"/>
          <w:color w:val="auto"/>
        </w:rPr>
        <w:t>CITY NATIONAL BANK</w:t>
      </w:r>
      <w:r>
        <w:rPr>
          <w:rFonts w:ascii="Arial" w:cs="Arial" w:eastAsia="Arial" w:hAnsi="Arial"/>
          <w:sz w:val="20"/>
          <w:szCs w:val="20"/>
          <w:color w:val="auto"/>
        </w:rPr>
        <w:t>, a national banking association, as a Lender</w:t>
      </w:r>
    </w:p>
    <w:p>
      <w:pPr>
        <w:spacing w:after="0" w:line="200" w:lineRule="exact"/>
        <w:rPr>
          <w:sz w:val="20"/>
          <w:szCs w:val="20"/>
          <w:color w:val="auto"/>
        </w:rPr>
      </w:pPr>
    </w:p>
    <w:p>
      <w:pPr>
        <w:spacing w:after="0" w:line="34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Robert Yasuda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0134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101346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Robert Yasuda</w:t>
      </w:r>
    </w:p>
    <w:p>
      <w:pPr>
        <w:ind w:left="27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88" w:name="page89"/>
    <w:bookmarkEnd w:id="88"/>
    <w:p>
      <w:pPr>
        <w:ind w:left="2780"/>
        <w:spacing w:after="0"/>
        <w:rPr>
          <w:sz w:val="20"/>
          <w:szCs w:val="20"/>
          <w:color w:val="auto"/>
        </w:rPr>
      </w:pPr>
      <w:r>
        <w:rPr>
          <w:rFonts w:ascii="Arial" w:cs="Arial" w:eastAsia="Arial" w:hAnsi="Arial"/>
          <w:sz w:val="20"/>
          <w:szCs w:val="20"/>
          <w:color w:val="auto"/>
        </w:rPr>
        <w:t>HSBC Bank USA, National Association, as a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Patrick D. Mueller</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Patrick D. Mueller</w:t>
      </w: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9" w:right="1440" w:bottom="1440" w:gutter="0" w:footer="0" w:header="0"/>
        </w:sectPr>
      </w:pPr>
    </w:p>
    <w:bookmarkStart w:id="89" w:name="page90"/>
    <w:bookmarkEnd w:id="89"/>
    <w:p>
      <w:pPr>
        <w:ind w:left="2780"/>
        <w:spacing w:after="0"/>
        <w:rPr>
          <w:sz w:val="20"/>
          <w:szCs w:val="20"/>
          <w:color w:val="auto"/>
        </w:rPr>
      </w:pPr>
      <w:r>
        <w:rPr>
          <w:rFonts w:ascii="Arial" w:cs="Arial" w:eastAsia="Arial" w:hAnsi="Arial"/>
          <w:sz w:val="20"/>
          <w:szCs w:val="20"/>
          <w:color w:val="auto"/>
        </w:rPr>
        <w:t>KEYBANK NATIONAL ASSOCIATION, as a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Paul Steiger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8864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Paul Steiger</w:t>
      </w:r>
    </w:p>
    <w:p>
      <w:pPr>
        <w:ind w:left="2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9" w:right="1440" w:bottom="1440" w:gutter="0" w:footer="0" w:header="0"/>
        </w:sectPr>
      </w:pPr>
    </w:p>
    <w:bookmarkStart w:id="90" w:name="page91"/>
    <w:bookmarkEnd w:id="90"/>
    <w:p>
      <w:pPr>
        <w:ind w:left="2780"/>
        <w:spacing w:after="0"/>
        <w:rPr>
          <w:sz w:val="20"/>
          <w:szCs w:val="20"/>
          <w:color w:val="auto"/>
        </w:rPr>
      </w:pPr>
      <w:r>
        <w:rPr>
          <w:rFonts w:ascii="Arial" w:cs="Arial" w:eastAsia="Arial" w:hAnsi="Arial"/>
          <w:sz w:val="20"/>
          <w:szCs w:val="20"/>
          <w:color w:val="auto"/>
        </w:rPr>
        <w:t>MUFG Union Bank, N.A., as a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Paul M. Angland</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Paul M. Angland</w:t>
      </w:r>
    </w:p>
    <w:p>
      <w:pPr>
        <w:ind w:left="27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9" w:right="1440" w:bottom="1440" w:gutter="0" w:footer="0" w:header="0"/>
        </w:sectPr>
      </w:pPr>
    </w:p>
    <w:bookmarkStart w:id="91" w:name="page92"/>
    <w:bookmarkEnd w:id="91"/>
    <w:p>
      <w:pPr>
        <w:ind w:left="2780"/>
        <w:spacing w:after="0"/>
        <w:rPr>
          <w:sz w:val="20"/>
          <w:szCs w:val="20"/>
          <w:color w:val="auto"/>
        </w:rPr>
      </w:pPr>
      <w:r>
        <w:rPr>
          <w:rFonts w:ascii="Arial" w:cs="Arial" w:eastAsia="Arial" w:hAnsi="Arial"/>
          <w:sz w:val="20"/>
          <w:szCs w:val="20"/>
          <w:b w:val="1"/>
          <w:bCs w:val="1"/>
          <w:color w:val="auto"/>
        </w:rPr>
        <w:t>BNP PARIBAS</w:t>
      </w:r>
      <w:r>
        <w:rPr>
          <w:rFonts w:ascii="Arial" w:cs="Arial" w:eastAsia="Arial" w:hAnsi="Arial"/>
          <w:sz w:val="20"/>
          <w:szCs w:val="20"/>
          <w:color w:val="auto"/>
        </w:rPr>
        <w:t>, as a Lender</w:t>
      </w:r>
    </w:p>
    <w:p>
      <w:pPr>
        <w:spacing w:after="0" w:line="200" w:lineRule="exact"/>
        <w:rPr>
          <w:sz w:val="20"/>
          <w:szCs w:val="20"/>
          <w:color w:val="auto"/>
        </w:rPr>
      </w:pPr>
    </w:p>
    <w:p>
      <w:pPr>
        <w:spacing w:after="0" w:line="346"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John McCulloch</w:t>
      </w:r>
    </w:p>
    <w:p>
      <w:pPr>
        <w:spacing w:after="0" w:line="15"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Name: John McCulloch</w:t>
      </w:r>
    </w:p>
    <w:p>
      <w:pPr>
        <w:ind w:left="27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32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Tony Baratta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9239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Tony Baratta</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3" w:right="1440" w:bottom="1440" w:gutter="0" w:footer="0" w:header="0"/>
        </w:sectPr>
      </w:pPr>
    </w:p>
    <w:bookmarkStart w:id="92" w:name="page93"/>
    <w:bookmarkEnd w:id="92"/>
    <w:p>
      <w:pPr>
        <w:ind w:left="2780"/>
        <w:spacing w:after="0"/>
        <w:rPr>
          <w:sz w:val="20"/>
          <w:szCs w:val="20"/>
          <w:color w:val="auto"/>
        </w:rPr>
      </w:pPr>
      <w:r>
        <w:rPr>
          <w:rFonts w:ascii="Arial" w:cs="Arial" w:eastAsia="Arial" w:hAnsi="Arial"/>
          <w:sz w:val="20"/>
          <w:szCs w:val="20"/>
          <w:color w:val="auto"/>
        </w:rPr>
        <w:t>The Bank of Nova Scotia, as a Lender</w:t>
      </w:r>
    </w:p>
    <w:p>
      <w:pPr>
        <w:spacing w:after="0" w:line="200" w:lineRule="exact"/>
        <w:rPr>
          <w:sz w:val="20"/>
          <w:szCs w:val="20"/>
          <w:color w:val="auto"/>
        </w:rPr>
      </w:pPr>
    </w:p>
    <w:p>
      <w:pPr>
        <w:spacing w:after="0" w:line="340" w:lineRule="exact"/>
        <w:rPr>
          <w:sz w:val="20"/>
          <w:szCs w:val="20"/>
          <w:color w:val="auto"/>
        </w:rPr>
      </w:pPr>
    </w:p>
    <w:p>
      <w:pPr>
        <w:ind w:left="2780"/>
        <w:spacing w:after="0"/>
        <w:rPr>
          <w:sz w:val="20"/>
          <w:szCs w:val="20"/>
          <w:color w:val="auto"/>
        </w:rPr>
      </w:pPr>
      <w:r>
        <w:rPr>
          <w:rFonts w:ascii="Arial" w:cs="Arial" w:eastAsia="Arial" w:hAnsi="Arial"/>
          <w:sz w:val="20"/>
          <w:szCs w:val="20"/>
          <w:color w:val="auto"/>
        </w:rPr>
        <w:t>By: /s/ Frans Braniotis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-14605</wp:posOffset>
            </wp:positionV>
            <wp:extent cx="10471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104711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0"/>
          <w:szCs w:val="20"/>
          <w:color w:val="auto"/>
        </w:rPr>
        <w:t>Name: Frans Braniotis</w:t>
      </w:r>
    </w:p>
    <w:p>
      <w:pPr>
        <w:ind w:left="2780"/>
        <w:spacing w:after="0"/>
        <w:rPr>
          <w:sz w:val="20"/>
          <w:szCs w:val="20"/>
          <w:color w:val="auto"/>
        </w:rPr>
      </w:pPr>
      <w:r>
        <w:rPr>
          <w:rFonts w:ascii="Arial" w:cs="Arial" w:eastAsia="Arial" w:hAnsi="Arial"/>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 Amendment No. 5 to XPO ABL Credit Agreement</w:t>
      </w:r>
      <w:r>
        <w:rPr>
          <w:rFonts w:ascii="Arial" w:cs="Arial" w:eastAsia="Arial" w:hAnsi="Arial"/>
          <w:sz w:val="19"/>
          <w:szCs w:val="19"/>
          <w:color w:val="auto"/>
        </w:rPr>
        <w:t>]</w:t>
      </w:r>
    </w:p>
    <w:p>
      <w:pPr>
        <w:sectPr>
          <w:pgSz w:w="11900" w:h="16838" w:orient="portrait"/>
          <w:cols w:equalWidth="0" w:num="1">
            <w:col w:w="9019"/>
          </w:cols>
          <w:pgMar w:left="1440" w:top="1419" w:right="1440" w:bottom="1440" w:gutter="0" w:footer="0" w:header="0"/>
        </w:sectPr>
      </w:pPr>
    </w:p>
    <w:bookmarkStart w:id="93" w:name="page94"/>
    <w:bookmarkEnd w:id="93"/>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EXHIBIT A</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attached]</w:t>
      </w:r>
    </w:p>
    <w:p>
      <w:pPr>
        <w:sectPr>
          <w:pgSz w:w="11900" w:h="16838" w:orient="portrait"/>
          <w:cols w:equalWidth="0" w:num="1">
            <w:col w:w="9019"/>
          </w:cols>
          <w:pgMar w:left="1440" w:top="1440"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color w:val="FF0000"/>
          <w:strike w:val="1"/>
        </w:rPr>
        <w:t>[</w:t>
      </w:r>
      <w:r>
        <w:rPr>
          <w:rFonts w:ascii="Arial" w:cs="Arial" w:eastAsia="Arial" w:hAnsi="Arial"/>
          <w:sz w:val="22"/>
          <w:szCs w:val="22"/>
          <w:b w:val="1"/>
          <w:bCs w:val="1"/>
          <w:u w:val="single" w:color="auto"/>
          <w:color w:val="0000FF"/>
          <w:strike w:val="1"/>
        </w:rPr>
        <w:t>EXECUTION VERSION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i w:val="1"/>
          <w:iCs w:val="1"/>
          <w:color w:val="auto"/>
        </w:rPr>
        <w:t xml:space="preserve">Conformed through Amendment No. </w:t>
      </w:r>
      <w:r>
        <w:rPr>
          <w:rFonts w:ascii="Arial" w:cs="Arial" w:eastAsia="Arial" w:hAnsi="Arial"/>
          <w:sz w:val="22"/>
          <w:szCs w:val="22"/>
          <w:color w:val="FF0000"/>
          <w:strike w:val="1"/>
        </w:rPr>
        <w:t>4.,</w:t>
      </w:r>
      <w:r>
        <w:rPr>
          <w:rFonts w:ascii="Arial" w:cs="Arial" w:eastAsia="Arial" w:hAnsi="Arial"/>
          <w:sz w:val="22"/>
          <w:szCs w:val="22"/>
          <w:i w:val="1"/>
          <w:iCs w:val="1"/>
          <w:u w:val="single" w:color="auto"/>
          <w:color w:val="0000FF"/>
        </w:rPr>
        <w:t>5,</w:t>
      </w:r>
      <w:r>
        <w:rPr>
          <w:rFonts w:ascii="Arial" w:cs="Arial" w:eastAsia="Arial" w:hAnsi="Arial"/>
          <w:sz w:val="22"/>
          <w:szCs w:val="22"/>
          <w:i w:val="1"/>
          <w:iCs w:val="1"/>
          <w:color w:val="auto"/>
        </w:rPr>
        <w:t xml:space="preserve"> dated </w:t>
      </w:r>
      <w:r>
        <w:rPr>
          <w:rFonts w:ascii="Arial" w:cs="Arial" w:eastAsia="Arial" w:hAnsi="Arial"/>
          <w:sz w:val="22"/>
          <w:szCs w:val="22"/>
          <w:color w:val="FF0000"/>
          <w:strike w:val="1"/>
        </w:rPr>
        <w:t>April 3,</w:t>
      </w:r>
      <w:r>
        <w:rPr>
          <w:rFonts w:ascii="Arial" w:cs="Arial" w:eastAsia="Arial" w:hAnsi="Arial"/>
          <w:sz w:val="22"/>
          <w:szCs w:val="22"/>
          <w:i w:val="1"/>
          <w:iCs w:val="1"/>
          <w:u w:val="single" w:color="auto"/>
          <w:color w:val="0000FF"/>
        </w:rPr>
        <w:t>as of June 29,</w:t>
      </w:r>
      <w:r>
        <w:rPr>
          <w:rFonts w:ascii="Arial" w:cs="Arial" w:eastAsia="Arial" w:hAnsi="Arial"/>
          <w:sz w:val="22"/>
          <w:szCs w:val="22"/>
          <w:i w:val="1"/>
          <w:iCs w:val="1"/>
          <w:color w:val="auto"/>
        </w:rPr>
        <w:t xml:space="preserve"> 2020</w:t>
      </w:r>
      <w:r>
        <w:rPr>
          <w:rFonts w:ascii="Arial" w:cs="Arial" w:eastAsia="Arial" w:hAnsi="Arial"/>
          <w:sz w:val="22"/>
          <w:szCs w:val="22"/>
          <w:color w:val="FF0000"/>
          <w:strike w:val="1"/>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20"/>
        <w:spacing w:after="0"/>
        <w:rPr>
          <w:sz w:val="20"/>
          <w:szCs w:val="20"/>
          <w:color w:val="auto"/>
        </w:rPr>
      </w:pPr>
      <w:r>
        <w:rPr>
          <w:rFonts w:ascii="Arial" w:cs="Arial" w:eastAsia="Arial" w:hAnsi="Arial"/>
          <w:sz w:val="22"/>
          <w:szCs w:val="22"/>
          <w:b w:val="1"/>
          <w:bCs w:val="1"/>
          <w:u w:val="single" w:color="auto"/>
          <w:color w:val="808080"/>
        </w:rPr>
        <w:t>______________________________________________________________________</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$1,100,000,000</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SECOND AMENDED AND RESTATED REVOLVING LOAN CREDIT AGREEMENT</w:t>
      </w:r>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22"/>
          <w:szCs w:val="22"/>
          <w:u w:val="single" w:color="auto"/>
          <w:color w:val="auto"/>
        </w:rPr>
        <w:t>by and among</w:t>
      </w: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XPO LOGISTICS, INC. AND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CERTAIN SUBSIDIARIES OF XPO LOGISTICS,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NAMED HEREIN,</w:t>
      </w:r>
    </w:p>
    <w:p>
      <w:pPr>
        <w:spacing w:after="0" w:line="17" w:lineRule="exact"/>
        <w:rPr>
          <w:sz w:val="20"/>
          <w:szCs w:val="20"/>
          <w:color w:val="auto"/>
        </w:rPr>
      </w:pPr>
    </w:p>
    <w:p>
      <w:pPr>
        <w:jc w:val="center"/>
        <w:ind w:right="1120"/>
        <w:spacing w:after="0"/>
        <w:rPr>
          <w:sz w:val="20"/>
          <w:szCs w:val="20"/>
          <w:color w:val="auto"/>
        </w:rPr>
      </w:pPr>
      <w:r>
        <w:rPr>
          <w:rFonts w:ascii="Arial" w:cs="Arial" w:eastAsia="Arial" w:hAnsi="Arial"/>
          <w:sz w:val="22"/>
          <w:szCs w:val="22"/>
          <w:u w:val="single" w:color="auto"/>
          <w:color w:val="auto"/>
        </w:rPr>
        <w:t>as Borrowers,</w:t>
      </w: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THE OTHER CREDIT PARTIES SIGNATORY HERETO,</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u w:val="single" w:color="auto"/>
          <w:color w:val="auto"/>
        </w:rPr>
        <w:t>as Credit Parties,</w:t>
      </w:r>
    </w:p>
    <w:p>
      <w:pPr>
        <w:spacing w:after="0" w:line="23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THE LENDERS SIGNATORY HERETO</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FROM TIME TO TIME,</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u w:val="single" w:color="auto"/>
          <w:color w:val="auto"/>
        </w:rPr>
        <w:t>as Lenders,</w:t>
      </w:r>
    </w:p>
    <w:p>
      <w:pPr>
        <w:spacing w:after="0" w:line="23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MORGAN STANLEY SENIOR FUNDING,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u w:val="single" w:color="auto"/>
          <w:color w:val="auto"/>
        </w:rPr>
        <w:t>as Agent,</w:t>
      </w:r>
    </w:p>
    <w:p>
      <w:pPr>
        <w:spacing w:after="0" w:line="223" w:lineRule="exact"/>
        <w:rPr>
          <w:sz w:val="20"/>
          <w:szCs w:val="20"/>
          <w:color w:val="auto"/>
        </w:rPr>
      </w:pPr>
    </w:p>
    <w:p>
      <w:pPr>
        <w:jc w:val="center"/>
        <w:ind w:left="280" w:right="1400"/>
        <w:spacing w:after="0" w:line="282" w:lineRule="auto"/>
        <w:rPr>
          <w:sz w:val="20"/>
          <w:szCs w:val="20"/>
          <w:color w:val="auto"/>
        </w:rPr>
      </w:pPr>
      <w:r>
        <w:rPr>
          <w:rFonts w:ascii="Arial" w:cs="Arial" w:eastAsia="Arial" w:hAnsi="Arial"/>
          <w:sz w:val="22"/>
          <w:szCs w:val="22"/>
          <w:b w:val="1"/>
          <w:bCs w:val="1"/>
          <w:u w:val="single" w:color="auto"/>
          <w:color w:val="auto"/>
        </w:rPr>
        <w:t xml:space="preserve">MORGAN STANLEY SENIOR FUNDING, INC. AND JPMORGAN CHASE BANK, N.A., </w:t>
      </w:r>
      <w:r>
        <w:rPr>
          <w:rFonts w:ascii="Arial" w:cs="Arial" w:eastAsia="Arial" w:hAnsi="Arial"/>
          <w:sz w:val="22"/>
          <w:szCs w:val="22"/>
          <w:u w:val="single" w:color="auto"/>
          <w:color w:val="auto"/>
        </w:rPr>
        <w:t>as Co-Collateral Agents</w:t>
      </w:r>
    </w:p>
    <w:p>
      <w:pPr>
        <w:spacing w:after="0" w:line="17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MORGAN STANLEY SENIOR FUNDING, INC.,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J.P. MORGAN SECURITIES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BARCLAYS BANK PLC,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CITIBANK, N.A. AND</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DEUTSCHE BANK SECURITIES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u w:val="single" w:color="auto"/>
          <w:color w:val="auto"/>
        </w:rPr>
        <w:t>as Joint Lead Arrangers and Joint Bookrunners</w:t>
      </w:r>
    </w:p>
    <w:p>
      <w:pPr>
        <w:spacing w:after="0" w:line="23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BANK OF AMERICA, N.A.,</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CAPITAL ONE, NATIONAL ASSOCIATION,</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CREDIT AGRICOLE CORPORATE AND INVESTMENT BANK,</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CREDIT SUISSE SECURITIES (USA)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GOLDMAN SACHS BANK USA,</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U.S. BANK NATIONAL ASSOCIATION AND</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WELLS FARGO BANK, N.A.,</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u w:val="single" w:color="auto"/>
          <w:color w:val="auto"/>
        </w:rPr>
        <w:t>as Co-Syndication Agents</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22"/>
          <w:szCs w:val="22"/>
          <w:u w:val="single" w:color="auto"/>
          <w:color w:val="auto"/>
        </w:rPr>
        <w:t>Dated as of October 30, 2015</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22"/>
          <w:szCs w:val="22"/>
          <w:b w:val="1"/>
          <w:bCs w:val="1"/>
          <w:u w:val="single" w:color="auto"/>
          <w:color w:val="808080"/>
        </w:rPr>
        <w:t>___________________________________________________________________</w:t>
      </w:r>
    </w:p>
    <w:p>
      <w:pPr>
        <w:sectPr>
          <w:pgSz w:w="11900" w:h="16838" w:orient="portrait"/>
          <w:cols w:equalWidth="0" w:num="1">
            <w:col w:w="10120"/>
          </w:cols>
          <w:pgMar w:left="1440" w:top="126" w:right="339" w:bottom="1440" w:gutter="0" w:footer="0" w:header="0"/>
        </w:sectPr>
      </w:pPr>
    </w:p>
    <w:bookmarkStart w:id="95" w:name="page96"/>
    <w:bookmarkEnd w:id="95"/>
    <w:p>
      <w:pPr>
        <w:spacing w:after="0" w:line="23" w:lineRule="exact"/>
        <w:rPr>
          <w:sz w:val="20"/>
          <w:szCs w:val="20"/>
          <w:color w:val="auto"/>
        </w:rPr>
      </w:pPr>
    </w:p>
    <w:p>
      <w:pPr>
        <w:ind w:left="766" w:hanging="766"/>
        <w:spacing w:after="0"/>
        <w:tabs>
          <w:tab w:leader="none" w:pos="766"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ACCOUNTING PRINCIPLES AND OTHER</w:t>
      </w:r>
    </w:p>
    <w:p>
      <w:pPr>
        <w:spacing w:after="0" w:line="14" w:lineRule="exact"/>
        <w:rPr>
          <w:sz w:val="20"/>
          <w:szCs w:val="20"/>
          <w:color w:val="auto"/>
        </w:rPr>
      </w:pPr>
    </w:p>
    <w:tbl>
      <w:tblPr>
        <w:tblLayout w:type="fixed"/>
        <w:tblInd w:w="6" w:type="dxa"/>
        <w:tblCellMar>
          <w:top w:w="0" w:type="dxa"/>
          <w:left w:w="0" w:type="dxa"/>
          <w:bottom w:w="0" w:type="dxa"/>
          <w:right w:w="0" w:type="dxa"/>
        </w:tblCellMar>
      </w:tblPr>
      <w:tr>
        <w:trPr>
          <w:trHeight w:val="273"/>
        </w:trPr>
        <w:tc>
          <w:tcPr>
            <w:tcW w:w="460" w:type="dxa"/>
            <w:vAlign w:val="bottom"/>
          </w:tcPr>
          <w:p>
            <w:pPr>
              <w:spacing w:after="0"/>
              <w:rPr>
                <w:sz w:val="23"/>
                <w:szCs w:val="23"/>
                <w:color w:val="auto"/>
              </w:rPr>
            </w:pPr>
          </w:p>
        </w:tc>
        <w:tc>
          <w:tcPr>
            <w:tcW w:w="8060" w:type="dxa"/>
            <w:vAlign w:val="bottom"/>
            <w:gridSpan w:val="2"/>
          </w:tcPr>
          <w:p>
            <w:pPr>
              <w:ind w:left="300"/>
              <w:spacing w:after="0"/>
              <w:rPr>
                <w:sz w:val="20"/>
                <w:szCs w:val="20"/>
                <w:color w:val="auto"/>
              </w:rPr>
            </w:pPr>
            <w:r>
              <w:rPr>
                <w:rFonts w:ascii="Arial" w:cs="Arial" w:eastAsia="Arial" w:hAnsi="Arial"/>
                <w:sz w:val="22"/>
                <w:szCs w:val="22"/>
                <w:b w:val="1"/>
                <w:bCs w:val="1"/>
                <w:color w:val="auto"/>
              </w:rPr>
              <w:t>INTERPRETIVE MATTERS</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2</w:t>
            </w:r>
          </w:p>
        </w:tc>
        <w:tc>
          <w:tcPr>
            <w:tcW w:w="0" w:type="dxa"/>
            <w:vAlign w:val="bottom"/>
          </w:tcPr>
          <w:p>
            <w:pPr>
              <w:spacing w:after="0"/>
              <w:rPr>
                <w:sz w:val="1"/>
                <w:szCs w:val="1"/>
                <w:color w:val="auto"/>
              </w:rPr>
            </w:pPr>
          </w:p>
        </w:tc>
      </w:tr>
      <w:tr>
        <w:trPr>
          <w:trHeight w:val="280"/>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1.1</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Definitions</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2</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1.2</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Rules of Construction</w:t>
            </w:r>
          </w:p>
        </w:tc>
        <w:tc>
          <w:tcPr>
            <w:tcW w:w="480" w:type="dxa"/>
            <w:vAlign w:val="bottom"/>
            <w:gridSpan w:val="3"/>
          </w:tcPr>
          <w:p>
            <w:pPr>
              <w:jc w:val="right"/>
              <w:spacing w:after="0"/>
              <w:rPr>
                <w:sz w:val="20"/>
                <w:szCs w:val="20"/>
                <w:color w:val="auto"/>
              </w:rPr>
            </w:pPr>
            <w:r>
              <w:rPr>
                <w:rFonts w:ascii="Arial" w:cs="Arial" w:eastAsia="Arial" w:hAnsi="Arial"/>
                <w:sz w:val="22"/>
                <w:szCs w:val="22"/>
                <w:b w:val="1"/>
                <w:bCs w:val="1"/>
                <w:color w:val="EE2724"/>
                <w:strike w:val="1"/>
              </w:rPr>
              <w:t>82</w:t>
            </w:r>
          </w:p>
        </w:tc>
        <w:tc>
          <w:tcPr>
            <w:tcW w:w="220" w:type="dxa"/>
            <w:vAlign w:val="bottom"/>
            <w:tcBorders>
              <w:bottom w:val="single" w:sz="8" w:color="3051F2"/>
            </w:tcBorders>
          </w:tcPr>
          <w:p>
            <w:pPr>
              <w:jc w:val="right"/>
              <w:spacing w:after="0"/>
              <w:rPr>
                <w:sz w:val="20"/>
                <w:szCs w:val="20"/>
                <w:color w:val="auto"/>
              </w:rPr>
            </w:pPr>
            <w:r>
              <w:rPr>
                <w:rFonts w:ascii="Arial" w:cs="Arial" w:eastAsia="Arial" w:hAnsi="Arial"/>
                <w:sz w:val="22"/>
                <w:szCs w:val="22"/>
                <w:b w:val="1"/>
                <w:bCs w:val="1"/>
                <w:color w:val="3051F2"/>
                <w:w w:val="81"/>
              </w:rPr>
              <w:t>83</w:t>
            </w:r>
          </w:p>
        </w:tc>
        <w:tc>
          <w:tcPr>
            <w:tcW w:w="0" w:type="dxa"/>
            <w:vAlign w:val="bottom"/>
          </w:tcPr>
          <w:p>
            <w:pPr>
              <w:spacing w:after="0"/>
              <w:rPr>
                <w:sz w:val="1"/>
                <w:szCs w:val="1"/>
                <w:color w:val="auto"/>
              </w:rPr>
            </w:pPr>
          </w:p>
        </w:tc>
      </w:tr>
      <w:tr>
        <w:trPr>
          <w:trHeight w:val="291"/>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1.3</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Interpretive Matters</w:t>
            </w:r>
          </w:p>
        </w:tc>
        <w:tc>
          <w:tcPr>
            <w:tcW w:w="480" w:type="dxa"/>
            <w:vAlign w:val="bottom"/>
            <w:gridSpan w:val="3"/>
          </w:tcPr>
          <w:p>
            <w:pPr>
              <w:jc w:val="right"/>
              <w:spacing w:after="0"/>
              <w:rPr>
                <w:sz w:val="20"/>
                <w:szCs w:val="20"/>
                <w:color w:val="auto"/>
              </w:rPr>
            </w:pPr>
            <w:r>
              <w:rPr>
                <w:rFonts w:ascii="Arial" w:cs="Arial" w:eastAsia="Arial" w:hAnsi="Arial"/>
                <w:sz w:val="22"/>
                <w:szCs w:val="22"/>
                <w:b w:val="1"/>
                <w:bCs w:val="1"/>
                <w:color w:val="EE2724"/>
                <w:strike w:val="1"/>
              </w:rPr>
              <w:t>82</w:t>
            </w:r>
          </w:p>
        </w:tc>
        <w:tc>
          <w:tcPr>
            <w:tcW w:w="220" w:type="dxa"/>
            <w:vAlign w:val="bottom"/>
            <w:tcBorders>
              <w:bottom w:val="single" w:sz="8" w:color="3051F2"/>
            </w:tcBorders>
          </w:tcPr>
          <w:p>
            <w:pPr>
              <w:jc w:val="right"/>
              <w:spacing w:after="0"/>
              <w:rPr>
                <w:sz w:val="20"/>
                <w:szCs w:val="20"/>
                <w:color w:val="auto"/>
              </w:rPr>
            </w:pPr>
            <w:r>
              <w:rPr>
                <w:rFonts w:ascii="Arial" w:cs="Arial" w:eastAsia="Arial" w:hAnsi="Arial"/>
                <w:sz w:val="22"/>
                <w:szCs w:val="22"/>
                <w:b w:val="1"/>
                <w:bCs w:val="1"/>
                <w:color w:val="3051F2"/>
                <w:w w:val="81"/>
              </w:rPr>
              <w:t>83</w:t>
            </w:r>
          </w:p>
        </w:tc>
        <w:tc>
          <w:tcPr>
            <w:tcW w:w="0" w:type="dxa"/>
            <w:vAlign w:val="bottom"/>
          </w:tcPr>
          <w:p>
            <w:pPr>
              <w:spacing w:after="0"/>
              <w:rPr>
                <w:sz w:val="1"/>
                <w:szCs w:val="1"/>
                <w:color w:val="auto"/>
              </w:rPr>
            </w:pPr>
          </w:p>
        </w:tc>
      </w:tr>
      <w:tr>
        <w:trPr>
          <w:trHeight w:val="291"/>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1.4</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Additional Alternative Currencies</w:t>
            </w:r>
          </w:p>
        </w:tc>
        <w:tc>
          <w:tcPr>
            <w:tcW w:w="480" w:type="dxa"/>
            <w:vAlign w:val="bottom"/>
            <w:gridSpan w:val="3"/>
          </w:tcPr>
          <w:p>
            <w:pPr>
              <w:jc w:val="right"/>
              <w:spacing w:after="0"/>
              <w:rPr>
                <w:sz w:val="20"/>
                <w:szCs w:val="20"/>
                <w:color w:val="auto"/>
              </w:rPr>
            </w:pPr>
            <w:r>
              <w:rPr>
                <w:rFonts w:ascii="Arial" w:cs="Arial" w:eastAsia="Arial" w:hAnsi="Arial"/>
                <w:sz w:val="22"/>
                <w:szCs w:val="22"/>
                <w:b w:val="1"/>
                <w:bCs w:val="1"/>
                <w:color w:val="EE2724"/>
                <w:strike w:val="1"/>
              </w:rPr>
              <w:t>82</w:t>
            </w:r>
          </w:p>
        </w:tc>
        <w:tc>
          <w:tcPr>
            <w:tcW w:w="220" w:type="dxa"/>
            <w:vAlign w:val="bottom"/>
            <w:tcBorders>
              <w:bottom w:val="single" w:sz="8" w:color="3051F2"/>
            </w:tcBorders>
          </w:tcPr>
          <w:p>
            <w:pPr>
              <w:jc w:val="right"/>
              <w:spacing w:after="0"/>
              <w:rPr>
                <w:sz w:val="20"/>
                <w:szCs w:val="20"/>
                <w:color w:val="auto"/>
              </w:rPr>
            </w:pPr>
            <w:r>
              <w:rPr>
                <w:rFonts w:ascii="Arial" w:cs="Arial" w:eastAsia="Arial" w:hAnsi="Arial"/>
                <w:sz w:val="22"/>
                <w:szCs w:val="22"/>
                <w:b w:val="1"/>
                <w:bCs w:val="1"/>
                <w:color w:val="3051F2"/>
                <w:w w:val="81"/>
              </w:rPr>
              <w:t>84</w:t>
            </w:r>
          </w:p>
        </w:tc>
        <w:tc>
          <w:tcPr>
            <w:tcW w:w="0" w:type="dxa"/>
            <w:vAlign w:val="bottom"/>
          </w:tcPr>
          <w:p>
            <w:pPr>
              <w:spacing w:after="0"/>
              <w:rPr>
                <w:sz w:val="1"/>
                <w:szCs w:val="1"/>
                <w:color w:val="auto"/>
              </w:rPr>
            </w:pPr>
          </w:p>
        </w:tc>
      </w:tr>
      <w:tr>
        <w:trPr>
          <w:trHeight w:val="328"/>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1.5</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Timing of Payment or Performance</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84</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1.6</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Quebec Matters</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84</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1.7</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Borrowers</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85</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1.8</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Quebec Security</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85</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1.9</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Permitted Liens</w:t>
            </w:r>
          </w:p>
        </w:tc>
        <w:tc>
          <w:tcPr>
            <w:tcW w:w="480" w:type="dxa"/>
            <w:vAlign w:val="bottom"/>
            <w:gridSpan w:val="3"/>
          </w:tcPr>
          <w:p>
            <w:pPr>
              <w:jc w:val="right"/>
              <w:spacing w:after="0"/>
              <w:rPr>
                <w:sz w:val="20"/>
                <w:szCs w:val="20"/>
                <w:color w:val="auto"/>
              </w:rPr>
            </w:pPr>
            <w:r>
              <w:rPr>
                <w:rFonts w:ascii="Arial" w:cs="Arial" w:eastAsia="Arial" w:hAnsi="Arial"/>
                <w:sz w:val="22"/>
                <w:szCs w:val="22"/>
                <w:b w:val="1"/>
                <w:bCs w:val="1"/>
                <w:color w:val="EE2724"/>
                <w:strike w:val="1"/>
              </w:rPr>
              <w:t>85</w:t>
            </w:r>
          </w:p>
        </w:tc>
        <w:tc>
          <w:tcPr>
            <w:tcW w:w="220" w:type="dxa"/>
            <w:vAlign w:val="bottom"/>
            <w:tcBorders>
              <w:bottom w:val="single" w:sz="8" w:color="3051F2"/>
            </w:tcBorders>
          </w:tcPr>
          <w:p>
            <w:pPr>
              <w:jc w:val="right"/>
              <w:spacing w:after="0"/>
              <w:rPr>
                <w:sz w:val="20"/>
                <w:szCs w:val="20"/>
                <w:color w:val="auto"/>
              </w:rPr>
            </w:pPr>
            <w:r>
              <w:rPr>
                <w:rFonts w:ascii="Arial" w:cs="Arial" w:eastAsia="Arial" w:hAnsi="Arial"/>
                <w:sz w:val="22"/>
                <w:szCs w:val="22"/>
                <w:b w:val="1"/>
                <w:bCs w:val="1"/>
                <w:color w:val="3051F2"/>
                <w:w w:val="81"/>
              </w:rPr>
              <w:t>86</w:t>
            </w:r>
          </w:p>
        </w:tc>
        <w:tc>
          <w:tcPr>
            <w:tcW w:w="0" w:type="dxa"/>
            <w:vAlign w:val="bottom"/>
          </w:tcPr>
          <w:p>
            <w:pPr>
              <w:spacing w:after="0"/>
              <w:rPr>
                <w:sz w:val="1"/>
                <w:szCs w:val="1"/>
                <w:color w:val="auto"/>
              </w:rPr>
            </w:pPr>
          </w:p>
        </w:tc>
      </w:tr>
      <w:tr>
        <w:trPr>
          <w:trHeight w:val="290"/>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1.10</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Interest Act (Canada)</w:t>
            </w:r>
          </w:p>
        </w:tc>
        <w:tc>
          <w:tcPr>
            <w:tcW w:w="480" w:type="dxa"/>
            <w:vAlign w:val="bottom"/>
            <w:gridSpan w:val="3"/>
          </w:tcPr>
          <w:p>
            <w:pPr>
              <w:jc w:val="right"/>
              <w:spacing w:after="0"/>
              <w:rPr>
                <w:sz w:val="20"/>
                <w:szCs w:val="20"/>
                <w:color w:val="auto"/>
              </w:rPr>
            </w:pPr>
            <w:r>
              <w:rPr>
                <w:rFonts w:ascii="Arial" w:cs="Arial" w:eastAsia="Arial" w:hAnsi="Arial"/>
                <w:sz w:val="22"/>
                <w:szCs w:val="22"/>
                <w:b w:val="1"/>
                <w:bCs w:val="1"/>
                <w:color w:val="EE2724"/>
                <w:strike w:val="1"/>
              </w:rPr>
              <w:t>85</w:t>
            </w:r>
          </w:p>
        </w:tc>
        <w:tc>
          <w:tcPr>
            <w:tcW w:w="220" w:type="dxa"/>
            <w:vAlign w:val="bottom"/>
            <w:tcBorders>
              <w:bottom w:val="single" w:sz="8" w:color="3051F2"/>
            </w:tcBorders>
          </w:tcPr>
          <w:p>
            <w:pPr>
              <w:jc w:val="right"/>
              <w:spacing w:after="0"/>
              <w:rPr>
                <w:sz w:val="20"/>
                <w:szCs w:val="20"/>
                <w:color w:val="auto"/>
              </w:rPr>
            </w:pPr>
            <w:r>
              <w:rPr>
                <w:rFonts w:ascii="Arial" w:cs="Arial" w:eastAsia="Arial" w:hAnsi="Arial"/>
                <w:sz w:val="22"/>
                <w:szCs w:val="22"/>
                <w:b w:val="1"/>
                <w:bCs w:val="1"/>
                <w:color w:val="3051F2"/>
                <w:w w:val="81"/>
              </w:rPr>
              <w:t>86</w:t>
            </w:r>
          </w:p>
        </w:tc>
        <w:tc>
          <w:tcPr>
            <w:tcW w:w="0" w:type="dxa"/>
            <w:vAlign w:val="bottom"/>
          </w:tcPr>
          <w:p>
            <w:pPr>
              <w:spacing w:after="0"/>
              <w:rPr>
                <w:sz w:val="1"/>
                <w:szCs w:val="1"/>
                <w:color w:val="auto"/>
              </w:rPr>
            </w:pPr>
          </w:p>
        </w:tc>
      </w:tr>
      <w:tr>
        <w:trPr>
          <w:trHeight w:val="291"/>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1.11</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Criminal Code (Canada)</w:t>
            </w:r>
          </w:p>
        </w:tc>
        <w:tc>
          <w:tcPr>
            <w:tcW w:w="480" w:type="dxa"/>
            <w:vAlign w:val="bottom"/>
            <w:gridSpan w:val="3"/>
          </w:tcPr>
          <w:p>
            <w:pPr>
              <w:jc w:val="right"/>
              <w:spacing w:after="0"/>
              <w:rPr>
                <w:sz w:val="20"/>
                <w:szCs w:val="20"/>
                <w:color w:val="auto"/>
              </w:rPr>
            </w:pPr>
            <w:r>
              <w:rPr>
                <w:rFonts w:ascii="Arial" w:cs="Arial" w:eastAsia="Arial" w:hAnsi="Arial"/>
                <w:sz w:val="22"/>
                <w:szCs w:val="22"/>
                <w:b w:val="1"/>
                <w:bCs w:val="1"/>
                <w:color w:val="EE2724"/>
                <w:strike w:val="1"/>
              </w:rPr>
              <w:t>85</w:t>
            </w:r>
          </w:p>
        </w:tc>
        <w:tc>
          <w:tcPr>
            <w:tcW w:w="220" w:type="dxa"/>
            <w:vAlign w:val="bottom"/>
            <w:tcBorders>
              <w:bottom w:val="single" w:sz="8" w:color="3051F2"/>
            </w:tcBorders>
          </w:tcPr>
          <w:p>
            <w:pPr>
              <w:jc w:val="right"/>
              <w:spacing w:after="0"/>
              <w:rPr>
                <w:sz w:val="20"/>
                <w:szCs w:val="20"/>
                <w:color w:val="auto"/>
              </w:rPr>
            </w:pPr>
            <w:r>
              <w:rPr>
                <w:rFonts w:ascii="Arial" w:cs="Arial" w:eastAsia="Arial" w:hAnsi="Arial"/>
                <w:sz w:val="22"/>
                <w:szCs w:val="22"/>
                <w:b w:val="1"/>
                <w:bCs w:val="1"/>
                <w:color w:val="3051F2"/>
                <w:w w:val="81"/>
              </w:rPr>
              <w:t>86</w:t>
            </w:r>
          </w:p>
        </w:tc>
        <w:tc>
          <w:tcPr>
            <w:tcW w:w="0" w:type="dxa"/>
            <w:vAlign w:val="bottom"/>
          </w:tcPr>
          <w:p>
            <w:pPr>
              <w:spacing w:after="0"/>
              <w:rPr>
                <w:sz w:val="1"/>
                <w:szCs w:val="1"/>
                <w:color w:val="auto"/>
              </w:rPr>
            </w:pPr>
          </w:p>
        </w:tc>
      </w:tr>
      <w:tr>
        <w:trPr>
          <w:trHeight w:val="328"/>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1.12</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Anti-Money Laundering (Canada)</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86</w:t>
            </w:r>
          </w:p>
        </w:tc>
        <w:tc>
          <w:tcPr>
            <w:tcW w:w="0" w:type="dxa"/>
            <w:vAlign w:val="bottom"/>
          </w:tcPr>
          <w:p>
            <w:pPr>
              <w:spacing w:after="0"/>
              <w:rPr>
                <w:sz w:val="1"/>
                <w:szCs w:val="1"/>
                <w:color w:val="auto"/>
              </w:rPr>
            </w:pPr>
          </w:p>
        </w:tc>
      </w:tr>
      <w:tr>
        <w:trPr>
          <w:trHeight w:val="260"/>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2.</w:t>
            </w:r>
          </w:p>
        </w:tc>
        <w:tc>
          <w:tcPr>
            <w:tcW w:w="8060" w:type="dxa"/>
            <w:vAlign w:val="bottom"/>
            <w:gridSpan w:val="2"/>
          </w:tcPr>
          <w:p>
            <w:pPr>
              <w:ind w:left="300"/>
              <w:spacing w:after="0"/>
              <w:rPr>
                <w:sz w:val="20"/>
                <w:szCs w:val="20"/>
                <w:color w:val="auto"/>
              </w:rPr>
            </w:pPr>
            <w:r>
              <w:rPr>
                <w:rFonts w:ascii="Arial" w:cs="Arial" w:eastAsia="Arial" w:hAnsi="Arial"/>
                <w:sz w:val="22"/>
                <w:szCs w:val="22"/>
                <w:b w:val="1"/>
                <w:bCs w:val="1"/>
                <w:color w:val="auto"/>
              </w:rPr>
              <w:t>AMOUNT AND TERMS OF CREDIT</w:t>
            </w:r>
          </w:p>
        </w:tc>
        <w:tc>
          <w:tcPr>
            <w:tcW w:w="480" w:type="dxa"/>
            <w:vAlign w:val="bottom"/>
            <w:gridSpan w:val="3"/>
          </w:tcPr>
          <w:p>
            <w:pPr>
              <w:jc w:val="right"/>
              <w:spacing w:after="0"/>
              <w:rPr>
                <w:sz w:val="20"/>
                <w:szCs w:val="20"/>
                <w:color w:val="auto"/>
              </w:rPr>
            </w:pPr>
            <w:r>
              <w:rPr>
                <w:rFonts w:ascii="Arial" w:cs="Arial" w:eastAsia="Arial" w:hAnsi="Arial"/>
                <w:sz w:val="22"/>
                <w:szCs w:val="22"/>
                <w:b w:val="1"/>
                <w:bCs w:val="1"/>
                <w:color w:val="EE2724"/>
                <w:strike w:val="1"/>
              </w:rPr>
              <w:t>86</w:t>
            </w:r>
          </w:p>
        </w:tc>
        <w:tc>
          <w:tcPr>
            <w:tcW w:w="220" w:type="dxa"/>
            <w:vAlign w:val="bottom"/>
            <w:tcBorders>
              <w:bottom w:val="single" w:sz="8" w:color="3051F2"/>
            </w:tcBorders>
          </w:tcPr>
          <w:p>
            <w:pPr>
              <w:jc w:val="right"/>
              <w:spacing w:after="0"/>
              <w:rPr>
                <w:sz w:val="20"/>
                <w:szCs w:val="20"/>
                <w:color w:val="auto"/>
              </w:rPr>
            </w:pPr>
            <w:r>
              <w:rPr>
                <w:rFonts w:ascii="Arial" w:cs="Arial" w:eastAsia="Arial" w:hAnsi="Arial"/>
                <w:sz w:val="22"/>
                <w:szCs w:val="22"/>
                <w:b w:val="1"/>
                <w:bCs w:val="1"/>
                <w:color w:val="3051F2"/>
                <w:w w:val="81"/>
              </w:rPr>
              <w:t>87</w:t>
            </w:r>
          </w:p>
        </w:tc>
        <w:tc>
          <w:tcPr>
            <w:tcW w:w="0" w:type="dxa"/>
            <w:vAlign w:val="bottom"/>
          </w:tcPr>
          <w:p>
            <w:pPr>
              <w:spacing w:after="0"/>
              <w:rPr>
                <w:sz w:val="1"/>
                <w:szCs w:val="1"/>
                <w:color w:val="auto"/>
              </w:rPr>
            </w:pPr>
          </w:p>
        </w:tc>
      </w:tr>
      <w:tr>
        <w:trPr>
          <w:trHeight w:val="290"/>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2.1</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Credit Facilities</w:t>
            </w:r>
          </w:p>
        </w:tc>
        <w:tc>
          <w:tcPr>
            <w:tcW w:w="480" w:type="dxa"/>
            <w:vAlign w:val="bottom"/>
            <w:gridSpan w:val="3"/>
          </w:tcPr>
          <w:p>
            <w:pPr>
              <w:jc w:val="right"/>
              <w:spacing w:after="0"/>
              <w:rPr>
                <w:sz w:val="20"/>
                <w:szCs w:val="20"/>
                <w:color w:val="auto"/>
              </w:rPr>
            </w:pPr>
            <w:r>
              <w:rPr>
                <w:rFonts w:ascii="Arial" w:cs="Arial" w:eastAsia="Arial" w:hAnsi="Arial"/>
                <w:sz w:val="22"/>
                <w:szCs w:val="22"/>
                <w:b w:val="1"/>
                <w:bCs w:val="1"/>
                <w:color w:val="EE2724"/>
                <w:strike w:val="1"/>
              </w:rPr>
              <w:t>86</w:t>
            </w:r>
          </w:p>
        </w:tc>
        <w:tc>
          <w:tcPr>
            <w:tcW w:w="220" w:type="dxa"/>
            <w:vAlign w:val="bottom"/>
            <w:tcBorders>
              <w:bottom w:val="single" w:sz="8" w:color="3051F2"/>
            </w:tcBorders>
          </w:tcPr>
          <w:p>
            <w:pPr>
              <w:jc w:val="right"/>
              <w:spacing w:after="0"/>
              <w:rPr>
                <w:sz w:val="20"/>
                <w:szCs w:val="20"/>
                <w:color w:val="auto"/>
              </w:rPr>
            </w:pPr>
            <w:r>
              <w:rPr>
                <w:rFonts w:ascii="Arial" w:cs="Arial" w:eastAsia="Arial" w:hAnsi="Arial"/>
                <w:sz w:val="22"/>
                <w:szCs w:val="22"/>
                <w:b w:val="1"/>
                <w:bCs w:val="1"/>
                <w:color w:val="3051F2"/>
                <w:w w:val="81"/>
              </w:rPr>
              <w:t>87</w:t>
            </w:r>
          </w:p>
        </w:tc>
        <w:tc>
          <w:tcPr>
            <w:tcW w:w="0" w:type="dxa"/>
            <w:vAlign w:val="bottom"/>
          </w:tcPr>
          <w:p>
            <w:pPr>
              <w:spacing w:after="0"/>
              <w:rPr>
                <w:sz w:val="1"/>
                <w:szCs w:val="1"/>
                <w:color w:val="auto"/>
              </w:rPr>
            </w:pPr>
          </w:p>
        </w:tc>
      </w:tr>
      <w:tr>
        <w:trPr>
          <w:trHeight w:val="328"/>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2.2</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Letters of Credit</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90</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2.3</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Prepayments</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98</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2.4</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Use of Proceeds</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100</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2.5</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Interest; Applicable Margins</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100</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2.6</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Cash Management Systems</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102</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2.7</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Fees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103</w:t>
            </w:r>
          </w:p>
        </w:tc>
        <w:tc>
          <w:tcPr>
            <w:tcW w:w="380" w:type="dxa"/>
            <w:vAlign w:val="bottom"/>
            <w:gridSpan w:val="3"/>
          </w:tcPr>
          <w:p>
            <w:pPr>
              <w:jc w:val="right"/>
              <w:spacing w:after="0"/>
              <w:rPr>
                <w:sz w:val="20"/>
                <w:szCs w:val="20"/>
                <w:color w:val="auto"/>
              </w:rPr>
            </w:pPr>
            <w:r>
              <w:rPr>
                <w:rFonts w:ascii="Arial" w:cs="Arial" w:eastAsia="Arial" w:hAnsi="Arial"/>
                <w:sz w:val="22"/>
                <w:szCs w:val="22"/>
                <w:b w:val="1"/>
                <w:bCs w:val="1"/>
                <w:color w:val="3051F2"/>
                <w:w w:val="97"/>
              </w:rPr>
              <w:t>102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Borders>
              <w:right w:val="single" w:sz="8" w:color="3051F2"/>
            </w:tcBorders>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2.8</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Receipt of Payments</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103</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2.9</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Application and Allocation of Payments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104</w:t>
            </w:r>
          </w:p>
        </w:tc>
        <w:tc>
          <w:tcPr>
            <w:tcW w:w="380" w:type="dxa"/>
            <w:vAlign w:val="bottom"/>
            <w:gridSpan w:val="3"/>
          </w:tcPr>
          <w:p>
            <w:pPr>
              <w:jc w:val="right"/>
              <w:spacing w:after="0"/>
              <w:rPr>
                <w:sz w:val="20"/>
                <w:szCs w:val="20"/>
                <w:color w:val="auto"/>
              </w:rPr>
            </w:pPr>
            <w:r>
              <w:rPr>
                <w:rFonts w:ascii="Arial" w:cs="Arial" w:eastAsia="Arial" w:hAnsi="Arial"/>
                <w:sz w:val="22"/>
                <w:szCs w:val="22"/>
                <w:b w:val="1"/>
                <w:bCs w:val="1"/>
                <w:color w:val="3051F2"/>
                <w:w w:val="97"/>
              </w:rPr>
              <w:t>103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Borders>
              <w:right w:val="single" w:sz="8" w:color="3051F2"/>
            </w:tcBorders>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2.10</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Loan Account and Accounting</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104</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2.11</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Indemnity</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105</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2.12</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Access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107</w:t>
            </w:r>
          </w:p>
        </w:tc>
        <w:tc>
          <w:tcPr>
            <w:tcW w:w="380" w:type="dxa"/>
            <w:vAlign w:val="bottom"/>
            <w:gridSpan w:val="3"/>
          </w:tcPr>
          <w:p>
            <w:pPr>
              <w:jc w:val="right"/>
              <w:spacing w:after="0"/>
              <w:rPr>
                <w:sz w:val="20"/>
                <w:szCs w:val="20"/>
                <w:color w:val="auto"/>
              </w:rPr>
            </w:pPr>
            <w:r>
              <w:rPr>
                <w:rFonts w:ascii="Arial" w:cs="Arial" w:eastAsia="Arial" w:hAnsi="Arial"/>
                <w:sz w:val="22"/>
                <w:szCs w:val="22"/>
                <w:b w:val="1"/>
                <w:bCs w:val="1"/>
                <w:color w:val="3051F2"/>
                <w:w w:val="97"/>
              </w:rPr>
              <w:t>106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Borders>
              <w:right w:val="single" w:sz="8" w:color="3051F2"/>
            </w:tcBorders>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2.13</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Taxes</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107</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2.14</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Capital Adequacy; Increased Costs; Illegality</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110</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2.15</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Inability to Determine Rates</w:t>
            </w:r>
          </w:p>
        </w:tc>
        <w:tc>
          <w:tcPr>
            <w:tcW w:w="340" w:type="dxa"/>
            <w:vAlign w:val="bottom"/>
            <w:gridSpan w:val="2"/>
          </w:tcPr>
          <w:p>
            <w:pPr>
              <w:jc w:val="right"/>
              <w:spacing w:after="0"/>
              <w:rPr>
                <w:sz w:val="20"/>
                <w:szCs w:val="20"/>
                <w:color w:val="auto"/>
              </w:rPr>
            </w:pPr>
            <w:r>
              <w:rPr>
                <w:rFonts w:ascii="Arial" w:cs="Arial" w:eastAsia="Arial" w:hAnsi="Arial"/>
                <w:sz w:val="22"/>
                <w:szCs w:val="22"/>
                <w:b w:val="1"/>
                <w:bCs w:val="1"/>
                <w:color w:val="EE2724"/>
                <w:strike w:val="1"/>
                <w:w w:val="87"/>
              </w:rPr>
              <w:t>113</w:t>
            </w:r>
          </w:p>
        </w:tc>
        <w:tc>
          <w:tcPr>
            <w:tcW w:w="36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2"/>
              </w:rPr>
              <w:t>112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vMerge w:val="restart"/>
          </w:tcPr>
          <w:p>
            <w:pPr>
              <w:ind w:left="300"/>
              <w:spacing w:after="0"/>
              <w:rPr>
                <w:sz w:val="20"/>
                <w:szCs w:val="20"/>
                <w:color w:val="auto"/>
              </w:rPr>
            </w:pPr>
            <w:r>
              <w:rPr>
                <w:rFonts w:ascii="Arial" w:cs="Arial" w:eastAsia="Arial" w:hAnsi="Arial"/>
                <w:sz w:val="22"/>
                <w:szCs w:val="22"/>
                <w:b w:val="1"/>
                <w:bCs w:val="1"/>
                <w:color w:val="auto"/>
              </w:rPr>
              <w:t>2.16</w:t>
            </w:r>
          </w:p>
        </w:tc>
        <w:tc>
          <w:tcPr>
            <w:tcW w:w="7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Borders>
              <w:right w:val="single" w:sz="8" w:color="3051F2"/>
            </w:tcBorders>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6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Incremental Revolving Loans; Extensions</w:t>
            </w:r>
          </w:p>
        </w:tc>
        <w:tc>
          <w:tcPr>
            <w:tcW w:w="340" w:type="dxa"/>
            <w:vAlign w:val="bottom"/>
            <w:gridSpan w:val="2"/>
          </w:tcPr>
          <w:p>
            <w:pPr>
              <w:jc w:val="right"/>
              <w:spacing w:after="0"/>
              <w:rPr>
                <w:sz w:val="20"/>
                <w:szCs w:val="20"/>
                <w:color w:val="auto"/>
              </w:rPr>
            </w:pPr>
            <w:r>
              <w:rPr>
                <w:rFonts w:ascii="Arial" w:cs="Arial" w:eastAsia="Arial" w:hAnsi="Arial"/>
                <w:sz w:val="22"/>
                <w:szCs w:val="22"/>
                <w:b w:val="1"/>
                <w:bCs w:val="1"/>
                <w:color w:val="EE2724"/>
                <w:strike w:val="1"/>
                <w:w w:val="87"/>
              </w:rPr>
              <w:t>114</w:t>
            </w:r>
          </w:p>
        </w:tc>
        <w:tc>
          <w:tcPr>
            <w:tcW w:w="36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2"/>
              </w:rPr>
              <w:t>113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vMerge w:val="restart"/>
          </w:tcPr>
          <w:p>
            <w:pPr>
              <w:ind w:left="300"/>
              <w:spacing w:after="0"/>
              <w:rPr>
                <w:sz w:val="20"/>
                <w:szCs w:val="20"/>
                <w:color w:val="auto"/>
              </w:rPr>
            </w:pPr>
            <w:r>
              <w:rPr>
                <w:rFonts w:ascii="Arial" w:cs="Arial" w:eastAsia="Arial" w:hAnsi="Arial"/>
                <w:sz w:val="22"/>
                <w:szCs w:val="22"/>
                <w:b w:val="1"/>
                <w:bCs w:val="1"/>
                <w:color w:val="auto"/>
              </w:rPr>
              <w:t>2.17</w:t>
            </w:r>
          </w:p>
        </w:tc>
        <w:tc>
          <w:tcPr>
            <w:tcW w:w="7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Borders>
              <w:right w:val="single" w:sz="8" w:color="3051F2"/>
            </w:tcBorders>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6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Bank Products</w:t>
            </w:r>
          </w:p>
        </w:tc>
        <w:tc>
          <w:tcPr>
            <w:tcW w:w="340" w:type="dxa"/>
            <w:vAlign w:val="bottom"/>
            <w:gridSpan w:val="2"/>
          </w:tcPr>
          <w:p>
            <w:pPr>
              <w:jc w:val="right"/>
              <w:spacing w:after="0"/>
              <w:rPr>
                <w:sz w:val="20"/>
                <w:szCs w:val="20"/>
                <w:color w:val="auto"/>
              </w:rPr>
            </w:pPr>
            <w:r>
              <w:rPr>
                <w:rFonts w:ascii="Arial" w:cs="Arial" w:eastAsia="Arial" w:hAnsi="Arial"/>
                <w:sz w:val="22"/>
                <w:szCs w:val="22"/>
                <w:b w:val="1"/>
                <w:bCs w:val="1"/>
                <w:color w:val="EE2724"/>
                <w:strike w:val="1"/>
                <w:w w:val="87"/>
              </w:rPr>
              <w:t>116</w:t>
            </w:r>
          </w:p>
        </w:tc>
        <w:tc>
          <w:tcPr>
            <w:tcW w:w="36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2"/>
              </w:rPr>
              <w:t>117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vMerge w:val="restart"/>
          </w:tcPr>
          <w:p>
            <w:pPr>
              <w:ind w:left="300"/>
              <w:spacing w:after="0"/>
              <w:rPr>
                <w:sz w:val="20"/>
                <w:szCs w:val="20"/>
                <w:color w:val="auto"/>
              </w:rPr>
            </w:pPr>
            <w:r>
              <w:rPr>
                <w:rFonts w:ascii="Arial" w:cs="Arial" w:eastAsia="Arial" w:hAnsi="Arial"/>
                <w:sz w:val="22"/>
                <w:szCs w:val="22"/>
                <w:b w:val="1"/>
                <w:bCs w:val="1"/>
                <w:color w:val="auto"/>
              </w:rPr>
              <w:t>2.18</w:t>
            </w:r>
          </w:p>
        </w:tc>
        <w:tc>
          <w:tcPr>
            <w:tcW w:w="7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Borders>
              <w:right w:val="single" w:sz="8" w:color="3051F2"/>
            </w:tcBorders>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6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Reserves Generally</w:t>
            </w:r>
          </w:p>
        </w:tc>
        <w:tc>
          <w:tcPr>
            <w:tcW w:w="340" w:type="dxa"/>
            <w:vAlign w:val="bottom"/>
            <w:gridSpan w:val="2"/>
          </w:tcPr>
          <w:p>
            <w:pPr>
              <w:jc w:val="right"/>
              <w:spacing w:after="0"/>
              <w:rPr>
                <w:sz w:val="20"/>
                <w:szCs w:val="20"/>
                <w:color w:val="auto"/>
              </w:rPr>
            </w:pPr>
            <w:r>
              <w:rPr>
                <w:rFonts w:ascii="Arial" w:cs="Arial" w:eastAsia="Arial" w:hAnsi="Arial"/>
                <w:sz w:val="22"/>
                <w:szCs w:val="22"/>
                <w:b w:val="1"/>
                <w:bCs w:val="1"/>
                <w:color w:val="EE2724"/>
                <w:strike w:val="1"/>
                <w:w w:val="87"/>
              </w:rPr>
              <w:t>116</w:t>
            </w:r>
          </w:p>
        </w:tc>
        <w:tc>
          <w:tcPr>
            <w:tcW w:w="36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2"/>
              </w:rPr>
              <w:t>117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60" w:type="dxa"/>
            <w:vAlign w:val="bottom"/>
            <w:gridSpan w:val="2"/>
          </w:tcPr>
          <w:p>
            <w:pPr>
              <w:spacing w:after="0" w:line="20" w:lineRule="exact"/>
              <w:rPr>
                <w:sz w:val="1"/>
                <w:szCs w:val="1"/>
                <w:color w:val="auto"/>
              </w:rPr>
            </w:pPr>
          </w:p>
        </w:tc>
        <w:tc>
          <w:tcPr>
            <w:tcW w:w="480" w:type="dxa"/>
            <w:vAlign w:val="bottom"/>
            <w:tcBorders>
              <w:right w:val="single" w:sz="8" w:color="3051F2"/>
            </w:tcBorders>
            <w:gridSpan w:val="3"/>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3.</w:t>
            </w:r>
          </w:p>
        </w:tc>
        <w:tc>
          <w:tcPr>
            <w:tcW w:w="8060" w:type="dxa"/>
            <w:vAlign w:val="bottom"/>
            <w:gridSpan w:val="2"/>
          </w:tcPr>
          <w:p>
            <w:pPr>
              <w:ind w:left="300"/>
              <w:spacing w:after="0"/>
              <w:rPr>
                <w:sz w:val="20"/>
                <w:szCs w:val="20"/>
                <w:color w:val="auto"/>
              </w:rPr>
            </w:pPr>
            <w:r>
              <w:rPr>
                <w:rFonts w:ascii="Arial" w:cs="Arial" w:eastAsia="Arial" w:hAnsi="Arial"/>
                <w:sz w:val="22"/>
                <w:szCs w:val="22"/>
                <w:b w:val="1"/>
                <w:bCs w:val="1"/>
                <w:color w:val="auto"/>
              </w:rPr>
              <w:t>CONDITIONS PRECEDENT</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117</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3.1</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Conditions to Restatement Date and the Initial Loans</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117</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3.2</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Further Conditions to Each Loan, Each Letter of Credit Obligation</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121</w:t>
            </w:r>
          </w:p>
        </w:tc>
        <w:tc>
          <w:tcPr>
            <w:tcW w:w="380" w:type="dxa"/>
            <w:vAlign w:val="bottom"/>
            <w:gridSpan w:val="3"/>
          </w:tcPr>
          <w:p>
            <w:pPr>
              <w:jc w:val="right"/>
              <w:spacing w:after="0"/>
              <w:rPr>
                <w:sz w:val="20"/>
                <w:szCs w:val="20"/>
                <w:color w:val="auto"/>
              </w:rPr>
            </w:pPr>
            <w:r>
              <w:rPr>
                <w:rFonts w:ascii="Arial" w:cs="Arial" w:eastAsia="Arial" w:hAnsi="Arial"/>
                <w:sz w:val="22"/>
                <w:szCs w:val="22"/>
                <w:b w:val="1"/>
                <w:bCs w:val="1"/>
                <w:color w:val="3051F2"/>
                <w:w w:val="97"/>
              </w:rPr>
              <w:t>122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60" w:type="dxa"/>
            <w:vAlign w:val="bottom"/>
            <w:gridSpan w:val="2"/>
          </w:tcPr>
          <w:p>
            <w:pPr>
              <w:spacing w:after="0" w:line="20" w:lineRule="exact"/>
              <w:rPr>
                <w:sz w:val="1"/>
                <w:szCs w:val="1"/>
                <w:color w:val="auto"/>
              </w:rPr>
            </w:pPr>
          </w:p>
        </w:tc>
        <w:tc>
          <w:tcPr>
            <w:tcW w:w="480" w:type="dxa"/>
            <w:vAlign w:val="bottom"/>
            <w:tcBorders>
              <w:right w:val="single" w:sz="8" w:color="3051F2"/>
            </w:tcBorders>
            <w:gridSpan w:val="3"/>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4.</w:t>
            </w:r>
          </w:p>
        </w:tc>
        <w:tc>
          <w:tcPr>
            <w:tcW w:w="8060" w:type="dxa"/>
            <w:vAlign w:val="bottom"/>
            <w:gridSpan w:val="2"/>
          </w:tcPr>
          <w:p>
            <w:pPr>
              <w:ind w:left="300"/>
              <w:spacing w:after="0"/>
              <w:rPr>
                <w:sz w:val="20"/>
                <w:szCs w:val="20"/>
                <w:color w:val="auto"/>
              </w:rPr>
            </w:pPr>
            <w:r>
              <w:rPr>
                <w:rFonts w:ascii="Arial" w:cs="Arial" w:eastAsia="Arial" w:hAnsi="Arial"/>
                <w:sz w:val="22"/>
                <w:szCs w:val="22"/>
                <w:b w:val="1"/>
                <w:bCs w:val="1"/>
                <w:color w:val="auto"/>
              </w:rPr>
              <w:t>REPRESENTATIONS AND WARRANTIES</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122</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4.1</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Corporate Existence; Compliance with Law</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122</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4.2</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Chief Executive Offices; Collateral Locations; FEIN</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122</w:t>
            </w:r>
          </w:p>
        </w:tc>
        <w:tc>
          <w:tcPr>
            <w:tcW w:w="380" w:type="dxa"/>
            <w:vAlign w:val="bottom"/>
            <w:gridSpan w:val="3"/>
          </w:tcPr>
          <w:p>
            <w:pPr>
              <w:jc w:val="right"/>
              <w:spacing w:after="0"/>
              <w:rPr>
                <w:sz w:val="20"/>
                <w:szCs w:val="20"/>
                <w:color w:val="auto"/>
              </w:rPr>
            </w:pPr>
            <w:r>
              <w:rPr>
                <w:rFonts w:ascii="Arial" w:cs="Arial" w:eastAsia="Arial" w:hAnsi="Arial"/>
                <w:sz w:val="22"/>
                <w:szCs w:val="22"/>
                <w:b w:val="1"/>
                <w:bCs w:val="1"/>
                <w:color w:val="3051F2"/>
                <w:w w:val="97"/>
              </w:rPr>
              <w:t>123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80" w:type="dxa"/>
            <w:vAlign w:val="bottom"/>
            <w:tcBorders>
              <w:right w:val="single" w:sz="8" w:color="3051F2"/>
            </w:tcBorders>
            <w:gridSpan w:val="3"/>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4.3</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w w:val="95"/>
              </w:rPr>
              <w:t>Corporate Power; Authorization; Enforceable Obligations; No Conflict</w:t>
            </w:r>
          </w:p>
        </w:tc>
        <w:tc>
          <w:tcPr>
            <w:tcW w:w="700" w:type="dxa"/>
            <w:vAlign w:val="bottom"/>
            <w:gridSpan w:val="4"/>
          </w:tcPr>
          <w:p>
            <w:pPr>
              <w:jc w:val="right"/>
              <w:spacing w:after="0"/>
              <w:rPr>
                <w:sz w:val="20"/>
                <w:szCs w:val="20"/>
                <w:color w:val="auto"/>
              </w:rPr>
            </w:pPr>
            <w:r>
              <w:rPr>
                <w:rFonts w:ascii="Arial" w:cs="Arial" w:eastAsia="Arial" w:hAnsi="Arial"/>
                <w:sz w:val="22"/>
                <w:szCs w:val="22"/>
                <w:b w:val="1"/>
                <w:bCs w:val="1"/>
                <w:color w:val="auto"/>
              </w:rPr>
              <w:t>123</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4.4</w:t>
            </w:r>
          </w:p>
        </w:tc>
        <w:tc>
          <w:tcPr>
            <w:tcW w:w="7200" w:type="dxa"/>
            <w:vAlign w:val="bottom"/>
          </w:tcPr>
          <w:p>
            <w:pPr>
              <w:ind w:left="180"/>
              <w:spacing w:after="0"/>
              <w:rPr>
                <w:sz w:val="20"/>
                <w:szCs w:val="20"/>
                <w:color w:val="auto"/>
              </w:rPr>
            </w:pPr>
            <w:r>
              <w:rPr>
                <w:rFonts w:ascii="Arial" w:cs="Arial" w:eastAsia="Arial" w:hAnsi="Arial"/>
                <w:sz w:val="22"/>
                <w:szCs w:val="22"/>
                <w:b w:val="1"/>
                <w:bCs w:val="1"/>
                <w:color w:val="auto"/>
              </w:rPr>
              <w:t>Financial Statements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123</w:t>
            </w:r>
          </w:p>
        </w:tc>
        <w:tc>
          <w:tcPr>
            <w:tcW w:w="380" w:type="dxa"/>
            <w:vAlign w:val="bottom"/>
            <w:gridSpan w:val="3"/>
          </w:tcPr>
          <w:p>
            <w:pPr>
              <w:jc w:val="right"/>
              <w:spacing w:after="0"/>
              <w:rPr>
                <w:sz w:val="20"/>
                <w:szCs w:val="20"/>
                <w:color w:val="auto"/>
              </w:rPr>
            </w:pPr>
            <w:r>
              <w:rPr>
                <w:rFonts w:ascii="Arial" w:cs="Arial" w:eastAsia="Arial" w:hAnsi="Arial"/>
                <w:sz w:val="22"/>
                <w:szCs w:val="22"/>
                <w:b w:val="1"/>
                <w:bCs w:val="1"/>
                <w:color w:val="3051F2"/>
                <w:w w:val="97"/>
              </w:rPr>
              <w:t>124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3051F2"/>
            </w:tcBorders>
          </w:tcPr>
          <w:p>
            <w:pPr>
              <w:spacing w:after="0" w:line="20" w:lineRule="exact"/>
              <w:rPr>
                <w:sz w:val="1"/>
                <w:szCs w:val="1"/>
                <w:color w:val="auto"/>
              </w:rPr>
            </w:pPr>
          </w:p>
        </w:tc>
        <w:tc>
          <w:tcPr>
            <w:tcW w:w="2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465"/>
          </w:cols>
          <w:pgMar w:left="994" w:top="1440" w:right="1440" w:bottom="1440" w:gutter="0" w:footer="0" w:header="0"/>
        </w:sectPr>
      </w:pPr>
    </w:p>
    <w:bookmarkStart w:id="96" w:name="page97"/>
    <w:bookmarkEnd w:id="96"/>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4.5</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Material Adverse Effect</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124</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4.6</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Ownership of Property; Liens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124</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4.7</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Labor Matters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124</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4.8</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Subsidiaries and Joint Ventures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124</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125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4.9</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Investment Company Act</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125</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4.10</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Margin Regulations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125</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4.11</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Taxes/Other</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125</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4.12</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ERISA</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125</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4.13</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No Litigation</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126</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127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vMerge w:val="restart"/>
          </w:tcPr>
          <w:p>
            <w:pPr>
              <w:ind w:left="300"/>
              <w:spacing w:after="0"/>
              <w:rPr>
                <w:sz w:val="20"/>
                <w:szCs w:val="20"/>
                <w:color w:val="auto"/>
              </w:rPr>
            </w:pPr>
            <w:r>
              <w:rPr>
                <w:rFonts w:ascii="Arial" w:cs="Arial" w:eastAsia="Arial" w:hAnsi="Arial"/>
                <w:sz w:val="22"/>
                <w:szCs w:val="22"/>
                <w:b w:val="1"/>
                <w:bCs w:val="1"/>
                <w:color w:val="auto"/>
              </w:rPr>
              <w:t>4.14</w:t>
            </w:r>
          </w:p>
        </w:tc>
        <w:tc>
          <w:tcPr>
            <w:tcW w:w="2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6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Brokers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126</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127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vMerge w:val="restart"/>
          </w:tcPr>
          <w:p>
            <w:pPr>
              <w:ind w:left="300"/>
              <w:spacing w:after="0"/>
              <w:rPr>
                <w:sz w:val="20"/>
                <w:szCs w:val="20"/>
                <w:color w:val="auto"/>
              </w:rPr>
            </w:pPr>
            <w:r>
              <w:rPr>
                <w:rFonts w:ascii="Arial" w:cs="Arial" w:eastAsia="Arial" w:hAnsi="Arial"/>
                <w:sz w:val="22"/>
                <w:szCs w:val="22"/>
                <w:b w:val="1"/>
                <w:bCs w:val="1"/>
                <w:color w:val="auto"/>
              </w:rPr>
              <w:t>4.15</w:t>
            </w:r>
          </w:p>
        </w:tc>
        <w:tc>
          <w:tcPr>
            <w:tcW w:w="2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6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Intellectual Property</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126</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127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4.16</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Full Disclosure</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127</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4.17</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Environmental Matters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127</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4.18</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Insurance</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128</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4.19</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Deposit and Disbursement Accounts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128</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4.20</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No Default</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128</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4.21</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Creation and Perfection (and Publication of Security Interests (and</w:t>
            </w: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Hypothecs))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128</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4.22</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Solvency</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128</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129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4.23</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Economic Sanctions and Anti-Money Laundering</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129</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4.24</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Economic Sanctions, FCPA, Patriot Act: Use of Proceeds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129</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4.25</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[Reserved]</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129</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130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vMerge w:val="restart"/>
          </w:tcPr>
          <w:p>
            <w:pPr>
              <w:ind w:left="300"/>
              <w:spacing w:after="0"/>
              <w:rPr>
                <w:sz w:val="20"/>
                <w:szCs w:val="20"/>
                <w:color w:val="auto"/>
              </w:rPr>
            </w:pPr>
            <w:r>
              <w:rPr>
                <w:rFonts w:ascii="Arial" w:cs="Arial" w:eastAsia="Arial" w:hAnsi="Arial"/>
                <w:sz w:val="22"/>
                <w:szCs w:val="22"/>
                <w:b w:val="1"/>
                <w:bCs w:val="1"/>
                <w:color w:val="auto"/>
              </w:rPr>
              <w:t>4.26</w:t>
            </w:r>
          </w:p>
        </w:tc>
        <w:tc>
          <w:tcPr>
            <w:tcW w:w="2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46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Status as Senior Debt</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129</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130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4.27</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FCPA and Related</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130</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4.28</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Borrowing Base Certificates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130</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4.29</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Drivers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130</w:t>
            </w:r>
          </w:p>
        </w:tc>
        <w:tc>
          <w:tcPr>
            <w:tcW w:w="0" w:type="dxa"/>
            <w:vAlign w:val="bottom"/>
          </w:tcPr>
          <w:p>
            <w:pPr>
              <w:spacing w:after="0"/>
              <w:rPr>
                <w:sz w:val="1"/>
                <w:szCs w:val="1"/>
                <w:color w:val="auto"/>
              </w:rPr>
            </w:pPr>
          </w:p>
        </w:tc>
      </w:tr>
      <w:tr>
        <w:trPr>
          <w:trHeight w:val="260"/>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5.</w:t>
            </w:r>
          </w:p>
        </w:tc>
        <w:tc>
          <w:tcPr>
            <w:tcW w:w="8060" w:type="dxa"/>
            <w:vAlign w:val="bottom"/>
            <w:gridSpan w:val="4"/>
          </w:tcPr>
          <w:p>
            <w:pPr>
              <w:ind w:left="300"/>
              <w:spacing w:after="0"/>
              <w:rPr>
                <w:sz w:val="20"/>
                <w:szCs w:val="20"/>
                <w:color w:val="auto"/>
              </w:rPr>
            </w:pPr>
            <w:r>
              <w:rPr>
                <w:rFonts w:ascii="Arial" w:cs="Arial" w:eastAsia="Arial" w:hAnsi="Arial"/>
                <w:sz w:val="22"/>
                <w:szCs w:val="22"/>
                <w:b w:val="1"/>
                <w:bCs w:val="1"/>
                <w:color w:val="auto"/>
              </w:rPr>
              <w:t>FINANCIAL STATEMENTS AND INFORMATION</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130</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131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5.1</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Financial Reports and Notices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131</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5.2</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Collateral Reporting</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134</w:t>
            </w:r>
          </w:p>
        </w:tc>
        <w:tc>
          <w:tcPr>
            <w:tcW w:w="0" w:type="dxa"/>
            <w:vAlign w:val="bottom"/>
          </w:tcPr>
          <w:p>
            <w:pPr>
              <w:spacing w:after="0"/>
              <w:rPr>
                <w:sz w:val="1"/>
                <w:szCs w:val="1"/>
                <w:color w:val="auto"/>
              </w:rPr>
            </w:pPr>
          </w:p>
        </w:tc>
      </w:tr>
      <w:tr>
        <w:trPr>
          <w:trHeight w:val="297"/>
        </w:trPr>
        <w:tc>
          <w:tcPr>
            <w:tcW w:w="460" w:type="dxa"/>
            <w:vAlign w:val="bottom"/>
          </w:tcPr>
          <w:p>
            <w:pPr>
              <w:jc w:val="right"/>
              <w:ind w:right="192"/>
              <w:spacing w:after="0"/>
              <w:rPr>
                <w:sz w:val="20"/>
                <w:szCs w:val="20"/>
                <w:color w:val="auto"/>
              </w:rPr>
            </w:pPr>
            <w:r>
              <w:rPr>
                <w:rFonts w:ascii="Arial" w:cs="Arial" w:eastAsia="Arial" w:hAnsi="Arial"/>
                <w:sz w:val="22"/>
                <w:szCs w:val="22"/>
                <w:b w:val="1"/>
                <w:bCs w:val="1"/>
                <w:color w:val="auto"/>
                <w:w w:val="76"/>
              </w:rPr>
              <w:t>6.</w:t>
            </w:r>
          </w:p>
        </w:tc>
        <w:tc>
          <w:tcPr>
            <w:tcW w:w="8060" w:type="dxa"/>
            <w:vAlign w:val="bottom"/>
            <w:gridSpan w:val="4"/>
          </w:tcPr>
          <w:p>
            <w:pPr>
              <w:ind w:left="300"/>
              <w:spacing w:after="0"/>
              <w:rPr>
                <w:sz w:val="20"/>
                <w:szCs w:val="20"/>
                <w:color w:val="auto"/>
              </w:rPr>
            </w:pPr>
            <w:r>
              <w:rPr>
                <w:rFonts w:ascii="Arial" w:cs="Arial" w:eastAsia="Arial" w:hAnsi="Arial"/>
                <w:sz w:val="22"/>
                <w:szCs w:val="22"/>
                <w:b w:val="1"/>
                <w:bCs w:val="1"/>
                <w:color w:val="auto"/>
              </w:rPr>
              <w:t>AFFIRMATIVE COVENANTS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136</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6.1</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Maintenance of Existence and Conduct of Business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136</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6.2</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Payment of Charges and Taxes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136</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6.3</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Books and Records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136</w:t>
            </w:r>
          </w:p>
        </w:tc>
        <w:tc>
          <w:tcPr>
            <w:tcW w:w="0" w:type="dxa"/>
            <w:vAlign w:val="bottom"/>
          </w:tcPr>
          <w:p>
            <w:pPr>
              <w:spacing w:after="0"/>
              <w:rPr>
                <w:sz w:val="1"/>
                <w:szCs w:val="1"/>
                <w:color w:val="auto"/>
              </w:rPr>
            </w:pPr>
          </w:p>
        </w:tc>
      </w:tr>
      <w:tr>
        <w:trPr>
          <w:trHeight w:val="260"/>
        </w:trPr>
        <w:tc>
          <w:tcPr>
            <w:tcW w:w="460" w:type="dxa"/>
            <w:vAlign w:val="bottom"/>
          </w:tcPr>
          <w:p>
            <w:pPr>
              <w:spacing w:after="0"/>
              <w:rPr>
                <w:sz w:val="22"/>
                <w:szCs w:val="22"/>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6.4</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Insurance; Damage to or Destruction of Collateral</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137</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136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6.5</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Compliance with Laws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137</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6.6</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PATRIOT Act</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137</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6.7</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Intellectual Property</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137</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6.8</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Environmental Matters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138</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6.9</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[Reserved]</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138</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6.10</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Further Assurances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138</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6.11</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ERISA Matters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141</w:t>
            </w: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22"/>
                <w:szCs w:val="22"/>
                <w:b w:val="1"/>
                <w:bCs w:val="1"/>
                <w:color w:val="auto"/>
              </w:rPr>
              <w:t>6.12</w:t>
            </w:r>
          </w:p>
        </w:tc>
        <w:tc>
          <w:tcPr>
            <w:tcW w:w="7200" w:type="dxa"/>
            <w:vAlign w:val="bottom"/>
            <w:gridSpan w:val="3"/>
          </w:tcPr>
          <w:p>
            <w:pPr>
              <w:ind w:left="180"/>
              <w:spacing w:after="0"/>
              <w:rPr>
                <w:sz w:val="20"/>
                <w:szCs w:val="20"/>
                <w:color w:val="auto"/>
              </w:rPr>
            </w:pPr>
            <w:r>
              <w:rPr>
                <w:rFonts w:ascii="Arial" w:cs="Arial" w:eastAsia="Arial" w:hAnsi="Arial"/>
                <w:sz w:val="22"/>
                <w:szCs w:val="22"/>
                <w:b w:val="1"/>
                <w:bCs w:val="1"/>
                <w:color w:val="auto"/>
              </w:rPr>
              <w:t>New Subsidiaries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141</w:t>
            </w:r>
          </w:p>
        </w:tc>
        <w:tc>
          <w:tcPr>
            <w:tcW w:w="0" w:type="dxa"/>
            <w:vAlign w:val="bottom"/>
          </w:tcPr>
          <w:p>
            <w:pPr>
              <w:spacing w:after="0"/>
              <w:rPr>
                <w:sz w:val="1"/>
                <w:szCs w:val="1"/>
                <w:color w:val="auto"/>
              </w:rPr>
            </w:pPr>
          </w:p>
        </w:tc>
      </w:tr>
      <w:tr>
        <w:trPr>
          <w:trHeight w:val="246"/>
        </w:trPr>
        <w:tc>
          <w:tcPr>
            <w:tcW w:w="460" w:type="dxa"/>
            <w:vAlign w:val="bottom"/>
          </w:tcPr>
          <w:p>
            <w:pPr>
              <w:spacing w:after="0"/>
              <w:rPr>
                <w:sz w:val="21"/>
                <w:szCs w:val="21"/>
                <w:color w:val="auto"/>
              </w:rPr>
            </w:pPr>
          </w:p>
        </w:tc>
        <w:tc>
          <w:tcPr>
            <w:tcW w:w="860" w:type="dxa"/>
            <w:vAlign w:val="bottom"/>
          </w:tcPr>
          <w:p>
            <w:pPr>
              <w:ind w:left="300"/>
              <w:spacing w:after="0" w:line="246" w:lineRule="exact"/>
              <w:rPr>
                <w:sz w:val="20"/>
                <w:szCs w:val="20"/>
                <w:color w:val="auto"/>
              </w:rPr>
            </w:pPr>
            <w:r>
              <w:rPr>
                <w:rFonts w:ascii="Arial" w:cs="Arial" w:eastAsia="Arial" w:hAnsi="Arial"/>
                <w:sz w:val="22"/>
                <w:szCs w:val="22"/>
                <w:b w:val="1"/>
                <w:bCs w:val="1"/>
                <w:color w:val="auto"/>
              </w:rPr>
              <w:t>6.13</w:t>
            </w:r>
          </w:p>
        </w:tc>
        <w:tc>
          <w:tcPr>
            <w:tcW w:w="7200" w:type="dxa"/>
            <w:vAlign w:val="bottom"/>
            <w:gridSpan w:val="3"/>
          </w:tcPr>
          <w:p>
            <w:pPr>
              <w:ind w:left="180"/>
              <w:spacing w:after="0" w:line="246" w:lineRule="exact"/>
              <w:rPr>
                <w:sz w:val="20"/>
                <w:szCs w:val="20"/>
                <w:color w:val="auto"/>
              </w:rPr>
            </w:pPr>
            <w:r>
              <w:rPr>
                <w:rFonts w:ascii="Arial" w:cs="Arial" w:eastAsia="Arial" w:hAnsi="Arial"/>
                <w:sz w:val="22"/>
                <w:szCs w:val="22"/>
                <w:b w:val="1"/>
                <w:bCs w:val="1"/>
                <w:color w:val="auto"/>
              </w:rPr>
              <w:t xml:space="preserve">Designation of Subsidiaries </w:t>
            </w:r>
            <w:r>
              <w:rPr>
                <w:rFonts w:ascii="Arial" w:cs="Arial" w:eastAsia="Arial" w:hAnsi="Arial"/>
                <w:sz w:val="22"/>
                <w:szCs w:val="22"/>
                <w:b w:val="1"/>
                <w:bCs w:val="1"/>
                <w:color w:val="3051F2"/>
              </w:rPr>
              <w:t>and Designated Guarantors</w:t>
            </w:r>
          </w:p>
        </w:tc>
        <w:tc>
          <w:tcPr>
            <w:tcW w:w="700" w:type="dxa"/>
            <w:vAlign w:val="bottom"/>
            <w:gridSpan w:val="3"/>
          </w:tcPr>
          <w:p>
            <w:pPr>
              <w:jc w:val="right"/>
              <w:spacing w:after="0" w:line="246" w:lineRule="exact"/>
              <w:rPr>
                <w:sz w:val="20"/>
                <w:szCs w:val="20"/>
                <w:color w:val="auto"/>
              </w:rPr>
            </w:pPr>
            <w:r>
              <w:rPr>
                <w:rFonts w:ascii="Arial" w:cs="Arial" w:eastAsia="Arial" w:hAnsi="Arial"/>
                <w:sz w:val="22"/>
                <w:szCs w:val="22"/>
                <w:b w:val="1"/>
                <w:bCs w:val="1"/>
                <w:color w:val="auto"/>
              </w:rPr>
              <w:t>142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0" w:type="dxa"/>
            <w:vAlign w:val="bottom"/>
            <w:shd w:val="clear" w:color="auto" w:fill="3051F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459"/>
          </w:cols>
          <w:pgMar w:left="1000" w:top="1440" w:right="1440" w:bottom="1440" w:gutter="0" w:footer="0" w:header="0"/>
        </w:sectPr>
      </w:pPr>
    </w:p>
    <w:bookmarkStart w:id="97" w:name="page98"/>
    <w:bookmarkEnd w:id="97"/>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6.14</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Post-Closing Matters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143</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6.15</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Use of Proceeds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143</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6.16</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Driver Payables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143</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6.17</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Rolling Stock</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143</w:t>
            </w:r>
          </w:p>
        </w:tc>
      </w:tr>
      <w:tr>
        <w:trPr>
          <w:trHeight w:val="297"/>
        </w:trPr>
        <w:tc>
          <w:tcPr>
            <w:tcW w:w="500" w:type="dxa"/>
            <w:vAlign w:val="bottom"/>
          </w:tcPr>
          <w:p>
            <w:pPr>
              <w:spacing w:after="0"/>
              <w:rPr>
                <w:sz w:val="20"/>
                <w:szCs w:val="20"/>
                <w:color w:val="auto"/>
              </w:rPr>
            </w:pPr>
            <w:r>
              <w:rPr>
                <w:rFonts w:ascii="Arial" w:cs="Arial" w:eastAsia="Arial" w:hAnsi="Arial"/>
                <w:sz w:val="22"/>
                <w:szCs w:val="22"/>
                <w:b w:val="1"/>
                <w:bCs w:val="1"/>
                <w:color w:val="auto"/>
              </w:rPr>
              <w:t>7.</w:t>
            </w:r>
          </w:p>
        </w:tc>
        <w:tc>
          <w:tcPr>
            <w:tcW w:w="7760" w:type="dxa"/>
            <w:vAlign w:val="bottom"/>
            <w:gridSpan w:val="2"/>
          </w:tcPr>
          <w:p>
            <w:pPr>
              <w:ind w:left="260"/>
              <w:spacing w:after="0"/>
              <w:rPr>
                <w:sz w:val="20"/>
                <w:szCs w:val="20"/>
                <w:color w:val="auto"/>
              </w:rPr>
            </w:pPr>
            <w:r>
              <w:rPr>
                <w:rFonts w:ascii="Arial" w:cs="Arial" w:eastAsia="Arial" w:hAnsi="Arial"/>
                <w:sz w:val="22"/>
                <w:szCs w:val="22"/>
                <w:b w:val="1"/>
                <w:bCs w:val="1"/>
                <w:color w:val="auto"/>
              </w:rPr>
              <w:t>NEGATIVE COVENANTS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144</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7.1</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Indebtedness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144</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7.2</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Limitation on Restricted Payments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150</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7.3</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Limitation of Restrictions Affecting Subsidiaries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156</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7.4</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Sale of Capital Stock and Assets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158</w:t>
            </w:r>
          </w:p>
        </w:tc>
      </w:tr>
      <w:tr>
        <w:trPr>
          <w:trHeight w:val="260"/>
        </w:trPr>
        <w:tc>
          <w:tcPr>
            <w:tcW w:w="500" w:type="dxa"/>
            <w:vAlign w:val="bottom"/>
          </w:tcPr>
          <w:p>
            <w:pPr>
              <w:spacing w:after="0"/>
              <w:rPr>
                <w:sz w:val="22"/>
                <w:szCs w:val="22"/>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7.5</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Affiliate Transactions</w:t>
            </w:r>
          </w:p>
        </w:tc>
        <w:tc>
          <w:tcPr>
            <w:tcW w:w="580" w:type="dxa"/>
            <w:vAlign w:val="bottom"/>
          </w:tcPr>
          <w:p>
            <w:pPr>
              <w:jc w:val="right"/>
              <w:spacing w:after="0"/>
              <w:rPr>
                <w:sz w:val="20"/>
                <w:szCs w:val="20"/>
                <w:color w:val="auto"/>
              </w:rPr>
            </w:pPr>
            <w:r>
              <w:rPr>
                <w:rFonts w:ascii="Arial" w:cs="Arial" w:eastAsia="Arial" w:hAnsi="Arial"/>
                <w:sz w:val="22"/>
                <w:szCs w:val="22"/>
                <w:b w:val="1"/>
                <w:bCs w:val="1"/>
                <w:color w:val="EE2724"/>
                <w:strike w:val="1"/>
              </w:rPr>
              <w:t>162</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161</w:t>
            </w:r>
          </w:p>
        </w:tc>
      </w:tr>
      <w:tr>
        <w:trPr>
          <w:trHeight w:val="20"/>
        </w:trPr>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r>
      <w:tr>
        <w:trPr>
          <w:trHeight w:val="328"/>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7.6</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Amendment of Certain Documents; Line of Business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164</w:t>
            </w:r>
          </w:p>
        </w:tc>
      </w:tr>
      <w:tr>
        <w:trPr>
          <w:trHeight w:val="260"/>
        </w:trPr>
        <w:tc>
          <w:tcPr>
            <w:tcW w:w="500" w:type="dxa"/>
            <w:vAlign w:val="bottom"/>
          </w:tcPr>
          <w:p>
            <w:pPr>
              <w:spacing w:after="0"/>
              <w:rPr>
                <w:sz w:val="22"/>
                <w:szCs w:val="22"/>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7.7</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Liens</w:t>
            </w:r>
          </w:p>
        </w:tc>
        <w:tc>
          <w:tcPr>
            <w:tcW w:w="580" w:type="dxa"/>
            <w:vAlign w:val="bottom"/>
          </w:tcPr>
          <w:p>
            <w:pPr>
              <w:jc w:val="right"/>
              <w:spacing w:after="0"/>
              <w:rPr>
                <w:sz w:val="20"/>
                <w:szCs w:val="20"/>
                <w:color w:val="auto"/>
              </w:rPr>
            </w:pPr>
            <w:r>
              <w:rPr>
                <w:rFonts w:ascii="Arial" w:cs="Arial" w:eastAsia="Arial" w:hAnsi="Arial"/>
                <w:sz w:val="22"/>
                <w:szCs w:val="22"/>
                <w:b w:val="1"/>
                <w:bCs w:val="1"/>
                <w:color w:val="EE2724"/>
                <w:strike w:val="1"/>
              </w:rPr>
              <w:t>165</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164</w:t>
            </w:r>
          </w:p>
        </w:tc>
      </w:tr>
      <w:tr>
        <w:trPr>
          <w:trHeight w:val="20"/>
        </w:trPr>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r>
      <w:tr>
        <w:trPr>
          <w:trHeight w:val="328"/>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7.8</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Mergers, Fundamental Changes, Etc.</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165</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7.9</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OFAC and Patriot Act Use of Proceeds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166</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7.10</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Change of Jurisdiction of Incorporation; Change of Fiscal Year</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166</w:t>
            </w:r>
          </w:p>
        </w:tc>
      </w:tr>
      <w:tr>
        <w:trPr>
          <w:trHeight w:val="260"/>
        </w:trPr>
        <w:tc>
          <w:tcPr>
            <w:tcW w:w="500" w:type="dxa"/>
            <w:vAlign w:val="bottom"/>
          </w:tcPr>
          <w:p>
            <w:pPr>
              <w:spacing w:after="0"/>
              <w:rPr>
                <w:sz w:val="22"/>
                <w:szCs w:val="22"/>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7.11</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ERISA, Etc.</w:t>
            </w:r>
          </w:p>
        </w:tc>
        <w:tc>
          <w:tcPr>
            <w:tcW w:w="580" w:type="dxa"/>
            <w:vAlign w:val="bottom"/>
          </w:tcPr>
          <w:p>
            <w:pPr>
              <w:jc w:val="right"/>
              <w:spacing w:after="0"/>
              <w:rPr>
                <w:sz w:val="20"/>
                <w:szCs w:val="20"/>
                <w:color w:val="auto"/>
              </w:rPr>
            </w:pPr>
            <w:r>
              <w:rPr>
                <w:rFonts w:ascii="Arial" w:cs="Arial" w:eastAsia="Arial" w:hAnsi="Arial"/>
                <w:sz w:val="22"/>
                <w:szCs w:val="22"/>
                <w:b w:val="1"/>
                <w:bCs w:val="1"/>
                <w:color w:val="EE2724"/>
                <w:strike w:val="1"/>
              </w:rPr>
              <w:t>167</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166</w:t>
            </w:r>
          </w:p>
        </w:tc>
      </w:tr>
      <w:tr>
        <w:trPr>
          <w:trHeight w:val="20"/>
        </w:trPr>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r>
      <w:tr>
        <w:trPr>
          <w:trHeight w:val="328"/>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7.12</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Financial Covenants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167</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7.13</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Hazardous Materials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167</w:t>
            </w:r>
          </w:p>
        </w:tc>
      </w:tr>
      <w:tr>
        <w:trPr>
          <w:trHeight w:val="297"/>
        </w:trPr>
        <w:tc>
          <w:tcPr>
            <w:tcW w:w="500" w:type="dxa"/>
            <w:vAlign w:val="bottom"/>
          </w:tcPr>
          <w:p>
            <w:pPr>
              <w:spacing w:after="0"/>
              <w:rPr>
                <w:sz w:val="20"/>
                <w:szCs w:val="20"/>
                <w:color w:val="auto"/>
              </w:rPr>
            </w:pPr>
            <w:r>
              <w:rPr>
                <w:rFonts w:ascii="Arial" w:cs="Arial" w:eastAsia="Arial" w:hAnsi="Arial"/>
                <w:sz w:val="22"/>
                <w:szCs w:val="22"/>
                <w:b w:val="1"/>
                <w:bCs w:val="1"/>
                <w:color w:val="auto"/>
              </w:rPr>
              <w:t>8.</w:t>
            </w: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TERM</w:t>
            </w:r>
          </w:p>
        </w:tc>
        <w:tc>
          <w:tcPr>
            <w:tcW w:w="680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167</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8.1</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Termination</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167</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8.2</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w w:val="92"/>
              </w:rPr>
              <w:t>Survival of Obligations Upon Termination of Financing Arrangements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167</w:t>
            </w:r>
          </w:p>
        </w:tc>
      </w:tr>
      <w:tr>
        <w:trPr>
          <w:trHeight w:val="297"/>
        </w:trPr>
        <w:tc>
          <w:tcPr>
            <w:tcW w:w="500" w:type="dxa"/>
            <w:vAlign w:val="bottom"/>
          </w:tcPr>
          <w:p>
            <w:pPr>
              <w:spacing w:after="0"/>
              <w:rPr>
                <w:sz w:val="20"/>
                <w:szCs w:val="20"/>
                <w:color w:val="auto"/>
              </w:rPr>
            </w:pPr>
            <w:r>
              <w:rPr>
                <w:rFonts w:ascii="Arial" w:cs="Arial" w:eastAsia="Arial" w:hAnsi="Arial"/>
                <w:sz w:val="22"/>
                <w:szCs w:val="22"/>
                <w:b w:val="1"/>
                <w:bCs w:val="1"/>
                <w:color w:val="auto"/>
              </w:rPr>
              <w:t>9.</w:t>
            </w:r>
          </w:p>
        </w:tc>
        <w:tc>
          <w:tcPr>
            <w:tcW w:w="7760" w:type="dxa"/>
            <w:vAlign w:val="bottom"/>
            <w:gridSpan w:val="2"/>
          </w:tcPr>
          <w:p>
            <w:pPr>
              <w:ind w:left="260"/>
              <w:spacing w:after="0"/>
              <w:rPr>
                <w:sz w:val="20"/>
                <w:szCs w:val="20"/>
                <w:color w:val="auto"/>
              </w:rPr>
            </w:pPr>
            <w:r>
              <w:rPr>
                <w:rFonts w:ascii="Arial" w:cs="Arial" w:eastAsia="Arial" w:hAnsi="Arial"/>
                <w:sz w:val="22"/>
                <w:szCs w:val="22"/>
                <w:b w:val="1"/>
                <w:bCs w:val="1"/>
                <w:color w:val="auto"/>
              </w:rPr>
              <w:t>EVENTS OF DEFAULT; RIGHTS AND REMEDIES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167</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9.1</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Events of Default</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167</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9.2</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Remedies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170</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9.3</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Waivers by Credit Parties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171</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9.4</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Cure Right</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171</w:t>
            </w:r>
          </w:p>
        </w:tc>
      </w:tr>
      <w:tr>
        <w:trPr>
          <w:trHeight w:val="297"/>
        </w:trPr>
        <w:tc>
          <w:tcPr>
            <w:tcW w:w="500" w:type="dxa"/>
            <w:vAlign w:val="bottom"/>
          </w:tcPr>
          <w:p>
            <w:pPr>
              <w:spacing w:after="0"/>
              <w:rPr>
                <w:sz w:val="20"/>
                <w:szCs w:val="20"/>
                <w:color w:val="auto"/>
              </w:rPr>
            </w:pPr>
            <w:r>
              <w:rPr>
                <w:rFonts w:ascii="Arial" w:cs="Arial" w:eastAsia="Arial" w:hAnsi="Arial"/>
                <w:sz w:val="22"/>
                <w:szCs w:val="22"/>
                <w:b w:val="1"/>
                <w:bCs w:val="1"/>
                <w:color w:val="auto"/>
              </w:rPr>
              <w:t>10.</w:t>
            </w:r>
          </w:p>
        </w:tc>
        <w:tc>
          <w:tcPr>
            <w:tcW w:w="7760" w:type="dxa"/>
            <w:vAlign w:val="bottom"/>
            <w:gridSpan w:val="2"/>
          </w:tcPr>
          <w:p>
            <w:pPr>
              <w:ind w:left="260"/>
              <w:spacing w:after="0"/>
              <w:rPr>
                <w:sz w:val="20"/>
                <w:szCs w:val="20"/>
                <w:color w:val="auto"/>
              </w:rPr>
            </w:pPr>
            <w:r>
              <w:rPr>
                <w:rFonts w:ascii="Arial" w:cs="Arial" w:eastAsia="Arial" w:hAnsi="Arial"/>
                <w:sz w:val="22"/>
                <w:szCs w:val="22"/>
                <w:b w:val="1"/>
                <w:bCs w:val="1"/>
                <w:color w:val="auto"/>
              </w:rPr>
              <w:t>APPOINTMENT OF AGENT</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172</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10.1</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Appointment of Agents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172</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10.2</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Agents’ Reliance, Etc.</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173</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10.3</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MSSF, JPMorgan Chase and Affiliates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174</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10.4</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Lender Credit Decision</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174</w:t>
            </w:r>
          </w:p>
        </w:tc>
      </w:tr>
      <w:tr>
        <w:trPr>
          <w:trHeight w:val="260"/>
        </w:trPr>
        <w:tc>
          <w:tcPr>
            <w:tcW w:w="500" w:type="dxa"/>
            <w:vAlign w:val="bottom"/>
          </w:tcPr>
          <w:p>
            <w:pPr>
              <w:spacing w:after="0"/>
              <w:rPr>
                <w:sz w:val="22"/>
                <w:szCs w:val="22"/>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10.5</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Indemnification</w:t>
            </w:r>
          </w:p>
        </w:tc>
        <w:tc>
          <w:tcPr>
            <w:tcW w:w="580" w:type="dxa"/>
            <w:vAlign w:val="bottom"/>
          </w:tcPr>
          <w:p>
            <w:pPr>
              <w:jc w:val="right"/>
              <w:spacing w:after="0"/>
              <w:rPr>
                <w:sz w:val="20"/>
                <w:szCs w:val="20"/>
                <w:color w:val="auto"/>
              </w:rPr>
            </w:pPr>
            <w:r>
              <w:rPr>
                <w:rFonts w:ascii="Arial" w:cs="Arial" w:eastAsia="Arial" w:hAnsi="Arial"/>
                <w:sz w:val="22"/>
                <w:szCs w:val="22"/>
                <w:b w:val="1"/>
                <w:bCs w:val="1"/>
                <w:color w:val="EE2724"/>
                <w:strike w:val="1"/>
              </w:rPr>
              <w:t>175</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174</w:t>
            </w:r>
          </w:p>
        </w:tc>
      </w:tr>
      <w:tr>
        <w:trPr>
          <w:trHeight w:val="20"/>
        </w:trPr>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r>
      <w:tr>
        <w:trPr>
          <w:trHeight w:val="328"/>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10.6</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Successor Agent and Successor Co-Collaterals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175</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10.7</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Setoff and Sharing of Payments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176</w:t>
            </w:r>
          </w:p>
        </w:tc>
      </w:tr>
      <w:tr>
        <w:trPr>
          <w:trHeight w:val="260"/>
        </w:trPr>
        <w:tc>
          <w:tcPr>
            <w:tcW w:w="500" w:type="dxa"/>
            <w:vAlign w:val="bottom"/>
          </w:tcPr>
          <w:p>
            <w:pPr>
              <w:spacing w:after="0"/>
              <w:rPr>
                <w:sz w:val="22"/>
                <w:szCs w:val="22"/>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10.8</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w w:val="93"/>
              </w:rPr>
              <w:t>Advances; Payments; Availability of Lender’s Pro Rata Share; Return</w:t>
            </w:r>
          </w:p>
        </w:tc>
        <w:tc>
          <w:tcPr>
            <w:tcW w:w="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43"/>
        </w:trPr>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00" w:type="dxa"/>
            <w:vAlign w:val="bottom"/>
          </w:tcPr>
          <w:p>
            <w:pPr>
              <w:ind w:left="40"/>
              <w:spacing w:after="0" w:line="243" w:lineRule="exact"/>
              <w:rPr>
                <w:sz w:val="20"/>
                <w:szCs w:val="20"/>
                <w:color w:val="auto"/>
              </w:rPr>
            </w:pPr>
            <w:r>
              <w:rPr>
                <w:rFonts w:ascii="Arial" w:cs="Arial" w:eastAsia="Arial" w:hAnsi="Arial"/>
                <w:sz w:val="22"/>
                <w:szCs w:val="22"/>
                <w:b w:val="1"/>
                <w:bCs w:val="1"/>
                <w:color w:val="auto"/>
                <w:w w:val="96"/>
              </w:rPr>
              <w:t>of Payments; Non-Funding Lenders; Dissemination of Information;</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80"/>
        </w:trPr>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Actions in Concert</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177</w:t>
            </w:r>
          </w:p>
        </w:tc>
      </w:tr>
      <w:tr>
        <w:trPr>
          <w:trHeight w:val="260"/>
        </w:trPr>
        <w:tc>
          <w:tcPr>
            <w:tcW w:w="500" w:type="dxa"/>
            <w:vAlign w:val="bottom"/>
          </w:tcPr>
          <w:p>
            <w:pPr>
              <w:spacing w:after="0"/>
              <w:rPr>
                <w:sz w:val="22"/>
                <w:szCs w:val="22"/>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10.9</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Actions in Concert</w:t>
            </w:r>
          </w:p>
        </w:tc>
        <w:tc>
          <w:tcPr>
            <w:tcW w:w="580" w:type="dxa"/>
            <w:vAlign w:val="bottom"/>
          </w:tcPr>
          <w:p>
            <w:pPr>
              <w:jc w:val="right"/>
              <w:spacing w:after="0"/>
              <w:rPr>
                <w:sz w:val="20"/>
                <w:szCs w:val="20"/>
                <w:color w:val="auto"/>
              </w:rPr>
            </w:pPr>
            <w:r>
              <w:rPr>
                <w:rFonts w:ascii="Arial" w:cs="Arial" w:eastAsia="Arial" w:hAnsi="Arial"/>
                <w:sz w:val="22"/>
                <w:szCs w:val="22"/>
                <w:b w:val="1"/>
                <w:bCs w:val="1"/>
                <w:color w:val="EE2724"/>
                <w:strike w:val="1"/>
              </w:rPr>
              <w:t>180</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179</w:t>
            </w:r>
          </w:p>
        </w:tc>
      </w:tr>
      <w:tr>
        <w:trPr>
          <w:trHeight w:val="20"/>
        </w:trPr>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r>
      <w:tr>
        <w:trPr>
          <w:trHeight w:val="32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10.10</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Procedures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180</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10.11</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Collateral Matters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180</w:t>
            </w:r>
          </w:p>
        </w:tc>
      </w:tr>
      <w:tr>
        <w:trPr>
          <w:trHeight w:val="297"/>
        </w:trPr>
        <w:tc>
          <w:tcPr>
            <w:tcW w:w="50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2"/>
                <w:szCs w:val="22"/>
                <w:b w:val="1"/>
                <w:bCs w:val="1"/>
                <w:color w:val="auto"/>
              </w:rPr>
              <w:t>10.12</w:t>
            </w:r>
          </w:p>
        </w:tc>
        <w:tc>
          <w:tcPr>
            <w:tcW w:w="6800" w:type="dxa"/>
            <w:vAlign w:val="bottom"/>
          </w:tcPr>
          <w:p>
            <w:pPr>
              <w:ind w:left="40"/>
              <w:spacing w:after="0"/>
              <w:rPr>
                <w:sz w:val="20"/>
                <w:szCs w:val="20"/>
                <w:color w:val="auto"/>
              </w:rPr>
            </w:pPr>
            <w:r>
              <w:rPr>
                <w:rFonts w:ascii="Arial" w:cs="Arial" w:eastAsia="Arial" w:hAnsi="Arial"/>
                <w:sz w:val="22"/>
                <w:szCs w:val="22"/>
                <w:b w:val="1"/>
                <w:bCs w:val="1"/>
                <w:color w:val="auto"/>
              </w:rPr>
              <w:t>Additional Agents</w:t>
            </w:r>
          </w:p>
        </w:tc>
        <w:tc>
          <w:tcPr>
            <w:tcW w:w="960" w:type="dxa"/>
            <w:vAlign w:val="bottom"/>
            <w:gridSpan w:val="3"/>
          </w:tcPr>
          <w:p>
            <w:pPr>
              <w:jc w:val="right"/>
              <w:spacing w:after="0"/>
              <w:rPr>
                <w:sz w:val="20"/>
                <w:szCs w:val="20"/>
                <w:color w:val="auto"/>
              </w:rPr>
            </w:pPr>
            <w:r>
              <w:rPr>
                <w:rFonts w:ascii="Arial" w:cs="Arial" w:eastAsia="Arial" w:hAnsi="Arial"/>
                <w:sz w:val="22"/>
                <w:szCs w:val="22"/>
                <w:b w:val="1"/>
                <w:bCs w:val="1"/>
                <w:color w:val="auto"/>
              </w:rPr>
              <w:t>181</w:t>
            </w:r>
          </w:p>
        </w:tc>
      </w:tr>
    </w:tbl>
    <w:p>
      <w:pPr>
        <w:sectPr>
          <w:pgSz w:w="11900" w:h="16838" w:orient="portrait"/>
          <w:cols w:equalWidth="0" w:num="1">
            <w:col w:w="9459"/>
          </w:cols>
          <w:pgMar w:left="1000" w:top="1440" w:right="1440" w:bottom="1440" w:gutter="0" w:footer="0" w:header="0"/>
        </w:sectPr>
      </w:pPr>
    </w:p>
    <w:bookmarkStart w:id="98" w:name="page99"/>
    <w:bookmarkEnd w:id="98"/>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34"/>
        </w:trPr>
        <w:tc>
          <w:tcPr>
            <w:tcW w:w="500" w:type="dxa"/>
            <w:vAlign w:val="bottom"/>
          </w:tcPr>
          <w:p>
            <w:pPr>
              <w:spacing w:after="0"/>
              <w:rPr>
                <w:sz w:val="2"/>
                <w:szCs w:val="2"/>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10.13</w:t>
            </w:r>
          </w:p>
        </w:tc>
        <w:tc>
          <w:tcPr>
            <w:tcW w:w="714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Distribution of Materials to Lenders and L/C Issuers</w:t>
            </w:r>
          </w:p>
        </w:tc>
        <w:tc>
          <w:tcPr>
            <w:tcW w:w="320" w:type="dxa"/>
            <w:vAlign w:val="bottom"/>
            <w:vMerge w:val="restart"/>
          </w:tcPr>
          <w:p>
            <w:pPr>
              <w:jc w:val="right"/>
              <w:spacing w:after="0"/>
              <w:rPr>
                <w:sz w:val="20"/>
                <w:szCs w:val="20"/>
                <w:color w:val="auto"/>
              </w:rPr>
            </w:pPr>
            <w:r>
              <w:rPr>
                <w:rFonts w:ascii="Arial" w:cs="Arial" w:eastAsia="Arial" w:hAnsi="Arial"/>
                <w:sz w:val="22"/>
                <w:szCs w:val="22"/>
                <w:b w:val="1"/>
                <w:bCs w:val="1"/>
                <w:color w:val="EE2724"/>
                <w:strike w:val="1"/>
                <w:w w:val="81"/>
              </w:rPr>
              <w:t>182</w:t>
            </w:r>
          </w:p>
        </w:tc>
        <w:tc>
          <w:tcPr>
            <w:tcW w:w="38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3051F2"/>
                <w:w w:val="97"/>
              </w:rPr>
              <w:t>181</w:t>
            </w:r>
          </w:p>
        </w:tc>
        <w:tc>
          <w:tcPr>
            <w:tcW w:w="0" w:type="dxa"/>
            <w:vAlign w:val="bottom"/>
          </w:tcPr>
          <w:p>
            <w:pPr>
              <w:spacing w:after="0" w:line="20" w:lineRule="exact"/>
              <w:rPr>
                <w:sz w:val="1"/>
                <w:szCs w:val="1"/>
                <w:color w:val="auto"/>
              </w:rPr>
            </w:pPr>
          </w:p>
        </w:tc>
      </w:tr>
      <w:tr>
        <w:trPr>
          <w:trHeight w:val="219"/>
        </w:trPr>
        <w:tc>
          <w:tcPr>
            <w:tcW w:w="5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714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10.14</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Agent</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183</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182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10.15</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Intercreditor Agreement</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183</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182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0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b w:val="1"/>
                <w:bCs w:val="1"/>
                <w:color w:val="auto"/>
              </w:rPr>
              <w:t>10.16</w:t>
            </w: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Certain ERISA Matters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183</w:t>
            </w:r>
          </w:p>
        </w:tc>
        <w:tc>
          <w:tcPr>
            <w:tcW w:w="0" w:type="dxa"/>
            <w:vAlign w:val="bottom"/>
          </w:tcPr>
          <w:p>
            <w:pPr>
              <w:spacing w:after="0"/>
              <w:rPr>
                <w:sz w:val="1"/>
                <w:szCs w:val="1"/>
                <w:color w:val="auto"/>
              </w:rPr>
            </w:pPr>
          </w:p>
        </w:tc>
      </w:tr>
      <w:tr>
        <w:trPr>
          <w:trHeight w:val="260"/>
        </w:trPr>
        <w:tc>
          <w:tcPr>
            <w:tcW w:w="500" w:type="dxa"/>
            <w:vAlign w:val="bottom"/>
          </w:tcPr>
          <w:p>
            <w:pPr>
              <w:spacing w:after="0"/>
              <w:rPr>
                <w:sz w:val="20"/>
                <w:szCs w:val="20"/>
                <w:color w:val="auto"/>
              </w:rPr>
            </w:pPr>
            <w:r>
              <w:rPr>
                <w:rFonts w:ascii="Arial" w:cs="Arial" w:eastAsia="Arial" w:hAnsi="Arial"/>
                <w:sz w:val="22"/>
                <w:szCs w:val="22"/>
                <w:b w:val="1"/>
                <w:bCs w:val="1"/>
                <w:color w:val="auto"/>
              </w:rPr>
              <w:t>11.</w:t>
            </w:r>
          </w:p>
        </w:tc>
        <w:tc>
          <w:tcPr>
            <w:tcW w:w="8020" w:type="dxa"/>
            <w:vAlign w:val="bottom"/>
            <w:gridSpan w:val="2"/>
          </w:tcPr>
          <w:p>
            <w:pPr>
              <w:ind w:left="260"/>
              <w:spacing w:after="0"/>
              <w:rPr>
                <w:sz w:val="20"/>
                <w:szCs w:val="20"/>
                <w:color w:val="auto"/>
              </w:rPr>
            </w:pPr>
            <w:r>
              <w:rPr>
                <w:rFonts w:ascii="Arial" w:cs="Arial" w:eastAsia="Arial" w:hAnsi="Arial"/>
                <w:sz w:val="22"/>
                <w:szCs w:val="22"/>
                <w:b w:val="1"/>
                <w:bCs w:val="1"/>
                <w:color w:val="auto"/>
              </w:rPr>
              <w:t>ASSIGNMENT AND PARTICIPATIONS; SUCCESSORS AND ASSIGNS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185</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184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11.1</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Assignment and Participations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185</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184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11.2</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Successors and Assigns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189</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188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11.3</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vMerge w:val="restart"/>
          </w:tcPr>
          <w:p>
            <w:pPr>
              <w:spacing w:after="0"/>
              <w:rPr>
                <w:sz w:val="20"/>
                <w:szCs w:val="20"/>
                <w:color w:val="auto"/>
              </w:rPr>
            </w:pPr>
            <w:r>
              <w:rPr>
                <w:rFonts w:ascii="Arial" w:cs="Arial" w:eastAsia="Arial" w:hAnsi="Arial"/>
                <w:sz w:val="22"/>
                <w:szCs w:val="22"/>
                <w:b w:val="1"/>
                <w:bCs w:val="1"/>
                <w:color w:val="auto"/>
              </w:rPr>
              <w:t>12.</w:t>
            </w: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Certain Prohibitions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189</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188</w:t>
            </w:r>
          </w:p>
        </w:tc>
        <w:tc>
          <w:tcPr>
            <w:tcW w:w="0" w:type="dxa"/>
            <w:vAlign w:val="bottom"/>
          </w:tcPr>
          <w:p>
            <w:pPr>
              <w:spacing w:after="0"/>
              <w:rPr>
                <w:sz w:val="1"/>
                <w:szCs w:val="1"/>
                <w:color w:val="auto"/>
              </w:rPr>
            </w:pPr>
          </w:p>
        </w:tc>
      </w:tr>
      <w:tr>
        <w:trPr>
          <w:trHeight w:val="20"/>
        </w:trPr>
        <w:tc>
          <w:tcPr>
            <w:tcW w:w="500" w:type="dxa"/>
            <w:vAlign w:val="bottom"/>
            <w:vMerge w:val="continue"/>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vMerge w:val="continue"/>
          </w:tcPr>
          <w:p>
            <w:pPr>
              <w:spacing w:after="0"/>
              <w:rPr>
                <w:sz w:val="24"/>
                <w:szCs w:val="24"/>
                <w:color w:val="auto"/>
              </w:rPr>
            </w:pPr>
          </w:p>
        </w:tc>
        <w:tc>
          <w:tcPr>
            <w:tcW w:w="8020" w:type="dxa"/>
            <w:vAlign w:val="bottom"/>
            <w:gridSpan w:val="2"/>
          </w:tcPr>
          <w:p>
            <w:pPr>
              <w:ind w:left="260"/>
              <w:spacing w:after="0"/>
              <w:rPr>
                <w:sz w:val="20"/>
                <w:szCs w:val="20"/>
                <w:color w:val="auto"/>
              </w:rPr>
            </w:pPr>
            <w:r>
              <w:rPr>
                <w:rFonts w:ascii="Arial" w:cs="Arial" w:eastAsia="Arial" w:hAnsi="Arial"/>
                <w:sz w:val="22"/>
                <w:szCs w:val="22"/>
                <w:b w:val="1"/>
                <w:bCs w:val="1"/>
                <w:color w:val="auto"/>
              </w:rPr>
              <w:t>MISCELLANEOUS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189</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188</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0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b w:val="1"/>
                <w:bCs w:val="1"/>
                <w:color w:val="auto"/>
              </w:rPr>
              <w:t>12.1</w:t>
            </w: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Complete Agreement; Modification of Agreement</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189</w:t>
            </w:r>
          </w:p>
        </w:tc>
        <w:tc>
          <w:tcPr>
            <w:tcW w:w="0" w:type="dxa"/>
            <w:vAlign w:val="bottom"/>
          </w:tcPr>
          <w:p>
            <w:pPr>
              <w:spacing w:after="0"/>
              <w:rPr>
                <w:sz w:val="1"/>
                <w:szCs w:val="1"/>
                <w:color w:val="auto"/>
              </w:rPr>
            </w:pPr>
          </w:p>
        </w:tc>
      </w:tr>
      <w:tr>
        <w:trPr>
          <w:trHeight w:val="260"/>
        </w:trPr>
        <w:tc>
          <w:tcPr>
            <w:tcW w:w="500" w:type="dxa"/>
            <w:vAlign w:val="bottom"/>
          </w:tcPr>
          <w:p>
            <w:pPr>
              <w:spacing w:after="0"/>
              <w:rPr>
                <w:sz w:val="22"/>
                <w:szCs w:val="22"/>
                <w:color w:val="auto"/>
              </w:rPr>
            </w:pPr>
          </w:p>
        </w:tc>
        <w:tc>
          <w:tcPr>
            <w:tcW w:w="880" w:type="dxa"/>
            <w:vAlign w:val="bottom"/>
          </w:tcPr>
          <w:p>
            <w:pPr>
              <w:ind w:left="260"/>
              <w:spacing w:after="0"/>
              <w:rPr>
                <w:sz w:val="20"/>
                <w:szCs w:val="20"/>
                <w:color w:val="auto"/>
              </w:rPr>
            </w:pPr>
            <w:r>
              <w:rPr>
                <w:rFonts w:ascii="Arial" w:cs="Arial" w:eastAsia="Arial" w:hAnsi="Arial"/>
                <w:sz w:val="22"/>
                <w:szCs w:val="22"/>
                <w:b w:val="1"/>
                <w:bCs w:val="1"/>
                <w:color w:val="auto"/>
              </w:rPr>
              <w:t>12.2</w:t>
            </w: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Amendments and Waivers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190</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189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12.3</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Fees and Expenses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193</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192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0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b w:val="1"/>
                <w:bCs w:val="1"/>
                <w:color w:val="auto"/>
              </w:rPr>
              <w:t>12.4</w:t>
            </w: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No Waiver</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194</w:t>
            </w:r>
          </w:p>
        </w:tc>
        <w:tc>
          <w:tcPr>
            <w:tcW w:w="0" w:type="dxa"/>
            <w:vAlign w:val="bottom"/>
          </w:tcPr>
          <w:p>
            <w:pPr>
              <w:spacing w:after="0"/>
              <w:rPr>
                <w:sz w:val="1"/>
                <w:szCs w:val="1"/>
                <w:color w:val="auto"/>
              </w:rPr>
            </w:pPr>
          </w:p>
        </w:tc>
      </w:tr>
      <w:tr>
        <w:trPr>
          <w:trHeight w:val="260"/>
        </w:trPr>
        <w:tc>
          <w:tcPr>
            <w:tcW w:w="500" w:type="dxa"/>
            <w:vAlign w:val="bottom"/>
          </w:tcPr>
          <w:p>
            <w:pPr>
              <w:spacing w:after="0"/>
              <w:rPr>
                <w:sz w:val="22"/>
                <w:szCs w:val="22"/>
                <w:color w:val="auto"/>
              </w:rPr>
            </w:pPr>
          </w:p>
        </w:tc>
        <w:tc>
          <w:tcPr>
            <w:tcW w:w="880" w:type="dxa"/>
            <w:vAlign w:val="bottom"/>
          </w:tcPr>
          <w:p>
            <w:pPr>
              <w:ind w:left="260"/>
              <w:spacing w:after="0"/>
              <w:rPr>
                <w:sz w:val="20"/>
                <w:szCs w:val="20"/>
                <w:color w:val="auto"/>
              </w:rPr>
            </w:pPr>
            <w:r>
              <w:rPr>
                <w:rFonts w:ascii="Arial" w:cs="Arial" w:eastAsia="Arial" w:hAnsi="Arial"/>
                <w:sz w:val="22"/>
                <w:szCs w:val="22"/>
                <w:b w:val="1"/>
                <w:bCs w:val="1"/>
                <w:color w:val="auto"/>
              </w:rPr>
              <w:t>12.5</w:t>
            </w: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Remedies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195</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194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12.6</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Severability</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195</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194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12.7</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Conflict of Terms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195</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194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12.8</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Confidentiality</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195</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194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0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b w:val="1"/>
                <w:bCs w:val="1"/>
                <w:color w:val="auto"/>
              </w:rPr>
              <w:t>12.9</w:t>
            </w: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GOVERNING LAW</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196</w:t>
            </w:r>
          </w:p>
        </w:tc>
        <w:tc>
          <w:tcPr>
            <w:tcW w:w="0" w:type="dxa"/>
            <w:vAlign w:val="bottom"/>
          </w:tcPr>
          <w:p>
            <w:pPr>
              <w:spacing w:after="0"/>
              <w:rPr>
                <w:sz w:val="1"/>
                <w:szCs w:val="1"/>
                <w:color w:val="auto"/>
              </w:rPr>
            </w:pPr>
          </w:p>
        </w:tc>
      </w:tr>
      <w:tr>
        <w:trPr>
          <w:trHeight w:val="260"/>
        </w:trPr>
        <w:tc>
          <w:tcPr>
            <w:tcW w:w="500" w:type="dxa"/>
            <w:vAlign w:val="bottom"/>
          </w:tcPr>
          <w:p>
            <w:pPr>
              <w:spacing w:after="0"/>
              <w:rPr>
                <w:sz w:val="22"/>
                <w:szCs w:val="22"/>
                <w:color w:val="auto"/>
              </w:rPr>
            </w:pPr>
          </w:p>
        </w:tc>
        <w:tc>
          <w:tcPr>
            <w:tcW w:w="880" w:type="dxa"/>
            <w:vAlign w:val="bottom"/>
          </w:tcPr>
          <w:p>
            <w:pPr>
              <w:ind w:left="260"/>
              <w:spacing w:after="0"/>
              <w:rPr>
                <w:sz w:val="20"/>
                <w:szCs w:val="20"/>
                <w:color w:val="auto"/>
              </w:rPr>
            </w:pPr>
            <w:r>
              <w:rPr>
                <w:rFonts w:ascii="Arial" w:cs="Arial" w:eastAsia="Arial" w:hAnsi="Arial"/>
                <w:sz w:val="22"/>
                <w:szCs w:val="22"/>
                <w:b w:val="1"/>
                <w:bCs w:val="1"/>
                <w:color w:val="auto"/>
              </w:rPr>
              <w:t>12.10</w:t>
            </w: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Notices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197</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196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12.11</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Section Titles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200</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199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12.12</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Counterparts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200</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199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12.13</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WAIVER OF JURY TRIAL</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200</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199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12.14</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Press Releases and Related Matters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200</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199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0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b w:val="1"/>
                <w:bCs w:val="1"/>
                <w:color w:val="auto"/>
              </w:rPr>
              <w:t>12.15</w:t>
            </w: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Reinstatement</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200</w:t>
            </w:r>
          </w:p>
        </w:tc>
        <w:tc>
          <w:tcPr>
            <w:tcW w:w="0" w:type="dxa"/>
            <w:vAlign w:val="bottom"/>
          </w:tcPr>
          <w:p>
            <w:pPr>
              <w:spacing w:after="0"/>
              <w:rPr>
                <w:sz w:val="1"/>
                <w:szCs w:val="1"/>
                <w:color w:val="auto"/>
              </w:rPr>
            </w:pPr>
          </w:p>
        </w:tc>
      </w:tr>
      <w:tr>
        <w:trPr>
          <w:trHeight w:val="260"/>
        </w:trPr>
        <w:tc>
          <w:tcPr>
            <w:tcW w:w="500" w:type="dxa"/>
            <w:vAlign w:val="bottom"/>
          </w:tcPr>
          <w:p>
            <w:pPr>
              <w:spacing w:after="0"/>
              <w:rPr>
                <w:sz w:val="22"/>
                <w:szCs w:val="22"/>
                <w:color w:val="auto"/>
              </w:rPr>
            </w:pPr>
          </w:p>
        </w:tc>
        <w:tc>
          <w:tcPr>
            <w:tcW w:w="880" w:type="dxa"/>
            <w:vAlign w:val="bottom"/>
          </w:tcPr>
          <w:p>
            <w:pPr>
              <w:ind w:left="260"/>
              <w:spacing w:after="0"/>
              <w:rPr>
                <w:sz w:val="20"/>
                <w:szCs w:val="20"/>
                <w:color w:val="auto"/>
              </w:rPr>
            </w:pPr>
            <w:r>
              <w:rPr>
                <w:rFonts w:ascii="Arial" w:cs="Arial" w:eastAsia="Arial" w:hAnsi="Arial"/>
                <w:sz w:val="22"/>
                <w:szCs w:val="22"/>
                <w:b w:val="1"/>
                <w:bCs w:val="1"/>
                <w:color w:val="auto"/>
              </w:rPr>
              <w:t>12.16</w:t>
            </w: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Advice of Counsel</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201</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12.17</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No Strict Construction</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201</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12.18</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Patriot Act Notice</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201</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12.19</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Currency Equivalency Generally; Change of Currency</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201</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0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b w:val="1"/>
                <w:bCs w:val="1"/>
                <w:color w:val="auto"/>
              </w:rPr>
              <w:t>12.20</w:t>
            </w: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Judgment Currency</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201</w:t>
            </w:r>
          </w:p>
        </w:tc>
        <w:tc>
          <w:tcPr>
            <w:tcW w:w="0" w:type="dxa"/>
            <w:vAlign w:val="bottom"/>
          </w:tcPr>
          <w:p>
            <w:pPr>
              <w:spacing w:after="0"/>
              <w:rPr>
                <w:sz w:val="1"/>
                <w:szCs w:val="1"/>
                <w:color w:val="auto"/>
              </w:rPr>
            </w:pPr>
          </w:p>
        </w:tc>
      </w:tr>
      <w:tr>
        <w:trPr>
          <w:trHeight w:val="260"/>
        </w:trPr>
        <w:tc>
          <w:tcPr>
            <w:tcW w:w="500" w:type="dxa"/>
            <w:vAlign w:val="bottom"/>
          </w:tcPr>
          <w:p>
            <w:pPr>
              <w:spacing w:after="0"/>
              <w:rPr>
                <w:sz w:val="22"/>
                <w:szCs w:val="22"/>
                <w:color w:val="auto"/>
              </w:rPr>
            </w:pPr>
          </w:p>
        </w:tc>
        <w:tc>
          <w:tcPr>
            <w:tcW w:w="880" w:type="dxa"/>
            <w:vAlign w:val="bottom"/>
          </w:tcPr>
          <w:p>
            <w:pPr>
              <w:ind w:left="260"/>
              <w:spacing w:after="0"/>
              <w:rPr>
                <w:sz w:val="20"/>
                <w:szCs w:val="20"/>
                <w:color w:val="auto"/>
              </w:rPr>
            </w:pPr>
            <w:r>
              <w:rPr>
                <w:rFonts w:ascii="Arial" w:cs="Arial" w:eastAsia="Arial" w:hAnsi="Arial"/>
                <w:sz w:val="22"/>
                <w:szCs w:val="22"/>
                <w:b w:val="1"/>
                <w:bCs w:val="1"/>
                <w:color w:val="auto"/>
              </w:rPr>
              <w:t>12.21</w:t>
            </w: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Electronic Transmissions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202</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12.22</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Independence of Provisions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203</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12.23</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No Third Parties Benefited</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203</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0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Arial" w:cs="Arial" w:eastAsia="Arial" w:hAnsi="Arial"/>
                <w:sz w:val="22"/>
                <w:szCs w:val="22"/>
                <w:b w:val="1"/>
                <w:bCs w:val="1"/>
                <w:color w:val="auto"/>
              </w:rPr>
              <w:t>12.24</w:t>
            </w: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Relationships between Lenders and Credit Parties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203</w:t>
            </w:r>
          </w:p>
        </w:tc>
        <w:tc>
          <w:tcPr>
            <w:tcW w:w="0" w:type="dxa"/>
            <w:vAlign w:val="bottom"/>
          </w:tcPr>
          <w:p>
            <w:pPr>
              <w:spacing w:after="0"/>
              <w:rPr>
                <w:sz w:val="1"/>
                <w:szCs w:val="1"/>
                <w:color w:val="auto"/>
              </w:rPr>
            </w:pPr>
          </w:p>
        </w:tc>
      </w:tr>
      <w:tr>
        <w:trPr>
          <w:trHeight w:val="260"/>
        </w:trPr>
        <w:tc>
          <w:tcPr>
            <w:tcW w:w="500" w:type="dxa"/>
            <w:vAlign w:val="bottom"/>
            <w:vMerge w:val="restart"/>
          </w:tcPr>
          <w:p>
            <w:pPr>
              <w:spacing w:after="0"/>
              <w:rPr>
                <w:sz w:val="20"/>
                <w:szCs w:val="20"/>
                <w:color w:val="auto"/>
              </w:rPr>
            </w:pPr>
            <w:r>
              <w:rPr>
                <w:rFonts w:ascii="Arial" w:cs="Arial" w:eastAsia="Arial" w:hAnsi="Arial"/>
                <w:sz w:val="22"/>
                <w:szCs w:val="22"/>
                <w:b w:val="1"/>
                <w:bCs w:val="1"/>
                <w:color w:val="auto"/>
              </w:rPr>
              <w:t>13.</w:t>
            </w:r>
          </w:p>
        </w:tc>
        <w:tc>
          <w:tcPr>
            <w:tcW w:w="880" w:type="dxa"/>
            <w:vAlign w:val="bottom"/>
          </w:tcPr>
          <w:p>
            <w:pPr>
              <w:ind w:left="260"/>
              <w:spacing w:after="0"/>
              <w:rPr>
                <w:sz w:val="20"/>
                <w:szCs w:val="20"/>
                <w:color w:val="auto"/>
              </w:rPr>
            </w:pPr>
            <w:r>
              <w:rPr>
                <w:rFonts w:ascii="Arial" w:cs="Arial" w:eastAsia="Arial" w:hAnsi="Arial"/>
                <w:sz w:val="22"/>
                <w:szCs w:val="22"/>
                <w:b w:val="1"/>
                <w:bCs w:val="1"/>
                <w:color w:val="auto"/>
              </w:rPr>
              <w:t>12.25</w:t>
            </w: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ABL Intercreditor Agreement</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204</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203</w:t>
            </w:r>
          </w:p>
        </w:tc>
        <w:tc>
          <w:tcPr>
            <w:tcW w:w="0" w:type="dxa"/>
            <w:vAlign w:val="bottom"/>
          </w:tcPr>
          <w:p>
            <w:pPr>
              <w:spacing w:after="0"/>
              <w:rPr>
                <w:sz w:val="1"/>
                <w:szCs w:val="1"/>
                <w:color w:val="auto"/>
              </w:rPr>
            </w:pPr>
          </w:p>
        </w:tc>
      </w:tr>
      <w:tr>
        <w:trPr>
          <w:trHeight w:val="20"/>
        </w:trPr>
        <w:tc>
          <w:tcPr>
            <w:tcW w:w="500" w:type="dxa"/>
            <w:vAlign w:val="bottom"/>
            <w:vMerge w:val="continue"/>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vMerge w:val="continue"/>
          </w:tcPr>
          <w:p>
            <w:pPr>
              <w:spacing w:after="0"/>
              <w:rPr>
                <w:sz w:val="24"/>
                <w:szCs w:val="24"/>
                <w:color w:val="auto"/>
              </w:rPr>
            </w:pPr>
          </w:p>
        </w:tc>
        <w:tc>
          <w:tcPr>
            <w:tcW w:w="8020" w:type="dxa"/>
            <w:vAlign w:val="bottom"/>
            <w:gridSpan w:val="2"/>
          </w:tcPr>
          <w:p>
            <w:pPr>
              <w:ind w:left="260"/>
              <w:spacing w:after="0"/>
              <w:rPr>
                <w:sz w:val="20"/>
                <w:szCs w:val="20"/>
                <w:color w:val="auto"/>
              </w:rPr>
            </w:pPr>
            <w:r>
              <w:rPr>
                <w:rFonts w:ascii="Arial" w:cs="Arial" w:eastAsia="Arial" w:hAnsi="Arial"/>
                <w:sz w:val="22"/>
                <w:szCs w:val="22"/>
                <w:b w:val="1"/>
                <w:bCs w:val="1"/>
                <w:color w:val="auto"/>
              </w:rPr>
              <w:t>GUARANTY</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204</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13.1</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Guaranty</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204</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13.2</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Waivers by Credit Parties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205</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13.3</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Benefit of Guaranty; Stay of Acceleration</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206</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13.4</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Subordination of Subrogation, Etc.</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206</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13.5</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Election of Remedies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206</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13.6</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Limitation</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207</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vMerge w:val="restart"/>
          </w:tcPr>
          <w:p>
            <w:pPr>
              <w:ind w:left="260"/>
              <w:spacing w:after="0"/>
              <w:rPr>
                <w:sz w:val="20"/>
                <w:szCs w:val="20"/>
                <w:color w:val="auto"/>
              </w:rPr>
            </w:pPr>
            <w:r>
              <w:rPr>
                <w:rFonts w:ascii="Arial" w:cs="Arial" w:eastAsia="Arial" w:hAnsi="Arial"/>
                <w:sz w:val="22"/>
                <w:szCs w:val="22"/>
                <w:b w:val="1"/>
                <w:bCs w:val="1"/>
                <w:color w:val="auto"/>
              </w:rPr>
              <w:t>13.7</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Contribution with Respect to Guaranty Obligations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207</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459"/>
          </w:cols>
          <w:pgMar w:left="1000" w:top="1440" w:right="1440" w:bottom="1440" w:gutter="0" w:footer="0" w:header="0"/>
        </w:sectPr>
      </w:pPr>
    </w:p>
    <w:bookmarkStart w:id="99" w:name="page100"/>
    <w:bookmarkEnd w:id="99"/>
    <w:p>
      <w:pPr>
        <w:spacing w:after="0" w:line="13" w:lineRule="exact"/>
        <w:rPr>
          <w:sz w:val="20"/>
          <w:szCs w:val="20"/>
          <w:color w:val="auto"/>
        </w:rPr>
      </w:pPr>
    </w:p>
    <w:tbl>
      <w:tblPr>
        <w:tblLayout w:type="fixed"/>
        <w:tblInd w:w="320" w:type="dxa"/>
        <w:tblCellMar>
          <w:top w:w="0" w:type="dxa"/>
          <w:left w:w="0" w:type="dxa"/>
          <w:bottom w:w="0" w:type="dxa"/>
          <w:right w:w="0" w:type="dxa"/>
        </w:tblCellMar>
      </w:tblPr>
      <w:tr>
        <w:trPr>
          <w:trHeight w:val="34"/>
        </w:trPr>
        <w:tc>
          <w:tcPr>
            <w:tcW w:w="620" w:type="dxa"/>
            <w:vAlign w:val="bottom"/>
            <w:vMerge w:val="restart"/>
          </w:tcPr>
          <w:p>
            <w:pPr>
              <w:spacing w:after="0"/>
              <w:rPr>
                <w:sz w:val="20"/>
                <w:szCs w:val="20"/>
                <w:color w:val="auto"/>
              </w:rPr>
            </w:pPr>
            <w:r>
              <w:rPr>
                <w:rFonts w:ascii="Arial" w:cs="Arial" w:eastAsia="Arial" w:hAnsi="Arial"/>
                <w:sz w:val="22"/>
                <w:szCs w:val="22"/>
                <w:b w:val="1"/>
                <w:bCs w:val="1"/>
                <w:color w:val="auto"/>
              </w:rPr>
              <w:t>13.8</w:t>
            </w:r>
          </w:p>
        </w:tc>
        <w:tc>
          <w:tcPr>
            <w:tcW w:w="7140" w:type="dxa"/>
            <w:vAlign w:val="bottom"/>
            <w:vMerge w:val="restart"/>
          </w:tcPr>
          <w:p>
            <w:pPr>
              <w:ind w:left="120"/>
              <w:spacing w:after="0"/>
              <w:rPr>
                <w:sz w:val="20"/>
                <w:szCs w:val="20"/>
                <w:color w:val="auto"/>
              </w:rPr>
            </w:pPr>
            <w:r>
              <w:rPr>
                <w:rFonts w:ascii="Arial" w:cs="Arial" w:eastAsia="Arial" w:hAnsi="Arial"/>
                <w:sz w:val="22"/>
                <w:szCs w:val="22"/>
                <w:b w:val="1"/>
                <w:bCs w:val="1"/>
                <w:color w:val="auto"/>
              </w:rPr>
              <w:t>Liability Cumulative</w:t>
            </w:r>
          </w:p>
        </w:tc>
        <w:tc>
          <w:tcPr>
            <w:tcW w:w="320" w:type="dxa"/>
            <w:vAlign w:val="bottom"/>
            <w:vMerge w:val="restart"/>
          </w:tcPr>
          <w:p>
            <w:pPr>
              <w:jc w:val="right"/>
              <w:spacing w:after="0"/>
              <w:rPr>
                <w:sz w:val="20"/>
                <w:szCs w:val="20"/>
                <w:color w:val="auto"/>
              </w:rPr>
            </w:pPr>
            <w:r>
              <w:rPr>
                <w:rFonts w:ascii="Arial" w:cs="Arial" w:eastAsia="Arial" w:hAnsi="Arial"/>
                <w:sz w:val="22"/>
                <w:szCs w:val="22"/>
                <w:b w:val="1"/>
                <w:bCs w:val="1"/>
                <w:color w:val="EE2724"/>
                <w:strike w:val="1"/>
                <w:w w:val="81"/>
              </w:rPr>
              <w:t>208</w:t>
            </w:r>
          </w:p>
        </w:tc>
        <w:tc>
          <w:tcPr>
            <w:tcW w:w="380" w:type="dxa"/>
            <w:vAlign w:val="bottom"/>
            <w:gridSpan w:val="2"/>
            <w:vMerge w:val="restart"/>
          </w:tcPr>
          <w:p>
            <w:pPr>
              <w:jc w:val="right"/>
              <w:spacing w:after="0"/>
              <w:rPr>
                <w:sz w:val="20"/>
                <w:szCs w:val="20"/>
                <w:color w:val="auto"/>
              </w:rPr>
            </w:pPr>
            <w:r>
              <w:rPr>
                <w:rFonts w:ascii="Arial" w:cs="Arial" w:eastAsia="Arial" w:hAnsi="Arial"/>
                <w:sz w:val="22"/>
                <w:szCs w:val="22"/>
                <w:b w:val="1"/>
                <w:bCs w:val="1"/>
                <w:color w:val="3051F2"/>
                <w:w w:val="97"/>
              </w:rPr>
              <w:t>207</w:t>
            </w:r>
          </w:p>
        </w:tc>
        <w:tc>
          <w:tcPr>
            <w:tcW w:w="0" w:type="dxa"/>
            <w:vAlign w:val="bottom"/>
          </w:tcPr>
          <w:p>
            <w:pPr>
              <w:spacing w:after="0" w:line="20" w:lineRule="exact"/>
              <w:rPr>
                <w:sz w:val="1"/>
                <w:szCs w:val="1"/>
                <w:color w:val="auto"/>
              </w:rPr>
            </w:pPr>
          </w:p>
        </w:tc>
      </w:tr>
      <w:tr>
        <w:trPr>
          <w:trHeight w:val="219"/>
        </w:trPr>
        <w:tc>
          <w:tcPr>
            <w:tcW w:w="620" w:type="dxa"/>
            <w:vAlign w:val="bottom"/>
            <w:vMerge w:val="continue"/>
          </w:tcPr>
          <w:p>
            <w:pPr>
              <w:spacing w:after="0"/>
              <w:rPr>
                <w:sz w:val="19"/>
                <w:szCs w:val="19"/>
                <w:color w:val="auto"/>
              </w:rPr>
            </w:pPr>
          </w:p>
        </w:tc>
        <w:tc>
          <w:tcPr>
            <w:tcW w:w="714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spacing w:after="0"/>
              <w:rPr>
                <w:sz w:val="20"/>
                <w:szCs w:val="20"/>
                <w:color w:val="auto"/>
              </w:rPr>
            </w:pPr>
            <w:r>
              <w:rPr>
                <w:rFonts w:ascii="Arial" w:cs="Arial" w:eastAsia="Arial" w:hAnsi="Arial"/>
                <w:sz w:val="22"/>
                <w:szCs w:val="22"/>
                <w:b w:val="1"/>
                <w:bCs w:val="1"/>
                <w:color w:val="auto"/>
              </w:rPr>
              <w:t>13.9</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Obligations of the Canadian Credit Parties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208</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207</w:t>
            </w:r>
          </w:p>
        </w:tc>
        <w:tc>
          <w:tcPr>
            <w:tcW w:w="0" w:type="dxa"/>
            <w:vAlign w:val="bottom"/>
          </w:tcPr>
          <w:p>
            <w:pPr>
              <w:spacing w:after="0"/>
              <w:rPr>
                <w:sz w:val="1"/>
                <w:szCs w:val="1"/>
                <w:color w:val="auto"/>
              </w:rPr>
            </w:pPr>
          </w:p>
        </w:tc>
      </w:tr>
      <w:tr>
        <w:trPr>
          <w:trHeight w:val="20"/>
        </w:trPr>
        <w:tc>
          <w:tcPr>
            <w:tcW w:w="620" w:type="dxa"/>
            <w:vAlign w:val="bottom"/>
            <w:vMerge w:val="restart"/>
          </w:tcPr>
          <w:p>
            <w:pPr>
              <w:spacing w:after="0"/>
              <w:rPr>
                <w:sz w:val="20"/>
                <w:szCs w:val="20"/>
                <w:color w:val="auto"/>
              </w:rPr>
            </w:pPr>
            <w:r>
              <w:rPr>
                <w:rFonts w:ascii="Arial" w:cs="Arial" w:eastAsia="Arial" w:hAnsi="Arial"/>
                <w:sz w:val="22"/>
                <w:szCs w:val="22"/>
                <w:b w:val="1"/>
                <w:bCs w:val="1"/>
                <w:color w:val="auto"/>
              </w:rPr>
              <w:t>13.10</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2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Name of Agreement</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208</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207</w:t>
            </w:r>
          </w:p>
        </w:tc>
        <w:tc>
          <w:tcPr>
            <w:tcW w:w="0" w:type="dxa"/>
            <w:vAlign w:val="bottom"/>
          </w:tcPr>
          <w:p>
            <w:pPr>
              <w:spacing w:after="0"/>
              <w:rPr>
                <w:sz w:val="1"/>
                <w:szCs w:val="1"/>
                <w:color w:val="auto"/>
              </w:rPr>
            </w:pPr>
          </w:p>
        </w:tc>
      </w:tr>
      <w:tr>
        <w:trPr>
          <w:trHeight w:val="20"/>
        </w:trPr>
        <w:tc>
          <w:tcPr>
            <w:tcW w:w="620" w:type="dxa"/>
            <w:vAlign w:val="bottom"/>
            <w:vMerge w:val="restart"/>
          </w:tcPr>
          <w:p>
            <w:pPr>
              <w:spacing w:after="0"/>
              <w:rPr>
                <w:sz w:val="20"/>
                <w:szCs w:val="20"/>
                <w:color w:val="auto"/>
              </w:rPr>
            </w:pPr>
            <w:r>
              <w:rPr>
                <w:rFonts w:ascii="Arial" w:cs="Arial" w:eastAsia="Arial" w:hAnsi="Arial"/>
                <w:sz w:val="22"/>
                <w:szCs w:val="22"/>
                <w:b w:val="1"/>
                <w:bCs w:val="1"/>
                <w:color w:val="auto"/>
              </w:rPr>
              <w:t>13.11</w:t>
            </w: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0" w:type="dxa"/>
            <w:vAlign w:val="bottom"/>
            <w:vMerge w:val="continue"/>
          </w:tcPr>
          <w:p>
            <w:pPr>
              <w:spacing w:after="0"/>
              <w:rPr>
                <w:sz w:val="24"/>
                <w:szCs w:val="24"/>
                <w:color w:val="auto"/>
              </w:rPr>
            </w:pP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rPr>
              <w:t>Release of Borrowers and Guarantors</w:t>
            </w:r>
          </w:p>
        </w:tc>
        <w:tc>
          <w:tcPr>
            <w:tcW w:w="320" w:type="dxa"/>
            <w:vAlign w:val="bottom"/>
          </w:tcPr>
          <w:p>
            <w:pPr>
              <w:jc w:val="right"/>
              <w:spacing w:after="0"/>
              <w:rPr>
                <w:sz w:val="20"/>
                <w:szCs w:val="20"/>
                <w:color w:val="auto"/>
              </w:rPr>
            </w:pPr>
            <w:r>
              <w:rPr>
                <w:rFonts w:ascii="Arial" w:cs="Arial" w:eastAsia="Arial" w:hAnsi="Arial"/>
                <w:sz w:val="22"/>
                <w:szCs w:val="22"/>
                <w:b w:val="1"/>
                <w:bCs w:val="1"/>
                <w:color w:val="EE2724"/>
                <w:strike w:val="1"/>
                <w:w w:val="81"/>
              </w:rPr>
              <w:t>209</w:t>
            </w:r>
          </w:p>
        </w:tc>
        <w:tc>
          <w:tcPr>
            <w:tcW w:w="380" w:type="dxa"/>
            <w:vAlign w:val="bottom"/>
            <w:gridSpan w:val="2"/>
          </w:tcPr>
          <w:p>
            <w:pPr>
              <w:jc w:val="right"/>
              <w:spacing w:after="0"/>
              <w:rPr>
                <w:sz w:val="20"/>
                <w:szCs w:val="20"/>
                <w:color w:val="auto"/>
              </w:rPr>
            </w:pPr>
            <w:r>
              <w:rPr>
                <w:rFonts w:ascii="Arial" w:cs="Arial" w:eastAsia="Arial" w:hAnsi="Arial"/>
                <w:sz w:val="22"/>
                <w:szCs w:val="22"/>
                <w:b w:val="1"/>
                <w:bCs w:val="1"/>
                <w:color w:val="3051F2"/>
                <w:w w:val="97"/>
              </w:rPr>
              <w:t>208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20" w:type="dxa"/>
            <w:vAlign w:val="bottom"/>
          </w:tcPr>
          <w:p>
            <w:pPr>
              <w:spacing w:after="0"/>
              <w:rPr>
                <w:sz w:val="20"/>
                <w:szCs w:val="20"/>
                <w:color w:val="auto"/>
              </w:rPr>
            </w:pPr>
            <w:r>
              <w:rPr>
                <w:rFonts w:ascii="Arial" w:cs="Arial" w:eastAsia="Arial" w:hAnsi="Arial"/>
                <w:sz w:val="22"/>
                <w:szCs w:val="22"/>
                <w:b w:val="1"/>
                <w:bCs w:val="1"/>
                <w:color w:val="auto"/>
              </w:rPr>
              <w:t>13.12</w:t>
            </w:r>
          </w:p>
        </w:tc>
        <w:tc>
          <w:tcPr>
            <w:tcW w:w="7140" w:type="dxa"/>
            <w:vAlign w:val="bottom"/>
          </w:tcPr>
          <w:p>
            <w:pPr>
              <w:ind w:left="120"/>
              <w:spacing w:after="0"/>
              <w:rPr>
                <w:sz w:val="20"/>
                <w:szCs w:val="20"/>
                <w:color w:val="auto"/>
              </w:rPr>
            </w:pPr>
            <w:r>
              <w:rPr>
                <w:rFonts w:ascii="Arial" w:cs="Arial" w:eastAsia="Arial" w:hAnsi="Arial"/>
                <w:sz w:val="22"/>
                <w:szCs w:val="22"/>
                <w:b w:val="1"/>
                <w:bCs w:val="1"/>
                <w:color w:val="auto"/>
                <w:w w:val="94"/>
              </w:rPr>
              <w:t>Acknowledgement and Consent to Bail-In of EEA Financial Institutions</w:t>
            </w:r>
          </w:p>
        </w:tc>
        <w:tc>
          <w:tcPr>
            <w:tcW w:w="700" w:type="dxa"/>
            <w:vAlign w:val="bottom"/>
            <w:gridSpan w:val="3"/>
          </w:tcPr>
          <w:p>
            <w:pPr>
              <w:jc w:val="right"/>
              <w:spacing w:after="0"/>
              <w:rPr>
                <w:sz w:val="20"/>
                <w:szCs w:val="20"/>
                <w:color w:val="auto"/>
              </w:rPr>
            </w:pPr>
            <w:r>
              <w:rPr>
                <w:rFonts w:ascii="Arial" w:cs="Arial" w:eastAsia="Arial" w:hAnsi="Arial"/>
                <w:sz w:val="22"/>
                <w:szCs w:val="22"/>
                <w:b w:val="1"/>
                <w:bCs w:val="1"/>
                <w:color w:val="auto"/>
              </w:rPr>
              <w:t>209</w:t>
            </w: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420" w:type="dxa"/>
            <w:vAlign w:val="bottom"/>
          </w:tcPr>
          <w:p>
            <w:pPr>
              <w:ind w:left="220"/>
              <w:spacing w:after="0"/>
              <w:rPr>
                <w:sz w:val="20"/>
                <w:szCs w:val="20"/>
                <w:color w:val="auto"/>
              </w:rPr>
            </w:pPr>
            <w:r>
              <w:rPr>
                <w:rFonts w:ascii="Arial" w:cs="Arial" w:eastAsia="Arial" w:hAnsi="Arial"/>
                <w:sz w:val="22"/>
                <w:szCs w:val="22"/>
                <w:b w:val="1"/>
                <w:bCs w:val="1"/>
                <w:color w:val="auto"/>
              </w:rPr>
              <w:t>INDEX OF APPENDICES</w:t>
            </w:r>
          </w:p>
        </w:tc>
      </w:tr>
      <w:tr>
        <w:trPr>
          <w:trHeight w:val="945"/>
        </w:trPr>
        <w:tc>
          <w:tcPr>
            <w:tcW w:w="2400" w:type="dxa"/>
            <w:vAlign w:val="bottom"/>
          </w:tcPr>
          <w:p>
            <w:pPr>
              <w:spacing w:after="0"/>
              <w:rPr>
                <w:sz w:val="20"/>
                <w:szCs w:val="20"/>
                <w:color w:val="auto"/>
              </w:rPr>
            </w:pPr>
            <w:r>
              <w:rPr>
                <w:rFonts w:ascii="Arial" w:cs="Arial" w:eastAsia="Arial" w:hAnsi="Arial"/>
                <w:sz w:val="22"/>
                <w:szCs w:val="22"/>
                <w:color w:val="auto"/>
              </w:rPr>
              <w:t>Annex A</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Cash Management System</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Annex B</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Agent’s Wire Transfer Information</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Annex C</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Commitments as of the Amendment No. 3 Effective Date</w:t>
            </w:r>
          </w:p>
        </w:tc>
      </w:tr>
      <w:tr>
        <w:trPr>
          <w:trHeight w:val="266"/>
        </w:trPr>
        <w:tc>
          <w:tcPr>
            <w:tcW w:w="2400" w:type="dxa"/>
            <w:vAlign w:val="bottom"/>
          </w:tcPr>
          <w:p>
            <w:pPr>
              <w:spacing w:after="0"/>
              <w:rPr>
                <w:sz w:val="20"/>
                <w:szCs w:val="20"/>
                <w:color w:val="auto"/>
              </w:rPr>
            </w:pPr>
            <w:r>
              <w:rPr>
                <w:rFonts w:ascii="Arial" w:cs="Arial" w:eastAsia="Arial" w:hAnsi="Arial"/>
                <w:sz w:val="22"/>
                <w:szCs w:val="22"/>
                <w:color w:val="auto"/>
              </w:rPr>
              <w:t>Annex D</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w w:val="96"/>
              </w:rPr>
              <w:t>L/C Issuer Fronting Sublimit Amounts as of the Amendment No. 3</w:t>
            </w:r>
          </w:p>
        </w:tc>
      </w:tr>
      <w:tr>
        <w:trPr>
          <w:trHeight w:val="274"/>
        </w:trPr>
        <w:tc>
          <w:tcPr>
            <w:tcW w:w="24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420" w:type="dxa"/>
            <w:vAlign w:val="bottom"/>
          </w:tcPr>
          <w:p>
            <w:pPr>
              <w:ind w:left="240"/>
              <w:spacing w:after="0"/>
              <w:rPr>
                <w:sz w:val="20"/>
                <w:szCs w:val="20"/>
                <w:color w:val="auto"/>
              </w:rPr>
            </w:pPr>
            <w:r>
              <w:rPr>
                <w:rFonts w:ascii="Arial" w:cs="Arial" w:eastAsia="Arial" w:hAnsi="Arial"/>
                <w:sz w:val="22"/>
                <w:szCs w:val="22"/>
                <w:color w:val="auto"/>
              </w:rPr>
              <w:t>Effective Date</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Exhibit 1.1</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Form of ABL Intercreditor Agreement</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Exhibit 1.1(a)</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Form of Supplemental Guaranty</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Exhibit 2.1(a)(i)</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Form of Notice of Revolving Credit Advance</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Exhibit 2.1(a)(ii)</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Form of Revolving Note</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Exhibit 2.1(b)(ii)</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Form of Swing Line Note</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Exhibit 2.5(e)</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Form of Notice of Conversion/Continuation</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Exhibit 3.1</w:t>
            </w:r>
          </w:p>
        </w:tc>
        <w:tc>
          <w:tcPr>
            <w:tcW w:w="1740" w:type="dxa"/>
            <w:vAlign w:val="bottom"/>
          </w:tcPr>
          <w:p>
            <w:pPr>
              <w:spacing w:after="0"/>
              <w:rPr>
                <w:sz w:val="24"/>
                <w:szCs w:val="24"/>
                <w:color w:val="auto"/>
              </w:rPr>
            </w:pPr>
          </w:p>
        </w:tc>
        <w:tc>
          <w:tcPr>
            <w:tcW w:w="6420" w:type="dxa"/>
            <w:vAlign w:val="bottom"/>
          </w:tcPr>
          <w:p>
            <w:pPr>
              <w:ind w:left="240"/>
              <w:spacing w:after="0"/>
              <w:rPr>
                <w:sz w:val="20"/>
                <w:szCs w:val="20"/>
                <w:color w:val="auto"/>
              </w:rPr>
            </w:pPr>
            <w:r>
              <w:rPr>
                <w:rFonts w:ascii="Arial" w:cs="Arial" w:eastAsia="Arial" w:hAnsi="Arial"/>
                <w:sz w:val="22"/>
                <w:szCs w:val="22"/>
                <w:color w:val="auto"/>
              </w:rPr>
              <w:t>Form of Solvency Certificate</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Exhibit 5.2</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Form of Borrowing Base Certificate</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Exhibit 11.1(a)</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Form of Assignment Agreement</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Schedule A-1</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Subsidiary Guarantors</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Schedule 2.1</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Agent’s Representatives</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Schedule 2.2</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Existing Letters of Credit</w:t>
            </w:r>
          </w:p>
        </w:tc>
      </w:tr>
      <w:tr>
        <w:trPr>
          <w:trHeight w:val="266"/>
        </w:trPr>
        <w:tc>
          <w:tcPr>
            <w:tcW w:w="2400" w:type="dxa"/>
            <w:vAlign w:val="bottom"/>
          </w:tcPr>
          <w:p>
            <w:pPr>
              <w:spacing w:after="0"/>
              <w:rPr>
                <w:sz w:val="20"/>
                <w:szCs w:val="20"/>
                <w:color w:val="auto"/>
              </w:rPr>
            </w:pPr>
            <w:r>
              <w:rPr>
                <w:rFonts w:ascii="Arial" w:cs="Arial" w:eastAsia="Arial" w:hAnsi="Arial"/>
                <w:sz w:val="22"/>
                <w:szCs w:val="22"/>
                <w:color w:val="auto"/>
              </w:rPr>
              <w:t>Schedule 4.2</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w w:val="91"/>
              </w:rPr>
              <w:t>Chief Executive Office, Jurisdiction of Organization; Principal Place of</w:t>
            </w:r>
          </w:p>
        </w:tc>
      </w:tr>
      <w:tr>
        <w:trPr>
          <w:trHeight w:val="274"/>
        </w:trPr>
        <w:tc>
          <w:tcPr>
            <w:tcW w:w="24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6420" w:type="dxa"/>
            <w:vAlign w:val="bottom"/>
          </w:tcPr>
          <w:p>
            <w:pPr>
              <w:ind w:left="240"/>
              <w:spacing w:after="0"/>
              <w:rPr>
                <w:sz w:val="20"/>
                <w:szCs w:val="20"/>
                <w:color w:val="auto"/>
              </w:rPr>
            </w:pPr>
            <w:r>
              <w:rPr>
                <w:rFonts w:ascii="Arial" w:cs="Arial" w:eastAsia="Arial" w:hAnsi="Arial"/>
                <w:sz w:val="22"/>
                <w:szCs w:val="22"/>
                <w:color w:val="auto"/>
              </w:rPr>
              <w:t>Business; Collateral Locations; FEIN</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Schedule 4.6</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Real Property Leases</w:t>
            </w:r>
          </w:p>
        </w:tc>
      </w:tr>
      <w:tr>
        <w:trPr>
          <w:trHeight w:val="311"/>
        </w:trPr>
        <w:tc>
          <w:tcPr>
            <w:tcW w:w="2400" w:type="dxa"/>
            <w:vAlign w:val="bottom"/>
          </w:tcPr>
          <w:p>
            <w:pPr>
              <w:spacing w:after="0"/>
              <w:rPr>
                <w:sz w:val="20"/>
                <w:szCs w:val="20"/>
                <w:color w:val="auto"/>
              </w:rPr>
            </w:pPr>
            <w:r>
              <w:rPr>
                <w:rFonts w:ascii="Arial" w:cs="Arial" w:eastAsia="Arial" w:hAnsi="Arial"/>
                <w:sz w:val="22"/>
                <w:szCs w:val="22"/>
                <w:color w:val="auto"/>
              </w:rPr>
              <w:t>Schedule 4.7</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Amendment No. 3 Effective Date Labor Matters</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Schedule 4.8</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Subsidiaries and Joint Ventures</w:t>
            </w:r>
          </w:p>
        </w:tc>
      </w:tr>
      <w:tr>
        <w:trPr>
          <w:trHeight w:val="310"/>
        </w:trPr>
        <w:tc>
          <w:tcPr>
            <w:tcW w:w="2400" w:type="dxa"/>
            <w:vAlign w:val="bottom"/>
          </w:tcPr>
          <w:p>
            <w:pPr>
              <w:spacing w:after="0"/>
              <w:rPr>
                <w:sz w:val="20"/>
                <w:szCs w:val="20"/>
                <w:color w:val="auto"/>
              </w:rPr>
            </w:pPr>
            <w:r>
              <w:rPr>
                <w:rFonts w:ascii="Arial" w:cs="Arial" w:eastAsia="Arial" w:hAnsi="Arial"/>
                <w:sz w:val="22"/>
                <w:szCs w:val="22"/>
                <w:color w:val="auto"/>
              </w:rPr>
              <w:t>Schedule 4.13</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Amendment No. 3 Effective Date Litigation</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Schedule 4.14</w:t>
            </w:r>
          </w:p>
        </w:tc>
        <w:tc>
          <w:tcPr>
            <w:tcW w:w="1740" w:type="dxa"/>
            <w:vAlign w:val="bottom"/>
          </w:tcPr>
          <w:p>
            <w:pPr>
              <w:jc w:val="right"/>
              <w:ind w:right="13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Brokers</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Schedule 4.15</w:t>
            </w:r>
          </w:p>
        </w:tc>
        <w:tc>
          <w:tcPr>
            <w:tcW w:w="1740" w:type="dxa"/>
            <w:vAlign w:val="bottom"/>
          </w:tcPr>
          <w:p>
            <w:pPr>
              <w:jc w:val="right"/>
              <w:ind w:right="55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Intellectual Property</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Schedule 4.17</w:t>
            </w:r>
          </w:p>
        </w:tc>
        <w:tc>
          <w:tcPr>
            <w:tcW w:w="1740" w:type="dxa"/>
            <w:vAlign w:val="bottom"/>
          </w:tcPr>
          <w:p>
            <w:pPr>
              <w:jc w:val="right"/>
              <w:ind w:right="55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Hazardous Materials</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Schedule 4.19</w:t>
            </w:r>
          </w:p>
        </w:tc>
        <w:tc>
          <w:tcPr>
            <w:tcW w:w="1740" w:type="dxa"/>
            <w:vAlign w:val="bottom"/>
          </w:tcPr>
          <w:p>
            <w:pPr>
              <w:jc w:val="right"/>
              <w:ind w:right="55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Deposit Accounts</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Schedule 6.10(b)</w:t>
            </w:r>
          </w:p>
        </w:tc>
        <w:tc>
          <w:tcPr>
            <w:tcW w:w="1740" w:type="dxa"/>
            <w:vAlign w:val="bottom"/>
          </w:tcPr>
          <w:p>
            <w:pPr>
              <w:jc w:val="right"/>
              <w:ind w:right="55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Material Real Property</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Schedule 6.13</w:t>
            </w:r>
          </w:p>
        </w:tc>
        <w:tc>
          <w:tcPr>
            <w:tcW w:w="1740" w:type="dxa"/>
            <w:vAlign w:val="bottom"/>
          </w:tcPr>
          <w:p>
            <w:pPr>
              <w:jc w:val="right"/>
              <w:ind w:right="55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Unrestricted Subsidiaries</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Schedule 6.14</w:t>
            </w:r>
          </w:p>
        </w:tc>
        <w:tc>
          <w:tcPr>
            <w:tcW w:w="1740" w:type="dxa"/>
            <w:vAlign w:val="bottom"/>
          </w:tcPr>
          <w:p>
            <w:pPr>
              <w:jc w:val="right"/>
              <w:ind w:right="55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Post-Closing Matters</w:t>
            </w:r>
          </w:p>
        </w:tc>
      </w:tr>
      <w:tr>
        <w:trPr>
          <w:trHeight w:val="297"/>
        </w:trPr>
        <w:tc>
          <w:tcPr>
            <w:tcW w:w="2400" w:type="dxa"/>
            <w:vAlign w:val="bottom"/>
          </w:tcPr>
          <w:p>
            <w:pPr>
              <w:spacing w:after="0"/>
              <w:rPr>
                <w:sz w:val="20"/>
                <w:szCs w:val="20"/>
                <w:color w:val="auto"/>
              </w:rPr>
            </w:pPr>
            <w:r>
              <w:rPr>
                <w:rFonts w:ascii="Arial" w:cs="Arial" w:eastAsia="Arial" w:hAnsi="Arial"/>
                <w:sz w:val="22"/>
                <w:szCs w:val="22"/>
                <w:color w:val="auto"/>
              </w:rPr>
              <w:t>Schedule 7.1</w:t>
            </w:r>
          </w:p>
        </w:tc>
        <w:tc>
          <w:tcPr>
            <w:tcW w:w="1740" w:type="dxa"/>
            <w:vAlign w:val="bottom"/>
          </w:tcPr>
          <w:p>
            <w:pPr>
              <w:jc w:val="right"/>
              <w:ind w:right="552"/>
              <w:spacing w:after="0"/>
              <w:rPr>
                <w:sz w:val="20"/>
                <w:szCs w:val="20"/>
                <w:color w:val="auto"/>
              </w:rPr>
            </w:pPr>
            <w:r>
              <w:rPr>
                <w:rFonts w:ascii="Arial" w:cs="Arial" w:eastAsia="Arial" w:hAnsi="Arial"/>
                <w:sz w:val="22"/>
                <w:szCs w:val="22"/>
                <w:color w:val="auto"/>
              </w:rPr>
              <w:t>--</w:t>
            </w:r>
          </w:p>
        </w:tc>
        <w:tc>
          <w:tcPr>
            <w:tcW w:w="6420" w:type="dxa"/>
            <w:vAlign w:val="bottom"/>
          </w:tcPr>
          <w:p>
            <w:pPr>
              <w:ind w:left="240"/>
              <w:spacing w:after="0"/>
              <w:rPr>
                <w:sz w:val="20"/>
                <w:szCs w:val="20"/>
                <w:color w:val="auto"/>
              </w:rPr>
            </w:pPr>
            <w:r>
              <w:rPr>
                <w:rFonts w:ascii="Arial" w:cs="Arial" w:eastAsia="Arial" w:hAnsi="Arial"/>
                <w:sz w:val="22"/>
                <w:szCs w:val="22"/>
                <w:color w:val="auto"/>
              </w:rPr>
              <w:t>Amendment No. 3 Effective Date Indebtedness</w:t>
            </w:r>
          </w:p>
        </w:tc>
      </w:tr>
    </w:tbl>
    <w:p>
      <w:pPr>
        <w:sectPr>
          <w:pgSz w:w="11900" w:h="16838" w:orient="portrait"/>
          <w:cols w:equalWidth="0" w:num="1">
            <w:col w:w="10560"/>
          </w:cols>
          <w:pgMar w:left="340" w:top="1422" w:right="999" w:bottom="1440" w:gutter="0" w:footer="0" w:header="0"/>
        </w:sectPr>
      </w:pPr>
    </w:p>
    <w:bookmarkStart w:id="101" w:name="page102"/>
    <w:bookmarkEnd w:id="101"/>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REVOLVING LOAN CREDIT AGREEMENT</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This SECOND AMENDED AND RESTATED REVOLVING LOAN CREDIT AGREEMENT (as the same may be amended, supplemented, restated or otherwise modified from time to time,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October 30, 2015, by and among XPO LOGISTICS, INC., a Delaware corporation (“</w:t>
      </w:r>
      <w:r>
        <w:rPr>
          <w:rFonts w:ascii="Arial" w:cs="Arial" w:eastAsia="Arial" w:hAnsi="Arial"/>
          <w:sz w:val="19"/>
          <w:szCs w:val="19"/>
          <w:u w:val="single" w:color="auto"/>
          <w:color w:val="auto"/>
        </w:rPr>
        <w:t>Parent Borrower</w:t>
      </w:r>
      <w:r>
        <w:rPr>
          <w:rFonts w:ascii="Arial" w:cs="Arial" w:eastAsia="Arial" w:hAnsi="Arial"/>
          <w:sz w:val="19"/>
          <w:szCs w:val="19"/>
          <w:color w:val="auto"/>
        </w:rPr>
        <w:t>”), and certain of Parent Borrower’s wholly-owned domestic subsidiaries from time to time signatory hereto, as borrowers (collectively, referred to herein as the “</w:t>
      </w:r>
      <w:r>
        <w:rPr>
          <w:rFonts w:ascii="Arial" w:cs="Arial" w:eastAsia="Arial" w:hAnsi="Arial"/>
          <w:sz w:val="19"/>
          <w:szCs w:val="19"/>
          <w:u w:val="single" w:color="auto"/>
          <w:color w:val="auto"/>
        </w:rPr>
        <w:t>U.S. Borrowers</w:t>
      </w:r>
      <w:r>
        <w:rPr>
          <w:rFonts w:ascii="Arial" w:cs="Arial" w:eastAsia="Arial" w:hAnsi="Arial"/>
          <w:sz w:val="19"/>
          <w:szCs w:val="19"/>
          <w:color w:val="auto"/>
        </w:rPr>
        <w:t>” and each, individually, as a “</w:t>
      </w:r>
      <w:r>
        <w:rPr>
          <w:rFonts w:ascii="Arial" w:cs="Arial" w:eastAsia="Arial" w:hAnsi="Arial"/>
          <w:sz w:val="19"/>
          <w:szCs w:val="19"/>
          <w:u w:val="single" w:color="auto"/>
          <w:color w:val="auto"/>
        </w:rPr>
        <w:t>U.S. Borrower</w:t>
      </w:r>
      <w:r>
        <w:rPr>
          <w:rFonts w:ascii="Arial" w:cs="Arial" w:eastAsia="Arial" w:hAnsi="Arial"/>
          <w:sz w:val="19"/>
          <w:szCs w:val="19"/>
          <w:color w:val="auto"/>
        </w:rPr>
        <w:t>”), XPO Logistics Canada Inc., an Ontario corporation, and certain of Parent Borrower’s wholly-owned other Canadian subsidiaries from time to time signatory hereto, as borrowers (collectively, referred to herein as the “</w:t>
      </w:r>
      <w:r>
        <w:rPr>
          <w:rFonts w:ascii="Arial" w:cs="Arial" w:eastAsia="Arial" w:hAnsi="Arial"/>
          <w:sz w:val="19"/>
          <w:szCs w:val="19"/>
          <w:u w:val="single" w:color="auto"/>
          <w:color w:val="auto"/>
        </w:rPr>
        <w:t>Canadian Borrowers</w:t>
      </w:r>
      <w:r>
        <w:rPr>
          <w:rFonts w:ascii="Arial" w:cs="Arial" w:eastAsia="Arial" w:hAnsi="Arial"/>
          <w:sz w:val="19"/>
          <w:szCs w:val="19"/>
          <w:color w:val="auto"/>
        </w:rPr>
        <w:t>” and each, individually, as a “</w:t>
      </w:r>
      <w:r>
        <w:rPr>
          <w:rFonts w:ascii="Arial" w:cs="Arial" w:eastAsia="Arial" w:hAnsi="Arial"/>
          <w:sz w:val="19"/>
          <w:szCs w:val="19"/>
          <w:u w:val="single" w:color="auto"/>
          <w:color w:val="auto"/>
        </w:rPr>
        <w:t>Canadian Borrower</w:t>
      </w:r>
      <w:r>
        <w:rPr>
          <w:rFonts w:ascii="Arial" w:cs="Arial" w:eastAsia="Arial" w:hAnsi="Arial"/>
          <w:sz w:val="19"/>
          <w:szCs w:val="19"/>
          <w:color w:val="auto"/>
        </w:rPr>
        <w:t>” and together with the U.S. Borrowers, collectively, referred to herein as “</w:t>
      </w:r>
      <w:r>
        <w:rPr>
          <w:rFonts w:ascii="Arial" w:cs="Arial" w:eastAsia="Arial" w:hAnsi="Arial"/>
          <w:sz w:val="19"/>
          <w:szCs w:val="19"/>
          <w:u w:val="single" w:color="auto"/>
          <w:color w:val="auto"/>
        </w:rPr>
        <w:t>Borrowers</w:t>
      </w:r>
      <w:r>
        <w:rPr>
          <w:rFonts w:ascii="Arial" w:cs="Arial" w:eastAsia="Arial" w:hAnsi="Arial"/>
          <w:sz w:val="19"/>
          <w:szCs w:val="19"/>
          <w:color w:val="auto"/>
        </w:rPr>
        <w:t>” and each, individually, as a “</w:t>
      </w:r>
      <w:r>
        <w:rPr>
          <w:rFonts w:ascii="Arial" w:cs="Arial" w:eastAsia="Arial" w:hAnsi="Arial"/>
          <w:sz w:val="19"/>
          <w:szCs w:val="19"/>
          <w:u w:val="single" w:color="auto"/>
          <w:color w:val="auto"/>
        </w:rPr>
        <w:t>Borrower</w:t>
      </w:r>
      <w:r>
        <w:rPr>
          <w:rFonts w:ascii="Arial" w:cs="Arial" w:eastAsia="Arial" w:hAnsi="Arial"/>
          <w:sz w:val="19"/>
          <w:szCs w:val="19"/>
          <w:color w:val="auto"/>
        </w:rPr>
        <w:t xml:space="preserve">”); the other Credit Parties (with such term and each other capitalized term used but not defined in this preamble having the meaning assigned thereto in </w:t>
      </w:r>
      <w:r>
        <w:rPr>
          <w:rFonts w:ascii="Arial" w:cs="Arial" w:eastAsia="Arial" w:hAnsi="Arial"/>
          <w:sz w:val="19"/>
          <w:szCs w:val="19"/>
          <w:u w:val="single" w:color="auto"/>
          <w:color w:val="auto"/>
        </w:rPr>
        <w:t>Article 1</w:t>
      </w:r>
      <w:r>
        <w:rPr>
          <w:rFonts w:ascii="Arial" w:cs="Arial" w:eastAsia="Arial" w:hAnsi="Arial"/>
          <w:sz w:val="19"/>
          <w:szCs w:val="19"/>
          <w:color w:val="auto"/>
        </w:rPr>
        <w:t>), from time to time, signatory hereto; MORGAN STANLEY SENIOR FUNDING, INC. (“</w:t>
      </w:r>
      <w:r>
        <w:rPr>
          <w:rFonts w:ascii="Arial" w:cs="Arial" w:eastAsia="Arial" w:hAnsi="Arial"/>
          <w:sz w:val="19"/>
          <w:szCs w:val="19"/>
          <w:u w:val="single" w:color="auto"/>
          <w:color w:val="auto"/>
        </w:rPr>
        <w:t>MSSF</w:t>
      </w:r>
      <w:r>
        <w:rPr>
          <w:rFonts w:ascii="Arial" w:cs="Arial" w:eastAsia="Arial" w:hAnsi="Arial"/>
          <w:sz w:val="19"/>
          <w:szCs w:val="19"/>
          <w:color w:val="auto"/>
        </w:rPr>
        <w:t>”), as administrative agent for the Lenders (together, with any permitted successors in such capacity, “</w:t>
      </w:r>
      <w:r>
        <w:rPr>
          <w:rFonts w:ascii="Arial" w:cs="Arial" w:eastAsia="Arial" w:hAnsi="Arial"/>
          <w:sz w:val="19"/>
          <w:szCs w:val="19"/>
          <w:u w:val="single" w:color="auto"/>
          <w:color w:val="auto"/>
        </w:rPr>
        <w:t>Agent</w:t>
      </w:r>
      <w:r>
        <w:rPr>
          <w:rFonts w:ascii="Arial" w:cs="Arial" w:eastAsia="Arial" w:hAnsi="Arial"/>
          <w:sz w:val="19"/>
          <w:szCs w:val="19"/>
          <w:color w:val="auto"/>
        </w:rPr>
        <w:t>”); MSSF and JPMORGAN CHASE BANK, N.A. (“</w:t>
      </w:r>
      <w:r>
        <w:rPr>
          <w:rFonts w:ascii="Arial" w:cs="Arial" w:eastAsia="Arial" w:hAnsi="Arial"/>
          <w:sz w:val="19"/>
          <w:szCs w:val="19"/>
          <w:u w:val="single" w:color="auto"/>
          <w:color w:val="auto"/>
        </w:rPr>
        <w:t>JPMorgan Chase</w:t>
      </w:r>
      <w:r>
        <w:rPr>
          <w:rFonts w:ascii="Arial" w:cs="Arial" w:eastAsia="Arial" w:hAnsi="Arial"/>
          <w:sz w:val="19"/>
          <w:szCs w:val="19"/>
          <w:color w:val="auto"/>
        </w:rPr>
        <w:t>”), as co-collateral agents for the Lenders (together, with any permitted successors in such capacity, “</w:t>
      </w:r>
      <w:r>
        <w:rPr>
          <w:rFonts w:ascii="Arial" w:cs="Arial" w:eastAsia="Arial" w:hAnsi="Arial"/>
          <w:sz w:val="19"/>
          <w:szCs w:val="19"/>
          <w:u w:val="single" w:color="auto"/>
          <w:color w:val="auto"/>
        </w:rPr>
        <w:t>Co-Collateral Agents</w:t>
      </w:r>
      <w:r>
        <w:rPr>
          <w:rFonts w:ascii="Arial" w:cs="Arial" w:eastAsia="Arial" w:hAnsi="Arial"/>
          <w:sz w:val="19"/>
          <w:szCs w:val="19"/>
          <w:color w:val="auto"/>
        </w:rPr>
        <w:t>”); the Lenders and L/C Issuers signatory hereto from time to time.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WHEREAS, certain Borrowers, Agent, Co-Collateral Agents, certain Lenders and certain L/C Issuers are party to that certain Amended and Restated Revolving Loan Credit Agreement, dated as of April 1, 2014, and as amended on August 8, 2014 and May 29, 2015 (as amended, restated, amended and restated, extended, supplemented, or otherwise modified prior to the date hereof, the “</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WHEREAS, Borrowers have requested that Agent, Co-Collateral Agents, Lenders and L/C Issuers replace the Existing Credit Agreement with this Agreement to, among other things, permit the Con-way Acquisition and certain related transactions, in each case, on the terms and subject to the conditions set forth in this Agreement;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WHEREAS, the U.S. Borrowers and the U.S. Guarantors have agreed to secure all of their Obligations under the Loan Documents by granting to Agent, for the benefit of the Secured Parties, a security interest in the U.S. ABL Priority Collateral and the U.S. Term Priority Collateral;</w:t>
      </w:r>
    </w:p>
    <w:p>
      <w:pPr>
        <w:spacing w:after="0" w:line="18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WHEREAS, the Canadian Borrowers and the Canadian Guarantors have agreed to secure all of their Obligations under the Loan Documents by granting to Agent, for the benefit of the Secured Parties, a security interest in the Canadian Collateral;</w:t>
      </w:r>
    </w:p>
    <w:p>
      <w:pPr>
        <w:spacing w:after="0" w:line="104"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WHEREAS, the Lenders are willing to make certain loans and other extensions of credit to Borrowers of up to such amounts upon the terms and conditions set forth herein; and</w:t>
      </w:r>
    </w:p>
    <w:p>
      <w:pPr>
        <w:sectPr>
          <w:pgSz w:w="11900" w:h="16838" w:orient="portrait"/>
          <w:cols w:equalWidth="0" w:num="1">
            <w:col w:w="11240"/>
          </w:cols>
          <w:pgMar w:left="320" w:top="1440" w:right="339" w:bottom="1440" w:gutter="0" w:footer="0" w:header="0"/>
        </w:sectPr>
      </w:pPr>
    </w:p>
    <w:bookmarkStart w:id="102" w:name="page103"/>
    <w:bookmarkEnd w:id="102"/>
    <w:p>
      <w:pPr>
        <w:jc w:val="both"/>
        <w:spacing w:after="0" w:line="253" w:lineRule="auto"/>
        <w:rPr>
          <w:sz w:val="20"/>
          <w:szCs w:val="20"/>
          <w:color w:val="auto"/>
        </w:rPr>
      </w:pPr>
      <w:r>
        <w:rPr>
          <w:rFonts w:ascii="Arial" w:cs="Arial" w:eastAsia="Arial" w:hAnsi="Arial"/>
          <w:sz w:val="22"/>
          <w:szCs w:val="22"/>
          <w:color w:val="auto"/>
        </w:rPr>
        <w:t>WHEREAS, all annexes, schedules, exhibits and other attachments (collectively, “</w:t>
      </w:r>
      <w:r>
        <w:rPr>
          <w:rFonts w:ascii="Arial" w:cs="Arial" w:eastAsia="Arial" w:hAnsi="Arial"/>
          <w:sz w:val="22"/>
          <w:szCs w:val="22"/>
          <w:u w:val="single" w:color="auto"/>
          <w:color w:val="auto"/>
        </w:rPr>
        <w:t>Appendices</w:t>
      </w:r>
      <w:r>
        <w:rPr>
          <w:rFonts w:ascii="Arial" w:cs="Arial" w:eastAsia="Arial" w:hAnsi="Arial"/>
          <w:sz w:val="22"/>
          <w:szCs w:val="22"/>
          <w:color w:val="auto"/>
        </w:rPr>
        <w:t>”) to this Agreement are incorporated herein by reference, and taken together with this Agreement, shall constitute but a single agreement. These Recitals shall be construed as part of this Agreement.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NOW, THEREFORE, in consideration of the premises and the mutual covenants hereinafter contained, and for other good and valuable consideration, the parties hereto agree as follows: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DEFINITIONS, ACCOUNTING PRINCIPLES AND OTHER INTERPRETIVE MATTERS.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1.1 </w:t>
      </w: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w:t>
      </w:r>
    </w:p>
    <w:p>
      <w:pPr>
        <w:spacing w:after="0" w:line="220" w:lineRule="exact"/>
        <w:rPr>
          <w:sz w:val="20"/>
          <w:szCs w:val="20"/>
          <w:color w:val="auto"/>
        </w:rPr>
      </w:pPr>
    </w:p>
    <w:p>
      <w:pPr>
        <w:jc w:val="both"/>
        <w:ind w:firstLine="661"/>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2022 Notes</w:t>
      </w:r>
      <w:r>
        <w:rPr>
          <w:rFonts w:ascii="Arial" w:cs="Arial" w:eastAsia="Arial" w:hAnsi="Arial"/>
          <w:sz w:val="22"/>
          <w:szCs w:val="22"/>
          <w:color w:val="auto"/>
        </w:rPr>
        <w:t>” means Parent Borrower’s 6.50% Senior Notes due 2022 issued on June 9, 2015 in an initial aggregate principal amount of $1,600,000,000.</w:t>
      </w:r>
    </w:p>
    <w:p>
      <w:pPr>
        <w:spacing w:after="0" w:line="175"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2022 Notes Indenture</w:t>
      </w:r>
      <w:r>
        <w:rPr>
          <w:rFonts w:ascii="Arial" w:cs="Arial" w:eastAsia="Arial" w:hAnsi="Arial"/>
          <w:sz w:val="22"/>
          <w:szCs w:val="22"/>
          <w:color w:val="auto"/>
        </w:rPr>
        <w:t>” means the Indenture dated as of June 9, 2015 among Parent Borrower and The Bank of New York Mellon Trust Company, N.A., a national banking association, as trustee, The Bank of New York Mellon, London Branch as London paying agent and The Bank of New York Mellon (Luxembourg) S.A. as Luxembourg paying agent, under which the 2022 Notes were issued.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2022 Notes Offering Memorandum</w:t>
      </w:r>
      <w:r>
        <w:rPr>
          <w:rFonts w:ascii="Arial" w:cs="Arial" w:eastAsia="Arial" w:hAnsi="Arial"/>
          <w:sz w:val="21"/>
          <w:szCs w:val="21"/>
          <w:color w:val="auto"/>
        </w:rPr>
        <w:t>” means the “Offering Memorandum” (as defined in the 2022 Notes Indenture).</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2022 Notes Transactions</w:t>
      </w:r>
      <w:r>
        <w:rPr>
          <w:rFonts w:ascii="Arial" w:cs="Arial" w:eastAsia="Arial" w:hAnsi="Arial"/>
          <w:sz w:val="22"/>
          <w:szCs w:val="22"/>
          <w:color w:val="auto"/>
        </w:rPr>
        <w:t>” means the “Transactions” (as defined in the 2022 Notes Indenture).</w:t>
      </w:r>
    </w:p>
    <w:p>
      <w:pPr>
        <w:spacing w:after="0" w:line="220"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2023 Notes</w:t>
      </w:r>
      <w:r>
        <w:rPr>
          <w:rFonts w:ascii="Arial" w:cs="Arial" w:eastAsia="Arial" w:hAnsi="Arial"/>
          <w:sz w:val="22"/>
          <w:szCs w:val="22"/>
          <w:color w:val="auto"/>
        </w:rPr>
        <w:t>” means Parent Borrower’s 6.125% Senior Notes due 2023 issued on August 25, 2016 in an initial aggregate principal amount of $535,000,000.</w:t>
      </w:r>
    </w:p>
    <w:p>
      <w:pPr>
        <w:spacing w:after="0" w:line="175" w:lineRule="exact"/>
        <w:rPr>
          <w:sz w:val="20"/>
          <w:szCs w:val="20"/>
          <w:color w:val="auto"/>
        </w:rPr>
      </w:pPr>
    </w:p>
    <w:p>
      <w:pPr>
        <w:jc w:val="both"/>
        <w:ind w:right="20" w:firstLine="52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2023 Notes Indenture</w:t>
      </w:r>
      <w:r>
        <w:rPr>
          <w:rFonts w:ascii="Arial" w:cs="Arial" w:eastAsia="Arial" w:hAnsi="Arial"/>
          <w:sz w:val="22"/>
          <w:szCs w:val="22"/>
          <w:color w:val="auto"/>
        </w:rPr>
        <w:t>” means the Indenture dated as of August 25, 2016 among Parent Borrower and The Bank of New York Mellon Trust Company, N.A., as trustee, under which the 2023 Notes were issued.</w:t>
      </w:r>
    </w:p>
    <w:p>
      <w:pPr>
        <w:spacing w:after="0" w:line="175"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2024 Notes</w:t>
      </w:r>
      <w:r>
        <w:rPr>
          <w:rFonts w:ascii="Arial" w:cs="Arial" w:eastAsia="Arial" w:hAnsi="Arial"/>
          <w:sz w:val="22"/>
          <w:szCs w:val="22"/>
          <w:color w:val="auto"/>
        </w:rPr>
        <w:t>” means Parent Borrower’s 6.750% Senior Notes due 2024 issued on February 22, 2019 in an initial aggregate principal amount of $1,000,000,000.</w:t>
      </w:r>
    </w:p>
    <w:p>
      <w:pPr>
        <w:spacing w:after="0" w:line="175"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2024 Notes Indenture</w:t>
      </w:r>
      <w:r>
        <w:rPr>
          <w:rFonts w:ascii="Arial" w:cs="Arial" w:eastAsia="Arial" w:hAnsi="Arial"/>
          <w:sz w:val="22"/>
          <w:szCs w:val="22"/>
          <w:color w:val="auto"/>
        </w:rPr>
        <w:t>” means the Indenture dated as of February 22, 2019 among Parent Borrower and Wells Fargo Bank, National Association, as trustee, under which the 2024 Notes were issued.</w:t>
      </w:r>
    </w:p>
    <w:p>
      <w:pPr>
        <w:spacing w:after="0" w:line="175" w:lineRule="exact"/>
        <w:rPr>
          <w:sz w:val="20"/>
          <w:szCs w:val="20"/>
          <w:color w:val="auto"/>
        </w:rPr>
      </w:pPr>
    </w:p>
    <w:p>
      <w:pPr>
        <w:jc w:val="both"/>
        <w:ind w:firstLine="67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30 Day Availability</w:t>
      </w:r>
      <w:r>
        <w:rPr>
          <w:rFonts w:ascii="Arial" w:cs="Arial" w:eastAsia="Arial" w:hAnsi="Arial"/>
          <w:sz w:val="22"/>
          <w:szCs w:val="22"/>
          <w:color w:val="auto"/>
        </w:rPr>
        <w:t>” means the quotient obtained by dividing (a) the sum of each day’s Availability during the 30-consecutive day period immediately preceding a proposed transaction by (b) 30.</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AAR</w:t>
      </w:r>
      <w:r>
        <w:rPr>
          <w:rFonts w:ascii="Arial" w:cs="Arial" w:eastAsia="Arial" w:hAnsi="Arial"/>
          <w:sz w:val="22"/>
          <w:szCs w:val="22"/>
          <w:color w:val="auto"/>
        </w:rPr>
        <w:t>” means the Association of American Railroads or any successor thereto.</w:t>
      </w:r>
    </w:p>
    <w:p>
      <w:pPr>
        <w:sectPr>
          <w:pgSz w:w="11900" w:h="16838" w:orient="portrait"/>
          <w:cols w:equalWidth="0" w:num="1">
            <w:col w:w="11240"/>
          </w:cols>
          <w:pgMar w:left="320" w:top="1428" w:right="339" w:bottom="1440" w:gutter="0" w:footer="0" w:header="0"/>
        </w:sectPr>
      </w:pPr>
    </w:p>
    <w:bookmarkStart w:id="103" w:name="page104"/>
    <w:bookmarkEnd w:id="103"/>
    <w:p>
      <w:pPr>
        <w:jc w:val="both"/>
        <w:ind w:firstLine="729"/>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AAR Rules</w:t>
      </w:r>
      <w:r>
        <w:rPr>
          <w:rFonts w:ascii="Arial" w:cs="Arial" w:eastAsia="Arial" w:hAnsi="Arial"/>
          <w:sz w:val="21"/>
          <w:szCs w:val="21"/>
          <w:color w:val="auto"/>
        </w:rPr>
        <w:t>” means the Code of Car Service Rules/Code of Car Hire Rules contained in AAR Circular OT-10 as promulgated in the Official Railway Equipment Register, as in effect from time to time, or any successor thereto.</w:t>
      </w:r>
    </w:p>
    <w:p>
      <w:pPr>
        <w:spacing w:after="0" w:line="151" w:lineRule="exact"/>
        <w:rPr>
          <w:sz w:val="20"/>
          <w:szCs w:val="20"/>
          <w:color w:val="auto"/>
        </w:rPr>
      </w:pPr>
    </w:p>
    <w:p>
      <w:pPr>
        <w:jc w:val="both"/>
        <w:ind w:firstLine="52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ABL Fixed Charges</w:t>
      </w:r>
      <w:r>
        <w:rPr>
          <w:rFonts w:ascii="Arial" w:cs="Arial" w:eastAsia="Arial" w:hAnsi="Arial"/>
          <w:sz w:val="19"/>
          <w:szCs w:val="19"/>
          <w:color w:val="auto"/>
        </w:rPr>
        <w:t xml:space="preserve">” means, for any period, the sum of (a) any scheduled amortization payments paid or payable during such period on all Indebtedness of Parent Borrower and its Subsidiaries (including the principal component of all obligations in respect of all Capitalized Lease Obligations),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consolidated cash Interest Expense of Parent Borrower and its Subsidiaries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all dividends paid in cash on any series of Disqualified Capital Stock or Preferred Stock of Parent Borrower and its Restricted Subsidiaries, other than dividends payable solely in Qualified Capital Stock of Parent Borrower or to Parent Borrower or a Restricted Subsidiary of Parent Borrower, in each case, on a consolidated basis in accordance with GAAP.</w:t>
      </w:r>
    </w:p>
    <w:p>
      <w:pPr>
        <w:spacing w:after="0" w:line="149" w:lineRule="exact"/>
        <w:rPr>
          <w:sz w:val="20"/>
          <w:szCs w:val="20"/>
          <w:color w:val="auto"/>
        </w:rPr>
      </w:pPr>
    </w:p>
    <w:p>
      <w:pPr>
        <w:jc w:val="both"/>
        <w:ind w:firstLine="432"/>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ABL Intercreditor Agreement</w:t>
      </w:r>
      <w:r>
        <w:rPr>
          <w:rFonts w:ascii="Arial" w:cs="Arial" w:eastAsia="Arial" w:hAnsi="Arial"/>
          <w:sz w:val="22"/>
          <w:szCs w:val="22"/>
          <w:color w:val="auto"/>
        </w:rPr>
        <w:t xml:space="preserve">” means the intercreditor agreement dated as of the Restatement Date among Agent, the Term Administrative Agent and the Credit Parties, substantially in the form of </w:t>
      </w:r>
      <w:r>
        <w:rPr>
          <w:rFonts w:ascii="Arial" w:cs="Arial" w:eastAsia="Arial" w:hAnsi="Arial"/>
          <w:sz w:val="22"/>
          <w:szCs w:val="22"/>
          <w:u w:val="single" w:color="auto"/>
          <w:color w:val="auto"/>
        </w:rPr>
        <w:t>Exhibit 1.1</w:t>
      </w:r>
      <w:r>
        <w:rPr>
          <w:rFonts w:ascii="Arial" w:cs="Arial" w:eastAsia="Arial" w:hAnsi="Arial"/>
          <w:sz w:val="22"/>
          <w:szCs w:val="22"/>
          <w:color w:val="auto"/>
        </w:rPr>
        <w:t xml:space="preserve">, as the same may be amended, restated, supplemented or otherwise modified from time to time, or any other intercreditor agreement among the Term Administrative Agent, Agent and the Credit Parties on terms that are not less favorable in any material respect to the Secured Parties than those contained in the form attached as </w:t>
      </w:r>
      <w:r>
        <w:rPr>
          <w:rFonts w:ascii="Arial" w:cs="Arial" w:eastAsia="Arial" w:hAnsi="Arial"/>
          <w:sz w:val="22"/>
          <w:szCs w:val="22"/>
          <w:u w:val="single" w:color="auto"/>
          <w:color w:val="auto"/>
        </w:rPr>
        <w:t>Exhibit 1.1</w:t>
      </w:r>
      <w:r>
        <w:rPr>
          <w:rFonts w:ascii="Arial" w:cs="Arial" w:eastAsia="Arial" w:hAnsi="Arial"/>
          <w:sz w:val="22"/>
          <w:szCs w:val="22"/>
          <w:color w:val="auto"/>
        </w:rPr>
        <w: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ABL Priority Collateral</w:t>
      </w:r>
      <w:r>
        <w:rPr>
          <w:rFonts w:ascii="Arial" w:cs="Arial" w:eastAsia="Arial" w:hAnsi="Arial"/>
          <w:sz w:val="22"/>
          <w:szCs w:val="22"/>
          <w:color w:val="auto"/>
        </w:rPr>
        <w:t>” has the meaning specified in the ABL Intercreditor Agreement.</w:t>
      </w:r>
    </w:p>
    <w:p>
      <w:pPr>
        <w:spacing w:after="0" w:line="22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w:t>
      </w:r>
      <w:r>
        <w:rPr>
          <w:rFonts w:ascii="Arial" w:cs="Arial" w:eastAsia="Arial" w:hAnsi="Arial"/>
          <w:sz w:val="22"/>
          <w:szCs w:val="22"/>
          <w:color w:val="auto"/>
        </w:rPr>
        <w:t>” means all “accounts” as defined in the Code or the PPSA, as applicable, now owned or hereafter acquired by any Credit Party.</w:t>
      </w:r>
    </w:p>
    <w:p>
      <w:pPr>
        <w:spacing w:after="0" w:line="175" w:lineRule="exact"/>
        <w:rPr>
          <w:sz w:val="20"/>
          <w:szCs w:val="20"/>
          <w:color w:val="auto"/>
        </w:rPr>
      </w:pPr>
    </w:p>
    <w:p>
      <w:pPr>
        <w:jc w:val="both"/>
        <w:ind w:firstLine="553"/>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 Debtor</w:t>
      </w:r>
      <w:r>
        <w:rPr>
          <w:rFonts w:ascii="Arial" w:cs="Arial" w:eastAsia="Arial" w:hAnsi="Arial"/>
          <w:sz w:val="22"/>
          <w:szCs w:val="22"/>
          <w:color w:val="auto"/>
        </w:rPr>
        <w:t>” means any Person who may become obligated to any Credit Party on account of, an Account, Chattel Paper or General Intangibles (including a payment intangible).</w:t>
      </w:r>
    </w:p>
    <w:p>
      <w:pPr>
        <w:spacing w:after="0" w:line="175" w:lineRule="exact"/>
        <w:rPr>
          <w:sz w:val="20"/>
          <w:szCs w:val="20"/>
          <w:color w:val="auto"/>
        </w:rPr>
      </w:pPr>
    </w:p>
    <w:p>
      <w:pPr>
        <w:jc w:val="both"/>
        <w:ind w:firstLine="499"/>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Acquired Indebtedness</w:t>
      </w:r>
      <w:r>
        <w:rPr>
          <w:rFonts w:ascii="Arial" w:cs="Arial" w:eastAsia="Arial" w:hAnsi="Arial"/>
          <w:sz w:val="22"/>
          <w:szCs w:val="22"/>
          <w:color w:val="auto"/>
        </w:rPr>
        <w:t>” means, with respect to any specified Person: (1) Indebtedness of any other Person existing at the time such other Person is merged, consolidated or amalgamated with or into or became a Restricted Subsidiary of such specified Person, and (2) Indebtedness secured by a Lien encumbering any asset acquired by such specified Person. Acquired Indebtedness will be deemed to have been Incurred, with respect to clause (1) of the preceding sentence, on the date such Person becomes a Restricted Subsidiary and, with respect to clause (2) of the preceding sentence, on the date of consummation of such acquisition of such assets.</w:t>
      </w:r>
    </w:p>
    <w:p>
      <w:pPr>
        <w:spacing w:after="0" w:line="193" w:lineRule="exact"/>
        <w:rPr>
          <w:sz w:val="20"/>
          <w:szCs w:val="20"/>
          <w:color w:val="auto"/>
        </w:rPr>
      </w:pPr>
    </w:p>
    <w:p>
      <w:pPr>
        <w:jc w:val="both"/>
        <w:ind w:firstLine="445"/>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w:t>
      </w:r>
      <w:r>
        <w:rPr>
          <w:rFonts w:ascii="Arial" w:cs="Arial" w:eastAsia="Arial" w:hAnsi="Arial"/>
          <w:sz w:val="19"/>
          <w:szCs w:val="19"/>
          <w:color w:val="auto"/>
        </w:rPr>
        <w:t>” means, with respect to any Person, (a) the acquisition by such Person of the Capital Stock of any other Person resulting in such other Person becoming a Subsidiary of such Person, (b) the acquisition by such Person of all or substantially all of the assets of any other Person or of a division or business line of such Person, or (c) any merger, amalgamation or consolidation of such Person or a Subsidiary of such Person with any other Person so long as the surviving or continuing entity of such merger, amalgamation or consolidation is such Person or a Subsidiary of such Person.</w:t>
      </w:r>
    </w:p>
    <w:p>
      <w:pPr>
        <w:sectPr>
          <w:pgSz w:w="11900" w:h="16838" w:orient="portrait"/>
          <w:cols w:equalWidth="0" w:num="1">
            <w:col w:w="11240"/>
          </w:cols>
          <w:pgMar w:left="320" w:top="1428" w:right="339" w:bottom="1440" w:gutter="0" w:footer="0" w:header="0"/>
        </w:sectPr>
      </w:pPr>
    </w:p>
    <w:bookmarkStart w:id="104" w:name="page105"/>
    <w:bookmarkEnd w:id="104"/>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Activation Event</w:t>
      </w:r>
      <w:r>
        <w:rPr>
          <w:rFonts w:ascii="Arial" w:cs="Arial" w:eastAsia="Arial" w:hAnsi="Arial"/>
          <w:sz w:val="22"/>
          <w:szCs w:val="22"/>
          <w:color w:val="auto"/>
        </w:rPr>
        <w:t>” and “</w:t>
      </w:r>
      <w:r>
        <w:rPr>
          <w:rFonts w:ascii="Arial" w:cs="Arial" w:eastAsia="Arial" w:hAnsi="Arial"/>
          <w:sz w:val="22"/>
          <w:szCs w:val="22"/>
          <w:u w:val="single" w:color="auto"/>
          <w:color w:val="auto"/>
        </w:rPr>
        <w:t>Activation Notice</w:t>
      </w:r>
      <w:r>
        <w:rPr>
          <w:rFonts w:ascii="Arial" w:cs="Arial" w:eastAsia="Arial" w:hAnsi="Arial"/>
          <w:sz w:val="22"/>
          <w:szCs w:val="22"/>
          <w:color w:val="auto"/>
        </w:rPr>
        <w:t xml:space="preserve">” have the meanings specified in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pacing w:after="0" w:line="220" w:lineRule="exact"/>
        <w:rPr>
          <w:sz w:val="20"/>
          <w:szCs w:val="20"/>
          <w:color w:val="auto"/>
        </w:rPr>
      </w:pPr>
    </w:p>
    <w:p>
      <w:pPr>
        <w:jc w:val="both"/>
        <w:ind w:firstLine="445"/>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Additional Refinancing Amount</w:t>
      </w:r>
      <w:r>
        <w:rPr>
          <w:rFonts w:ascii="Arial" w:cs="Arial" w:eastAsia="Arial" w:hAnsi="Arial"/>
          <w:sz w:val="19"/>
          <w:szCs w:val="19"/>
          <w:color w:val="auto"/>
        </w:rPr>
        <w:t>” means, in connection with the Incurrence of any Refinancing Indebtedness, the aggregate principal amount of additional Indebtedness, Disqualified Capital Stock or Preferred Stock Incurred to pay accrued and unpaid interest, premiums (including tender premiums), expenses, defeasance costs and fees in respect thereof.</w:t>
      </w:r>
    </w:p>
    <w:p>
      <w:pPr>
        <w:spacing w:after="0" w:line="133" w:lineRule="exact"/>
        <w:rPr>
          <w:sz w:val="20"/>
          <w:szCs w:val="20"/>
          <w:color w:val="auto"/>
        </w:rPr>
      </w:pPr>
    </w:p>
    <w:p>
      <w:pPr>
        <w:jc w:val="both"/>
        <w:ind w:firstLine="52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Services Agreement</w:t>
      </w:r>
      <w:r>
        <w:rPr>
          <w:rFonts w:ascii="Arial" w:cs="Arial" w:eastAsia="Arial" w:hAnsi="Arial"/>
          <w:sz w:val="22"/>
          <w:szCs w:val="22"/>
          <w:color w:val="auto"/>
        </w:rPr>
        <w:t>” means that certain Administrative Services Agreement, dated October 15, 2001, by and between XPO Intermodal and Greenbrier Leasing Company LLC, as amended, restated, supplemented or otherwise modified from time to time.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Advance</w:t>
      </w:r>
      <w:r>
        <w:rPr>
          <w:rFonts w:ascii="Arial" w:cs="Arial" w:eastAsia="Arial" w:hAnsi="Arial"/>
          <w:sz w:val="22"/>
          <w:szCs w:val="22"/>
          <w:color w:val="auto"/>
        </w:rPr>
        <w:t>” means any Revolving Credit Advance or Swing Line Advance, as the context may require.</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0000FF"/>
        </w:rPr>
        <w:t>“Affected Financial Institution” means (a) any EEA Financial Institution or (b) any UK Financial Institution</w:t>
      </w:r>
      <w:r>
        <w:rPr>
          <w:rFonts w:ascii="Arial" w:cs="Arial" w:eastAsia="Arial" w:hAnsi="Arial"/>
          <w:sz w:val="22"/>
          <w:szCs w:val="22"/>
          <w:b w:val="1"/>
          <w:bCs w:val="1"/>
          <w:i w:val="1"/>
          <w:iCs w:val="1"/>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62484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248400" cy="8255"/>
                    </a:xfrm>
                    <a:prstGeom prst="rect">
                      <a:avLst/>
                    </a:prstGeom>
                    <a:noFill/>
                  </pic:spPr>
                </pic:pic>
              </a:graphicData>
            </a:graphic>
          </wp:anchor>
        </w:drawing>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L/C Issuer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2.14(d)</w:t>
      </w:r>
      <w:r>
        <w:rPr>
          <w:rFonts w:ascii="Arial" w:cs="Arial" w:eastAsia="Arial" w:hAnsi="Arial"/>
          <w:sz w:val="22"/>
          <w:szCs w:val="22"/>
          <w:color w:val="auto"/>
        </w:rPr>
        <w:t>.</w:t>
      </w:r>
    </w:p>
    <w:p>
      <w:pPr>
        <w:spacing w:after="0" w:line="220" w:lineRule="exact"/>
        <w:rPr>
          <w:sz w:val="20"/>
          <w:szCs w:val="20"/>
          <w:color w:val="auto"/>
        </w:rPr>
      </w:pPr>
    </w:p>
    <w:p>
      <w:pPr>
        <w:jc w:val="both"/>
        <w:ind w:firstLine="459"/>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 Notwithstanding the foregoing, the term “</w:t>
      </w:r>
      <w:r>
        <w:rPr>
          <w:rFonts w:ascii="Arial" w:cs="Arial" w:eastAsia="Arial" w:hAnsi="Arial"/>
          <w:sz w:val="19"/>
          <w:szCs w:val="19"/>
          <w:u w:val="single" w:color="auto"/>
          <w:color w:val="auto"/>
        </w:rPr>
        <w:t>Affiliate</w:t>
      </w:r>
      <w:r>
        <w:rPr>
          <w:rFonts w:ascii="Arial" w:cs="Arial" w:eastAsia="Arial" w:hAnsi="Arial"/>
          <w:sz w:val="19"/>
          <w:szCs w:val="19"/>
          <w:color w:val="auto"/>
        </w:rPr>
        <w:t>” shall specifically exclude Agent, each Co-Collateral Agent, each Lender, each L/C Issuer and each Lead Arranger.</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Transaction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7.5(a)</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has the meaning specified in the preamble to this Agreement.</w:t>
      </w:r>
    </w:p>
    <w:p>
      <w:pPr>
        <w:spacing w:after="0" w:line="220" w:lineRule="exact"/>
        <w:rPr>
          <w:sz w:val="20"/>
          <w:szCs w:val="20"/>
          <w:color w:val="auto"/>
        </w:rPr>
      </w:pPr>
    </w:p>
    <w:p>
      <w:pPr>
        <w:jc w:val="both"/>
        <w:ind w:right="20" w:firstLine="472"/>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Aggregate Revolving Credit Exposure</w:t>
      </w:r>
      <w:r>
        <w:rPr>
          <w:rFonts w:ascii="Arial" w:cs="Arial" w:eastAsia="Arial" w:hAnsi="Arial"/>
          <w:sz w:val="22"/>
          <w:szCs w:val="22"/>
          <w:color w:val="auto"/>
        </w:rPr>
        <w:t>” means, at any time, the sum of (a) the aggregate amount of U.S. Loans and (b) the aggregate amount of Canadian Loans, in each case at such time.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specified in the preamble to this Agreement.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Allocable Amount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13.7(b)</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Alternative Currency</w:t>
      </w:r>
      <w:r>
        <w:rPr>
          <w:rFonts w:ascii="Arial" w:cs="Arial" w:eastAsia="Arial" w:hAnsi="Arial"/>
          <w:sz w:val="21"/>
          <w:szCs w:val="21"/>
          <w:color w:val="auto"/>
        </w:rPr>
        <w:t>” means each of Euros, Pounds Sterling, Singapore Dollars and each other currency (other than Dollars and Canadian Dollars) that is approved by the applicable L/C Issuer in accordance with Section 1.4.</w:t>
      </w:r>
    </w:p>
    <w:p>
      <w:pPr>
        <w:sectPr>
          <w:pgSz w:w="11900" w:h="16838" w:orient="portrait"/>
          <w:cols w:equalWidth="0" w:num="1">
            <w:col w:w="11240"/>
          </w:cols>
          <w:pgMar w:left="320" w:top="1428" w:right="339" w:bottom="1440" w:gutter="0" w:footer="0" w:header="0"/>
        </w:sectPr>
      </w:pPr>
    </w:p>
    <w:bookmarkStart w:id="105" w:name="page106"/>
    <w:bookmarkEnd w:id="105"/>
    <w:p>
      <w:pPr>
        <w:jc w:val="both"/>
        <w:ind w:firstLine="661"/>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3</w:t>
      </w:r>
      <w:r>
        <w:rPr>
          <w:rFonts w:ascii="Arial" w:cs="Arial" w:eastAsia="Arial" w:hAnsi="Arial"/>
          <w:sz w:val="22"/>
          <w:szCs w:val="22"/>
          <w:color w:val="auto"/>
        </w:rPr>
        <w:t>” means that certain Amendment No. 3 to Second Amended and Restated Revolving Loan Credit Agreement dated as of April 30, 2019 by and among the Parent Borrower, the other Credit Parties party thereto, certain Lenders and other parties signatory thereto, and Agent.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3 Effective Date</w:t>
      </w:r>
      <w:r>
        <w:rPr>
          <w:rFonts w:ascii="Arial" w:cs="Arial" w:eastAsia="Arial" w:hAnsi="Arial"/>
          <w:sz w:val="22"/>
          <w:szCs w:val="22"/>
          <w:color w:val="auto"/>
        </w:rPr>
        <w:t>” means April 30, 2019.</w:t>
      </w:r>
    </w:p>
    <w:p>
      <w:pPr>
        <w:spacing w:after="0" w:line="220" w:lineRule="exact"/>
        <w:rPr>
          <w:sz w:val="20"/>
          <w:szCs w:val="20"/>
          <w:color w:val="auto"/>
        </w:rPr>
      </w:pPr>
    </w:p>
    <w:p>
      <w:pPr>
        <w:jc w:val="both"/>
        <w:ind w:firstLine="666"/>
        <w:spacing w:after="0" w:line="253" w:lineRule="auto"/>
        <w:rPr>
          <w:sz w:val="20"/>
          <w:szCs w:val="20"/>
          <w:color w:val="auto"/>
        </w:rPr>
      </w:pPr>
      <w:r>
        <w:rPr>
          <w:rFonts w:ascii="Arial" w:cs="Arial" w:eastAsia="Arial" w:hAnsi="Arial"/>
          <w:sz w:val="22"/>
          <w:szCs w:val="22"/>
          <w:color w:val="0000FF"/>
        </w:rPr>
        <w:t xml:space="preserve">“Amendment No. 5” means that certain Amendment No. 5 to Second Amended and Restated Revolving Loan Credit </w:t>
      </w:r>
      <w:r>
        <w:rPr>
          <w:rFonts w:ascii="Arial" w:cs="Arial" w:eastAsia="Arial" w:hAnsi="Arial"/>
          <w:sz w:val="22"/>
          <w:szCs w:val="22"/>
          <w:u w:val="single" w:color="auto"/>
          <w:color w:val="0000FF"/>
        </w:rPr>
        <w:t>Agreement dated as of June 29, 2020 by and among the Parent Borrower, the other Credit Parties party thereto, certain Lenders and other parties signatory thereto, and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266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26605" cy="8255"/>
                    </a:xfrm>
                    <a:prstGeom prst="rect">
                      <a:avLst/>
                    </a:prstGeom>
                    <a:noFill/>
                  </pic:spPr>
                </pic:pic>
              </a:graphicData>
            </a:graphic>
          </wp:anchor>
        </w:drawing>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22"/>
          <w:szCs w:val="22"/>
          <w:color w:val="0000FF"/>
        </w:rPr>
        <w:t>“Amendment No. 5 Effective Date” means June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4601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3460115" cy="8255"/>
                    </a:xfrm>
                    <a:prstGeom prst="rect">
                      <a:avLst/>
                    </a:prstGeom>
                    <a:noFill/>
                  </pic:spPr>
                </pic:pic>
              </a:graphicData>
            </a:graphic>
          </wp:anchor>
        </w:drawing>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Appendices</w:t>
      </w:r>
      <w:r>
        <w:rPr>
          <w:rFonts w:ascii="Arial" w:cs="Arial" w:eastAsia="Arial" w:hAnsi="Arial"/>
          <w:sz w:val="22"/>
          <w:szCs w:val="22"/>
          <w:color w:val="auto"/>
        </w:rPr>
        <w:t>” has the meaning specified in the recitals to this Agreement.</w:t>
      </w:r>
    </w:p>
    <w:p>
      <w:pPr>
        <w:spacing w:after="0" w:line="220" w:lineRule="exact"/>
        <w:rPr>
          <w:sz w:val="20"/>
          <w:szCs w:val="20"/>
          <w:color w:val="auto"/>
        </w:rPr>
      </w:pPr>
    </w:p>
    <w:p>
      <w:pPr>
        <w:jc w:val="both"/>
        <w:ind w:firstLine="499"/>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Commitment Fee Percentage</w:t>
      </w:r>
      <w:r>
        <w:rPr>
          <w:rFonts w:ascii="Arial" w:cs="Arial" w:eastAsia="Arial" w:hAnsi="Arial"/>
          <w:sz w:val="22"/>
          <w:szCs w:val="22"/>
          <w:color w:val="auto"/>
        </w:rPr>
        <w:t>” means, for any day, the applicable percentage set forth below under the caption “Applicable Commitment Fee Percentage” based upon the Quarterly Average Unused Revolving Facility Balance as of the last day of the most recently ended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6995160" cy="12515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6995160" cy="125158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520" w:type="dxa"/>
            <w:vAlign w:val="bottom"/>
            <w:tcBorders>
              <w:bottom w:val="single" w:sz="8" w:color="808080"/>
            </w:tcBorders>
          </w:tcPr>
          <w:p>
            <w:pPr>
              <w:jc w:val="center"/>
              <w:ind w:right="492"/>
              <w:spacing w:after="0"/>
              <w:rPr>
                <w:sz w:val="20"/>
                <w:szCs w:val="20"/>
                <w:color w:val="auto"/>
              </w:rPr>
            </w:pPr>
            <w:r>
              <w:rPr>
                <w:rFonts w:ascii="Arial" w:cs="Arial" w:eastAsia="Arial" w:hAnsi="Arial"/>
                <w:sz w:val="22"/>
                <w:szCs w:val="22"/>
                <w:color w:val="auto"/>
                <w:w w:val="90"/>
              </w:rPr>
              <w:t>Quarterly Average Unused Revolving Facility Balance</w:t>
            </w:r>
          </w:p>
        </w:tc>
        <w:tc>
          <w:tcPr>
            <w:tcW w:w="5500" w:type="dxa"/>
            <w:vAlign w:val="bottom"/>
            <w:tcBorders>
              <w:bottom w:val="single" w:sz="8" w:color="808080"/>
            </w:tcBorders>
          </w:tcPr>
          <w:p>
            <w:pPr>
              <w:jc w:val="center"/>
              <w:ind w:right="492"/>
              <w:spacing w:after="0"/>
              <w:rPr>
                <w:sz w:val="20"/>
                <w:szCs w:val="20"/>
                <w:color w:val="auto"/>
              </w:rPr>
            </w:pPr>
            <w:r>
              <w:rPr>
                <w:rFonts w:ascii="Arial" w:cs="Arial" w:eastAsia="Arial" w:hAnsi="Arial"/>
                <w:sz w:val="22"/>
                <w:szCs w:val="22"/>
                <w:color w:val="auto"/>
                <w:w w:val="88"/>
              </w:rPr>
              <w:t>Applicable Commitment Fee Percentage</w:t>
            </w:r>
          </w:p>
        </w:tc>
      </w:tr>
      <w:tr>
        <w:trPr>
          <w:trHeight w:val="276"/>
        </w:trPr>
        <w:tc>
          <w:tcPr>
            <w:tcW w:w="5520" w:type="dxa"/>
            <w:vAlign w:val="bottom"/>
          </w:tcPr>
          <w:p>
            <w:pPr>
              <w:jc w:val="center"/>
              <w:ind w:right="492"/>
              <w:spacing w:after="0"/>
              <w:rPr>
                <w:sz w:val="20"/>
                <w:szCs w:val="20"/>
                <w:color w:val="auto"/>
              </w:rPr>
            </w:pPr>
            <w:r>
              <w:rPr>
                <w:rFonts w:ascii="Arial" w:cs="Arial" w:eastAsia="Arial" w:hAnsi="Arial"/>
                <w:sz w:val="22"/>
                <w:szCs w:val="22"/>
                <w:i w:val="1"/>
                <w:iCs w:val="1"/>
                <w:color w:val="auto"/>
                <w:w w:val="89"/>
              </w:rPr>
              <w:t>Category 1</w:t>
            </w:r>
          </w:p>
        </w:tc>
        <w:tc>
          <w:tcPr>
            <w:tcW w:w="5500" w:type="dxa"/>
            <w:vAlign w:val="bottom"/>
          </w:tcPr>
          <w:p>
            <w:pPr>
              <w:jc w:val="center"/>
              <w:ind w:right="492"/>
              <w:spacing w:after="0"/>
              <w:rPr>
                <w:sz w:val="20"/>
                <w:szCs w:val="20"/>
                <w:color w:val="auto"/>
              </w:rPr>
            </w:pPr>
            <w:r>
              <w:rPr>
                <w:rFonts w:ascii="Arial" w:cs="Arial" w:eastAsia="Arial" w:hAnsi="Arial"/>
                <w:sz w:val="22"/>
                <w:szCs w:val="22"/>
                <w:color w:val="auto"/>
                <w:w w:val="88"/>
              </w:rPr>
              <w:t xml:space="preserve">0.25% </w:t>
            </w:r>
            <w:r>
              <w:rPr>
                <w:rFonts w:ascii="Arial" w:cs="Arial" w:eastAsia="Arial" w:hAnsi="Arial"/>
                <w:sz w:val="22"/>
                <w:szCs w:val="22"/>
                <w:i w:val="1"/>
                <w:iCs w:val="1"/>
                <w:color w:val="auto"/>
                <w:w w:val="88"/>
              </w:rPr>
              <w:t>per annum</w:t>
            </w:r>
          </w:p>
        </w:tc>
      </w:tr>
      <w:tr>
        <w:trPr>
          <w:trHeight w:val="274"/>
        </w:trPr>
        <w:tc>
          <w:tcPr>
            <w:tcW w:w="5520" w:type="dxa"/>
            <w:vAlign w:val="bottom"/>
          </w:tcPr>
          <w:p>
            <w:pPr>
              <w:jc w:val="center"/>
              <w:ind w:right="472"/>
              <w:spacing w:after="0"/>
              <w:rPr>
                <w:sz w:val="20"/>
                <w:szCs w:val="20"/>
                <w:color w:val="auto"/>
              </w:rPr>
            </w:pPr>
            <w:r>
              <w:rPr>
                <w:rFonts w:ascii="Arial" w:cs="Arial" w:eastAsia="Arial" w:hAnsi="Arial"/>
                <w:sz w:val="22"/>
                <w:szCs w:val="22"/>
                <w:i w:val="1"/>
                <w:iCs w:val="1"/>
                <w:color w:val="auto"/>
                <w:w w:val="89"/>
              </w:rPr>
              <w:t>&gt; 60% of the Total Commitments</w:t>
            </w:r>
          </w:p>
        </w:tc>
        <w:tc>
          <w:tcPr>
            <w:tcW w:w="5500" w:type="dxa"/>
            <w:vAlign w:val="bottom"/>
          </w:tcPr>
          <w:p>
            <w:pPr>
              <w:spacing w:after="0"/>
              <w:rPr>
                <w:sz w:val="23"/>
                <w:szCs w:val="23"/>
                <w:color w:val="auto"/>
              </w:rPr>
            </w:pPr>
          </w:p>
        </w:tc>
      </w:tr>
      <w:tr>
        <w:trPr>
          <w:trHeight w:val="260"/>
        </w:trPr>
        <w:tc>
          <w:tcPr>
            <w:tcW w:w="5520" w:type="dxa"/>
            <w:vAlign w:val="bottom"/>
            <w:tcBorders>
              <w:bottom w:val="single" w:sz="8" w:color="808080"/>
            </w:tcBorders>
          </w:tcPr>
          <w:p>
            <w:pPr>
              <w:spacing w:after="0"/>
              <w:rPr>
                <w:sz w:val="22"/>
                <w:szCs w:val="22"/>
                <w:color w:val="auto"/>
              </w:rPr>
            </w:pPr>
          </w:p>
        </w:tc>
        <w:tc>
          <w:tcPr>
            <w:tcW w:w="5500" w:type="dxa"/>
            <w:vAlign w:val="bottom"/>
            <w:tcBorders>
              <w:bottom w:val="single" w:sz="8" w:color="808080"/>
            </w:tcBorders>
          </w:tcPr>
          <w:p>
            <w:pPr>
              <w:spacing w:after="0"/>
              <w:rPr>
                <w:sz w:val="22"/>
                <w:szCs w:val="22"/>
                <w:color w:val="auto"/>
              </w:rPr>
            </w:pPr>
          </w:p>
        </w:tc>
      </w:tr>
      <w:tr>
        <w:trPr>
          <w:trHeight w:val="287"/>
        </w:trPr>
        <w:tc>
          <w:tcPr>
            <w:tcW w:w="5520" w:type="dxa"/>
            <w:vAlign w:val="bottom"/>
          </w:tcPr>
          <w:p>
            <w:pPr>
              <w:jc w:val="center"/>
              <w:ind w:right="492"/>
              <w:spacing w:after="0"/>
              <w:rPr>
                <w:sz w:val="20"/>
                <w:szCs w:val="20"/>
                <w:color w:val="auto"/>
              </w:rPr>
            </w:pPr>
            <w:r>
              <w:rPr>
                <w:rFonts w:ascii="Arial" w:cs="Arial" w:eastAsia="Arial" w:hAnsi="Arial"/>
                <w:sz w:val="22"/>
                <w:szCs w:val="22"/>
                <w:i w:val="1"/>
                <w:iCs w:val="1"/>
                <w:color w:val="auto"/>
                <w:w w:val="89"/>
              </w:rPr>
              <w:t>Category 2</w:t>
            </w:r>
          </w:p>
        </w:tc>
        <w:tc>
          <w:tcPr>
            <w:tcW w:w="5500" w:type="dxa"/>
            <w:vAlign w:val="bottom"/>
          </w:tcPr>
          <w:p>
            <w:pPr>
              <w:jc w:val="center"/>
              <w:ind w:right="492"/>
              <w:spacing w:after="0"/>
              <w:rPr>
                <w:sz w:val="20"/>
                <w:szCs w:val="20"/>
                <w:color w:val="auto"/>
              </w:rPr>
            </w:pPr>
            <w:r>
              <w:rPr>
                <w:rFonts w:ascii="Arial" w:cs="Arial" w:eastAsia="Arial" w:hAnsi="Arial"/>
                <w:sz w:val="22"/>
                <w:szCs w:val="22"/>
                <w:color w:val="auto"/>
                <w:w w:val="88"/>
              </w:rPr>
              <w:t xml:space="preserve">0.20% </w:t>
            </w:r>
            <w:r>
              <w:rPr>
                <w:rFonts w:ascii="Arial" w:cs="Arial" w:eastAsia="Arial" w:hAnsi="Arial"/>
                <w:sz w:val="22"/>
                <w:szCs w:val="22"/>
                <w:i w:val="1"/>
                <w:iCs w:val="1"/>
                <w:color w:val="auto"/>
                <w:w w:val="88"/>
              </w:rPr>
              <w:t>per annum</w:t>
            </w:r>
          </w:p>
        </w:tc>
      </w:tr>
    </w:tbl>
    <w:p>
      <w:pPr>
        <w:ind w:left="1240" w:hanging="209"/>
        <w:spacing w:after="0"/>
        <w:tabs>
          <w:tab w:leader="none" w:pos="1240" w:val="left"/>
        </w:tabs>
        <w:numPr>
          <w:ilvl w:val="1"/>
          <w:numId w:val="14"/>
        </w:numPr>
        <w:rPr>
          <w:rFonts w:ascii="Arial" w:cs="Arial" w:eastAsia="Arial" w:hAnsi="Arial"/>
          <w:sz w:val="22"/>
          <w:szCs w:val="22"/>
          <w:i w:val="1"/>
          <w:iCs w:val="1"/>
          <w:u w:val="single" w:color="auto"/>
          <w:color w:val="auto"/>
        </w:rPr>
      </w:pPr>
      <w:r>
        <w:rPr>
          <w:rFonts w:ascii="Arial" w:cs="Arial" w:eastAsia="Arial" w:hAnsi="Arial"/>
          <w:sz w:val="22"/>
          <w:szCs w:val="22"/>
          <w:i w:val="1"/>
          <w:iCs w:val="1"/>
          <w:color w:val="auto"/>
        </w:rPr>
        <w:t>60% of the Total Commitments</w:t>
      </w:r>
    </w:p>
    <w:p>
      <w:pPr>
        <w:spacing w:after="0" w:line="377" w:lineRule="exact"/>
        <w:rPr>
          <w:rFonts w:ascii="Arial" w:cs="Arial" w:eastAsia="Arial" w:hAnsi="Arial"/>
          <w:sz w:val="22"/>
          <w:szCs w:val="22"/>
          <w:i w:val="1"/>
          <w:iCs w:val="1"/>
          <w:u w:val="single" w:color="auto"/>
          <w:color w:val="auto"/>
        </w:rPr>
      </w:pPr>
    </w:p>
    <w:p>
      <w:pPr>
        <w:jc w:val="both"/>
        <w:ind w:firstLine="8"/>
        <w:spacing w:after="0" w:line="288" w:lineRule="auto"/>
        <w:tabs>
          <w:tab w:leader="none" w:pos="2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Applicable Commitment Fee Percentage shall be calculated once each Fiscal Quarter, as of the last day of each such Fiscal Quarter, based upon the Quarterly Average Unused Revolving Facility Balance for such Fiscal Quarter, (ii) the Applicable Commitment Fee Percentage from the Amendment No. 3 Effective Date through and including the last day of the first Fiscal Quarter to end following the Amendment No. 3 Effective Date shall be the applicable percentage set forth in Category 2 above and thereafter shall be adjusted in accordance with the provisions hereof, (iii) in the event that Borrowers fail to provide any Borrowing Base Certificate required hereunder with respect thereto for any period on the date required hereunder, effective as of the date on which such Borrowing Base Certificate was otherwise required, the Applicable Commitment Fee Percentage shall be deemed to be Category 1 above for all purposes until the date on which such required Borrowing Base Certificate is provided, and (iv) at any time after the occurrence and during the continuance of an Event of Default, the Applicable Commitment Fee Percentage shall be deemed to be Category 1 above.</w:t>
      </w:r>
    </w:p>
    <w:p>
      <w:pPr>
        <w:spacing w:after="0" w:line="159"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In the event that the Borrowing Base Certificate delivered is inaccurate (regardless of whether this Agreement or the Commitments are in effect when such inaccuracy is discovered), and such</w:t>
      </w:r>
    </w:p>
    <w:p>
      <w:pPr>
        <w:sectPr>
          <w:pgSz w:w="11900" w:h="16838" w:orient="portrait"/>
          <w:cols w:equalWidth="0" w:num="1">
            <w:col w:w="11240"/>
          </w:cols>
          <w:pgMar w:left="320" w:top="1428" w:right="339" w:bottom="1440" w:gutter="0" w:footer="0" w:header="0"/>
        </w:sectPr>
      </w:pPr>
    </w:p>
    <w:bookmarkStart w:id="106" w:name="page107"/>
    <w:bookmarkEnd w:id="106"/>
    <w:p>
      <w:pPr>
        <w:jc w:val="both"/>
        <w:spacing w:after="0" w:line="288" w:lineRule="auto"/>
        <w:rPr>
          <w:sz w:val="20"/>
          <w:szCs w:val="20"/>
          <w:color w:val="auto"/>
        </w:rPr>
      </w:pPr>
      <w:r>
        <w:rPr>
          <w:rFonts w:ascii="Arial" w:cs="Arial" w:eastAsia="Arial" w:hAnsi="Arial"/>
          <w:sz w:val="19"/>
          <w:szCs w:val="19"/>
          <w:color w:val="auto"/>
        </w:rPr>
        <w:t>inaccuracy, if corrected, would have led to the application of a higher Applicable Commitment Fee Percentage for any period (an “</w:t>
      </w:r>
      <w:r>
        <w:rPr>
          <w:rFonts w:ascii="Arial" w:cs="Arial" w:eastAsia="Arial" w:hAnsi="Arial"/>
          <w:sz w:val="19"/>
          <w:szCs w:val="19"/>
          <w:u w:val="single" w:color="auto"/>
          <w:color w:val="auto"/>
        </w:rPr>
        <w:t>Applicable Period</w:t>
      </w:r>
      <w:r>
        <w:rPr>
          <w:rFonts w:ascii="Arial" w:cs="Arial" w:eastAsia="Arial" w:hAnsi="Arial"/>
          <w:sz w:val="19"/>
          <w:szCs w:val="19"/>
          <w:color w:val="auto"/>
        </w:rPr>
        <w:t>”) than the Applicable Commitment Fee Percentage applied for such Applicable Period, then (a) Parent Borrower shall as promptly as practicable deliver to Agent a corrected Borrowing Base Certificate for such Applicable Period,</w:t>
      </w:r>
    </w:p>
    <w:p>
      <w:pPr>
        <w:spacing w:after="0" w:line="1" w:lineRule="exact"/>
        <w:rPr>
          <w:sz w:val="20"/>
          <w:szCs w:val="20"/>
          <w:color w:val="auto"/>
        </w:rPr>
      </w:pPr>
    </w:p>
    <w:p>
      <w:pPr>
        <w:jc w:val="both"/>
        <w:ind w:firstLine="8"/>
        <w:spacing w:after="0" w:line="292" w:lineRule="auto"/>
        <w:tabs>
          <w:tab w:leader="none" w:pos="316" w:val="left"/>
        </w:tabs>
        <w:numPr>
          <w:ilvl w:val="0"/>
          <w:numId w:val="15"/>
        </w:numPr>
        <w:rPr>
          <w:rFonts w:ascii="Arial" w:cs="Arial" w:eastAsia="Arial" w:hAnsi="Arial"/>
          <w:sz w:val="19"/>
          <w:szCs w:val="19"/>
          <w:color w:val="auto"/>
        </w:rPr>
      </w:pPr>
      <w:r>
        <w:rPr>
          <w:rFonts w:ascii="Arial" w:cs="Arial" w:eastAsia="Arial" w:hAnsi="Arial"/>
          <w:sz w:val="19"/>
          <w:szCs w:val="19"/>
          <w:color w:val="auto"/>
        </w:rPr>
        <w:t xml:space="preserve">the Applicable Commitment Fee Percentage shall be determined based on the corrected Borrowing Base Certificate for such Applicable Period, and (c) Borrowers shall as promptly as practicable pay to Agent (for the account of the Lenders during the Applicable Period or their successors and assigns) the accrued additional Commitment Fee owing as a result of such increased Applicable Commitment Fee Percentage for such Applicable Period. This paragraph shall not limit the rights of Agent, Co-Collateral Agents or the Lenders with respect to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hereof, and shall survive the termination of this Agreement.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All Commitment Fees shall be computed on the basis of the actual number of days elapsed in a year of 360 days.</w:t>
      </w:r>
    </w:p>
    <w:p>
      <w:pPr>
        <w:spacing w:after="0" w:line="220" w:lineRule="exact"/>
        <w:rPr>
          <w:sz w:val="20"/>
          <w:szCs w:val="20"/>
          <w:color w:val="auto"/>
        </w:rPr>
      </w:pPr>
    </w:p>
    <w:p>
      <w:pPr>
        <w:jc w:val="both"/>
        <w:ind w:firstLine="675"/>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Conditions</w:t>
      </w:r>
      <w:r>
        <w:rPr>
          <w:rFonts w:ascii="Arial" w:cs="Arial" w:eastAsia="Arial" w:hAnsi="Arial"/>
          <w:sz w:val="22"/>
          <w:szCs w:val="22"/>
          <w:color w:val="auto"/>
        </w:rPr>
        <w:t>” means (a) there is no Default or Event of Default existing immediately before or after such transaction, (b) (x) the 30 Day Availability immediately preceding the proposed transaction and (y) Availability on the date of the proposed transaction (in each case, calculated on a pro forma basis for such transaction and/or any Advance) is equal to or greater than the greater of (i) 10.0% of Available Credit and (ii) $75,000,000 and (c) for transactions in an amount in excess of $100,000,000, Parent Borrower shall have delivered a customary Officer’s Certificate to Agent certifying as to compliance with the requirements of clauses (a) and (b).</w:t>
      </w:r>
    </w:p>
    <w:p>
      <w:pPr>
        <w:spacing w:after="0" w:line="193" w:lineRule="exact"/>
        <w:rPr>
          <w:sz w:val="20"/>
          <w:szCs w:val="20"/>
          <w:color w:val="auto"/>
        </w:rPr>
      </w:pPr>
    </w:p>
    <w:p>
      <w:pPr>
        <w:jc w:val="both"/>
        <w:ind w:firstLine="459"/>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Applicable Margin</w:t>
      </w:r>
      <w:r>
        <w:rPr>
          <w:rFonts w:ascii="Arial" w:cs="Arial" w:eastAsia="Arial" w:hAnsi="Arial"/>
          <w:sz w:val="21"/>
          <w:szCs w:val="21"/>
          <w:color w:val="auto"/>
        </w:rPr>
        <w:t xml:space="preserve">” means for any day with respect to any LIBOR Loan or any Base Rate Loan, the applicable margin </w:t>
      </w:r>
      <w:r>
        <w:rPr>
          <w:rFonts w:ascii="Arial" w:cs="Arial" w:eastAsia="Arial" w:hAnsi="Arial"/>
          <w:sz w:val="21"/>
          <w:szCs w:val="21"/>
          <w:i w:val="1"/>
          <w:iCs w:val="1"/>
          <w:color w:val="auto"/>
        </w:rPr>
        <w:t>per</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annum </w:t>
      </w:r>
      <w:r>
        <w:rPr>
          <w:rFonts w:ascii="Arial" w:cs="Arial" w:eastAsia="Arial" w:hAnsi="Arial"/>
          <w:sz w:val="21"/>
          <w:szCs w:val="21"/>
          <w:color w:val="auto"/>
        </w:rPr>
        <w:t>set forth below under the caption “LIBOR Margin” or “Base Rate Margin,” as the case may be, based upon the Quarterly</w:t>
      </w:r>
      <w:r>
        <w:rPr>
          <w:rFonts w:ascii="Arial" w:cs="Arial" w:eastAsia="Arial" w:hAnsi="Arial"/>
          <w:sz w:val="21"/>
          <w:szCs w:val="21"/>
          <w:i w:val="1"/>
          <w:iCs w:val="1"/>
          <w:color w:val="auto"/>
        </w:rPr>
        <w:t xml:space="preserve"> </w:t>
      </w:r>
      <w:r>
        <w:rPr>
          <w:rFonts w:ascii="Arial" w:cs="Arial" w:eastAsia="Arial" w:hAnsi="Arial"/>
          <w:sz w:val="21"/>
          <w:szCs w:val="21"/>
          <w:color w:val="auto"/>
        </w:rPr>
        <w:t>Average Availability Percentage as of the last day of the most recently ended Fiscal Quarter:</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3980" w:type="dxa"/>
            <w:vAlign w:val="bottom"/>
            <w:tcBorders>
              <w:top w:val="single" w:sz="8" w:color="808080"/>
              <w:left w:val="single" w:sz="8" w:color="808080"/>
              <w:bottom w:val="single" w:sz="8" w:color="808080"/>
              <w:right w:val="single" w:sz="8" w:color="808080"/>
            </w:tcBorders>
            <w:gridSpan w:val="3"/>
          </w:tcPr>
          <w:p>
            <w:pPr>
              <w:jc w:val="center"/>
              <w:spacing w:after="0"/>
              <w:rPr>
                <w:sz w:val="20"/>
                <w:szCs w:val="20"/>
                <w:color w:val="auto"/>
              </w:rPr>
            </w:pPr>
            <w:r>
              <w:rPr>
                <w:rFonts w:ascii="Arial" w:cs="Arial" w:eastAsia="Arial" w:hAnsi="Arial"/>
                <w:sz w:val="22"/>
                <w:szCs w:val="22"/>
                <w:color w:val="auto"/>
                <w:w w:val="89"/>
              </w:rPr>
              <w:t>Quarterly Average Availability Percentage</w:t>
            </w:r>
          </w:p>
        </w:tc>
        <w:tc>
          <w:tcPr>
            <w:tcW w:w="3640" w:type="dxa"/>
            <w:vAlign w:val="bottom"/>
            <w:tcBorders>
              <w:top w:val="single" w:sz="8" w:color="808080"/>
              <w:bottom w:val="single" w:sz="8" w:color="808080"/>
              <w:right w:val="single" w:sz="8" w:color="808080"/>
            </w:tcBorders>
          </w:tcPr>
          <w:p>
            <w:pPr>
              <w:jc w:val="center"/>
              <w:spacing w:after="0"/>
              <w:rPr>
                <w:sz w:val="20"/>
                <w:szCs w:val="20"/>
                <w:color w:val="auto"/>
              </w:rPr>
            </w:pPr>
            <w:r>
              <w:rPr>
                <w:rFonts w:ascii="Arial" w:cs="Arial" w:eastAsia="Arial" w:hAnsi="Arial"/>
                <w:sz w:val="22"/>
                <w:szCs w:val="22"/>
                <w:color w:val="auto"/>
                <w:w w:val="96"/>
              </w:rPr>
              <w:t>LIBOR Margin</w:t>
            </w:r>
          </w:p>
        </w:tc>
        <w:tc>
          <w:tcPr>
            <w:tcW w:w="3440" w:type="dxa"/>
            <w:vAlign w:val="bottom"/>
            <w:tcBorders>
              <w:top w:val="single" w:sz="8" w:color="808080"/>
              <w:bottom w:val="single" w:sz="8" w:color="808080"/>
              <w:right w:val="single" w:sz="8" w:color="808080"/>
            </w:tcBorders>
          </w:tcPr>
          <w:p>
            <w:pPr>
              <w:jc w:val="center"/>
              <w:spacing w:after="0"/>
              <w:rPr>
                <w:sz w:val="20"/>
                <w:szCs w:val="20"/>
                <w:color w:val="auto"/>
              </w:rPr>
            </w:pPr>
            <w:r>
              <w:rPr>
                <w:rFonts w:ascii="Arial" w:cs="Arial" w:eastAsia="Arial" w:hAnsi="Arial"/>
                <w:sz w:val="22"/>
                <w:szCs w:val="22"/>
                <w:color w:val="auto"/>
                <w:w w:val="87"/>
              </w:rPr>
              <w:t>Base Rate Margin</w:t>
            </w:r>
          </w:p>
        </w:tc>
      </w:tr>
      <w:tr>
        <w:trPr>
          <w:trHeight w:val="276"/>
        </w:trPr>
        <w:tc>
          <w:tcPr>
            <w:tcW w:w="39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22"/>
                <w:szCs w:val="22"/>
                <w:i w:val="1"/>
                <w:iCs w:val="1"/>
                <w:color w:val="auto"/>
                <w:w w:val="91"/>
              </w:rPr>
              <w:t>Category 1</w:t>
            </w:r>
          </w:p>
        </w:tc>
        <w:tc>
          <w:tcPr>
            <w:tcW w:w="3640" w:type="dxa"/>
            <w:vAlign w:val="bottom"/>
            <w:tcBorders>
              <w:right w:val="single" w:sz="8" w:color="808080"/>
            </w:tcBorders>
          </w:tcPr>
          <w:p>
            <w:pPr>
              <w:jc w:val="center"/>
              <w:spacing w:after="0"/>
              <w:rPr>
                <w:sz w:val="20"/>
                <w:szCs w:val="20"/>
                <w:color w:val="auto"/>
              </w:rPr>
            </w:pPr>
            <w:r>
              <w:rPr>
                <w:rFonts w:ascii="Arial" w:cs="Arial" w:eastAsia="Arial" w:hAnsi="Arial"/>
                <w:sz w:val="22"/>
                <w:szCs w:val="22"/>
                <w:color w:val="auto"/>
                <w:w w:val="89"/>
              </w:rPr>
              <w:t>1.50%</w:t>
            </w:r>
          </w:p>
        </w:tc>
        <w:tc>
          <w:tcPr>
            <w:tcW w:w="3440" w:type="dxa"/>
            <w:vAlign w:val="bottom"/>
            <w:tcBorders>
              <w:right w:val="single" w:sz="8" w:color="808080"/>
            </w:tcBorders>
          </w:tcPr>
          <w:p>
            <w:pPr>
              <w:jc w:val="center"/>
              <w:spacing w:after="0"/>
              <w:rPr>
                <w:sz w:val="20"/>
                <w:szCs w:val="20"/>
                <w:color w:val="auto"/>
              </w:rPr>
            </w:pPr>
            <w:r>
              <w:rPr>
                <w:rFonts w:ascii="Arial" w:cs="Arial" w:eastAsia="Arial" w:hAnsi="Arial"/>
                <w:sz w:val="22"/>
                <w:szCs w:val="22"/>
                <w:color w:val="auto"/>
                <w:w w:val="86"/>
              </w:rPr>
              <w:t>0.50%</w:t>
            </w:r>
          </w:p>
        </w:tc>
      </w:tr>
      <w:tr>
        <w:trPr>
          <w:trHeight w:val="274"/>
        </w:trPr>
        <w:tc>
          <w:tcPr>
            <w:tcW w:w="39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22"/>
                <w:szCs w:val="22"/>
                <w:i w:val="1"/>
                <w:iCs w:val="1"/>
                <w:color w:val="auto"/>
                <w:w w:val="95"/>
              </w:rPr>
              <w:t>&lt; 40%</w:t>
            </w:r>
          </w:p>
        </w:tc>
        <w:tc>
          <w:tcPr>
            <w:tcW w:w="3640" w:type="dxa"/>
            <w:vAlign w:val="bottom"/>
            <w:tcBorders>
              <w:right w:val="single" w:sz="8" w:color="808080"/>
            </w:tcBorders>
          </w:tcPr>
          <w:p>
            <w:pPr>
              <w:spacing w:after="0"/>
              <w:rPr>
                <w:sz w:val="23"/>
                <w:szCs w:val="23"/>
                <w:color w:val="auto"/>
              </w:rPr>
            </w:pPr>
          </w:p>
        </w:tc>
        <w:tc>
          <w:tcPr>
            <w:tcW w:w="3440" w:type="dxa"/>
            <w:vAlign w:val="bottom"/>
            <w:tcBorders>
              <w:right w:val="single" w:sz="8" w:color="808080"/>
            </w:tcBorders>
          </w:tcPr>
          <w:p>
            <w:pPr>
              <w:spacing w:after="0"/>
              <w:rPr>
                <w:sz w:val="23"/>
                <w:szCs w:val="23"/>
                <w:color w:val="auto"/>
              </w:rPr>
            </w:pPr>
          </w:p>
        </w:tc>
      </w:tr>
      <w:tr>
        <w:trPr>
          <w:trHeight w:val="260"/>
        </w:trPr>
        <w:tc>
          <w:tcPr>
            <w:tcW w:w="1700" w:type="dxa"/>
            <w:vAlign w:val="bottom"/>
            <w:tcBorders>
              <w:left w:val="single" w:sz="8" w:color="808080"/>
              <w:bottom w:val="single" w:sz="8" w:color="808080"/>
            </w:tcBorders>
          </w:tcPr>
          <w:p>
            <w:pPr>
              <w:spacing w:after="0"/>
              <w:rPr>
                <w:sz w:val="22"/>
                <w:szCs w:val="22"/>
                <w:color w:val="auto"/>
              </w:rPr>
            </w:pPr>
          </w:p>
        </w:tc>
        <w:tc>
          <w:tcPr>
            <w:tcW w:w="140" w:type="dxa"/>
            <w:vAlign w:val="bottom"/>
            <w:tcBorders>
              <w:bottom w:val="single" w:sz="8" w:color="808080"/>
            </w:tcBorders>
          </w:tcPr>
          <w:p>
            <w:pPr>
              <w:spacing w:after="0"/>
              <w:rPr>
                <w:sz w:val="22"/>
                <w:szCs w:val="22"/>
                <w:color w:val="auto"/>
              </w:rPr>
            </w:pPr>
          </w:p>
        </w:tc>
        <w:tc>
          <w:tcPr>
            <w:tcW w:w="2140" w:type="dxa"/>
            <w:vAlign w:val="bottom"/>
            <w:tcBorders>
              <w:bottom w:val="single" w:sz="8" w:color="808080"/>
              <w:right w:val="single" w:sz="8" w:color="808080"/>
            </w:tcBorders>
          </w:tcPr>
          <w:p>
            <w:pPr>
              <w:spacing w:after="0"/>
              <w:rPr>
                <w:sz w:val="22"/>
                <w:szCs w:val="22"/>
                <w:color w:val="auto"/>
              </w:rPr>
            </w:pPr>
          </w:p>
        </w:tc>
        <w:tc>
          <w:tcPr>
            <w:tcW w:w="3640" w:type="dxa"/>
            <w:vAlign w:val="bottom"/>
            <w:tcBorders>
              <w:bottom w:val="single" w:sz="8" w:color="808080"/>
              <w:right w:val="single" w:sz="8" w:color="808080"/>
            </w:tcBorders>
          </w:tcPr>
          <w:p>
            <w:pPr>
              <w:spacing w:after="0"/>
              <w:rPr>
                <w:sz w:val="22"/>
                <w:szCs w:val="22"/>
                <w:color w:val="auto"/>
              </w:rPr>
            </w:pPr>
          </w:p>
        </w:tc>
        <w:tc>
          <w:tcPr>
            <w:tcW w:w="3440" w:type="dxa"/>
            <w:vAlign w:val="bottom"/>
            <w:tcBorders>
              <w:bottom w:val="single" w:sz="8" w:color="808080"/>
              <w:right w:val="single" w:sz="8" w:color="808080"/>
            </w:tcBorders>
          </w:tcPr>
          <w:p>
            <w:pPr>
              <w:spacing w:after="0"/>
              <w:rPr>
                <w:sz w:val="22"/>
                <w:szCs w:val="22"/>
                <w:color w:val="auto"/>
              </w:rPr>
            </w:pPr>
          </w:p>
        </w:tc>
      </w:tr>
      <w:tr>
        <w:trPr>
          <w:trHeight w:val="269"/>
        </w:trPr>
        <w:tc>
          <w:tcPr>
            <w:tcW w:w="39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22"/>
                <w:szCs w:val="22"/>
                <w:i w:val="1"/>
                <w:iCs w:val="1"/>
                <w:color w:val="auto"/>
                <w:w w:val="91"/>
              </w:rPr>
              <w:t>Category 2</w:t>
            </w:r>
          </w:p>
        </w:tc>
        <w:tc>
          <w:tcPr>
            <w:tcW w:w="3640" w:type="dxa"/>
            <w:vAlign w:val="bottom"/>
            <w:tcBorders>
              <w:right w:val="single" w:sz="8" w:color="808080"/>
            </w:tcBorders>
          </w:tcPr>
          <w:p>
            <w:pPr>
              <w:jc w:val="center"/>
              <w:spacing w:after="0"/>
              <w:rPr>
                <w:sz w:val="20"/>
                <w:szCs w:val="20"/>
                <w:color w:val="auto"/>
              </w:rPr>
            </w:pPr>
            <w:r>
              <w:rPr>
                <w:rFonts w:ascii="Arial" w:cs="Arial" w:eastAsia="Arial" w:hAnsi="Arial"/>
                <w:sz w:val="22"/>
                <w:szCs w:val="22"/>
                <w:color w:val="auto"/>
                <w:w w:val="89"/>
              </w:rPr>
              <w:t>1.25%</w:t>
            </w:r>
          </w:p>
        </w:tc>
        <w:tc>
          <w:tcPr>
            <w:tcW w:w="3440" w:type="dxa"/>
            <w:vAlign w:val="bottom"/>
            <w:tcBorders>
              <w:right w:val="single" w:sz="8" w:color="808080"/>
            </w:tcBorders>
          </w:tcPr>
          <w:p>
            <w:pPr>
              <w:jc w:val="center"/>
              <w:spacing w:after="0"/>
              <w:rPr>
                <w:sz w:val="20"/>
                <w:szCs w:val="20"/>
                <w:color w:val="auto"/>
              </w:rPr>
            </w:pPr>
            <w:r>
              <w:rPr>
                <w:rFonts w:ascii="Arial" w:cs="Arial" w:eastAsia="Arial" w:hAnsi="Arial"/>
                <w:sz w:val="22"/>
                <w:szCs w:val="22"/>
                <w:color w:val="auto"/>
                <w:w w:val="86"/>
              </w:rPr>
              <w:t>0.25%</w:t>
            </w:r>
          </w:p>
        </w:tc>
      </w:tr>
      <w:tr>
        <w:trPr>
          <w:trHeight w:val="224"/>
        </w:trPr>
        <w:tc>
          <w:tcPr>
            <w:tcW w:w="3980" w:type="dxa"/>
            <w:vAlign w:val="bottom"/>
            <w:tcBorders>
              <w:left w:val="single" w:sz="8" w:color="808080"/>
              <w:right w:val="single" w:sz="8" w:color="808080"/>
            </w:tcBorders>
            <w:gridSpan w:val="3"/>
          </w:tcPr>
          <w:p>
            <w:pPr>
              <w:jc w:val="center"/>
              <w:spacing w:after="0" w:line="224" w:lineRule="exact"/>
              <w:rPr>
                <w:sz w:val="20"/>
                <w:szCs w:val="20"/>
                <w:color w:val="auto"/>
              </w:rPr>
            </w:pPr>
            <w:r>
              <w:rPr>
                <w:rFonts w:ascii="Arial" w:cs="Arial" w:eastAsia="Arial" w:hAnsi="Arial"/>
                <w:sz w:val="22"/>
                <w:szCs w:val="22"/>
                <w:i w:val="1"/>
                <w:iCs w:val="1"/>
                <w:color w:val="auto"/>
                <w:w w:val="95"/>
              </w:rPr>
              <w:t>&gt; 40%</w:t>
            </w:r>
          </w:p>
        </w:tc>
        <w:tc>
          <w:tcPr>
            <w:tcW w:w="3640" w:type="dxa"/>
            <w:vAlign w:val="bottom"/>
            <w:tcBorders>
              <w:right w:val="single" w:sz="8" w:color="808080"/>
            </w:tcBorders>
          </w:tcPr>
          <w:p>
            <w:pPr>
              <w:spacing w:after="0"/>
              <w:rPr>
                <w:sz w:val="19"/>
                <w:szCs w:val="19"/>
                <w:color w:val="auto"/>
              </w:rPr>
            </w:pPr>
          </w:p>
        </w:tc>
        <w:tc>
          <w:tcPr>
            <w:tcW w:w="3440" w:type="dxa"/>
            <w:vAlign w:val="bottom"/>
            <w:tcBorders>
              <w:right w:val="single" w:sz="8" w:color="808080"/>
            </w:tcBorders>
          </w:tcPr>
          <w:p>
            <w:pPr>
              <w:spacing w:after="0"/>
              <w:rPr>
                <w:sz w:val="19"/>
                <w:szCs w:val="19"/>
                <w:color w:val="auto"/>
              </w:rPr>
            </w:pPr>
          </w:p>
        </w:tc>
      </w:tr>
      <w:tr>
        <w:trPr>
          <w:trHeight w:val="48"/>
        </w:trPr>
        <w:tc>
          <w:tcPr>
            <w:tcW w:w="1700" w:type="dxa"/>
            <w:vAlign w:val="bottom"/>
            <w:tcBorders>
              <w:left w:val="single" w:sz="8" w:color="808080"/>
              <w:bottom w:val="single" w:sz="8" w:color="808080"/>
            </w:tcBorders>
          </w:tcPr>
          <w:p>
            <w:pPr>
              <w:spacing w:after="0"/>
              <w:rPr>
                <w:sz w:val="4"/>
                <w:szCs w:val="4"/>
                <w:color w:val="auto"/>
              </w:rPr>
            </w:pPr>
          </w:p>
        </w:tc>
        <w:tc>
          <w:tcPr>
            <w:tcW w:w="140" w:type="dxa"/>
            <w:vAlign w:val="bottom"/>
            <w:tcBorders>
              <w:top w:val="single" w:sz="8" w:color="auto"/>
              <w:bottom w:val="single" w:sz="8" w:color="808080"/>
            </w:tcBorders>
          </w:tcPr>
          <w:p>
            <w:pPr>
              <w:spacing w:after="0"/>
              <w:rPr>
                <w:sz w:val="4"/>
                <w:szCs w:val="4"/>
                <w:color w:val="auto"/>
              </w:rPr>
            </w:pPr>
          </w:p>
        </w:tc>
        <w:tc>
          <w:tcPr>
            <w:tcW w:w="2140" w:type="dxa"/>
            <w:vAlign w:val="bottom"/>
            <w:tcBorders>
              <w:bottom w:val="single" w:sz="8" w:color="808080"/>
              <w:right w:val="single" w:sz="8" w:color="808080"/>
            </w:tcBorders>
          </w:tcPr>
          <w:p>
            <w:pPr>
              <w:spacing w:after="0"/>
              <w:rPr>
                <w:sz w:val="4"/>
                <w:szCs w:val="4"/>
                <w:color w:val="auto"/>
              </w:rPr>
            </w:pPr>
          </w:p>
        </w:tc>
        <w:tc>
          <w:tcPr>
            <w:tcW w:w="3640" w:type="dxa"/>
            <w:vAlign w:val="bottom"/>
            <w:tcBorders>
              <w:bottom w:val="single" w:sz="8" w:color="808080"/>
              <w:right w:val="single" w:sz="8" w:color="808080"/>
            </w:tcBorders>
          </w:tcPr>
          <w:p>
            <w:pPr>
              <w:spacing w:after="0"/>
              <w:rPr>
                <w:sz w:val="4"/>
                <w:szCs w:val="4"/>
                <w:color w:val="auto"/>
              </w:rPr>
            </w:pPr>
          </w:p>
        </w:tc>
        <w:tc>
          <w:tcPr>
            <w:tcW w:w="3440" w:type="dxa"/>
            <w:vAlign w:val="bottom"/>
            <w:tcBorders>
              <w:bottom w:val="single" w:sz="8" w:color="808080"/>
              <w:right w:val="single" w:sz="8" w:color="808080"/>
            </w:tcBorders>
          </w:tcPr>
          <w:p>
            <w:pPr>
              <w:spacing w:after="0"/>
              <w:rPr>
                <w:sz w:val="4"/>
                <w:szCs w:val="4"/>
                <w:color w:val="auto"/>
              </w:rPr>
            </w:pPr>
          </w:p>
        </w:tc>
      </w:tr>
    </w:tbl>
    <w:p>
      <w:pPr>
        <w:spacing w:after="0" w:line="100" w:lineRule="exact"/>
        <w:rPr>
          <w:sz w:val="20"/>
          <w:szCs w:val="20"/>
          <w:color w:val="auto"/>
        </w:rPr>
      </w:pPr>
    </w:p>
    <w:p>
      <w:pPr>
        <w:jc w:val="both"/>
        <w:ind w:firstLine="8"/>
        <w:spacing w:after="0" w:line="294" w:lineRule="auto"/>
        <w:tabs>
          <w:tab w:leader="none" w:pos="284"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Applicable Margin shall be calculated and established once each Fiscal Quarter, as of the last day of each such Fiscal Quarter and shall remain in effect until adjusted thereafter after the end of each such Fiscal Quarter, (ii) the Applicable Margin from the Amendment No. 3 Effective Date through and including the last day of the first Fiscal Quarter to end following the Amendment No. 3 Effective Date shall be the applicable percentage set forth in Category 2 above and shall be adjusted in accordance with the provisions hereof, (iii) thereafter, each adjustment of the Applicable Margin shall be effective as of the first day of a Fiscal Quarter based on the Quarterly Average Availability Percentage for the immediately preceding Fiscal</w:t>
      </w:r>
    </w:p>
    <w:p>
      <w:pPr>
        <w:sectPr>
          <w:pgSz w:w="11900" w:h="16838" w:orient="portrait"/>
          <w:cols w:equalWidth="0" w:num="1">
            <w:col w:w="11240"/>
          </w:cols>
          <w:pgMar w:left="320" w:top="1428" w:right="339" w:bottom="1440" w:gutter="0" w:footer="0" w:header="0"/>
        </w:sectPr>
      </w:pPr>
    </w:p>
    <w:bookmarkStart w:id="107" w:name="page108"/>
    <w:bookmarkEnd w:id="107"/>
    <w:p>
      <w:pPr>
        <w:jc w:val="both"/>
        <w:spacing w:after="0" w:line="297" w:lineRule="auto"/>
        <w:rPr>
          <w:sz w:val="20"/>
          <w:szCs w:val="20"/>
          <w:color w:val="auto"/>
        </w:rPr>
      </w:pPr>
      <w:r>
        <w:rPr>
          <w:rFonts w:ascii="Arial" w:cs="Arial" w:eastAsia="Arial" w:hAnsi="Arial"/>
          <w:sz w:val="19"/>
          <w:szCs w:val="19"/>
          <w:color w:val="auto"/>
        </w:rPr>
        <w:t>Quarter, (iv) in the event that Borrowers fail to provide any Borrowing Base Certificate required hereunder with respect thereto for any period on the date required hereunder, effective as of the date on which such Borrowing Base Certificate was otherwise required, the Applicable Margin shall be deemed to be Category 1 above for all purposes until the date on which such required Borrowing Base Certificate is provided and (v) at any time after the occurrence and during the continuance of an Event of Default, upon notice from Agent to Parent Borrower the Applicable Margin shall be deemed to be Category 1 above.</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Notwithstanding anything to the contrary contained above in this definition or elsewhere in this Agreement, if it is subsequently determined that the Borrowing Base Certificate delivered is inaccurate (regardless of whether this Agreement or the Commitments are in effect when such inaccuracy is discovered), and such inaccuracy, if corrected, would have led to the application of a higher Applicable Margin for any applicable period than the Applicable Margin applied for such applicable period, then (i) Parent Borrower shall as promptly as possible deliver to Agent a corrected Borrowing Base Certificate for such Applicable Period, (ii) the Applicable Margin shall be determined based on the corrected Borrowing Base Certificate for such Applicable Period, and (iii) Borrowers shall as promptly as possible pay to Agent (for the account of the Lenders during the applicable period or their successors and assigns) the accrued additional interest owing as a result of such increased Applicable Margin for such Applicable Period. This paragraph shall not limit the rights of Agent, Co-Collateral Agents or the Lenders with respect to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hereof, and shall survive the termination of this Agreement.</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Period</w:t>
      </w:r>
      <w:r>
        <w:rPr>
          <w:rFonts w:ascii="Arial" w:cs="Arial" w:eastAsia="Arial" w:hAnsi="Arial"/>
          <w:sz w:val="22"/>
          <w:szCs w:val="22"/>
          <w:color w:val="auto"/>
        </w:rPr>
        <w:t>” has the meaning specified in the definition of “Applicable Commitment Fee Percentage.”</w:t>
      </w:r>
    </w:p>
    <w:p>
      <w:pPr>
        <w:spacing w:after="0" w:line="220" w:lineRule="exact"/>
        <w:rPr>
          <w:sz w:val="20"/>
          <w:szCs w:val="20"/>
          <w:color w:val="auto"/>
        </w:rPr>
      </w:pPr>
    </w:p>
    <w:p>
      <w:pPr>
        <w:jc w:val="both"/>
        <w:ind w:firstLine="459"/>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with respect to any Lender, any Person (other than a natural Person) that (a) is or will be engaged in making, purchasing, holding or otherwise investing in revolving commercial loans and similar extensions of credit in the ordinary course of its business and (b) is advised or managed by (i) such Lender, (ii) any Affiliate of such Lender or (iii) any Person (other than a natural Person) or any Affiliate of any Person (other than a natural Person) that administers or manages such Lender.</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Agreement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11.1(a)(i)</w:t>
      </w:r>
      <w:r>
        <w:rPr>
          <w:rFonts w:ascii="Arial" w:cs="Arial" w:eastAsia="Arial" w:hAnsi="Arial"/>
          <w:sz w:val="22"/>
          <w:szCs w:val="22"/>
          <w:color w:val="auto"/>
        </w:rPr>
        <w:t>.</w:t>
      </w:r>
    </w:p>
    <w:p>
      <w:pPr>
        <w:spacing w:after="0" w:line="220" w:lineRule="exact"/>
        <w:rPr>
          <w:sz w:val="20"/>
          <w:szCs w:val="20"/>
          <w:color w:val="auto"/>
        </w:rPr>
      </w:pPr>
    </w:p>
    <w:p>
      <w:pPr>
        <w:jc w:val="both"/>
        <w:ind w:firstLine="45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Availability</w:t>
      </w:r>
      <w:r>
        <w:rPr>
          <w:rFonts w:ascii="Arial" w:cs="Arial" w:eastAsia="Arial" w:hAnsi="Arial"/>
          <w:sz w:val="22"/>
          <w:szCs w:val="22"/>
          <w:color w:val="auto"/>
        </w:rPr>
        <w:t xml:space="preserve">” means, as of any date of determination, the amount (if any) by which (a) the Available Credit as of such date, exceeds (b) the sum of the aggregate Dollar Equivalent of (i) Revolving Credit Advances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Letter of Credit Obligations (other than Letter of Credit Obligations cash collateralized in accordance with the terms of the Loan Documents)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(iii) Swing Line Loans, in each case outstanding as of such date.</w:t>
      </w:r>
    </w:p>
    <w:p>
      <w:pPr>
        <w:spacing w:after="0" w:line="188" w:lineRule="exact"/>
        <w:rPr>
          <w:sz w:val="20"/>
          <w:szCs w:val="20"/>
          <w:color w:val="auto"/>
        </w:rPr>
      </w:pPr>
    </w:p>
    <w:p>
      <w:pPr>
        <w:jc w:val="both"/>
        <w:ind w:firstLine="59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Credit</w:t>
      </w:r>
      <w:r>
        <w:rPr>
          <w:rFonts w:ascii="Arial" w:cs="Arial" w:eastAsia="Arial" w:hAnsi="Arial"/>
          <w:sz w:val="22"/>
          <w:szCs w:val="22"/>
          <w:color w:val="auto"/>
        </w:rPr>
        <w:t>” means, as of any date of determination, the lesser of (a) the Commitment of all Lenders and (b) the Borrowing Base as most recently reported by Borrowers on or prior to such date of determination.</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Average Availability Percentage</w:t>
      </w:r>
      <w:r>
        <w:rPr>
          <w:rFonts w:ascii="Arial" w:cs="Arial" w:eastAsia="Arial" w:hAnsi="Arial"/>
          <w:sz w:val="22"/>
          <w:szCs w:val="22"/>
          <w:color w:val="auto"/>
        </w:rPr>
        <w:t>” means, as of any date of determination with respect to any period, an amount equal to the sum of the actual amount of Availability on each day during</w:t>
      </w:r>
    </w:p>
    <w:p>
      <w:pPr>
        <w:sectPr>
          <w:pgSz w:w="11900" w:h="16838" w:orient="portrait"/>
          <w:cols w:equalWidth="0" w:num="1">
            <w:col w:w="11240"/>
          </w:cols>
          <w:pgMar w:left="320" w:top="1428" w:right="33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color w:val="auto"/>
        </w:rPr>
        <w:t>such period expressed as a percentage of the Available Credit for such day, divided by the number of days in such period.</w:t>
      </w:r>
    </w:p>
    <w:p>
      <w:pPr>
        <w:spacing w:after="0" w:line="25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Unused Revolving Facility Balance</w:t>
      </w:r>
      <w:r>
        <w:rPr>
          <w:rFonts w:ascii="Arial" w:cs="Arial" w:eastAsia="Arial" w:hAnsi="Arial"/>
          <w:sz w:val="19"/>
          <w:szCs w:val="19"/>
          <w:color w:val="auto"/>
        </w:rPr>
        <w:t xml:space="preserve">” means, as of any date of determination, an amount equal to the sum of (a) the Commitments as of such date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(b) the sum of (i) the aggregate Dollar Equivalent of the Revolving Credit Advances outstanding on such day,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Letter of Credit Obligations (other than Letter of Credit Obligations cash collateralized in accordance with the terms of the Loan Documents) outstanding as of such date, divided by the number of days in such period.</w:t>
      </w:r>
    </w:p>
    <w:p>
      <w:pPr>
        <w:spacing w:after="0" w:line="142" w:lineRule="exact"/>
        <w:rPr>
          <w:sz w:val="20"/>
          <w:szCs w:val="20"/>
          <w:color w:val="auto"/>
        </w:rPr>
      </w:pPr>
    </w:p>
    <w:p>
      <w:pPr>
        <w:jc w:val="both"/>
        <w:ind w:firstLine="594"/>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 Rate</w:t>
      </w:r>
      <w:r>
        <w:rPr>
          <w:rFonts w:ascii="Arial" w:cs="Arial" w:eastAsia="Arial" w:hAnsi="Arial"/>
          <w:sz w:val="21"/>
          <w:szCs w:val="21"/>
          <w:color w:val="auto"/>
        </w:rPr>
        <w:t>” means (i) the rate of interest per annum equal to the average rate applicable to bankers’ acceptances with a comparable face amount to the principal amount of the applicable Canadian Dollar Loans and having an identical or comparable term as the LIBOR Period of the proposed Canadian Dollar Loans, displayed and identified as such on the display referred to as the “CDOR Page” (or any display substituted therefor) of Reuters Monitor Money Rates Service as at or about 10:00 A.M. (Toronto time) on the day that is the first day of such LIBOR Period (or, if such day is not a Business Day, as of 10:00 A.M. (Toronto time) on the immediately preceding Business Day), or (ii) if such rates do not appear on the CDOR Page at such time and on such date, the rate for such date will be the annual discount rate (rounded upward to the nearest whole multiple of 1/100 of 1.0%) as of 10:00 A.M. (Toronto time) on such day at which Agent (or a bank that is listed on Schedule 1 of the Bank Act (Canada) acceptable to Agent) is then offering to purchase such bankers’ acceptances having such specified term (or a term as closely as possible comparable to such specified term). If at any time the BA Rate is less than 0.00%, it shall be deemed to be 0.00%.</w:t>
      </w:r>
    </w:p>
    <w:p>
      <w:pPr>
        <w:spacing w:after="0" w:line="182" w:lineRule="exact"/>
        <w:rPr>
          <w:sz w:val="20"/>
          <w:szCs w:val="20"/>
          <w:color w:val="auto"/>
        </w:rPr>
      </w:pPr>
    </w:p>
    <w:p>
      <w:pPr>
        <w:jc w:val="both"/>
        <w:ind w:right="20" w:firstLine="71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xml:space="preserve">” means the exercise of any Write-Down and Conversion Powers by the applicable </w:t>
      </w:r>
      <w:r>
        <w:rPr>
          <w:rFonts w:ascii="Arial" w:cs="Arial" w:eastAsia="Arial" w:hAnsi="Arial"/>
          <w:sz w:val="22"/>
          <w:szCs w:val="22"/>
          <w:color w:val="FF0000"/>
        </w:rPr>
        <w:t>EEA</w:t>
      </w:r>
      <w:r>
        <w:rPr>
          <w:rFonts w:ascii="Arial" w:cs="Arial" w:eastAsia="Arial" w:hAnsi="Arial"/>
          <w:sz w:val="22"/>
          <w:szCs w:val="22"/>
          <w:color w:val="auto"/>
        </w:rPr>
        <w:t xml:space="preserve"> Resolution Authority in respect of any liability of an </w:t>
      </w:r>
      <w:r>
        <w:rPr>
          <w:rFonts w:ascii="Arial" w:cs="Arial" w:eastAsia="Arial" w:hAnsi="Arial"/>
          <w:sz w:val="22"/>
          <w:szCs w:val="22"/>
          <w:color w:val="FF0000"/>
          <w:strike w:val="1"/>
        </w:rPr>
        <w:t>EEA</w:t>
      </w:r>
      <w:r>
        <w:rPr>
          <w:rFonts w:ascii="Arial" w:cs="Arial" w:eastAsia="Arial" w:hAnsi="Arial"/>
          <w:sz w:val="22"/>
          <w:szCs w:val="22"/>
          <w:u w:val="single" w:color="auto"/>
          <w:color w:val="0000FF"/>
        </w:rPr>
        <w:t>Affected</w:t>
      </w:r>
      <w:r>
        <w:rPr>
          <w:rFonts w:ascii="Arial" w:cs="Arial" w:eastAsia="Arial" w:hAnsi="Arial"/>
          <w:sz w:val="22"/>
          <w:szCs w:val="22"/>
          <w:color w:val="auto"/>
        </w:rPr>
        <w:t xml:space="preserve">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6158230</wp:posOffset>
            </wp:positionH>
            <wp:positionV relativeFrom="paragraph">
              <wp:posOffset>-260350</wp:posOffset>
            </wp:positionV>
            <wp:extent cx="3181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18135" cy="8255"/>
                    </a:xfrm>
                    <a:prstGeom prst="rect">
                      <a:avLst/>
                    </a:prstGeom>
                    <a:noFill/>
                  </pic:spPr>
                </pic:pic>
              </a:graphicData>
            </a:graphic>
          </wp:anchor>
        </w:drawing>
      </w:r>
    </w:p>
    <w:p>
      <w:pPr>
        <w:spacing w:after="0" w:line="155" w:lineRule="exact"/>
        <w:rPr>
          <w:sz w:val="20"/>
          <w:szCs w:val="20"/>
          <w:color w:val="auto"/>
        </w:rPr>
      </w:pPr>
    </w:p>
    <w:p>
      <w:pPr>
        <w:jc w:val="both"/>
        <w:ind w:firstLine="783"/>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w:t>
      </w:r>
      <w:r>
        <w:rPr>
          <w:rFonts w:ascii="Arial" w:cs="Arial" w:eastAsia="Arial" w:hAnsi="Arial"/>
          <w:sz w:val="22"/>
          <w:szCs w:val="22"/>
          <w:color w:val="FF0000"/>
          <w:strike w:val="1"/>
        </w:rPr>
        <w:t>,</w:t>
      </w:r>
      <w:r>
        <w:rPr>
          <w:rFonts w:ascii="Arial" w:cs="Arial" w:eastAsia="Arial" w:hAnsi="Arial"/>
          <w:sz w:val="22"/>
          <w:szCs w:val="22"/>
          <w:color w:val="auto"/>
        </w:rPr>
        <w:t xml:space="preserve"> </w:t>
      </w:r>
      <w:r>
        <w:rPr>
          <w:rFonts w:ascii="Arial" w:cs="Arial" w:eastAsia="Arial" w:hAnsi="Arial"/>
          <w:sz w:val="22"/>
          <w:szCs w:val="22"/>
          <w:color w:val="0000FF"/>
        </w:rPr>
        <w:t>(a)</w:t>
      </w:r>
      <w:r>
        <w:rPr>
          <w:rFonts w:ascii="Arial" w:cs="Arial" w:eastAsia="Arial" w:hAnsi="Arial"/>
          <w:sz w:val="22"/>
          <w:szCs w:val="22"/>
          <w:color w:val="auto"/>
        </w:rPr>
        <w:t xml:space="preserve"> with respect to any EEA Member Country implementing Article 55 of Directive 2014/59/EU of the European Parliament and of the Council of the European Union, the implementing law</w:t>
      </w:r>
      <w:r>
        <w:rPr>
          <w:rFonts w:ascii="Arial" w:cs="Arial" w:eastAsia="Arial" w:hAnsi="Arial"/>
          <w:sz w:val="22"/>
          <w:szCs w:val="22"/>
          <w:u w:val="single" w:color="auto"/>
          <w:color w:val="0000FF"/>
        </w:rPr>
        <w:t>, regulation rule or</w:t>
      </w:r>
      <w:r>
        <w:rPr>
          <w:rFonts w:ascii="Arial" w:cs="Arial" w:eastAsia="Arial" w:hAnsi="Arial"/>
          <w:sz w:val="22"/>
          <w:szCs w:val="22"/>
          <w:color w:val="auto"/>
        </w:rPr>
        <w:t xml:space="preserve"> </w:t>
      </w:r>
      <w:r>
        <w:rPr>
          <w:rFonts w:ascii="Arial" w:cs="Arial" w:eastAsia="Arial" w:hAnsi="Arial"/>
          <w:sz w:val="22"/>
          <w:szCs w:val="22"/>
          <w:u w:val="single" w:color="auto"/>
          <w:color w:val="0000FF"/>
        </w:rPr>
        <w:t>requirement</w:t>
      </w:r>
      <w:r>
        <w:rPr>
          <w:rFonts w:ascii="Arial" w:cs="Arial" w:eastAsia="Arial" w:hAnsi="Arial"/>
          <w:sz w:val="22"/>
          <w:szCs w:val="22"/>
          <w:color w:val="0000FF"/>
        </w:rPr>
        <w:t xml:space="preserve"> </w:t>
      </w:r>
      <w:r>
        <w:rPr>
          <w:rFonts w:ascii="Arial" w:cs="Arial" w:eastAsia="Arial" w:hAnsi="Arial"/>
          <w:sz w:val="22"/>
          <w:szCs w:val="22"/>
          <w:color w:val="000000"/>
        </w:rPr>
        <w:t>for such EEA Member Country from time to time which is described in the EU Bail-In Legislation Schedule</w:t>
      </w:r>
      <w:r>
        <w:rPr>
          <w:rFonts w:ascii="Arial" w:cs="Arial" w:eastAsia="Arial" w:hAnsi="Arial"/>
          <w:sz w:val="22"/>
          <w:szCs w:val="22"/>
          <w:color w:val="0000FF"/>
        </w:rPr>
        <w:t xml:space="preserve"> and (b) </w:t>
      </w:r>
      <w:r>
        <w:rPr>
          <w:rFonts w:ascii="Arial" w:cs="Arial" w:eastAsia="Arial" w:hAnsi="Arial"/>
          <w:sz w:val="22"/>
          <w:szCs w:val="22"/>
          <w:u w:val="single" w:color="auto"/>
          <w:color w:val="0000FF"/>
        </w:rPr>
        <w:t>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2134235</wp:posOffset>
            </wp:positionH>
            <wp:positionV relativeFrom="paragraph">
              <wp:posOffset>-1009650</wp:posOffset>
            </wp:positionV>
            <wp:extent cx="2120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12090" cy="8255"/>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-683895</wp:posOffset>
            </wp:positionV>
            <wp:extent cx="4349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434975" cy="8255"/>
                    </a:xfrm>
                    <a:prstGeom prst="rect">
                      <a:avLst/>
                    </a:prstGeom>
                    <a:noFill/>
                  </pic:spPr>
                </pic:pic>
              </a:graphicData>
            </a:graphic>
          </wp:anchor>
        </w:drawing>
      </w:r>
    </w:p>
    <w:p>
      <w:pPr>
        <w:spacing w:after="0" w:line="176" w:lineRule="exact"/>
        <w:rPr>
          <w:sz w:val="20"/>
          <w:szCs w:val="20"/>
          <w:color w:val="auto"/>
        </w:rPr>
      </w:pPr>
    </w:p>
    <w:p>
      <w:pPr>
        <w:jc w:val="both"/>
        <w:ind w:firstLine="499"/>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Products</w:t>
      </w:r>
      <w:r>
        <w:rPr>
          <w:rFonts w:ascii="Arial" w:cs="Arial" w:eastAsia="Arial" w:hAnsi="Arial"/>
          <w:sz w:val="22"/>
          <w:szCs w:val="22"/>
          <w:color w:val="auto"/>
        </w:rPr>
        <w:t>” means any one or more of the following types of services or facilities extended to the Credit Parties by a Person who at the time such services or facilities were extended was a Lender or Agent (or any Affiliate or branch of a Lender or Agent): (a) any treasury or other cash management services, including (i) deposit account, (ii) automated clearing house (ACH) origination and other funds transfer, (iii) depository (including cash vault and check deposit), (iv) zero balance accounts and sweep, and other ACH Transactions, (v) return items processing, (vi) controlled disbursement, (vii) positive pay, (viii) lockbox, (ix)</w:t>
      </w:r>
    </w:p>
    <w:p>
      <w:pPr>
        <w:sectPr>
          <w:pgSz w:w="11900" w:h="16838" w:orient="portrait"/>
          <w:cols w:equalWidth="0" w:num="1">
            <w:col w:w="11240"/>
          </w:cols>
          <w:pgMar w:left="320" w:top="1428" w:right="339" w:bottom="1440" w:gutter="0" w:footer="0" w:header="0"/>
        </w:sectPr>
      </w:pPr>
    </w:p>
    <w:bookmarkStart w:id="109" w:name="page110"/>
    <w:bookmarkEnd w:id="109"/>
    <w:p>
      <w:pPr>
        <w:jc w:val="both"/>
        <w:spacing w:after="0" w:line="312" w:lineRule="auto"/>
        <w:rPr>
          <w:sz w:val="20"/>
          <w:szCs w:val="20"/>
          <w:color w:val="auto"/>
        </w:rPr>
      </w:pPr>
      <w:r>
        <w:rPr>
          <w:rFonts w:ascii="Arial" w:cs="Arial" w:eastAsia="Arial" w:hAnsi="Arial"/>
          <w:sz w:val="19"/>
          <w:szCs w:val="19"/>
          <w:color w:val="auto"/>
        </w:rPr>
        <w:t>account reconciliation and information reporting, (x) payables outsourcing, (xi) payroll processing, and (xii) daylight overdraft facilities and (b) card services, including (i) credit card (including purchasing card and commercial card), (ii) prepaid card, including payroll, stored value and gift cards, (iii) merchant services processing, and (iv) debit card services.</w:t>
      </w:r>
    </w:p>
    <w:p>
      <w:pPr>
        <w:spacing w:after="0" w:line="133" w:lineRule="exact"/>
        <w:rPr>
          <w:sz w:val="20"/>
          <w:szCs w:val="20"/>
          <w:color w:val="auto"/>
        </w:rPr>
      </w:pPr>
    </w:p>
    <w:p>
      <w:pPr>
        <w:jc w:val="both"/>
        <w:ind w:firstLine="499"/>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Products Obligations</w:t>
      </w:r>
      <w:r>
        <w:rPr>
          <w:rFonts w:ascii="Arial" w:cs="Arial" w:eastAsia="Arial" w:hAnsi="Arial"/>
          <w:sz w:val="22"/>
          <w:szCs w:val="22"/>
          <w:color w:val="auto"/>
        </w:rPr>
        <w:t>” means any debts, liabilities and obligations as existing from time to time of any Credit Party arising from or in connection with any Bank Products under any Bank Product Document and, if Agent or any Lender ceases to be Agent or a Lender, as applicable, any debts, liabilities and obligations as existing from time to time of any Credit Party to Agent or such Lender, as applicable, arising from or in connection with any Bank Product Documents entered into at a time when Agent was Agent or such Lender was a Lender, as applicable.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 Product Document</w:t>
      </w:r>
      <w:r>
        <w:rPr>
          <w:rFonts w:ascii="Arial" w:cs="Arial" w:eastAsia="Arial" w:hAnsi="Arial"/>
          <w:sz w:val="22"/>
          <w:szCs w:val="22"/>
          <w:color w:val="auto"/>
        </w:rPr>
        <w:t>” means any agreement or instrument providing for Bank Products.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Code</w:t>
      </w:r>
      <w:r>
        <w:rPr>
          <w:rFonts w:ascii="Arial" w:cs="Arial" w:eastAsia="Arial" w:hAnsi="Arial"/>
          <w:sz w:val="22"/>
          <w:szCs w:val="22"/>
          <w:color w:val="auto"/>
        </w:rPr>
        <w:t xml:space="preserve">” means the United States Bankruptcy Code, 11 U.S.C. §§ 101 </w:t>
      </w:r>
      <w:r>
        <w:rPr>
          <w:rFonts w:ascii="Arial" w:cs="Arial" w:eastAsia="Arial" w:hAnsi="Arial"/>
          <w:sz w:val="22"/>
          <w:szCs w:val="22"/>
          <w:u w:val="single" w:color="auto"/>
          <w:color w:val="auto"/>
        </w:rPr>
        <w:t>et seq</w:t>
      </w:r>
      <w:r>
        <w:rPr>
          <w:rFonts w:ascii="Arial" w:cs="Arial" w:eastAsia="Arial" w:hAnsi="Arial"/>
          <w:sz w:val="22"/>
          <w:szCs w:val="22"/>
          <w:color w:val="auto"/>
        </w:rPr>
        <w:t>.</w:t>
      </w:r>
    </w:p>
    <w:p>
      <w:pPr>
        <w:spacing w:after="0" w:line="220" w:lineRule="exact"/>
        <w:rPr>
          <w:sz w:val="20"/>
          <w:szCs w:val="20"/>
          <w:color w:val="auto"/>
        </w:rPr>
      </w:pPr>
    </w:p>
    <w:p>
      <w:pPr>
        <w:jc w:val="both"/>
        <w:ind w:firstLine="513"/>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Base Rate</w:t>
      </w:r>
      <w:r>
        <w:rPr>
          <w:rFonts w:ascii="Arial" w:cs="Arial" w:eastAsia="Arial" w:hAnsi="Arial"/>
          <w:sz w:val="21"/>
          <w:szCs w:val="21"/>
          <w:color w:val="auto"/>
        </w:rPr>
        <w:t xml:space="preserve">” means, for any day, a floating rate equal to the highest of (i) the rate of interest per annum from time to time published in the “Money Rates” section of </w:t>
      </w:r>
      <w:r>
        <w:rPr>
          <w:rFonts w:ascii="Arial" w:cs="Arial" w:eastAsia="Arial" w:hAnsi="Arial"/>
          <w:sz w:val="21"/>
          <w:szCs w:val="21"/>
          <w:i w:val="1"/>
          <w:iCs w:val="1"/>
          <w:color w:val="auto"/>
        </w:rPr>
        <w:t>The Wall Street Journal</w:t>
      </w:r>
      <w:r>
        <w:rPr>
          <w:rFonts w:ascii="Arial" w:cs="Arial" w:eastAsia="Arial" w:hAnsi="Arial"/>
          <w:sz w:val="21"/>
          <w:szCs w:val="21"/>
          <w:color w:val="auto"/>
        </w:rPr>
        <w:t xml:space="preserve"> as being the “Prime Lending Rate” or, if more than one rate is published as the Prime Lending Rate, then the highest of such rates (the “</w:t>
      </w:r>
      <w:r>
        <w:rPr>
          <w:rFonts w:ascii="Arial" w:cs="Arial" w:eastAsia="Arial" w:hAnsi="Arial"/>
          <w:sz w:val="21"/>
          <w:szCs w:val="21"/>
          <w:u w:val="single" w:color="auto"/>
          <w:color w:val="auto"/>
        </w:rPr>
        <w:t>Prime Rate</w:t>
      </w:r>
      <w:r>
        <w:rPr>
          <w:rFonts w:ascii="Arial" w:cs="Arial" w:eastAsia="Arial" w:hAnsi="Arial"/>
          <w:sz w:val="21"/>
          <w:szCs w:val="21"/>
          <w:color w:val="auto"/>
        </w:rPr>
        <w:t xml:space="preserve">”) (each change in the Prime Rate to be effective as of the date of publication in </w:t>
      </w:r>
      <w:r>
        <w:rPr>
          <w:rFonts w:ascii="Arial" w:cs="Arial" w:eastAsia="Arial" w:hAnsi="Arial"/>
          <w:sz w:val="21"/>
          <w:szCs w:val="21"/>
          <w:i w:val="1"/>
          <w:iCs w:val="1"/>
          <w:color w:val="auto"/>
        </w:rPr>
        <w:t>The Wall Street Journal</w:t>
      </w:r>
      <w:r>
        <w:rPr>
          <w:rFonts w:ascii="Arial" w:cs="Arial" w:eastAsia="Arial" w:hAnsi="Arial"/>
          <w:sz w:val="21"/>
          <w:szCs w:val="21"/>
          <w:color w:val="auto"/>
        </w:rPr>
        <w:t xml:space="preserve"> of a “Prime Lending Rate” that is different from that published on the preceding domestic business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event that </w:t>
      </w:r>
      <w:r>
        <w:rPr>
          <w:rFonts w:ascii="Arial" w:cs="Arial" w:eastAsia="Arial" w:hAnsi="Arial"/>
          <w:sz w:val="21"/>
          <w:szCs w:val="21"/>
          <w:i w:val="1"/>
          <w:iCs w:val="1"/>
          <w:color w:val="auto"/>
        </w:rPr>
        <w:t>The Wall Street Journal</w:t>
      </w:r>
      <w:r>
        <w:rPr>
          <w:rFonts w:ascii="Arial" w:cs="Arial" w:eastAsia="Arial" w:hAnsi="Arial"/>
          <w:sz w:val="21"/>
          <w:szCs w:val="21"/>
          <w:color w:val="auto"/>
        </w:rPr>
        <w:t xml:space="preserve"> shall, for any reason, fail or cease to publish the Prime Lending Rate, Agent shall choose (in a manner consistent with its choice under similar credit agreements in respect of which Agent is acting as administrative agent) a reasonably comparable index or source to use as the basis for the Prime Lending Rate, (ii) the Federal Funds Rate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50 basis points per annum and (iii) LIBOR Rate for a LIBOR Period of one-month beginning on such day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1.00%. In no event shall the Base Rate be less than 0.00%. Each change in any interest rate provided for in this Agreement based upon the Base Rate shall take effect at the time of such change in the Base Rate.</w:t>
      </w:r>
    </w:p>
    <w:p>
      <w:pPr>
        <w:spacing w:after="0" w:line="182" w:lineRule="exact"/>
        <w:rPr>
          <w:sz w:val="20"/>
          <w:szCs w:val="20"/>
          <w:color w:val="auto"/>
        </w:rPr>
      </w:pPr>
    </w:p>
    <w:p>
      <w:pPr>
        <w:jc w:val="both"/>
        <w:ind w:right="20" w:firstLine="499"/>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 Loan</w:t>
      </w:r>
      <w:r>
        <w:rPr>
          <w:rFonts w:ascii="Arial" w:cs="Arial" w:eastAsia="Arial" w:hAnsi="Arial"/>
          <w:sz w:val="19"/>
          <w:szCs w:val="19"/>
          <w:color w:val="auto"/>
        </w:rPr>
        <w:t>” means a Loan or portion thereof bearing interest by reference to the (a) Base Rate, with respect to Base Rate Loans made in Dollars and (b) Canadian Base Rate, with respect to Canadian Base Rate Loans made in Canadian Dollars.</w:t>
      </w:r>
    </w:p>
    <w:p>
      <w:pPr>
        <w:spacing w:after="0" w:line="104" w:lineRule="exact"/>
        <w:rPr>
          <w:sz w:val="20"/>
          <w:szCs w:val="20"/>
          <w:color w:val="auto"/>
        </w:rPr>
      </w:pPr>
    </w:p>
    <w:p>
      <w:pPr>
        <w:jc w:val="both"/>
        <w:ind w:firstLine="47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Base Rate Margin</w:t>
      </w:r>
      <w:r>
        <w:rPr>
          <w:rFonts w:ascii="Arial" w:cs="Arial" w:eastAsia="Arial" w:hAnsi="Arial"/>
          <w:sz w:val="22"/>
          <w:szCs w:val="22"/>
          <w:color w:val="auto"/>
        </w:rPr>
        <w:t>” means the per annum interest rate margin from time to time in effect and payable in addition to the (a) Base Rate, with respect to Base Rate Loans made in Dollars and (b) Canadian Base Rate, with respect to Canadian Base Rate Loans made in Canadian Dollars, applicable to the Revolving Credit Advances, as determined in accordance with to the definition of Applicable Margin.</w:t>
      </w:r>
    </w:p>
    <w:p>
      <w:pPr>
        <w:spacing w:after="0" w:line="188" w:lineRule="exact"/>
        <w:rPr>
          <w:sz w:val="20"/>
          <w:szCs w:val="20"/>
          <w:color w:val="auto"/>
        </w:rPr>
      </w:pPr>
    </w:p>
    <w:p>
      <w:pPr>
        <w:jc w:val="both"/>
        <w:ind w:firstLine="472"/>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ERISA) that is subject to Title I of ERISA, (b) a “plan” as defined in and subject to Section 4975 of the Code or (c) any Person whose assets include (for purposes of ERISA Section 3(42) or otherwise for</w:t>
      </w:r>
    </w:p>
    <w:p>
      <w:pPr>
        <w:sectPr>
          <w:pgSz w:w="11900" w:h="16838" w:orient="portrait"/>
          <w:cols w:equalWidth="0" w:num="1">
            <w:col w:w="11240"/>
          </w:cols>
          <w:pgMar w:left="320" w:top="1428" w:right="33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purposes of Title I of ERISA or Section 4975 of the Code) the assets of any such “employee benefit plan” or “plan”.</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0000FF"/>
        </w:rPr>
        <w:t>“BHC Act Affiliate” has the meaning specified in Section 13.13(b).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9852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3985260" cy="8255"/>
                    </a:xfrm>
                    <a:prstGeom prst="rect">
                      <a:avLst/>
                    </a:prstGeom>
                    <a:noFill/>
                  </pic:spPr>
                </pic:pic>
              </a:graphicData>
            </a:graphic>
          </wp:anchor>
        </w:drawing>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BIA</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Bankruptcy and Insolvency Act</w:t>
      </w:r>
      <w:r>
        <w:rPr>
          <w:rFonts w:ascii="Arial" w:cs="Arial" w:eastAsia="Arial" w:hAnsi="Arial"/>
          <w:sz w:val="22"/>
          <w:szCs w:val="22"/>
          <w:color w:val="auto"/>
        </w:rPr>
        <w:t xml:space="preserve"> (Canada).</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Blocked Accounts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pacing w:after="0" w:line="22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as to any Person, the board of directors or managers, as applicable, of such Person or any direct or indirect parent of such Person (or, if such Person is a partnership, the board of directors or other governing body of the general partner of such Person) or any duly authorized committee thereof.</w:t>
      </w:r>
    </w:p>
    <w:p>
      <w:pPr>
        <w:spacing w:after="0" w:line="185" w:lineRule="exact"/>
        <w:rPr>
          <w:sz w:val="20"/>
          <w:szCs w:val="20"/>
          <w:color w:val="auto"/>
        </w:rPr>
      </w:pPr>
    </w:p>
    <w:p>
      <w:pPr>
        <w:jc w:val="both"/>
        <w:ind w:firstLine="445"/>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w:t>
      </w:r>
      <w:r>
        <w:rPr>
          <w:rFonts w:ascii="Arial" w:cs="Arial" w:eastAsia="Arial" w:hAnsi="Arial"/>
          <w:sz w:val="19"/>
          <w:szCs w:val="19"/>
          <w:color w:val="auto"/>
        </w:rPr>
        <w:t>” and “</w:t>
      </w:r>
      <w:r>
        <w:rPr>
          <w:rFonts w:ascii="Arial" w:cs="Arial" w:eastAsia="Arial" w:hAnsi="Arial"/>
          <w:sz w:val="19"/>
          <w:szCs w:val="19"/>
          <w:u w:val="single" w:color="auto"/>
          <w:color w:val="auto"/>
        </w:rPr>
        <w:t>Borrowers</w:t>
      </w:r>
      <w:r>
        <w:rPr>
          <w:rFonts w:ascii="Arial" w:cs="Arial" w:eastAsia="Arial" w:hAnsi="Arial"/>
          <w:sz w:val="19"/>
          <w:szCs w:val="19"/>
          <w:color w:val="auto"/>
        </w:rPr>
        <w:t xml:space="preserve">” have the respective meanings specified in the preamble to this Agreement, it being understood that any Person shall cease to be a Borrower if released in accordance with </w:t>
      </w:r>
      <w:r>
        <w:rPr>
          <w:rFonts w:ascii="Arial" w:cs="Arial" w:eastAsia="Arial" w:hAnsi="Arial"/>
          <w:sz w:val="19"/>
          <w:szCs w:val="19"/>
          <w:u w:val="single" w:color="auto"/>
          <w:color w:val="auto"/>
        </w:rPr>
        <w:t>Section 13.11</w:t>
      </w:r>
      <w:r>
        <w:rPr>
          <w:rFonts w:ascii="Arial" w:cs="Arial" w:eastAsia="Arial" w:hAnsi="Arial"/>
          <w:sz w:val="19"/>
          <w:szCs w:val="19"/>
          <w:color w:val="auto"/>
        </w:rPr>
        <w:t xml:space="preserve"> hereof and any Person shall become a Borrower if joined as such in accordance with </w:t>
      </w:r>
      <w:r>
        <w:rPr>
          <w:rFonts w:ascii="Arial" w:cs="Arial" w:eastAsia="Arial" w:hAnsi="Arial"/>
          <w:sz w:val="19"/>
          <w:szCs w:val="19"/>
          <w:u w:val="single" w:color="auto"/>
          <w:color w:val="auto"/>
        </w:rPr>
        <w:t>Section 13.11(e)</w:t>
      </w:r>
      <w:r>
        <w:rPr>
          <w:rFonts w:ascii="Arial" w:cs="Arial" w:eastAsia="Arial" w:hAnsi="Arial"/>
          <w:sz w:val="19"/>
          <w:szCs w:val="19"/>
          <w:color w:val="auto"/>
        </w:rPr>
        <w:t xml:space="preserve"> hereof. Any Borrower (other than the Parent Borrower) shall cease to be a Borrower hereunder in the event that is ceases to be a Wholly Owned Subsidiary of the Parent Borrower.</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Materials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10.13(a)</w:t>
      </w:r>
      <w:r>
        <w:rPr>
          <w:rFonts w:ascii="Arial" w:cs="Arial" w:eastAsia="Arial" w:hAnsi="Arial"/>
          <w:sz w:val="22"/>
          <w:szCs w:val="22"/>
          <w:color w:val="auto"/>
        </w:rPr>
        <w:t>.</w:t>
      </w:r>
    </w:p>
    <w:p>
      <w:pPr>
        <w:spacing w:after="0" w:line="220"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Representative</w:t>
      </w:r>
      <w:r>
        <w:rPr>
          <w:rFonts w:ascii="Arial" w:cs="Arial" w:eastAsia="Arial" w:hAnsi="Arial"/>
          <w:sz w:val="22"/>
          <w:szCs w:val="22"/>
          <w:color w:val="auto"/>
        </w:rPr>
        <w:t xml:space="preserve">” means Parent Borrower in its capacity as Borrower Representative pursuant to the provisions of </w:t>
      </w:r>
      <w:r>
        <w:rPr>
          <w:rFonts w:ascii="Arial" w:cs="Arial" w:eastAsia="Arial" w:hAnsi="Arial"/>
          <w:sz w:val="22"/>
          <w:szCs w:val="22"/>
          <w:u w:val="single" w:color="auto"/>
          <w:color w:val="auto"/>
        </w:rPr>
        <w:t>Section 2.1(c)</w:t>
      </w:r>
      <w:r>
        <w:rPr>
          <w:rFonts w:ascii="Arial" w:cs="Arial" w:eastAsia="Arial" w:hAnsi="Arial"/>
          <w:sz w:val="22"/>
          <w:szCs w:val="22"/>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 Workspace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10.13(a)</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w:t>
      </w:r>
      <w:r>
        <w:rPr>
          <w:rFonts w:ascii="Arial" w:cs="Arial" w:eastAsia="Arial" w:hAnsi="Arial"/>
          <w:sz w:val="22"/>
          <w:szCs w:val="22"/>
          <w:color w:val="auto"/>
        </w:rPr>
        <w:t xml:space="preserve">” means, at any time, the sum of the U.S. Borrowing Base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Canadian Borrowing Base.</w:t>
      </w:r>
    </w:p>
    <w:p>
      <w:pPr>
        <w:spacing w:after="0" w:line="220"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 Certificate</w:t>
      </w:r>
      <w:r>
        <w:rPr>
          <w:rFonts w:ascii="Arial" w:cs="Arial" w:eastAsia="Arial" w:hAnsi="Arial"/>
          <w:sz w:val="22"/>
          <w:szCs w:val="22"/>
          <w:color w:val="auto"/>
        </w:rPr>
        <w:t xml:space="preserve">” means a certificate to be executed and delivered from time to time by Borrower Representative substantially in the form attached to this Agreement as </w:t>
      </w:r>
      <w:r>
        <w:rPr>
          <w:rFonts w:ascii="Arial" w:cs="Arial" w:eastAsia="Arial" w:hAnsi="Arial"/>
          <w:sz w:val="22"/>
          <w:szCs w:val="22"/>
          <w:u w:val="single" w:color="auto"/>
          <w:color w:val="auto"/>
        </w:rPr>
        <w:t>Exhibit 5.2</w:t>
      </w:r>
      <w:r>
        <w:rPr>
          <w:rFonts w:ascii="Arial" w:cs="Arial" w:eastAsia="Arial" w:hAnsi="Arial"/>
          <w:sz w:val="22"/>
          <w:szCs w:val="22"/>
          <w:color w:val="auto"/>
        </w:rPr>
        <w:t>, as such form, subject to the terms hereof, may from time to time be modified as agreed by Parent Borrower and Co-Collateral Agents.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 Collateral</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220"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Bridge Credit Agreement</w:t>
      </w:r>
      <w:r>
        <w:rPr>
          <w:rFonts w:ascii="Arial" w:cs="Arial" w:eastAsia="Arial" w:hAnsi="Arial"/>
          <w:sz w:val="22"/>
          <w:szCs w:val="22"/>
          <w:color w:val="auto"/>
        </w:rPr>
        <w:t>” means that certain Credit Agreement, dated as of December 24, 2018, by and among Parent Borrower, as Borrower, Citibank, N.A., as Agent and the other parties thereto.</w:t>
      </w:r>
    </w:p>
    <w:p>
      <w:pPr>
        <w:spacing w:after="0" w:line="175" w:lineRule="exact"/>
        <w:rPr>
          <w:sz w:val="20"/>
          <w:szCs w:val="20"/>
          <w:color w:val="auto"/>
        </w:rPr>
      </w:pPr>
    </w:p>
    <w:p>
      <w:pPr>
        <w:jc w:val="both"/>
        <w:ind w:firstLine="553"/>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that is not a Saturday, a Sunday or a day on which banks are required or permitted to be closed in the State of New York, and in reference to LIBOR Loans means any such day that is also a LIBOR Business Day. When used in connection with any Loan to a Canadian Borrower or any payment made in connection therewith, the term</w:t>
      </w:r>
    </w:p>
    <w:p>
      <w:pPr>
        <w:sectPr>
          <w:pgSz w:w="11900" w:h="16838" w:orient="portrait"/>
          <w:cols w:equalWidth="0" w:num="1">
            <w:col w:w="11240"/>
          </w:cols>
          <w:pgMar w:left="320" w:top="1428" w:right="339" w:bottom="1440" w:gutter="0" w:footer="0" w:header="0"/>
        </w:sectPr>
      </w:pPr>
    </w:p>
    <w:bookmarkStart w:id="111" w:name="page112"/>
    <w:bookmarkEnd w:id="111"/>
    <w:p>
      <w:pPr>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shall also exclude any day on which commercial banks are authorized to close under the Laws of, or are in fact closed in, the Province of Ontario.</w:t>
      </w:r>
    </w:p>
    <w:p>
      <w:pPr>
        <w:spacing w:after="0" w:line="175" w:lineRule="exact"/>
        <w:rPr>
          <w:sz w:val="20"/>
          <w:szCs w:val="20"/>
          <w:color w:val="auto"/>
        </w:rPr>
      </w:pPr>
    </w:p>
    <w:p>
      <w:pPr>
        <w:ind w:right="280" w:firstLine="432"/>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Plan</w:t>
      </w:r>
      <w:r>
        <w:rPr>
          <w:rFonts w:ascii="Arial" w:cs="Arial" w:eastAsia="Arial" w:hAnsi="Arial"/>
          <w:sz w:val="19"/>
          <w:szCs w:val="19"/>
          <w:color w:val="auto"/>
        </w:rPr>
        <w:t>” means Borrowers’ and their Subsidiaries’ forecasted consolidated: (a) balance sheets; (b) income statements; and (c) cash flow statements, in a format consistent with the historical Financial Statements of Borrowers and their Subsidiaries, together with appropriate supporting details and a statement of underlying assumptions.</w:t>
      </w:r>
    </w:p>
    <w:p>
      <w:pPr>
        <w:spacing w:after="0" w:line="160" w:lineRule="exact"/>
        <w:rPr>
          <w:sz w:val="20"/>
          <w:szCs w:val="20"/>
          <w:color w:val="auto"/>
        </w:rPr>
      </w:pPr>
    </w:p>
    <w:p>
      <w:pPr>
        <w:ind w:firstLine="432"/>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Availability</w:t>
      </w:r>
      <w:r>
        <w:rPr>
          <w:rFonts w:ascii="Arial" w:cs="Arial" w:eastAsia="Arial" w:hAnsi="Arial"/>
          <w:sz w:val="19"/>
          <w:szCs w:val="19"/>
          <w:color w:val="auto"/>
        </w:rPr>
        <w:t xml:space="preserve">” means, as of any date of determination, the amount (if any) by which (a) Canadian Available Credit, exceeds (b) the sum of the aggregate Dollar Equivalent of (i) Revolving Credit Advances made to the Canadian Borrowers </w:t>
      </w:r>
      <w:r>
        <w:rPr>
          <w:rFonts w:ascii="Arial" w:cs="Arial" w:eastAsia="Arial" w:hAnsi="Arial"/>
          <w:sz w:val="19"/>
          <w:szCs w:val="19"/>
          <w:u w:val="single" w:color="auto"/>
          <w:color w:val="auto"/>
        </w:rPr>
        <w:t>plus</w:t>
      </w:r>
    </w:p>
    <w:p>
      <w:pPr>
        <w:spacing w:after="0" w:line="1" w:lineRule="exact"/>
        <w:rPr>
          <w:sz w:val="20"/>
          <w:szCs w:val="20"/>
          <w:color w:val="auto"/>
        </w:rPr>
      </w:pPr>
    </w:p>
    <w:p>
      <w:pPr>
        <w:ind w:firstLine="8"/>
        <w:spacing w:after="0" w:line="246" w:lineRule="auto"/>
        <w:tabs>
          <w:tab w:leader="none" w:pos="327"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Canadian Borrowers’ Letter of Credit Obligations (other than the Canadian Borrowers’ Letter of Credit Obligations cash collateralized in accordance with the terms of the Loan Documents).</w:t>
      </w:r>
    </w:p>
    <w:p>
      <w:pPr>
        <w:spacing w:after="0" w:line="192" w:lineRule="exact"/>
        <w:rPr>
          <w:sz w:val="20"/>
          <w:szCs w:val="20"/>
          <w:color w:val="auto"/>
        </w:rPr>
      </w:pPr>
    </w:p>
    <w:p>
      <w:pPr>
        <w:jc w:val="both"/>
        <w:ind w:firstLine="459"/>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Available Credit</w:t>
      </w:r>
      <w:r>
        <w:rPr>
          <w:rFonts w:ascii="Arial" w:cs="Arial" w:eastAsia="Arial" w:hAnsi="Arial"/>
          <w:sz w:val="19"/>
          <w:szCs w:val="19"/>
          <w:color w:val="auto"/>
        </w:rPr>
        <w:t>” means, as of any date of determination, the lesser of (a) the Canadian Commitment and (b) the Canadian Borrowing Base as most recently reported by the Credit Parties on or prior to such date of determination.</w:t>
      </w:r>
    </w:p>
    <w:p>
      <w:pPr>
        <w:spacing w:after="0" w:line="104" w:lineRule="exact"/>
        <w:rPr>
          <w:sz w:val="20"/>
          <w:szCs w:val="20"/>
          <w:color w:val="auto"/>
        </w:rPr>
      </w:pPr>
    </w:p>
    <w:p>
      <w:pPr>
        <w:jc w:val="both"/>
        <w:ind w:firstLine="472"/>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Base Rate</w:t>
      </w:r>
      <w:r>
        <w:rPr>
          <w:rFonts w:ascii="Arial" w:cs="Arial" w:eastAsia="Arial" w:hAnsi="Arial"/>
          <w:sz w:val="19"/>
          <w:szCs w:val="19"/>
          <w:color w:val="auto"/>
        </w:rPr>
        <w:t>” means, at any time, the annual rate of interest equal to the greater of (a) the annual rate from time to time publicly announced by Agent (or a bank that is listed on Schedule 1 of the Bank Act (Canada) acceptable to Agent) as its prime rate in effect for determining interest rates on Canadian Dollar denominated commercial loans made in Canada and (b) the annual rate of interest equal to the sum of the 30-day BA Rate at such time plus 1% percent per annum. In no event shall the Canadian Base Rate be less than zero for purposes of this Agreement.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Borrower</w:t>
      </w:r>
      <w:r>
        <w:rPr>
          <w:rFonts w:ascii="Arial" w:cs="Arial" w:eastAsia="Arial" w:hAnsi="Arial"/>
          <w:sz w:val="22"/>
          <w:szCs w:val="22"/>
          <w:color w:val="auto"/>
        </w:rPr>
        <w:t>” and “</w:t>
      </w:r>
      <w:r>
        <w:rPr>
          <w:rFonts w:ascii="Arial" w:cs="Arial" w:eastAsia="Arial" w:hAnsi="Arial"/>
          <w:sz w:val="22"/>
          <w:szCs w:val="22"/>
          <w:u w:val="single" w:color="auto"/>
          <w:color w:val="auto"/>
        </w:rPr>
        <w:t>Canadian Borrowers</w:t>
      </w:r>
      <w:r>
        <w:rPr>
          <w:rFonts w:ascii="Arial" w:cs="Arial" w:eastAsia="Arial" w:hAnsi="Arial"/>
          <w:sz w:val="22"/>
          <w:szCs w:val="22"/>
          <w:color w:val="auto"/>
        </w:rPr>
        <w:t>” has the meaning specified in the preamble to this Agreement.</w:t>
      </w:r>
    </w:p>
    <w:p>
      <w:pPr>
        <w:spacing w:after="0" w:line="220" w:lineRule="exact"/>
        <w:rPr>
          <w:sz w:val="20"/>
          <w:szCs w:val="20"/>
          <w:color w:val="auto"/>
        </w:rPr>
      </w:pPr>
    </w:p>
    <w:p>
      <w:pPr>
        <w:jc w:val="both"/>
        <w:ind w:firstLine="769"/>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Borrowers’ Letter of Credit Obligations</w:t>
      </w:r>
      <w:r>
        <w:rPr>
          <w:rFonts w:ascii="Arial" w:cs="Arial" w:eastAsia="Arial" w:hAnsi="Arial"/>
          <w:sz w:val="22"/>
          <w:szCs w:val="22"/>
          <w:color w:val="auto"/>
        </w:rPr>
        <w:t>” means the aggregate Dollar Equivalent of all Letter of Credit Obligations in connection with the issuance of Letters of Credit on behalf of a Canadian Borrower or in respect of the Canadian Commitments.</w:t>
      </w:r>
    </w:p>
    <w:p>
      <w:pPr>
        <w:spacing w:after="0" w:line="18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Borrowing Base</w:t>
      </w:r>
      <w:r>
        <w:rPr>
          <w:rFonts w:ascii="Arial" w:cs="Arial" w:eastAsia="Arial" w:hAnsi="Arial"/>
          <w:sz w:val="22"/>
          <w:szCs w:val="22"/>
          <w:color w:val="auto"/>
        </w:rPr>
        <w:t>” means, as of any date of determination, from time to time, as to the Canadian Credit Parties, an amount equal to the aggregate Dollar Equivalent of the sum at such time of:</w:t>
      </w:r>
    </w:p>
    <w:p>
      <w:pPr>
        <w:spacing w:after="0" w:line="175"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an amount equal to the least of:</w:t>
      </w:r>
    </w:p>
    <w:p>
      <w:pPr>
        <w:spacing w:after="0" w:line="219" w:lineRule="exact"/>
        <w:rPr>
          <w:rFonts w:ascii="Arial" w:cs="Arial" w:eastAsia="Arial" w:hAnsi="Arial"/>
          <w:sz w:val="22"/>
          <w:szCs w:val="22"/>
          <w:color w:val="auto"/>
        </w:rPr>
      </w:pPr>
    </w:p>
    <w:p>
      <w:pPr>
        <w:jc w:val="both"/>
        <w:ind w:left="900" w:firstLine="443"/>
        <w:spacing w:after="0" w:line="247" w:lineRule="auto"/>
        <w:tabs>
          <w:tab w:leader="none" w:pos="1953" w:val="left"/>
        </w:tabs>
        <w:numPr>
          <w:ilvl w:val="1"/>
          <w:numId w:val="18"/>
        </w:numPr>
        <w:rPr>
          <w:rFonts w:ascii="Arial" w:cs="Arial" w:eastAsia="Arial" w:hAnsi="Arial"/>
          <w:sz w:val="22"/>
          <w:szCs w:val="22"/>
          <w:color w:val="auto"/>
        </w:rPr>
      </w:pPr>
      <w:r>
        <w:rPr>
          <w:rFonts w:ascii="Arial" w:cs="Arial" w:eastAsia="Arial" w:hAnsi="Arial"/>
          <w:sz w:val="22"/>
          <w:szCs w:val="22"/>
          <w:color w:val="auto"/>
        </w:rPr>
        <w:t xml:space="preserve">the sum at such time of (A) the U.S. Borrowing Base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sum of (x) Revolving Credit Advances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(y) Letter of Credit Obligations (other than Letter of Credit Obligations cash collateralized in accordance with the terms of the Loan Documents)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(z) Swing Line Loans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product of (x) 85%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(y) the Canadian Credit Parties’ Eligible Accounts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(C) 20%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(y) the Canadian Credit Parties’ Eligible 90-Day Accounts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(D) the lesser of (x) the product of (1) 65%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(2) the cost of the Canadian Credit Parties’ Eligible</w:t>
      </w:r>
    </w:p>
    <w:p>
      <w:pPr>
        <w:sectPr>
          <w:pgSz w:w="11900" w:h="16838" w:orient="portrait"/>
          <w:cols w:equalWidth="0" w:num="1">
            <w:col w:w="11240"/>
          </w:cols>
          <w:pgMar w:left="320" w:top="1428" w:right="339" w:bottom="1440" w:gutter="0" w:footer="0" w:header="0"/>
        </w:sectPr>
      </w:pPr>
    </w:p>
    <w:bookmarkStart w:id="112" w:name="page113"/>
    <w:bookmarkEnd w:id="112"/>
    <w:p>
      <w:pPr>
        <w:jc w:val="both"/>
        <w:ind w:left="900"/>
        <w:spacing w:after="0" w:line="284" w:lineRule="auto"/>
        <w:rPr>
          <w:sz w:val="20"/>
          <w:szCs w:val="20"/>
          <w:color w:val="auto"/>
        </w:rPr>
      </w:pPr>
      <w:r>
        <w:rPr>
          <w:rFonts w:ascii="Arial" w:cs="Arial" w:eastAsia="Arial" w:hAnsi="Arial"/>
          <w:sz w:val="19"/>
          <w:szCs w:val="19"/>
          <w:color w:val="auto"/>
        </w:rPr>
        <w:t xml:space="preserve">Equipment (but net of delivery charges, sales tax and other costs incidental to the purchase thereof), and (y) the product of (1) 85%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(2) the cost of the Canadian Credit Parties’ Eligible Equipment (but net of delivery charges, sales tax and other costs incidental to the purchase thereof)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the Net Orderly Liquidation Value percentage identified in the most recent Equipment appraisal obtained by Agent,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Canadian Borrowing Base shall not include sub-clause (D) above until such time as each Co-Collateral Agent consents after the Restatement Date to include assets described in sub-clause (D) above in the calculation of the Canadian Borrowing Base;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(x) a maximum of 25% of the Canadian Borrowing Base that is calculated under this clause</w:t>
      </w:r>
    </w:p>
    <w:p>
      <w:pPr>
        <w:spacing w:after="0" w:line="4" w:lineRule="exact"/>
        <w:rPr>
          <w:sz w:val="20"/>
          <w:szCs w:val="20"/>
          <w:color w:val="auto"/>
        </w:rPr>
      </w:pPr>
    </w:p>
    <w:p>
      <w:pPr>
        <w:jc w:val="both"/>
        <w:ind w:left="900" w:hanging="1"/>
        <w:spacing w:after="0" w:line="257" w:lineRule="auto"/>
        <w:tabs>
          <w:tab w:leader="none" w:pos="1196" w:val="left"/>
        </w:tabs>
        <w:numPr>
          <w:ilvl w:val="1"/>
          <w:numId w:val="19"/>
        </w:numPr>
        <w:rPr>
          <w:rFonts w:ascii="Arial" w:cs="Arial" w:eastAsia="Arial" w:hAnsi="Arial"/>
          <w:sz w:val="21"/>
          <w:szCs w:val="21"/>
          <w:color w:val="auto"/>
        </w:rPr>
      </w:pPr>
      <w:r>
        <w:rPr>
          <w:rFonts w:ascii="Arial" w:cs="Arial" w:eastAsia="Arial" w:hAnsi="Arial"/>
          <w:sz w:val="21"/>
          <w:szCs w:val="21"/>
          <w:color w:val="auto"/>
        </w:rPr>
        <w:t>shall be attributable to the Canadian Credit Parties’ Eligible Equipment and (y) the amount contributed to the Canadian Borrowing Base at any time pursuant to sub-clause (C) of this clause (i), taken together with the amount contributed to the U.S. Borrowing Base at such time pursuant to clause (b) of the definition of “U.S. Borrowing Base”, shall not exceed at such time the Eligible 90-Day Accounts Cap (it being understood that, unless otherwise elected by Parent Borrower in its sole discretion from time-to-time (which election shall be revocable in its sole discretion), Eligible 90-Day Accounts shall be applied to the Eligible 90-Day Accounts Cap first for the benefit of the U.S. Borrowing Base, and thereafter for the benefit of the Canadian Borrowing Base);</w:t>
      </w:r>
    </w:p>
    <w:p>
      <w:pPr>
        <w:spacing w:after="0" w:line="183" w:lineRule="exact"/>
        <w:rPr>
          <w:rFonts w:ascii="Arial" w:cs="Arial" w:eastAsia="Arial" w:hAnsi="Arial"/>
          <w:sz w:val="21"/>
          <w:szCs w:val="21"/>
          <w:color w:val="auto"/>
        </w:rPr>
      </w:pPr>
    </w:p>
    <w:p>
      <w:pPr>
        <w:ind w:left="1960" w:hanging="677"/>
        <w:spacing w:after="0"/>
        <w:tabs>
          <w:tab w:leader="none" w:pos="1960" w:val="left"/>
        </w:tabs>
        <w:numPr>
          <w:ilvl w:val="2"/>
          <w:numId w:val="19"/>
        </w:numPr>
        <w:rPr>
          <w:rFonts w:ascii="Arial" w:cs="Arial" w:eastAsia="Arial" w:hAnsi="Arial"/>
          <w:sz w:val="22"/>
          <w:szCs w:val="22"/>
          <w:color w:val="auto"/>
        </w:rPr>
      </w:pPr>
      <w:r>
        <w:rPr>
          <w:rFonts w:ascii="Arial" w:cs="Arial" w:eastAsia="Arial" w:hAnsi="Arial"/>
          <w:sz w:val="22"/>
          <w:szCs w:val="22"/>
          <w:color w:val="auto"/>
        </w:rPr>
        <w:t>$150,000,000; and</w:t>
      </w:r>
    </w:p>
    <w:p>
      <w:pPr>
        <w:spacing w:after="0" w:line="219" w:lineRule="exact"/>
        <w:rPr>
          <w:rFonts w:ascii="Arial" w:cs="Arial" w:eastAsia="Arial" w:hAnsi="Arial"/>
          <w:sz w:val="22"/>
          <w:szCs w:val="22"/>
          <w:color w:val="auto"/>
        </w:rPr>
      </w:pPr>
    </w:p>
    <w:p>
      <w:pPr>
        <w:ind w:left="1960" w:hanging="737"/>
        <w:spacing w:after="0"/>
        <w:tabs>
          <w:tab w:leader="none" w:pos="1960" w:val="left"/>
        </w:tabs>
        <w:numPr>
          <w:ilvl w:val="2"/>
          <w:numId w:val="19"/>
        </w:numPr>
        <w:rPr>
          <w:rFonts w:ascii="Arial" w:cs="Arial" w:eastAsia="Arial" w:hAnsi="Arial"/>
          <w:sz w:val="22"/>
          <w:szCs w:val="22"/>
          <w:color w:val="auto"/>
        </w:rPr>
      </w:pPr>
      <w:r>
        <w:rPr>
          <w:rFonts w:ascii="Arial" w:cs="Arial" w:eastAsia="Arial" w:hAnsi="Arial"/>
          <w:sz w:val="22"/>
          <w:szCs w:val="22"/>
          <w:color w:val="auto"/>
        </w:rPr>
        <w:t xml:space="preserve">Availability; </w:t>
      </w:r>
      <w:r>
        <w:rPr>
          <w:rFonts w:ascii="Arial" w:cs="Arial" w:eastAsia="Arial" w:hAnsi="Arial"/>
          <w:sz w:val="22"/>
          <w:szCs w:val="22"/>
          <w:u w:val="single" w:color="auto"/>
          <w:color w:val="auto"/>
        </w:rPr>
        <w:t>minus</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20"/>
        </w:numPr>
        <w:rPr>
          <w:rFonts w:ascii="Arial" w:cs="Arial" w:eastAsia="Arial" w:hAnsi="Arial"/>
          <w:sz w:val="22"/>
          <w:szCs w:val="22"/>
          <w:color w:val="auto"/>
        </w:rPr>
      </w:pPr>
      <w:r>
        <w:rPr>
          <w:rFonts w:ascii="Arial" w:cs="Arial" w:eastAsia="Arial" w:hAnsi="Arial"/>
          <w:sz w:val="22"/>
          <w:szCs w:val="22"/>
          <w:color w:val="auto"/>
        </w:rPr>
        <w:t xml:space="preserve">the Dilution Reserve, </w:t>
      </w:r>
      <w:r>
        <w:rPr>
          <w:rFonts w:ascii="Arial" w:cs="Arial" w:eastAsia="Arial" w:hAnsi="Arial"/>
          <w:sz w:val="22"/>
          <w:szCs w:val="22"/>
          <w:u w:val="single" w:color="auto"/>
          <w:color w:val="0000FF"/>
        </w:rPr>
        <w:t>the Discretionary FILO Dilution Reserve, if applicable,</w:t>
      </w:r>
      <w:r>
        <w:rPr>
          <w:rFonts w:ascii="Arial" w:cs="Arial" w:eastAsia="Arial" w:hAnsi="Arial"/>
          <w:sz w:val="22"/>
          <w:szCs w:val="22"/>
          <w:color w:val="auto"/>
        </w:rPr>
        <w:t xml:space="preserve"> the Rent Reserve, the Canadian Priority Payables Reserve, and such other Reserves established by Co-Collateral Agents in their Permitted Discretion in conformity with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18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 xml:space="preserve">The Canadian Borrowing Base shall be determined by reference to the most recent Borrowing Base Certificate delivered to Agent pursuant to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Notwithstanding anything to the contrary contained herein, determinations as to Reserves, and adjustments related to the Canadian Borrowing Base shall be made by Co-Collateral Agents in their Permitted Discretion in conformity with </w:t>
      </w:r>
      <w:r>
        <w:rPr>
          <w:rFonts w:ascii="Arial" w:cs="Arial" w:eastAsia="Arial" w:hAnsi="Arial"/>
          <w:sz w:val="22"/>
          <w:szCs w:val="22"/>
          <w:u w:val="single" w:color="auto"/>
          <w:color w:val="auto"/>
        </w:rPr>
        <w:t>Section 2.18</w:t>
      </w:r>
      <w:r>
        <w:rPr>
          <w:rFonts w:ascii="Arial" w:cs="Arial" w:eastAsia="Arial" w:hAnsi="Arial"/>
          <w:sz w:val="22"/>
          <w:szCs w:val="22"/>
          <w:color w:val="auto"/>
        </w:rPr>
        <w:t xml:space="preserve"> and to assure that the Canadian Borrowing Base is calculated in accordance with the terms of this Agreement.</w:t>
      </w:r>
    </w:p>
    <w:p>
      <w:pPr>
        <w:spacing w:after="0" w:line="192" w:lineRule="exact"/>
        <w:rPr>
          <w:sz w:val="20"/>
          <w:szCs w:val="20"/>
          <w:color w:val="auto"/>
        </w:rPr>
      </w:pPr>
    </w:p>
    <w:p>
      <w:pPr>
        <w:jc w:val="both"/>
        <w:ind w:right="20" w:firstLine="783"/>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Collateral</w:t>
      </w:r>
      <w:r>
        <w:rPr>
          <w:rFonts w:ascii="Arial" w:cs="Arial" w:eastAsia="Arial" w:hAnsi="Arial"/>
          <w:sz w:val="22"/>
          <w:szCs w:val="22"/>
          <w:color w:val="auto"/>
        </w:rPr>
        <w:t>” means the Collateral owned by (or, in the event such Collateral has been foreclosed upon, immediately prior to such foreclosure that was owned by) a Canadian Credit Party.</w:t>
      </w:r>
    </w:p>
    <w:p>
      <w:pPr>
        <w:spacing w:after="0" w:line="175"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Canadian Commitment</w:t>
      </w:r>
      <w:r>
        <w:rPr>
          <w:rFonts w:ascii="Arial" w:cs="Arial" w:eastAsia="Arial" w:hAnsi="Arial"/>
          <w:sz w:val="21"/>
          <w:szCs w:val="21"/>
          <w:color w:val="auto"/>
        </w:rPr>
        <w:t xml:space="preserve">” means, as to any Lender, the commitment of such Lender to make Advances as set forth on </w:t>
      </w:r>
      <w:r>
        <w:rPr>
          <w:rFonts w:ascii="Arial" w:cs="Arial" w:eastAsia="Arial" w:hAnsi="Arial"/>
          <w:sz w:val="21"/>
          <w:szCs w:val="21"/>
          <w:u w:val="single" w:color="auto"/>
          <w:color w:val="auto"/>
        </w:rPr>
        <w:t>Annex</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to the Canadian Borrowers, which commitment constitutes a subfacility of the Commitment of such Lender. The aggregate Canadian Commitment on the Amendment No. 3 Effective Date is One Hundred Fifty Million Dollars ($150,000,000), which commitment constitutes a subfacility of the aggregate Commitments of all Lenders.</w:t>
      </w:r>
    </w:p>
    <w:p>
      <w:pPr>
        <w:sectPr>
          <w:pgSz w:w="11900" w:h="16838" w:orient="portrait"/>
          <w:cols w:equalWidth="0" w:num="1">
            <w:col w:w="11240"/>
          </w:cols>
          <w:pgMar w:left="320" w:top="1428" w:right="339" w:bottom="1440" w:gutter="0" w:footer="0" w:header="0"/>
        </w:sectPr>
      </w:pPr>
    </w:p>
    <w:bookmarkStart w:id="113" w:name="page114"/>
    <w:bookmarkEnd w:id="113"/>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Credit Party</w:t>
      </w:r>
      <w:r>
        <w:rPr>
          <w:rFonts w:ascii="Arial" w:cs="Arial" w:eastAsia="Arial" w:hAnsi="Arial"/>
          <w:sz w:val="22"/>
          <w:szCs w:val="22"/>
          <w:color w:val="auto"/>
        </w:rPr>
        <w:t>” means each Canadian Borrower and each Canadian Guarantor.</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Dollars</w:t>
      </w:r>
      <w:r>
        <w:rPr>
          <w:rFonts w:ascii="Arial" w:cs="Arial" w:eastAsia="Arial" w:hAnsi="Arial"/>
          <w:sz w:val="22"/>
          <w:szCs w:val="22"/>
          <w:color w:val="auto"/>
        </w:rPr>
        <w:t>” or “</w:t>
      </w:r>
      <w:r>
        <w:rPr>
          <w:rFonts w:ascii="Arial" w:cs="Arial" w:eastAsia="Arial" w:hAnsi="Arial"/>
          <w:sz w:val="22"/>
          <w:szCs w:val="22"/>
          <w:u w:val="single" w:color="auto"/>
          <w:color w:val="auto"/>
        </w:rPr>
        <w:t>C$</w:t>
      </w:r>
      <w:r>
        <w:rPr>
          <w:rFonts w:ascii="Arial" w:cs="Arial" w:eastAsia="Arial" w:hAnsi="Arial"/>
          <w:sz w:val="22"/>
          <w:szCs w:val="22"/>
          <w:color w:val="auto"/>
        </w:rPr>
        <w:t>” means the lawful currency of Canada.</w:t>
      </w:r>
    </w:p>
    <w:p>
      <w:pPr>
        <w:spacing w:after="0" w:line="220" w:lineRule="exact"/>
        <w:rPr>
          <w:sz w:val="20"/>
          <w:szCs w:val="20"/>
          <w:color w:val="auto"/>
        </w:rPr>
      </w:pPr>
    </w:p>
    <w:p>
      <w:pPr>
        <w:jc w:val="both"/>
        <w:ind w:firstLine="513"/>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Guarantor</w:t>
      </w:r>
      <w:r>
        <w:rPr>
          <w:rFonts w:ascii="Arial" w:cs="Arial" w:eastAsia="Arial" w:hAnsi="Arial"/>
          <w:sz w:val="22"/>
          <w:szCs w:val="22"/>
          <w:color w:val="auto"/>
        </w:rPr>
        <w:t>” means each Guarantor that is incorporated or otherwise organized under the laws of Canada or any province or territory thereof.</w:t>
      </w:r>
    </w:p>
    <w:p>
      <w:pPr>
        <w:spacing w:after="0" w:line="175" w:lineRule="exact"/>
        <w:rPr>
          <w:sz w:val="20"/>
          <w:szCs w:val="20"/>
          <w:color w:val="auto"/>
        </w:rPr>
      </w:pPr>
    </w:p>
    <w:p>
      <w:pPr>
        <w:jc w:val="both"/>
        <w:ind w:right="20" w:firstLine="58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Guaranty</w:t>
      </w:r>
      <w:r>
        <w:rPr>
          <w:rFonts w:ascii="Arial" w:cs="Arial" w:eastAsia="Arial" w:hAnsi="Arial"/>
          <w:sz w:val="19"/>
          <w:szCs w:val="19"/>
          <w:color w:val="auto"/>
        </w:rPr>
        <w:t xml:space="preserve">” means the guarantee of the Obligations of each Canadian Credit Party hereunder by the Canadian Credit Parties in </w:t>
      </w:r>
      <w:r>
        <w:rPr>
          <w:rFonts w:ascii="Arial" w:cs="Arial" w:eastAsia="Arial" w:hAnsi="Arial"/>
          <w:sz w:val="19"/>
          <w:szCs w:val="19"/>
          <w:u w:val="single" w:color="auto"/>
          <w:color w:val="auto"/>
        </w:rPr>
        <w:t>Article 13</w:t>
      </w:r>
      <w:r>
        <w:rPr>
          <w:rFonts w:ascii="Arial" w:cs="Arial" w:eastAsia="Arial" w:hAnsi="Arial"/>
          <w:sz w:val="19"/>
          <w:szCs w:val="19"/>
          <w:color w:val="auto"/>
        </w:rPr>
        <w:t xml:space="preserve"> hereunder or in a supplemental guarantee in accordance with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of this Agreement.</w:t>
      </w:r>
    </w:p>
    <w:p>
      <w:pPr>
        <w:spacing w:after="0" w:line="104" w:lineRule="exact"/>
        <w:rPr>
          <w:sz w:val="20"/>
          <w:szCs w:val="20"/>
          <w:color w:val="auto"/>
        </w:rPr>
      </w:pPr>
    </w:p>
    <w:p>
      <w:pPr>
        <w:jc w:val="both"/>
        <w:ind w:firstLine="445"/>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Lenders</w:t>
      </w:r>
      <w:r>
        <w:rPr>
          <w:rFonts w:ascii="Arial" w:cs="Arial" w:eastAsia="Arial" w:hAnsi="Arial"/>
          <w:sz w:val="19"/>
          <w:szCs w:val="19"/>
          <w:color w:val="auto"/>
        </w:rPr>
        <w:t>” means the Persons (or an Affiliate or branch of any such Person that is acting on behalf of such Person, in which case the term “Canadian Lenders” shall include any such Affiliate or branch with respect to the Canadian Loans made by such Affiliate or branch) having a Canadian Commitment and any other Person that shall acquire a Canadian Commitment, other than any such Person that ceases to be a Canadian Lender pursuant to an Assignment Agreement.</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Letters of Credit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2.2(f)</w:t>
      </w:r>
      <w:r>
        <w:rPr>
          <w:rFonts w:ascii="Arial" w:cs="Arial" w:eastAsia="Arial" w:hAnsi="Arial"/>
          <w:sz w:val="22"/>
          <w:szCs w:val="22"/>
          <w:color w:val="auto"/>
        </w:rPr>
        <w:t>.</w:t>
      </w:r>
    </w:p>
    <w:p>
      <w:pPr>
        <w:spacing w:after="0" w:line="220"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Canadian Loans</w:t>
      </w:r>
      <w:r>
        <w:rPr>
          <w:rFonts w:ascii="Arial" w:cs="Arial" w:eastAsia="Arial" w:hAnsi="Arial"/>
          <w:sz w:val="21"/>
          <w:szCs w:val="21"/>
          <w:color w:val="auto"/>
        </w:rPr>
        <w:t xml:space="preserve">” means, at any time, the sum of the aggregate Dollar Equivalent of (a) the aggregate amount of Revolving Credit Advances outstanding to the Canadian Borrowers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(b) the aggregate Canadian Borrowers’ Letter of Credit Obligations. Unless the context otherwise requires, references to the outstanding principal balance of the Canadian Loans shall include the outstanding balance of the Canadian Borrowers’ Letter of Credit Obligations.</w:t>
      </w:r>
    </w:p>
    <w:p>
      <w:pPr>
        <w:spacing w:after="0" w:line="17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Overadvance</w:t>
      </w:r>
      <w:r>
        <w:rPr>
          <w:rFonts w:ascii="Arial" w:cs="Arial" w:eastAsia="Arial" w:hAnsi="Arial"/>
          <w:sz w:val="22"/>
          <w:szCs w:val="22"/>
          <w:color w:val="auto"/>
        </w:rPr>
        <w:t xml:space="preserve">” means, as of any date of determination, the sum of the aggregate Dollar Equivalent of (i) Canadian Loans then outstanding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(ii) the Canadian Available Credit.</w:t>
      </w:r>
    </w:p>
    <w:p>
      <w:pPr>
        <w:spacing w:after="0" w:line="175"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Pension Plan</w:t>
      </w:r>
      <w:r>
        <w:rPr>
          <w:rFonts w:ascii="Arial" w:cs="Arial" w:eastAsia="Arial" w:hAnsi="Arial"/>
          <w:sz w:val="22"/>
          <w:szCs w:val="22"/>
          <w:color w:val="auto"/>
        </w:rPr>
        <w:t xml:space="preserve">” means a “registered pension plan”, as that term is defined in subsection 248(1) of the </w:t>
      </w:r>
      <w:r>
        <w:rPr>
          <w:rFonts w:ascii="Arial" w:cs="Arial" w:eastAsia="Arial" w:hAnsi="Arial"/>
          <w:sz w:val="22"/>
          <w:szCs w:val="22"/>
          <w:i w:val="1"/>
          <w:iCs w:val="1"/>
          <w:color w:val="auto"/>
        </w:rPr>
        <w:t>Income Tax</w:t>
      </w:r>
      <w:r>
        <w:rPr>
          <w:rFonts w:ascii="Arial" w:cs="Arial" w:eastAsia="Arial" w:hAnsi="Arial"/>
          <w:sz w:val="22"/>
          <w:szCs w:val="22"/>
          <w:color w:val="auto"/>
        </w:rPr>
        <w:t xml:space="preserve"> </w:t>
      </w:r>
      <w:r>
        <w:rPr>
          <w:rFonts w:ascii="Arial" w:cs="Arial" w:eastAsia="Arial" w:hAnsi="Arial"/>
          <w:sz w:val="22"/>
          <w:szCs w:val="22"/>
          <w:i w:val="1"/>
          <w:iCs w:val="1"/>
          <w:color w:val="auto"/>
        </w:rPr>
        <w:t>Act (Canada)</w:t>
      </w:r>
      <w:r>
        <w:rPr>
          <w:rFonts w:ascii="Arial" w:cs="Arial" w:eastAsia="Arial" w:hAnsi="Arial"/>
          <w:sz w:val="22"/>
          <w:szCs w:val="22"/>
          <w:color w:val="auto"/>
        </w:rPr>
        <w:t>.</w:t>
      </w:r>
    </w:p>
    <w:p>
      <w:pPr>
        <w:spacing w:after="0" w:line="175"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Priority Payables Reserve</w:t>
      </w:r>
      <w:r>
        <w:rPr>
          <w:rFonts w:ascii="Arial" w:cs="Arial" w:eastAsia="Arial" w:hAnsi="Arial"/>
          <w:sz w:val="19"/>
          <w:szCs w:val="19"/>
          <w:color w:val="auto"/>
        </w:rPr>
        <w:t>” means, on any date of determination and only with respect to a Canadian Credit Party, Reserves established by Agent in its Permitted Discretion for amounts secured by any Liens, choate or inchoate, which rank or which would reasonably be expected to rank in priority senior to or pari passu with Agent’s Liens on Collateral in the Canadian Borrowing Base, including, without duplication, amounts deemed to be held in trust, or held in trust, pursuant to applicable law, any such amounts due and not paid for wages, vacation pay, amounts payable under the Wage Earner Protection Program Act (Canada) pursuant to the BIA or the CCAA, amounts due and not paid pursuant to any legislation on account of workers’ compensation or to employment insurance, all amounts deducted or withheld and not paid and remitted when due under the Income Tax Act (Canada), on account of sales tax, goods and services tax, value added tax, harmonized sales tax, amounts currently or past due and not paid for realty, municipal or similar taxes and all amounts currently or past due and not contributed, remitted or paid to any Canadian Pension Plans or the Canada Pension Plan, and other pension</w:t>
      </w:r>
    </w:p>
    <w:p>
      <w:pPr>
        <w:sectPr>
          <w:pgSz w:w="11900" w:h="16838" w:orient="portrait"/>
          <w:cols w:equalWidth="0" w:num="1">
            <w:col w:w="11240"/>
          </w:cols>
          <w:pgMar w:left="320" w:top="1428" w:right="339" w:bottom="1440" w:gutter="0" w:footer="0" w:header="0"/>
        </w:sectPr>
      </w:pPr>
    </w:p>
    <w:bookmarkStart w:id="114" w:name="page115"/>
    <w:bookmarkEnd w:id="114"/>
    <w:p>
      <w:pPr>
        <w:jc w:val="both"/>
        <w:spacing w:after="0" w:line="253" w:lineRule="auto"/>
        <w:rPr>
          <w:sz w:val="20"/>
          <w:szCs w:val="20"/>
          <w:color w:val="auto"/>
        </w:rPr>
      </w:pPr>
      <w:r>
        <w:rPr>
          <w:rFonts w:ascii="Arial" w:cs="Arial" w:eastAsia="Arial" w:hAnsi="Arial"/>
          <w:sz w:val="22"/>
          <w:szCs w:val="22"/>
          <w:color w:val="auto"/>
        </w:rPr>
        <w:t xml:space="preserve">fund obligations and contributions (including in respect of any wind-up deficiency in respect of any Defined Benefit Plan) as required under applicable law, or any similar statutory or other claims that would have or would reasonably be expected to have priority over or be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any Liens granted to Agent in the future.</w:t>
      </w:r>
    </w:p>
    <w:p>
      <w:pPr>
        <w:spacing w:after="0" w:line="185"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Canadian Security Agreements</w:t>
      </w:r>
      <w:r>
        <w:rPr>
          <w:rFonts w:ascii="Arial" w:cs="Arial" w:eastAsia="Arial" w:hAnsi="Arial"/>
          <w:sz w:val="21"/>
          <w:szCs w:val="21"/>
          <w:color w:val="auto"/>
        </w:rPr>
        <w:t>” means, collectively, those certain Amended and Restated Security Agreements, dated as of the Restatement Date, and those certain deeds of movable hypothec dated on or about the Restatement Date, made by the Canadian Credit Parties party thereto in favor of Agent, on behalf of itself and for the benefit of the Secured Parties, as amended, restated, supplemented or otherwise modified from time to time.</w:t>
      </w:r>
    </w:p>
    <w:p>
      <w:pPr>
        <w:spacing w:after="0" w:line="175" w:lineRule="exact"/>
        <w:rPr>
          <w:sz w:val="20"/>
          <w:szCs w:val="20"/>
          <w:color w:val="auto"/>
        </w:rPr>
      </w:pPr>
    </w:p>
    <w:p>
      <w:pPr>
        <w:jc w:val="both"/>
        <w:ind w:firstLine="553"/>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Expenditures</w:t>
      </w:r>
      <w:r>
        <w:rPr>
          <w:rFonts w:ascii="Arial" w:cs="Arial" w:eastAsia="Arial" w:hAnsi="Arial"/>
          <w:sz w:val="22"/>
          <w:szCs w:val="22"/>
          <w:color w:val="auto"/>
        </w:rPr>
        <w:t>” means, for any period, the additions to property, plant and equipment, capitalized investment and development costs, and other capital expenditures (including capitalized software) of Parent Borrower and its consolidated Subsidiaries that are (or should be) set forth in a consolidated statement of cash flows of Parent Borrower for such period prepared in accordance with GAAP.</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means:</w:t>
      </w:r>
    </w:p>
    <w:p>
      <w:pPr>
        <w:spacing w:after="0" w:line="220" w:lineRule="exact"/>
        <w:rPr>
          <w:sz w:val="20"/>
          <w:szCs w:val="20"/>
          <w:color w:val="auto"/>
        </w:rPr>
      </w:pPr>
    </w:p>
    <w:p>
      <w:pPr>
        <w:ind w:left="960" w:hanging="304"/>
        <w:spacing w:after="0"/>
        <w:tabs>
          <w:tab w:leader="none" w:pos="9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 the case of a corporation, corporate stock or shares;</w:t>
      </w:r>
    </w:p>
    <w:p>
      <w:pPr>
        <w:spacing w:after="0" w:line="219" w:lineRule="exact"/>
        <w:rPr>
          <w:rFonts w:ascii="Arial" w:cs="Arial" w:eastAsia="Arial" w:hAnsi="Arial"/>
          <w:sz w:val="22"/>
          <w:szCs w:val="22"/>
          <w:color w:val="auto"/>
        </w:rPr>
      </w:pPr>
    </w:p>
    <w:p>
      <w:pPr>
        <w:ind w:firstLine="656"/>
        <w:spacing w:after="0" w:line="263" w:lineRule="auto"/>
        <w:tabs>
          <w:tab w:leader="none" w:pos="963"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174" w:lineRule="exact"/>
        <w:rPr>
          <w:rFonts w:ascii="Arial" w:cs="Arial" w:eastAsia="Arial" w:hAnsi="Arial"/>
          <w:sz w:val="22"/>
          <w:szCs w:val="22"/>
          <w:color w:val="auto"/>
        </w:rPr>
      </w:pPr>
    </w:p>
    <w:p>
      <w:pPr>
        <w:ind w:firstLine="656"/>
        <w:spacing w:after="0" w:line="263" w:lineRule="auto"/>
        <w:tabs>
          <w:tab w:leader="none" w:pos="986"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or membership interests (whether general or limited); and</w:t>
      </w:r>
    </w:p>
    <w:p>
      <w:pPr>
        <w:spacing w:after="0" w:line="174" w:lineRule="exact"/>
        <w:rPr>
          <w:rFonts w:ascii="Arial" w:cs="Arial" w:eastAsia="Arial" w:hAnsi="Arial"/>
          <w:sz w:val="22"/>
          <w:szCs w:val="22"/>
          <w:color w:val="auto"/>
        </w:rPr>
      </w:pPr>
    </w:p>
    <w:p>
      <w:pPr>
        <w:ind w:firstLine="656"/>
        <w:spacing w:after="0" w:line="263" w:lineRule="auto"/>
        <w:tabs>
          <w:tab w:leader="none" w:pos="967"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 other interest or participation that confers on a Person the right to receive a share of the profits and losses of, or distributions of assets of, the issuing Person.</w:t>
      </w:r>
    </w:p>
    <w:p>
      <w:pPr>
        <w:spacing w:after="0" w:line="175" w:lineRule="exact"/>
        <w:rPr>
          <w:sz w:val="20"/>
          <w:szCs w:val="20"/>
          <w:color w:val="auto"/>
        </w:rPr>
      </w:pPr>
    </w:p>
    <w:p>
      <w:pPr>
        <w:jc w:val="both"/>
        <w:ind w:firstLine="540"/>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Capitalized Lease Obligation</w:t>
      </w:r>
      <w:r>
        <w:rPr>
          <w:rFonts w:ascii="Arial" w:cs="Arial" w:eastAsia="Arial" w:hAnsi="Arial"/>
          <w:sz w:val="19"/>
          <w:szCs w:val="19"/>
          <w:color w:val="auto"/>
        </w:rPr>
        <w:t xml:space="preserve">” means, at the time any determination thereof is to be made, the amount of the liability in respect of a capital lease that would at such time be required to be capitalized and reflected as a liability on a balance sheet (excluding the footnotes thereto) in accordance with GAAP, as in effect on December 31, 2018;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obligations of Parent Borrower or the Restricted Subsidiaries, or of a special purpose or other entity not consolidated with Parent Borrower and the Restricted Subsidiaries that (a) initially were not included on the consolidated balance sheet of Parent Borrower as capital lease obligations and were subsequently characterized as capital lease obligations or, in the case of such a special purpose or other entity becoming consolidated with Parent Borrower and the Restricted Subsidiaries were required to be characterized as capital lease obligations upon such consolidation, in either case, due to a change in accounting treatment or otherwise, or (b) were required to be characterized as capital lease obligations but would not have been required to be treated as capital lease obligations on December 31, 2018 had they existed at that time, shall for all purposes not be treated as Capitalized Lease Obligations or Indebtedness.</w:t>
      </w:r>
    </w:p>
    <w:p>
      <w:pPr>
        <w:spacing w:after="0" w:line="200" w:lineRule="exact"/>
        <w:rPr>
          <w:sz w:val="20"/>
          <w:szCs w:val="20"/>
          <w:color w:val="auto"/>
        </w:rPr>
      </w:pPr>
    </w:p>
    <w:p>
      <w:pPr>
        <w:spacing w:after="0" w:line="21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Collateral</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2.2(c)(i)</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bookmarkStart w:id="115" w:name="page116"/>
    <w:bookmarkEnd w:id="115"/>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Collateral Account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2.2(c)(i)</w:t>
      </w:r>
      <w:r>
        <w:rPr>
          <w:rFonts w:ascii="Arial" w:cs="Arial" w:eastAsia="Arial" w:hAnsi="Arial"/>
          <w:sz w:val="22"/>
          <w:szCs w:val="22"/>
          <w:color w:val="auto"/>
        </w:rPr>
        <w:t>.</w:t>
      </w:r>
    </w:p>
    <w:p>
      <w:pPr>
        <w:spacing w:after="0" w:line="220" w:lineRule="exact"/>
        <w:rPr>
          <w:sz w:val="20"/>
          <w:szCs w:val="20"/>
          <w:color w:val="auto"/>
        </w:rPr>
      </w:pPr>
    </w:p>
    <w:p>
      <w:pPr>
        <w:jc w:val="both"/>
        <w:ind w:firstLine="59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Dominion Period</w:t>
      </w:r>
      <w:r>
        <w:rPr>
          <w:rFonts w:ascii="Arial" w:cs="Arial" w:eastAsia="Arial" w:hAnsi="Arial"/>
          <w:sz w:val="22"/>
          <w:szCs w:val="22"/>
          <w:color w:val="auto"/>
        </w:rPr>
        <w:t>” means the date from and after a Cash Dominion Triggering Event and continuing at all times thereafter for a period of 30 consecutive days during which no Cash Dominion Triggering Event exists.</w:t>
      </w:r>
    </w:p>
    <w:p>
      <w:pPr>
        <w:spacing w:after="0" w:line="175" w:lineRule="exact"/>
        <w:rPr>
          <w:sz w:val="20"/>
          <w:szCs w:val="20"/>
          <w:color w:val="auto"/>
        </w:rPr>
      </w:pPr>
    </w:p>
    <w:p>
      <w:pPr>
        <w:jc w:val="both"/>
        <w:ind w:firstLine="621"/>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Dominion Triggering Event</w:t>
      </w:r>
      <w:r>
        <w:rPr>
          <w:rFonts w:ascii="Arial" w:cs="Arial" w:eastAsia="Arial" w:hAnsi="Arial"/>
          <w:sz w:val="19"/>
          <w:szCs w:val="19"/>
          <w:color w:val="auto"/>
        </w:rPr>
        <w:t>” means (a) an Event of Default has occurred and is continuing, (b) one or more of Borrowers have failed to comply in any material respect with cash management provisions relating to cash dominion, or (c) Availability is less than the greater of (x) 10.0% of the Available Credit and (y) $75,000,000 for 5 consecutive Business Days.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w:t>
      </w:r>
    </w:p>
    <w:p>
      <w:pPr>
        <w:spacing w:after="0" w:line="220" w:lineRule="exact"/>
        <w:rPr>
          <w:sz w:val="20"/>
          <w:szCs w:val="20"/>
          <w:color w:val="auto"/>
        </w:rPr>
      </w:pPr>
    </w:p>
    <w:p>
      <w:pPr>
        <w:jc w:val="both"/>
        <w:ind w:right="20" w:firstLine="656"/>
        <w:spacing w:after="0" w:line="253" w:lineRule="auto"/>
        <w:tabs>
          <w:tab w:leader="none" w:pos="972" w:val="left"/>
        </w:tabs>
        <w:numPr>
          <w:ilvl w:val="0"/>
          <w:numId w:val="22"/>
        </w:numPr>
        <w:rPr>
          <w:rFonts w:ascii="Arial" w:cs="Arial" w:eastAsia="Arial" w:hAnsi="Arial"/>
          <w:sz w:val="22"/>
          <w:szCs w:val="22"/>
          <w:color w:val="auto"/>
        </w:rPr>
      </w:pPr>
      <w:r>
        <w:rPr>
          <w:rFonts w:ascii="Arial" w:cs="Arial" w:eastAsia="Arial" w:hAnsi="Arial"/>
          <w:sz w:val="22"/>
          <w:szCs w:val="22"/>
          <w:color w:val="auto"/>
        </w:rPr>
        <w:t>Dollars, Pounds Sterling, Euros, Canadian Dollars, Singapore Dollars, the national currency of any member state in the European Union or such other local currencies held by Parent Borrower or a Restricted Subsidiary from time to time in the ordinary course of business;</w:t>
      </w:r>
    </w:p>
    <w:p>
      <w:pPr>
        <w:spacing w:after="0" w:line="77" w:lineRule="exact"/>
        <w:rPr>
          <w:rFonts w:ascii="Arial" w:cs="Arial" w:eastAsia="Arial" w:hAnsi="Arial"/>
          <w:sz w:val="22"/>
          <w:szCs w:val="22"/>
          <w:color w:val="auto"/>
        </w:rPr>
      </w:pPr>
    </w:p>
    <w:p>
      <w:pPr>
        <w:jc w:val="both"/>
        <w:ind w:firstLine="656"/>
        <w:spacing w:after="0" w:line="253" w:lineRule="auto"/>
        <w:tabs>
          <w:tab w:leader="none" w:pos="986" w:val="left"/>
        </w:tabs>
        <w:numPr>
          <w:ilvl w:val="0"/>
          <w:numId w:val="22"/>
        </w:numPr>
        <w:rPr>
          <w:rFonts w:ascii="Arial" w:cs="Arial" w:eastAsia="Arial" w:hAnsi="Arial"/>
          <w:sz w:val="22"/>
          <w:szCs w:val="22"/>
          <w:color w:val="auto"/>
        </w:rPr>
      </w:pPr>
      <w:r>
        <w:rPr>
          <w:rFonts w:ascii="Arial" w:cs="Arial" w:eastAsia="Arial" w:hAnsi="Arial"/>
          <w:sz w:val="22"/>
          <w:szCs w:val="22"/>
          <w:color w:val="auto"/>
        </w:rPr>
        <w:t>securities issued or directly and fully guaranteed or insured by the U.S. government, Canada, Switzerland or any country that is a member of the European Union or any agency or instrumentality thereof in each case maturing not more than two years from the date of acquisition;</w:t>
      </w:r>
    </w:p>
    <w:p>
      <w:pPr>
        <w:spacing w:after="0" w:line="77" w:lineRule="exact"/>
        <w:rPr>
          <w:rFonts w:ascii="Arial" w:cs="Arial" w:eastAsia="Arial" w:hAnsi="Arial"/>
          <w:sz w:val="22"/>
          <w:szCs w:val="22"/>
          <w:color w:val="auto"/>
        </w:rPr>
      </w:pPr>
    </w:p>
    <w:p>
      <w:pPr>
        <w:jc w:val="both"/>
        <w:ind w:firstLine="656"/>
        <w:spacing w:after="0" w:line="302" w:lineRule="auto"/>
        <w:tabs>
          <w:tab w:leader="none" w:pos="965" w:val="left"/>
        </w:tabs>
        <w:numPr>
          <w:ilvl w:val="0"/>
          <w:numId w:val="22"/>
        </w:numPr>
        <w:rPr>
          <w:rFonts w:ascii="Arial" w:cs="Arial" w:eastAsia="Arial" w:hAnsi="Arial"/>
          <w:sz w:val="19"/>
          <w:szCs w:val="19"/>
          <w:color w:val="auto"/>
        </w:rPr>
      </w:pPr>
      <w:r>
        <w:rPr>
          <w:rFonts w:ascii="Arial" w:cs="Arial" w:eastAsia="Arial" w:hAnsi="Arial"/>
          <w:sz w:val="19"/>
          <w:szCs w:val="19"/>
          <w:color w:val="auto"/>
        </w:rPr>
        <w:t>certificates of deposit, time deposits and eurodollar time deposits with maturities of one year or less from the date of acquisition, bankers’ acceptances, in each case with maturities not exceeding one year and overnight bank deposits, in each case with any commercial bank having capital and surplus in excess of $250.0 million and whose long-term debt is rated “A” or the equivalent thereof by Moody’s or S&amp;P (or reasonably equivalent ratings of another internationally recognized ratings agency);</w:t>
      </w:r>
    </w:p>
    <w:p>
      <w:pPr>
        <w:spacing w:after="0" w:line="34" w:lineRule="exact"/>
        <w:rPr>
          <w:rFonts w:ascii="Arial" w:cs="Arial" w:eastAsia="Arial" w:hAnsi="Arial"/>
          <w:sz w:val="19"/>
          <w:szCs w:val="19"/>
          <w:color w:val="auto"/>
        </w:rPr>
      </w:pPr>
    </w:p>
    <w:p>
      <w:pPr>
        <w:ind w:right="20" w:firstLine="656"/>
        <w:spacing w:after="0" w:line="263" w:lineRule="auto"/>
        <w:tabs>
          <w:tab w:leader="none" w:pos="967" w:val="left"/>
        </w:tabs>
        <w:numPr>
          <w:ilvl w:val="0"/>
          <w:numId w:val="22"/>
        </w:numPr>
        <w:rPr>
          <w:rFonts w:ascii="Arial" w:cs="Arial" w:eastAsia="Arial" w:hAnsi="Arial"/>
          <w:sz w:val="22"/>
          <w:szCs w:val="22"/>
          <w:color w:val="auto"/>
        </w:rPr>
      </w:pPr>
      <w:r>
        <w:rPr>
          <w:rFonts w:ascii="Arial" w:cs="Arial" w:eastAsia="Arial" w:hAnsi="Arial"/>
          <w:sz w:val="22"/>
          <w:szCs w:val="22"/>
          <w:color w:val="auto"/>
        </w:rPr>
        <w:t>repurchase obligations for underlying securities of the types described in clauses (2) and (3) above entered into with any financial institution meeting the qualifications specified in clause (3) above;</w:t>
      </w:r>
    </w:p>
    <w:p>
      <w:pPr>
        <w:spacing w:after="0" w:line="66" w:lineRule="exact"/>
        <w:rPr>
          <w:rFonts w:ascii="Arial" w:cs="Arial" w:eastAsia="Arial" w:hAnsi="Arial"/>
          <w:sz w:val="22"/>
          <w:szCs w:val="22"/>
          <w:color w:val="auto"/>
        </w:rPr>
      </w:pPr>
    </w:p>
    <w:p>
      <w:pPr>
        <w:jc w:val="both"/>
        <w:ind w:firstLine="656"/>
        <w:spacing w:after="0" w:line="253" w:lineRule="auto"/>
        <w:tabs>
          <w:tab w:leader="none" w:pos="983" w:val="left"/>
        </w:tabs>
        <w:numPr>
          <w:ilvl w:val="0"/>
          <w:numId w:val="22"/>
        </w:numPr>
        <w:rPr>
          <w:rFonts w:ascii="Arial" w:cs="Arial" w:eastAsia="Arial" w:hAnsi="Arial"/>
          <w:sz w:val="22"/>
          <w:szCs w:val="22"/>
          <w:color w:val="auto"/>
        </w:rPr>
      </w:pPr>
      <w:r>
        <w:rPr>
          <w:rFonts w:ascii="Arial" w:cs="Arial" w:eastAsia="Arial" w:hAnsi="Arial"/>
          <w:sz w:val="22"/>
          <w:szCs w:val="22"/>
          <w:color w:val="auto"/>
        </w:rPr>
        <w:t>commercial paper issued by a corporation (other than an Affiliate of Parent Borrower) rated at least “A-1” or the equivalent thereof by Moody’s or S&amp;P (or reasonably equivalent ratings of another internationally recognized ratings agency) and in each case maturing within one year after the date of acquisition;</w:t>
      </w:r>
    </w:p>
    <w:p>
      <w:pPr>
        <w:spacing w:after="0" w:line="77" w:lineRule="exact"/>
        <w:rPr>
          <w:rFonts w:ascii="Arial" w:cs="Arial" w:eastAsia="Arial" w:hAnsi="Arial"/>
          <w:sz w:val="22"/>
          <w:szCs w:val="22"/>
          <w:color w:val="auto"/>
        </w:rPr>
      </w:pPr>
    </w:p>
    <w:p>
      <w:pPr>
        <w:jc w:val="both"/>
        <w:ind w:firstLine="656"/>
        <w:spacing w:after="0" w:line="250" w:lineRule="auto"/>
        <w:tabs>
          <w:tab w:leader="none" w:pos="966" w:val="left"/>
        </w:tabs>
        <w:numPr>
          <w:ilvl w:val="0"/>
          <w:numId w:val="22"/>
        </w:numPr>
        <w:rPr>
          <w:rFonts w:ascii="Arial" w:cs="Arial" w:eastAsia="Arial" w:hAnsi="Arial"/>
          <w:sz w:val="22"/>
          <w:szCs w:val="22"/>
          <w:color w:val="auto"/>
        </w:rPr>
      </w:pPr>
      <w:r>
        <w:rPr>
          <w:rFonts w:ascii="Arial" w:cs="Arial" w:eastAsia="Arial" w:hAnsi="Arial"/>
          <w:sz w:val="22"/>
          <w:szCs w:val="22"/>
          <w:color w:val="auto"/>
        </w:rPr>
        <w:t>readily marketable direct obligations issued by any state of the United States of America or any political subdivision thereof or any Canadian province having at least a rating of Aa3 from Moody’s or a rating of AA- from S&amp;P (or reasonably equivalent ratings of another internationally recognized ratings agency) in each case with maturities not exceeding two years from the date of acquisition;</w:t>
      </w:r>
    </w:p>
    <w:p>
      <w:pPr>
        <w:spacing w:after="0" w:line="79" w:lineRule="exact"/>
        <w:rPr>
          <w:rFonts w:ascii="Arial" w:cs="Arial" w:eastAsia="Arial" w:hAnsi="Arial"/>
          <w:sz w:val="22"/>
          <w:szCs w:val="22"/>
          <w:color w:val="auto"/>
        </w:rPr>
      </w:pPr>
    </w:p>
    <w:p>
      <w:pPr>
        <w:jc w:val="both"/>
        <w:ind w:firstLine="656"/>
        <w:spacing w:after="0" w:line="253" w:lineRule="auto"/>
        <w:tabs>
          <w:tab w:leader="none" w:pos="994"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Indebtedness issued by Persons with a rating of “A” or higher from S&amp;P or “A2” or higher from Moody’s (or reasonably equivalent ratings of another internationally recognized ratings agency) in each case with maturities not exceeding two years from the date of acquisition;</w:t>
      </w:r>
    </w:p>
    <w:p>
      <w:pPr>
        <w:sectPr>
          <w:pgSz w:w="11900" w:h="16838" w:orient="portrait"/>
          <w:cols w:equalWidth="0" w:num="1">
            <w:col w:w="11240"/>
          </w:cols>
          <w:pgMar w:left="320" w:top="1428" w:right="339" w:bottom="1440" w:gutter="0" w:footer="0" w:header="0"/>
        </w:sectPr>
      </w:pPr>
    </w:p>
    <w:bookmarkStart w:id="116" w:name="page117"/>
    <w:bookmarkEnd w:id="116"/>
    <w:p>
      <w:pPr>
        <w:ind w:left="980" w:hanging="324"/>
        <w:spacing w:after="0"/>
        <w:tabs>
          <w:tab w:leader="none" w:pos="9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investment funds investing at least 95% of their assets in securities of the types described in clauses (1) through (7)</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above; and</w:t>
      </w:r>
    </w:p>
    <w:p>
      <w:pPr>
        <w:spacing w:after="0" w:line="93" w:lineRule="exact"/>
        <w:rPr>
          <w:rFonts w:ascii="Arial" w:cs="Arial" w:eastAsia="Arial" w:hAnsi="Arial"/>
          <w:sz w:val="19"/>
          <w:szCs w:val="19"/>
          <w:color w:val="auto"/>
        </w:rPr>
      </w:pPr>
    </w:p>
    <w:p>
      <w:pPr>
        <w:jc w:val="both"/>
        <w:ind w:firstLine="656"/>
        <w:spacing w:after="0" w:line="250" w:lineRule="auto"/>
        <w:tabs>
          <w:tab w:leader="none" w:pos="987" w:val="left"/>
        </w:tabs>
        <w:numPr>
          <w:ilvl w:val="0"/>
          <w:numId w:val="23"/>
        </w:numPr>
        <w:rPr>
          <w:rFonts w:ascii="Arial" w:cs="Arial" w:eastAsia="Arial" w:hAnsi="Arial"/>
          <w:sz w:val="22"/>
          <w:szCs w:val="22"/>
          <w:color w:val="auto"/>
        </w:rPr>
      </w:pPr>
      <w:r>
        <w:rPr>
          <w:rFonts w:ascii="Arial" w:cs="Arial" w:eastAsia="Arial" w:hAnsi="Arial"/>
          <w:sz w:val="22"/>
          <w:szCs w:val="22"/>
          <w:color w:val="auto"/>
        </w:rPr>
        <w:t>instruments equivalent to those referred to in clauses (1) through (8) above denominated in any foreign currency comparable in credit quality and tenor to those referred to above and commonly used by corporations for cash management purposes in any jurisdiction outside the United States of America to the extent reasonably required in connection with any business conducted by any Subsidiary organized in such jurisdiction.</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Management Systems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2.6</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CCAA</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Companies’ Creditors Arrangement Act</w:t>
      </w:r>
      <w:r>
        <w:rPr>
          <w:rFonts w:ascii="Arial" w:cs="Arial" w:eastAsia="Arial" w:hAnsi="Arial"/>
          <w:sz w:val="22"/>
          <w:szCs w:val="22"/>
          <w:color w:val="auto"/>
        </w:rPr>
        <w:t xml:space="preserve"> (Canada).</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CERCLA</w:t>
      </w:r>
      <w:r>
        <w:rPr>
          <w:rFonts w:ascii="Arial" w:cs="Arial" w:eastAsia="Arial" w:hAnsi="Arial"/>
          <w:sz w:val="22"/>
          <w:szCs w:val="22"/>
          <w:color w:val="auto"/>
        </w:rPr>
        <w:t>” has the meaning specified in the definition of “Environmental Laws”.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CFC</w:t>
      </w:r>
      <w:r>
        <w:rPr>
          <w:rFonts w:ascii="Arial" w:cs="Arial" w:eastAsia="Arial" w:hAnsi="Arial"/>
          <w:sz w:val="22"/>
          <w:szCs w:val="22"/>
          <w:color w:val="auto"/>
        </w:rPr>
        <w:t>” means a “controlled foreign corporation” within the meaning of Section 957 of the IRC.</w:t>
      </w:r>
    </w:p>
    <w:p>
      <w:pPr>
        <w:spacing w:after="0" w:line="220" w:lineRule="exact"/>
        <w:rPr>
          <w:sz w:val="20"/>
          <w:szCs w:val="20"/>
          <w:color w:val="auto"/>
        </w:rPr>
      </w:pPr>
    </w:p>
    <w:p>
      <w:pPr>
        <w:jc w:val="both"/>
        <w:ind w:firstLine="499"/>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 (a) any “person” or “group” (within the meaning of Sections 13(d) and 14(d) of the Exchange Act) other than Permitted Holders, becomes the beneficial owner (as defined in Rule 13d-3 under the Exchange Act), directly or indirectly, of 35%, or more, of the Capital Stock of Parent Borrower entitled (without regard to the occurrence of any contingency) to vote for the election of members of the Board of Directors of Parent Borrower, (b) a majority of the members of the Board of Directors of Parent Borrower do not constitute Continuing Directors or (c) any Borrower ceases to be a Wholly Owned Subsidiary of Parent Borrower (unless any such Borrower is not directly liable in respect of a Loan that was requested thereby, or any Letter of Credit Obligation that was issued for the account thereof, at the time it ceases to be a Wholly Owned Subsidiary of Parent Borrower).</w:t>
      </w:r>
    </w:p>
    <w:p>
      <w:pPr>
        <w:spacing w:after="0" w:line="194" w:lineRule="exact"/>
        <w:rPr>
          <w:sz w:val="20"/>
          <w:szCs w:val="20"/>
          <w:color w:val="auto"/>
        </w:rPr>
      </w:pPr>
    </w:p>
    <w:p>
      <w:pPr>
        <w:jc w:val="both"/>
        <w:ind w:firstLine="472"/>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means all federal, state, provincial, county, city, municipal, local, foreign or other governmental taxes (including taxes owed to the PBGC at the time due and payable), levies, assessments, charges, claims or encumbrances owed by any Credit Party and upon or relating to (a) the Obligations, (b) the Collateral, (c) the employees, payroll, income, capital or gross receipts of any Credit Party, (d) any Credit Party’s ownership or use of any properties or other assets, or (e) any other aspect of any Credit Party’s business.</w:t>
      </w:r>
    </w:p>
    <w:p>
      <w:pPr>
        <w:spacing w:after="0" w:line="192"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Chassis</w:t>
      </w:r>
      <w:r>
        <w:rPr>
          <w:rFonts w:ascii="Arial" w:cs="Arial" w:eastAsia="Arial" w:hAnsi="Arial"/>
          <w:sz w:val="21"/>
          <w:szCs w:val="21"/>
          <w:color w:val="auto"/>
        </w:rPr>
        <w:t>” means any intermodal chassis owned by Parent Borrower or any Restricted Subsidiary consisting of steel frames with rubber tires and employed in the conduct of such Person’s business to transport containers over highways.</w:t>
      </w:r>
    </w:p>
    <w:p>
      <w:pPr>
        <w:spacing w:after="0" w:line="151"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Chattel Paper</w:t>
      </w:r>
      <w:r>
        <w:rPr>
          <w:rFonts w:ascii="Arial" w:cs="Arial" w:eastAsia="Arial" w:hAnsi="Arial"/>
          <w:sz w:val="22"/>
          <w:szCs w:val="22"/>
          <w:color w:val="auto"/>
        </w:rPr>
        <w:t>” means any “chattel paper,” as such term is defined in the Code or the PPSA, as applicable, including electronic chattel paper, now owned or hereafter acquired by any Credit Party.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Co-Collateral Agent</w:t>
      </w:r>
      <w:r>
        <w:rPr>
          <w:rFonts w:ascii="Arial" w:cs="Arial" w:eastAsia="Arial" w:hAnsi="Arial"/>
          <w:sz w:val="22"/>
          <w:szCs w:val="22"/>
          <w:color w:val="auto"/>
        </w:rPr>
        <w:t>” has the meaning specified in the preamble to this Agreement.</w:t>
      </w:r>
    </w:p>
    <w:p>
      <w:pPr>
        <w:sectPr>
          <w:pgSz w:w="11900" w:h="16838" w:orient="portrait"/>
          <w:cols w:equalWidth="0" w:num="1">
            <w:col w:w="11240"/>
          </w:cols>
          <w:pgMar w:left="320" w:top="1428" w:right="339" w:bottom="1440" w:gutter="0" w:footer="0" w:header="0"/>
        </w:sectPr>
      </w:pPr>
    </w:p>
    <w:bookmarkStart w:id="117" w:name="page118"/>
    <w:bookmarkEnd w:id="117"/>
    <w:p>
      <w:pPr>
        <w:jc w:val="both"/>
        <w:ind w:firstLine="499"/>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xml:space="preserve">” means the Uniform Commercial Code as the same may, from time to time, be enacted and in effect in the State of New York;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that the Code is used to define any term herein or in any Loan Document and such term is defined differently in different Articles or Divisions of the Code, the definition of such term contained in Article or Division 9 shall govern;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in the event that, by reason of mandatory provisions of law, any or all of the attachment, perfection, publication or priority of, or remedies with respect to, Agent’s, Co-Collateral Agent’s or any Lender’s Lien on any Collateral is governed by the Uniform Commercial Code as enacted and in effect in another State other than the State of New York, the term “</w:t>
      </w:r>
      <w:r>
        <w:rPr>
          <w:rFonts w:ascii="Arial" w:cs="Arial" w:eastAsia="Arial" w:hAnsi="Arial"/>
          <w:sz w:val="21"/>
          <w:szCs w:val="21"/>
          <w:u w:val="single" w:color="auto"/>
          <w:color w:val="auto"/>
        </w:rPr>
        <w:t>Code</w:t>
      </w:r>
      <w:r>
        <w:rPr>
          <w:rFonts w:ascii="Arial" w:cs="Arial" w:eastAsia="Arial" w:hAnsi="Arial"/>
          <w:sz w:val="21"/>
          <w:szCs w:val="21"/>
          <w:color w:val="auto"/>
        </w:rPr>
        <w:t>” means the Uniform Commercial Code in such other State.</w:t>
      </w:r>
    </w:p>
    <w:p>
      <w:pPr>
        <w:spacing w:after="0" w:line="180" w:lineRule="exact"/>
        <w:rPr>
          <w:sz w:val="20"/>
          <w:szCs w:val="20"/>
          <w:color w:val="auto"/>
        </w:rPr>
      </w:pPr>
    </w:p>
    <w:p>
      <w:pPr>
        <w:jc w:val="both"/>
        <w:ind w:firstLine="459"/>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all assets and interests in assets and proceeds thereof now owned or hereafter acquired by any Borrower or any Guarantor in or upon which a Lien is granted by such Person in favor of Agent under any of the Collateral Documents.</w:t>
      </w:r>
    </w:p>
    <w:p>
      <w:pPr>
        <w:spacing w:after="0" w:line="104" w:lineRule="exact"/>
        <w:rPr>
          <w:sz w:val="20"/>
          <w:szCs w:val="20"/>
          <w:color w:val="auto"/>
        </w:rPr>
      </w:pPr>
    </w:p>
    <w:p>
      <w:pPr>
        <w:jc w:val="both"/>
        <w:ind w:firstLine="58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Access Agreement</w:t>
      </w:r>
      <w:r>
        <w:rPr>
          <w:rFonts w:ascii="Arial" w:cs="Arial" w:eastAsia="Arial" w:hAnsi="Arial"/>
          <w:sz w:val="22"/>
          <w:szCs w:val="22"/>
          <w:color w:val="auto"/>
        </w:rPr>
        <w:t>” means an agreement in writing, in form and substance reasonably satisfactory to Agent, from any lessor of premises to any Credit Party or any Person to whom any Collateral is consigned or who has custody, control or possession of any such Collateral or is otherwise the owner or operator of any premises on which any of such Collateral is located.</w:t>
      </w:r>
    </w:p>
    <w:p>
      <w:pPr>
        <w:spacing w:after="0" w:line="188" w:lineRule="exact"/>
        <w:rPr>
          <w:sz w:val="20"/>
          <w:szCs w:val="20"/>
          <w:color w:val="auto"/>
        </w:rPr>
      </w:pPr>
    </w:p>
    <w:p>
      <w:pPr>
        <w:jc w:val="both"/>
        <w:ind w:firstLine="7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Documents</w:t>
      </w:r>
      <w:r>
        <w:rPr>
          <w:rFonts w:ascii="Arial" w:cs="Arial" w:eastAsia="Arial" w:hAnsi="Arial"/>
          <w:sz w:val="22"/>
          <w:szCs w:val="22"/>
          <w:color w:val="auto"/>
        </w:rPr>
        <w:t>” means the U.S. Security Agreement, the Mortgages, the Canadian Security Agreements, the Intellectual Property Security Agreements, the Memorandum of Security Agreement(s) and all similar agreements entered into guarantying payment of, or granting a Lien upon property as security for payment of, the Obligations under this Agreement and the Secured Hedge Agreements.</w:t>
      </w:r>
    </w:p>
    <w:p>
      <w:pPr>
        <w:spacing w:after="0" w:line="188"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Collection Account</w:t>
      </w:r>
      <w:r>
        <w:rPr>
          <w:rFonts w:ascii="Arial" w:cs="Arial" w:eastAsia="Arial" w:hAnsi="Arial"/>
          <w:sz w:val="22"/>
          <w:szCs w:val="22"/>
          <w:color w:val="auto"/>
        </w:rPr>
        <w:t xml:space="preserve">” means that certain account of Agent specified on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hereto, or such other account as may be specified in writing by Agent as the “</w:t>
      </w:r>
      <w:r>
        <w:rPr>
          <w:rFonts w:ascii="Arial" w:cs="Arial" w:eastAsia="Arial" w:hAnsi="Arial"/>
          <w:sz w:val="22"/>
          <w:szCs w:val="22"/>
          <w:u w:val="single" w:color="auto"/>
          <w:color w:val="auto"/>
        </w:rPr>
        <w:t>Collection Account</w:t>
      </w:r>
      <w:r>
        <w:rPr>
          <w:rFonts w:ascii="Arial" w:cs="Arial" w:eastAsia="Arial" w:hAnsi="Arial"/>
          <w:sz w:val="22"/>
          <w:szCs w:val="22"/>
          <w:color w:val="auto"/>
        </w:rPr>
        <w:t>.”</w:t>
      </w:r>
    </w:p>
    <w:p>
      <w:pPr>
        <w:spacing w:after="0" w:line="175" w:lineRule="exact"/>
        <w:rPr>
          <w:sz w:val="20"/>
          <w:szCs w:val="20"/>
          <w:color w:val="auto"/>
        </w:rPr>
      </w:pPr>
    </w:p>
    <w:p>
      <w:pPr>
        <w:jc w:val="both"/>
        <w:ind w:firstLine="47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xml:space="preserve">” means with respect to each Lender, its Commitment, and, with respect to all Lenders, the aggregate amount of their Commitments, in each case, as such Dollar amounts are set forth on </w:t>
      </w:r>
      <w:r>
        <w:rPr>
          <w:rFonts w:ascii="Arial" w:cs="Arial" w:eastAsia="Arial" w:hAnsi="Arial"/>
          <w:sz w:val="22"/>
          <w:szCs w:val="22"/>
          <w:u w:val="single" w:color="auto"/>
          <w:color w:val="auto"/>
        </w:rPr>
        <w:t>Annex C</w:t>
      </w:r>
      <w:r>
        <w:rPr>
          <w:rFonts w:ascii="Arial" w:cs="Arial" w:eastAsia="Arial" w:hAnsi="Arial"/>
          <w:sz w:val="22"/>
          <w:szCs w:val="22"/>
          <w:color w:val="auto"/>
        </w:rPr>
        <w:t xml:space="preserve"> or in the most recent Assignment Agreement executed by such Lender as the same may be increased from time to time pursuant to </w:t>
      </w:r>
      <w:r>
        <w:rPr>
          <w:rFonts w:ascii="Arial" w:cs="Arial" w:eastAsia="Arial" w:hAnsi="Arial"/>
          <w:sz w:val="22"/>
          <w:szCs w:val="22"/>
          <w:u w:val="single" w:color="auto"/>
          <w:color w:val="auto"/>
        </w:rPr>
        <w:t>Section 2.16</w:t>
      </w:r>
      <w:r>
        <w:rPr>
          <w:rFonts w:ascii="Arial" w:cs="Arial" w:eastAsia="Arial" w:hAnsi="Arial"/>
          <w:sz w:val="22"/>
          <w:szCs w:val="22"/>
          <w:color w:val="auto"/>
        </w:rPr>
        <w:t>. The aggregate Commitment on the Amendment No. 3 Effective Date is $1,100,000,000.</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Fee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2.7(b)</w:t>
      </w:r>
      <w:r>
        <w:rPr>
          <w:rFonts w:ascii="Arial" w:cs="Arial" w:eastAsia="Arial" w:hAnsi="Arial"/>
          <w:sz w:val="22"/>
          <w:szCs w:val="22"/>
          <w:color w:val="auto"/>
        </w:rPr>
        <w:t>.</w:t>
      </w:r>
    </w:p>
    <w:p>
      <w:pPr>
        <w:spacing w:after="0" w:line="220"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Termination Date</w:t>
      </w:r>
      <w:r>
        <w:rPr>
          <w:rFonts w:ascii="Arial" w:cs="Arial" w:eastAsia="Arial" w:hAnsi="Arial"/>
          <w:sz w:val="19"/>
          <w:szCs w:val="19"/>
          <w:color w:val="auto"/>
        </w:rPr>
        <w:t xml:space="preserve">” means the earliest of (a) the Stated Termination Date, (b) the date that is 91 days prior to the maturity date of the 2022 Notes (or the maturity date of any Refinancing Indebtedness incurred with respect thereto if such Refinancing Indebtedness matures on or earlier than the Stated Termination Date), </w:t>
      </w:r>
      <w:r>
        <w:rPr>
          <w:rFonts w:ascii="Arial" w:cs="Arial" w:eastAsia="Arial" w:hAnsi="Arial"/>
          <w:sz w:val="19"/>
          <w:szCs w:val="19"/>
          <w:color w:val="FF0000"/>
          <w:strike w:val="1"/>
        </w:rPr>
        <w:t>and</w:t>
      </w:r>
      <w:r>
        <w:rPr>
          <w:rFonts w:ascii="Arial" w:cs="Arial" w:eastAsia="Arial" w:hAnsi="Arial"/>
          <w:sz w:val="19"/>
          <w:szCs w:val="19"/>
          <w:color w:val="auto"/>
        </w:rPr>
        <w:t xml:space="preserve"> (c) the date that is 91 days prior to the maturity date of the 2023 Notes (or the maturity date of any Refinancing Indebtedness incurred with respect thereto if such Refinancing Indebtedness matures on or earlier than the Stated Termination Date)</w:t>
      </w:r>
      <w:r>
        <w:rPr>
          <w:rFonts w:ascii="Arial" w:cs="Arial" w:eastAsia="Arial" w:hAnsi="Arial"/>
          <w:sz w:val="19"/>
          <w:szCs w:val="19"/>
          <w:u w:val="single" w:color="auto"/>
          <w:color w:val="0000FF"/>
        </w:rPr>
        <w:t>, and (d) the date that is 91 days prior to the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maturity date of any Ratio Liens Indebtedness (or the maturity date of any Refinancing Indebtedness incurred with respect</w:t>
      </w:r>
    </w:p>
    <w:p>
      <w:pPr>
        <w:sectPr>
          <w:pgSz w:w="11900" w:h="16838" w:orient="portrait"/>
          <w:cols w:equalWidth="0" w:num="1">
            <w:col w:w="11240"/>
          </w:cols>
          <w:pgMar w:left="320" w:top="1428" w:right="339" w:bottom="1440" w:gutter="0" w:footer="0" w:header="0"/>
        </w:sectPr>
      </w:pPr>
    </w:p>
    <w:bookmarkStart w:id="118" w:name="page119"/>
    <w:bookmarkEnd w:id="118"/>
    <w:p>
      <w:pPr>
        <w:jc w:val="both"/>
        <w:spacing w:after="0" w:line="248" w:lineRule="auto"/>
        <w:rPr>
          <w:sz w:val="20"/>
          <w:szCs w:val="20"/>
          <w:color w:val="auto"/>
        </w:rPr>
      </w:pPr>
      <w:r>
        <w:rPr>
          <w:rFonts w:ascii="Arial" w:cs="Arial" w:eastAsia="Arial" w:hAnsi="Arial"/>
          <w:sz w:val="22"/>
          <w:szCs w:val="22"/>
          <w:u w:val="single" w:color="auto"/>
          <w:color w:val="0000FF"/>
        </w:rPr>
        <w:t>thereto if such Refinancing Indebtedness matures on or earlier than the Stated Termination Date)</w:t>
      </w:r>
      <w:r>
        <w:rPr>
          <w:rFonts w:ascii="Arial" w:cs="Arial" w:eastAsia="Arial" w:hAnsi="Arial"/>
          <w:sz w:val="22"/>
          <w:szCs w:val="22"/>
          <w:color w:val="0000FF"/>
        </w:rPr>
        <w:t xml:space="preserve"> </w:t>
      </w:r>
      <w:r>
        <w:rPr>
          <w:rFonts w:ascii="Arial" w:cs="Arial" w:eastAsia="Arial" w:hAnsi="Arial"/>
          <w:sz w:val="22"/>
          <w:szCs w:val="22"/>
          <w:color w:val="000000"/>
        </w:rPr>
        <w:t>(each such date in the foregoing</w:t>
      </w:r>
      <w:r>
        <w:rPr>
          <w:rFonts w:ascii="Arial" w:cs="Arial" w:eastAsia="Arial" w:hAnsi="Arial"/>
          <w:sz w:val="22"/>
          <w:szCs w:val="22"/>
          <w:color w:val="0000FF"/>
        </w:rPr>
        <w:t xml:space="preserve"> </w:t>
      </w:r>
      <w:r>
        <w:rPr>
          <w:rFonts w:ascii="Arial" w:cs="Arial" w:eastAsia="Arial" w:hAnsi="Arial"/>
          <w:sz w:val="22"/>
          <w:szCs w:val="22"/>
          <w:color w:val="000000"/>
        </w:rPr>
        <w:t>clauses (b)</w:t>
      </w:r>
      <w:r>
        <w:rPr>
          <w:rFonts w:ascii="Arial" w:cs="Arial" w:eastAsia="Arial" w:hAnsi="Arial"/>
          <w:sz w:val="22"/>
          <w:szCs w:val="22"/>
          <w:u w:val="single" w:color="auto"/>
          <w:color w:val="0000FF"/>
        </w:rPr>
        <w:t>, (c)</w:t>
      </w:r>
      <w:r>
        <w:rPr>
          <w:rFonts w:ascii="Arial" w:cs="Arial" w:eastAsia="Arial" w:hAnsi="Arial"/>
          <w:sz w:val="22"/>
          <w:szCs w:val="22"/>
          <w:color w:val="000000"/>
        </w:rPr>
        <w:t xml:space="preserve"> and (</w:t>
      </w:r>
      <w:r>
        <w:rPr>
          <w:rFonts w:ascii="Arial" w:cs="Arial" w:eastAsia="Arial" w:hAnsi="Arial"/>
          <w:sz w:val="22"/>
          <w:szCs w:val="22"/>
          <w:color w:val="FF0000"/>
          <w:strike w:val="1"/>
        </w:rPr>
        <w:t>c</w:t>
      </w:r>
      <w:r>
        <w:rPr>
          <w:rFonts w:ascii="Arial" w:cs="Arial" w:eastAsia="Arial" w:hAnsi="Arial"/>
          <w:sz w:val="22"/>
          <w:szCs w:val="22"/>
          <w:u w:val="single" w:color="auto"/>
          <w:color w:val="0000FF"/>
        </w:rPr>
        <w:t>d</w:t>
      </w:r>
      <w:r>
        <w:rPr>
          <w:rFonts w:ascii="Arial" w:cs="Arial" w:eastAsia="Arial" w:hAnsi="Arial"/>
          <w:sz w:val="22"/>
          <w:szCs w:val="22"/>
          <w:color w:val="000000"/>
        </w:rPr>
        <w:t>), an “</w:t>
      </w:r>
      <w:r>
        <w:rPr>
          <w:rFonts w:ascii="Arial" w:cs="Arial" w:eastAsia="Arial" w:hAnsi="Arial"/>
          <w:sz w:val="22"/>
          <w:szCs w:val="22"/>
          <w:u w:val="single" w:color="auto"/>
          <w:color w:val="000000"/>
        </w:rPr>
        <w:t>Early Termination Date</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provided</w:t>
      </w:r>
      <w:r>
        <w:rPr>
          <w:rFonts w:ascii="Arial" w:cs="Arial" w:eastAsia="Arial" w:hAnsi="Arial"/>
          <w:sz w:val="22"/>
          <w:szCs w:val="22"/>
          <w:color w:val="000000"/>
        </w:rPr>
        <w:t>, that clauses (b)</w:t>
      </w:r>
      <w:r>
        <w:rPr>
          <w:rFonts w:ascii="Arial" w:cs="Arial" w:eastAsia="Arial" w:hAnsi="Arial"/>
          <w:sz w:val="22"/>
          <w:szCs w:val="22"/>
          <w:u w:val="single" w:color="auto"/>
          <w:color w:val="0000FF"/>
        </w:rPr>
        <w:t>, (c),</w:t>
      </w:r>
      <w:r>
        <w:rPr>
          <w:rFonts w:ascii="Arial" w:cs="Arial" w:eastAsia="Arial" w:hAnsi="Arial"/>
          <w:sz w:val="22"/>
          <w:szCs w:val="22"/>
          <w:color w:val="000000"/>
        </w:rPr>
        <w:t xml:space="preserve"> and (</w:t>
      </w:r>
      <w:r>
        <w:rPr>
          <w:rFonts w:ascii="Arial" w:cs="Arial" w:eastAsia="Arial" w:hAnsi="Arial"/>
          <w:sz w:val="22"/>
          <w:szCs w:val="22"/>
          <w:color w:val="FF0000"/>
          <w:strike w:val="1"/>
        </w:rPr>
        <w:t>c</w:t>
      </w:r>
      <w:r>
        <w:rPr>
          <w:rFonts w:ascii="Arial" w:cs="Arial" w:eastAsia="Arial" w:hAnsi="Arial"/>
          <w:sz w:val="22"/>
          <w:szCs w:val="22"/>
          <w:u w:val="single" w:color="auto"/>
          <w:color w:val="0000FF"/>
        </w:rPr>
        <w:t>d</w:t>
      </w:r>
      <w:r>
        <w:rPr>
          <w:rFonts w:ascii="Arial" w:cs="Arial" w:eastAsia="Arial" w:hAnsi="Arial"/>
          <w:sz w:val="22"/>
          <w:szCs w:val="22"/>
          <w:color w:val="000000"/>
        </w:rPr>
        <w:t xml:space="preserve">) shall apply solely in the event that more than $200,000,000 aggregate principal amount of 2022 Notes (or such Refinancing Indebtedness) </w:t>
      </w:r>
      <w:r>
        <w:rPr>
          <w:rFonts w:ascii="Arial" w:cs="Arial" w:eastAsia="Arial" w:hAnsi="Arial"/>
          <w:sz w:val="22"/>
          <w:szCs w:val="22"/>
          <w:color w:val="FF0000"/>
        </w:rPr>
        <w:t>or</w:t>
      </w:r>
      <w:r>
        <w:rPr>
          <w:rFonts w:ascii="Arial" w:cs="Arial" w:eastAsia="Arial" w:hAnsi="Arial"/>
          <w:sz w:val="22"/>
          <w:szCs w:val="22"/>
          <w:u w:val="single" w:color="auto"/>
          <w:color w:val="0000FF"/>
        </w:rPr>
        <w:t>,</w:t>
      </w:r>
      <w:r>
        <w:rPr>
          <w:rFonts w:ascii="Arial" w:cs="Arial" w:eastAsia="Arial" w:hAnsi="Arial"/>
          <w:sz w:val="22"/>
          <w:szCs w:val="22"/>
          <w:color w:val="000000"/>
        </w:rPr>
        <w:t xml:space="preserve"> 2023 Notes (or such Refinancing Indebtedness) </w:t>
      </w:r>
      <w:r>
        <w:rPr>
          <w:rFonts w:ascii="Arial" w:cs="Arial" w:eastAsia="Arial" w:hAnsi="Arial"/>
          <w:sz w:val="22"/>
          <w:szCs w:val="22"/>
          <w:color w:val="0000FF"/>
        </w:rPr>
        <w:t>or Ratio Liens Indebtedness (or such Refinancing Indebtedness)</w:t>
      </w:r>
      <w:r>
        <w:rPr>
          <w:rFonts w:ascii="Arial" w:cs="Arial" w:eastAsia="Arial" w:hAnsi="Arial"/>
          <w:sz w:val="22"/>
          <w:szCs w:val="22"/>
          <w:color w:val="000000"/>
        </w:rPr>
        <w:t>, as applicable, remains outstanding as of such Early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5767070</wp:posOffset>
            </wp:positionH>
            <wp:positionV relativeFrom="paragraph">
              <wp:posOffset>-412750</wp:posOffset>
            </wp:positionV>
            <wp:extent cx="1568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156845" cy="8890"/>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-198755</wp:posOffset>
            </wp:positionV>
            <wp:extent cx="35496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3549650" cy="8890"/>
                    </a:xfrm>
                    <a:prstGeom prst="rect">
                      <a:avLst/>
                    </a:prstGeom>
                    <a:noFill/>
                  </pic:spPr>
                </pic:pic>
              </a:graphicData>
            </a:graphic>
          </wp:anchor>
        </w:drawing>
      </w:r>
    </w:p>
    <w:p>
      <w:pPr>
        <w:spacing w:after="0" w:line="17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Compliance Certificate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5.1(b)</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Concentration Account</w:t>
      </w:r>
      <w:r>
        <w:rPr>
          <w:rFonts w:ascii="Arial" w:cs="Arial" w:eastAsia="Arial" w:hAnsi="Arial"/>
          <w:sz w:val="22"/>
          <w:szCs w:val="22"/>
          <w:color w:val="auto"/>
        </w:rPr>
        <w:t>” and “</w:t>
      </w:r>
      <w:r>
        <w:rPr>
          <w:rFonts w:ascii="Arial" w:cs="Arial" w:eastAsia="Arial" w:hAnsi="Arial"/>
          <w:sz w:val="22"/>
          <w:szCs w:val="22"/>
          <w:u w:val="single" w:color="auto"/>
          <w:color w:val="auto"/>
        </w:rPr>
        <w:t>Concentration Accounts</w:t>
      </w:r>
      <w:r>
        <w:rPr>
          <w:rFonts w:ascii="Arial" w:cs="Arial" w:eastAsia="Arial" w:hAnsi="Arial"/>
          <w:sz w:val="22"/>
          <w:szCs w:val="22"/>
          <w:color w:val="auto"/>
        </w:rPr>
        <w:t xml:space="preserve">” have the meanings specified in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Concentration Account Bank</w:t>
      </w:r>
      <w:r>
        <w:rPr>
          <w:rFonts w:ascii="Arial" w:cs="Arial" w:eastAsia="Arial" w:hAnsi="Arial"/>
          <w:sz w:val="22"/>
          <w:szCs w:val="22"/>
          <w:color w:val="auto"/>
        </w:rPr>
        <w:t>” and “</w:t>
      </w:r>
      <w:r>
        <w:rPr>
          <w:rFonts w:ascii="Arial" w:cs="Arial" w:eastAsia="Arial" w:hAnsi="Arial"/>
          <w:sz w:val="22"/>
          <w:szCs w:val="22"/>
          <w:u w:val="single" w:color="auto"/>
          <w:color w:val="auto"/>
        </w:rPr>
        <w:t>Concentration Accounts Banks</w:t>
      </w:r>
      <w:r>
        <w:rPr>
          <w:rFonts w:ascii="Arial" w:cs="Arial" w:eastAsia="Arial" w:hAnsi="Arial"/>
          <w:sz w:val="22"/>
          <w:szCs w:val="22"/>
          <w:color w:val="auto"/>
        </w:rPr>
        <w:t xml:space="preserve">” have the meanings specified in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pacing w:after="0" w:line="220" w:lineRule="exact"/>
        <w:rPr>
          <w:sz w:val="20"/>
          <w:szCs w:val="20"/>
          <w:color w:val="auto"/>
        </w:rPr>
      </w:pPr>
    </w:p>
    <w:p>
      <w:pPr>
        <w:jc w:val="both"/>
        <w:ind w:firstLine="472"/>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Depreciation and Amortization Expense</w:t>
      </w:r>
      <w:r>
        <w:rPr>
          <w:rFonts w:ascii="Arial" w:cs="Arial" w:eastAsia="Arial" w:hAnsi="Arial"/>
          <w:sz w:val="22"/>
          <w:szCs w:val="22"/>
          <w:color w:val="auto"/>
        </w:rPr>
        <w:t>” means, with respect to any Person for any period, the total amount of depreciation and amortization expense, including the amortization of intangible assets and deferred financing fees and amortization of unrecognized prior service costs and actuarial gains and losses related to pensions and other post-employment benefits, of such Person and its Restricted Subsidiaries for such period on a consolidated basis and otherwise determined in accordance with GAAP.</w:t>
      </w:r>
    </w:p>
    <w:p>
      <w:pPr>
        <w:spacing w:after="0" w:line="192" w:lineRule="exact"/>
        <w:rPr>
          <w:sz w:val="20"/>
          <w:szCs w:val="20"/>
          <w:color w:val="auto"/>
        </w:rPr>
      </w:pPr>
    </w:p>
    <w:p>
      <w:pPr>
        <w:jc w:val="both"/>
        <w:ind w:firstLine="67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w:t>
      </w:r>
      <w:r>
        <w:rPr>
          <w:rFonts w:ascii="Arial" w:cs="Arial" w:eastAsia="Arial" w:hAnsi="Arial"/>
          <w:sz w:val="22"/>
          <w:szCs w:val="22"/>
          <w:color w:val="auto"/>
        </w:rPr>
        <w:t>” means, as of any date of determination, the EBITDA of Parent Borrower and its Restricted Subsidiaries for the most recently ended four full fiscal quarters for which internal financial statements are available, on a consolidated basis, calculated on a pro forma basis consistent with the calculations made under the definition of Consolidated Secured Net Leverage Ratio or Pro Forma Compliance, as applicable.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Expense</w:t>
      </w:r>
      <w:r>
        <w:rPr>
          <w:rFonts w:ascii="Arial" w:cs="Arial" w:eastAsia="Arial" w:hAnsi="Arial"/>
          <w:sz w:val="19"/>
          <w:szCs w:val="19"/>
          <w:color w:val="auto"/>
        </w:rPr>
        <w:t>” means, with respect to any Person for any period, the sum, without duplication, of:</w:t>
      </w:r>
    </w:p>
    <w:p>
      <w:pPr>
        <w:spacing w:after="0" w:line="254" w:lineRule="exact"/>
        <w:rPr>
          <w:sz w:val="20"/>
          <w:szCs w:val="20"/>
          <w:color w:val="auto"/>
        </w:rPr>
      </w:pPr>
    </w:p>
    <w:p>
      <w:pPr>
        <w:jc w:val="both"/>
        <w:ind w:left="660" w:firstLine="644"/>
        <w:spacing w:after="0" w:line="294" w:lineRule="auto"/>
        <w:tabs>
          <w:tab w:leader="none" w:pos="1621"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consolidated interest expense of such Person and its Restricted Subsidiaries for such period, to the extent such expense was deducted in computing Consolidated Net Income (including the interest component of Capitalized Lease Obligations and net payments and receipts (if any) pursuant to interest rate Hedging Obligations, amortization of deferred financing fees and original issue discount, debt issuance costs, commissions, fees and expenses, expensing of any bridge, commitment or other financing fees and non-cash interest expense attributable to movement in mark to market valuation of Hedging Obligations or other derivatives (in each case permitted hereunder) under GAAP); </w:t>
      </w:r>
      <w:r>
        <w:rPr>
          <w:rFonts w:ascii="Arial" w:cs="Arial" w:eastAsia="Arial" w:hAnsi="Arial"/>
          <w:sz w:val="19"/>
          <w:szCs w:val="19"/>
          <w:u w:val="single" w:color="auto"/>
          <w:color w:val="auto"/>
        </w:rPr>
        <w:t>plus</w:t>
      </w:r>
    </w:p>
    <w:p>
      <w:pPr>
        <w:spacing w:after="0" w:line="41" w:lineRule="exact"/>
        <w:rPr>
          <w:rFonts w:ascii="Arial" w:cs="Arial" w:eastAsia="Arial" w:hAnsi="Arial"/>
          <w:sz w:val="19"/>
          <w:szCs w:val="19"/>
          <w:color w:val="auto"/>
        </w:rPr>
      </w:pPr>
    </w:p>
    <w:p>
      <w:pPr>
        <w:ind w:left="660" w:firstLine="644"/>
        <w:spacing w:after="0" w:line="263" w:lineRule="auto"/>
        <w:tabs>
          <w:tab w:leader="none" w:pos="1616"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consolidated capitalized interest of such Person and its Restricted Subsidiaries for such period, whether paid or accrued; </w:t>
      </w:r>
      <w:r>
        <w:rPr>
          <w:rFonts w:ascii="Arial" w:cs="Arial" w:eastAsia="Arial" w:hAnsi="Arial"/>
          <w:sz w:val="22"/>
          <w:szCs w:val="22"/>
          <w:u w:val="single" w:color="auto"/>
          <w:color w:val="auto"/>
        </w:rPr>
        <w:t>plus</w:t>
      </w:r>
    </w:p>
    <w:p>
      <w:pPr>
        <w:sectPr>
          <w:pgSz w:w="11900" w:h="16838" w:orient="portrait"/>
          <w:cols w:equalWidth="0" w:num="1">
            <w:col w:w="11240"/>
          </w:cols>
          <w:pgMar w:left="320" w:top="1428" w:right="339" w:bottom="1440" w:gutter="0" w:footer="0" w:header="0"/>
        </w:sectPr>
      </w:pPr>
    </w:p>
    <w:bookmarkStart w:id="119" w:name="page120"/>
    <w:bookmarkEnd w:id="119"/>
    <w:p>
      <w:pPr>
        <w:ind w:left="660" w:firstLine="644"/>
        <w:spacing w:after="0" w:line="341" w:lineRule="auto"/>
        <w:tabs>
          <w:tab w:leader="none" w:pos="1658"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commissions, discounts, yield and other fees and charges Incurred in connection with any Securitization Financing which are payable to Persons other than Parent Borrower and the Restricted Subsidiaries; </w:t>
      </w:r>
      <w:r>
        <w:rPr>
          <w:rFonts w:ascii="Arial" w:cs="Arial" w:eastAsia="Arial" w:hAnsi="Arial"/>
          <w:sz w:val="19"/>
          <w:szCs w:val="19"/>
          <w:u w:val="single" w:color="auto"/>
          <w:color w:val="auto"/>
        </w:rPr>
        <w:t>minus</w:t>
      </w:r>
    </w:p>
    <w:p>
      <w:pPr>
        <w:ind w:left="1600" w:hanging="296"/>
        <w:spacing w:after="0"/>
        <w:tabs>
          <w:tab w:leader="none" w:pos="16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interest income for such period.</w:t>
      </w:r>
    </w:p>
    <w:p>
      <w:pPr>
        <w:spacing w:after="0" w:line="112"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For purposes of this definition, interest on a Capitalized Lease Obligation shall be deemed to accrue at an interest rate reasonably determined by Parent Borrower to be the rate of interest implicit in such Capitalized Lease Obligation in accordance with GAAP.</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means, with respect to any Person for any period, the aggregate of the Net Income of such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Person and its Restricted Subsidiaries for such period, on a consolidated basis;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202" w:lineRule="exact"/>
        <w:rPr>
          <w:sz w:val="20"/>
          <w:szCs w:val="20"/>
          <w:color w:val="auto"/>
        </w:rPr>
      </w:pPr>
    </w:p>
    <w:p>
      <w:pPr>
        <w:ind w:left="660" w:right="20" w:firstLine="644"/>
        <w:spacing w:after="0" w:line="263" w:lineRule="auto"/>
        <w:tabs>
          <w:tab w:leader="none" w:pos="1643"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any net after-tax extraordinary, nonrecurring or unusual gains or losses (less all fees and expenses relating thereto) or expenses or charges shall be excluded;</w:t>
      </w:r>
    </w:p>
    <w:p>
      <w:pPr>
        <w:spacing w:after="0" w:line="174" w:lineRule="exact"/>
        <w:rPr>
          <w:rFonts w:ascii="Arial" w:cs="Arial" w:eastAsia="Arial" w:hAnsi="Arial"/>
          <w:sz w:val="22"/>
          <w:szCs w:val="22"/>
          <w:color w:val="auto"/>
        </w:rPr>
      </w:pPr>
    </w:p>
    <w:p>
      <w:pPr>
        <w:jc w:val="both"/>
        <w:ind w:left="660" w:firstLine="644"/>
        <w:spacing w:after="0" w:line="289" w:lineRule="auto"/>
        <w:tabs>
          <w:tab w:leader="none" w:pos="1624" w:val="left"/>
        </w:tabs>
        <w:numPr>
          <w:ilvl w:val="0"/>
          <w:numId w:val="26"/>
        </w:numPr>
        <w:rPr>
          <w:rFonts w:ascii="Arial" w:cs="Arial" w:eastAsia="Arial" w:hAnsi="Arial"/>
          <w:sz w:val="19"/>
          <w:szCs w:val="19"/>
          <w:color w:val="auto"/>
        </w:rPr>
      </w:pPr>
      <w:r>
        <w:rPr>
          <w:rFonts w:ascii="Arial" w:cs="Arial" w:eastAsia="Arial" w:hAnsi="Arial"/>
          <w:sz w:val="19"/>
          <w:szCs w:val="19"/>
          <w:color w:val="auto"/>
        </w:rPr>
        <w:t>any severance expenses, relocation expenses, restructuring expenses, curtailments or modifications to pension and post-retirement employee benefit plans, excess pension charges, any expenses related to any reconstruction, decommissioning, recommissioning or reconfiguration of fixed assets for alternate uses and fees, expenses or charges relating to facilities closing costs, acquisition integration costs, facilities opening costs, project start-up costs, business optimization costs, signing, retention or completion bonuses, expenses, commissions or charges related to any issuance, redemption, repurchase, retirement or acquisition of Equity Interests, Investment, acquisition, disposition, recapitalization or issuance, repayment, refinancing, amendment or modification of Indebtedness (in each case, whether or not successful), and any fees, expenses or charges related to the Refinancing Transactions, the Transactions, the Norbert Transactions or the 2022 Notes Transactions, in each case, shall be excluded;</w:t>
      </w:r>
    </w:p>
    <w:p>
      <w:pPr>
        <w:spacing w:after="0" w:line="156" w:lineRule="exact"/>
        <w:rPr>
          <w:rFonts w:ascii="Arial" w:cs="Arial" w:eastAsia="Arial" w:hAnsi="Arial"/>
          <w:sz w:val="19"/>
          <w:szCs w:val="19"/>
          <w:color w:val="auto"/>
        </w:rPr>
      </w:pPr>
    </w:p>
    <w:p>
      <w:pPr>
        <w:jc w:val="both"/>
        <w:ind w:left="660" w:firstLine="644"/>
        <w:spacing w:after="0" w:line="248" w:lineRule="auto"/>
        <w:tabs>
          <w:tab w:leader="none" w:pos="1639" w:val="left"/>
        </w:tabs>
        <w:numPr>
          <w:ilvl w:val="0"/>
          <w:numId w:val="26"/>
        </w:numPr>
        <w:rPr>
          <w:rFonts w:ascii="Arial" w:cs="Arial" w:eastAsia="Arial" w:hAnsi="Arial"/>
          <w:sz w:val="22"/>
          <w:szCs w:val="22"/>
          <w:color w:val="auto"/>
        </w:rPr>
      </w:pPr>
      <w:r>
        <w:rPr>
          <w:rFonts w:ascii="Arial" w:cs="Arial" w:eastAsia="Arial" w:hAnsi="Arial"/>
          <w:sz w:val="22"/>
          <w:szCs w:val="22"/>
          <w:color w:val="auto"/>
        </w:rPr>
        <w:t>effects of purchase accounting adjustments (including the effects of such adjustments pushed down to such Person and such Subsidiaries and including, without limitation, the effects of adjustments to (A) Capitalized Lease Obligations or (B) any other deferrals of income) in amounts required or permitted by GAAP, resulting from the application of purchase accounting or the amortization or write-off of any amounts thereof, net of taxes, shall be excluded;</w:t>
      </w:r>
    </w:p>
    <w:p>
      <w:pPr>
        <w:spacing w:after="0" w:line="191" w:lineRule="exact"/>
        <w:rPr>
          <w:rFonts w:ascii="Arial" w:cs="Arial" w:eastAsia="Arial" w:hAnsi="Arial"/>
          <w:sz w:val="22"/>
          <w:szCs w:val="22"/>
          <w:color w:val="auto"/>
        </w:rPr>
      </w:pPr>
    </w:p>
    <w:p>
      <w:pPr>
        <w:ind w:left="660" w:right="20" w:firstLine="644"/>
        <w:spacing w:after="0" w:line="263" w:lineRule="auto"/>
        <w:tabs>
          <w:tab w:leader="none" w:pos="1636"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Net Income for such period shall not include the cumulative effect of a change in accounting principles during such period;</w:t>
      </w:r>
    </w:p>
    <w:p>
      <w:pPr>
        <w:spacing w:after="0" w:line="174" w:lineRule="exact"/>
        <w:rPr>
          <w:rFonts w:ascii="Arial" w:cs="Arial" w:eastAsia="Arial" w:hAnsi="Arial"/>
          <w:sz w:val="22"/>
          <w:szCs w:val="22"/>
          <w:color w:val="auto"/>
        </w:rPr>
      </w:pPr>
    </w:p>
    <w:p>
      <w:pPr>
        <w:jc w:val="both"/>
        <w:ind w:left="660" w:firstLine="644"/>
        <w:spacing w:after="0" w:line="247" w:lineRule="auto"/>
        <w:tabs>
          <w:tab w:leader="none" w:pos="1633"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any net after-tax income or loss from disposed, abandoned, transferred, closed or discontinued operations or fixed assets and any net after-tax gains or losses on disposal of disposed, abandoned, transferred, closed or discontinued operations or fixed assets shall be excluded; provided that notwithstanding any classification of any Person, business, assets or operations as discontinued operations because a definitive agreement for the sale, transfer or other disposition in respect thereof has been entered into, such Person shall not exclude any such net after-tax income or loss or any such net after-tax</w:t>
      </w:r>
    </w:p>
    <w:p>
      <w:pPr>
        <w:sectPr>
          <w:pgSz w:w="11900" w:h="16838" w:orient="portrait"/>
          <w:cols w:equalWidth="0" w:num="1">
            <w:col w:w="11240"/>
          </w:cols>
          <w:pgMar w:left="320" w:top="1428" w:right="3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gains or losses attributable thereto until such sale, transfer or other disposition has been consummated;</w:t>
      </w:r>
    </w:p>
    <w:p>
      <w:pPr>
        <w:spacing w:after="0" w:line="220" w:lineRule="exact"/>
        <w:rPr>
          <w:sz w:val="20"/>
          <w:szCs w:val="20"/>
          <w:color w:val="auto"/>
        </w:rPr>
      </w:pPr>
    </w:p>
    <w:p>
      <w:pPr>
        <w:jc w:val="both"/>
        <w:ind w:firstLine="644"/>
        <w:spacing w:after="0" w:line="253" w:lineRule="auto"/>
        <w:tabs>
          <w:tab w:leader="none" w:pos="962"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any net after-tax gains or losses (less all fees and expenses or charges relating thereto) attributable to business dispositions or asset dispositions other than in the ordinary course of business (as determined in good faith by management of Parent Borrower) shall be excluded;</w:t>
      </w:r>
    </w:p>
    <w:p>
      <w:pPr>
        <w:spacing w:after="0" w:line="185" w:lineRule="exact"/>
        <w:rPr>
          <w:rFonts w:ascii="Arial" w:cs="Arial" w:eastAsia="Arial" w:hAnsi="Arial"/>
          <w:sz w:val="22"/>
          <w:szCs w:val="22"/>
          <w:color w:val="auto"/>
        </w:rPr>
      </w:pPr>
    </w:p>
    <w:p>
      <w:pPr>
        <w:ind w:firstLine="644"/>
        <w:spacing w:after="0" w:line="287" w:lineRule="auto"/>
        <w:tabs>
          <w:tab w:leader="none" w:pos="961" w:val="left"/>
        </w:tabs>
        <w:numPr>
          <w:ilvl w:val="0"/>
          <w:numId w:val="27"/>
        </w:numPr>
        <w:rPr>
          <w:rFonts w:ascii="Arial" w:cs="Arial" w:eastAsia="Arial" w:hAnsi="Arial"/>
          <w:sz w:val="21"/>
          <w:szCs w:val="21"/>
          <w:color w:val="auto"/>
        </w:rPr>
      </w:pPr>
      <w:r>
        <w:rPr>
          <w:rFonts w:ascii="Arial" w:cs="Arial" w:eastAsia="Arial" w:hAnsi="Arial"/>
          <w:sz w:val="21"/>
          <w:szCs w:val="21"/>
          <w:color w:val="auto"/>
        </w:rPr>
        <w:t>any net after-tax gains or losses (less all fees and expenses or charges relating thereto) attributable to the early extinguishment of indebtedness, Hedging Obligations or other derivative instruments shall be excluded;</w:t>
      </w:r>
    </w:p>
    <w:p>
      <w:pPr>
        <w:spacing w:after="0" w:line="151" w:lineRule="exact"/>
        <w:rPr>
          <w:rFonts w:ascii="Arial" w:cs="Arial" w:eastAsia="Arial" w:hAnsi="Arial"/>
          <w:sz w:val="21"/>
          <w:szCs w:val="21"/>
          <w:color w:val="auto"/>
        </w:rPr>
      </w:pPr>
    </w:p>
    <w:p>
      <w:pPr>
        <w:jc w:val="both"/>
        <w:ind w:firstLine="644"/>
        <w:spacing w:after="0" w:line="260" w:lineRule="auto"/>
        <w:tabs>
          <w:tab w:leader="none" w:pos="962" w:val="left"/>
        </w:tabs>
        <w:numPr>
          <w:ilvl w:val="0"/>
          <w:numId w:val="27"/>
        </w:numPr>
        <w:rPr>
          <w:rFonts w:ascii="Arial" w:cs="Arial" w:eastAsia="Arial" w:hAnsi="Arial"/>
          <w:sz w:val="21"/>
          <w:szCs w:val="21"/>
          <w:color w:val="auto"/>
        </w:rPr>
      </w:pPr>
      <w:r>
        <w:rPr>
          <w:rFonts w:ascii="Arial" w:cs="Arial" w:eastAsia="Arial" w:hAnsi="Arial"/>
          <w:sz w:val="21"/>
          <w:szCs w:val="21"/>
          <w:color w:val="auto"/>
        </w:rPr>
        <w:t>(a) the Net Income for such period of any Person that is not a Subsidiary of such Person, or is an Unrestricted Subsidiary, or that is accounted for by the equity method of accounting, shall be included only to the extent of the amount of dividends or distributions or other payments paid in cash (or to the extent converted into cash) to the referent Person or a Restricted Subsidiary thereof in respect of such period and (b) the Net Income for such period shall include any dividend, distribution or other payment in cash (or to the extent converted into cash) received by the referent Person or a Subsidiary thereof (other than an Unrestricted Subsidiary of such referent Person) from any Person in excess of, but without duplication of, the amounts included in subclause (a);</w:t>
      </w:r>
    </w:p>
    <w:p>
      <w:pPr>
        <w:spacing w:after="0" w:line="180" w:lineRule="exact"/>
        <w:rPr>
          <w:rFonts w:ascii="Arial" w:cs="Arial" w:eastAsia="Arial" w:hAnsi="Arial"/>
          <w:sz w:val="21"/>
          <w:szCs w:val="21"/>
          <w:color w:val="auto"/>
        </w:rPr>
      </w:pPr>
    </w:p>
    <w:p>
      <w:pPr>
        <w:ind w:left="940" w:hanging="296"/>
        <w:spacing w:after="0"/>
        <w:tabs>
          <w:tab w:leader="none" w:pos="94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644"/>
        <w:spacing w:after="0" w:line="253" w:lineRule="auto"/>
        <w:tabs>
          <w:tab w:leader="none" w:pos="1088"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an amount equal to the amount of Tax Distributions actually made to any parent or equity holder of such Person in respect of such period in accordance with </w:t>
      </w:r>
      <w:r>
        <w:rPr>
          <w:rFonts w:ascii="Arial" w:cs="Arial" w:eastAsia="Arial" w:hAnsi="Arial"/>
          <w:sz w:val="22"/>
          <w:szCs w:val="22"/>
          <w:u w:val="single" w:color="auto"/>
          <w:color w:val="auto"/>
        </w:rPr>
        <w:t>Section 7.2(b)(xi)</w:t>
      </w:r>
      <w:r>
        <w:rPr>
          <w:rFonts w:ascii="Arial" w:cs="Arial" w:eastAsia="Arial" w:hAnsi="Arial"/>
          <w:sz w:val="22"/>
          <w:szCs w:val="22"/>
          <w:color w:val="auto"/>
        </w:rPr>
        <w:t xml:space="preserve"> shall be included as though such amounts had been paid as income taxes directly by such Person for such period;</w:t>
      </w:r>
    </w:p>
    <w:p>
      <w:pPr>
        <w:spacing w:after="0" w:line="185" w:lineRule="exact"/>
        <w:rPr>
          <w:rFonts w:ascii="Arial" w:cs="Arial" w:eastAsia="Arial" w:hAnsi="Arial"/>
          <w:sz w:val="22"/>
          <w:szCs w:val="22"/>
          <w:color w:val="auto"/>
        </w:rPr>
      </w:pPr>
    </w:p>
    <w:p>
      <w:pPr>
        <w:ind w:right="20" w:firstLine="644"/>
        <w:spacing w:after="0" w:line="263" w:lineRule="auto"/>
        <w:tabs>
          <w:tab w:leader="none" w:pos="1112"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any impairment charges or asset write-offs, in each case pursuant to GAAP, and the amortization of intangibles and other fair value adjustments arising pursuant to GAAP shall be excluded;</w:t>
      </w:r>
    </w:p>
    <w:p>
      <w:pPr>
        <w:spacing w:after="0" w:line="174" w:lineRule="exact"/>
        <w:rPr>
          <w:rFonts w:ascii="Arial" w:cs="Arial" w:eastAsia="Arial" w:hAnsi="Arial"/>
          <w:sz w:val="22"/>
          <w:szCs w:val="22"/>
          <w:color w:val="auto"/>
        </w:rPr>
      </w:pPr>
    </w:p>
    <w:p>
      <w:pPr>
        <w:jc w:val="both"/>
        <w:ind w:firstLine="644"/>
        <w:spacing w:after="0" w:line="253" w:lineRule="auto"/>
        <w:tabs>
          <w:tab w:leader="none" w:pos="1096"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any non-cash expense realized or resulting from management equity plans, stock option plans, employee benefit plans or post-employment benefit plans, or grants or sales of stock, stock appreciation or similar rights, stock options, restricted stock, preferred stock or other rights shall be excluded;</w:t>
      </w:r>
    </w:p>
    <w:p>
      <w:pPr>
        <w:spacing w:after="0" w:line="185" w:lineRule="exact"/>
        <w:rPr>
          <w:rFonts w:ascii="Arial" w:cs="Arial" w:eastAsia="Arial" w:hAnsi="Arial"/>
          <w:sz w:val="22"/>
          <w:szCs w:val="22"/>
          <w:color w:val="auto"/>
        </w:rPr>
      </w:pPr>
    </w:p>
    <w:p>
      <w:pPr>
        <w:jc w:val="both"/>
        <w:ind w:firstLine="644"/>
        <w:spacing w:after="0" w:line="265" w:lineRule="auto"/>
        <w:tabs>
          <w:tab w:leader="none" w:pos="1124" w:val="left"/>
        </w:tabs>
        <w:numPr>
          <w:ilvl w:val="0"/>
          <w:numId w:val="27"/>
        </w:numPr>
        <w:rPr>
          <w:rFonts w:ascii="Arial" w:cs="Arial" w:eastAsia="Arial" w:hAnsi="Arial"/>
          <w:sz w:val="21"/>
          <w:szCs w:val="21"/>
          <w:color w:val="auto"/>
        </w:rPr>
      </w:pPr>
      <w:r>
        <w:rPr>
          <w:rFonts w:ascii="Arial" w:cs="Arial" w:eastAsia="Arial" w:hAnsi="Arial"/>
          <w:sz w:val="21"/>
          <w:szCs w:val="21"/>
          <w:color w:val="auto"/>
        </w:rPr>
        <w:t>any (a) non-cash compensation charges, (b) costs and expenses related to employment of terminated employees, or (c) costs or expenses realized in connection with or resulting from stock appreciation or similar rights, stock options or other rights existing on the Amendment No. 3 Effective Date of officers, directors and employees, in each case of such Person or any Restricted Subsidiary, shall be excluded;</w:t>
      </w:r>
    </w:p>
    <w:p>
      <w:pPr>
        <w:spacing w:after="0" w:line="175" w:lineRule="exact"/>
        <w:rPr>
          <w:rFonts w:ascii="Arial" w:cs="Arial" w:eastAsia="Arial" w:hAnsi="Arial"/>
          <w:sz w:val="21"/>
          <w:szCs w:val="21"/>
          <w:color w:val="auto"/>
        </w:rPr>
      </w:pPr>
    </w:p>
    <w:p>
      <w:pPr>
        <w:ind w:firstLine="644"/>
        <w:spacing w:after="0" w:line="263" w:lineRule="auto"/>
        <w:tabs>
          <w:tab w:leader="none" w:pos="1070" w:val="left"/>
        </w:tabs>
        <w:numPr>
          <w:ilvl w:val="0"/>
          <w:numId w:val="27"/>
        </w:numPr>
        <w:rPr>
          <w:rFonts w:ascii="Arial" w:cs="Arial" w:eastAsia="Arial" w:hAnsi="Arial"/>
          <w:sz w:val="22"/>
          <w:szCs w:val="22"/>
          <w:color w:val="auto"/>
        </w:rPr>
      </w:pPr>
      <w:r>
        <w:rPr>
          <w:rFonts w:ascii="Arial" w:cs="Arial" w:eastAsia="Arial" w:hAnsi="Arial"/>
          <w:sz w:val="22"/>
          <w:szCs w:val="22"/>
          <w:color w:val="auto"/>
        </w:rPr>
        <w:t>accruals and reserves that are established or adjusted within 12 months after the Amendment No. 3 Effective Date and that are so required to be established or</w:t>
      </w:r>
    </w:p>
    <w:p>
      <w:pPr>
        <w:sectPr>
          <w:pgSz w:w="11900" w:h="16838" w:orient="portrait"/>
          <w:cols w:equalWidth="0" w:num="1">
            <w:col w:w="10580"/>
          </w:cols>
          <w:pgMar w:left="980" w:top="1428" w:right="339" w:bottom="1440" w:gutter="0" w:footer="0" w:header="0"/>
        </w:sectPr>
      </w:pPr>
    </w:p>
    <w:bookmarkStart w:id="121" w:name="page122"/>
    <w:bookmarkEnd w:id="121"/>
    <w:p>
      <w:pPr>
        <w:ind w:left="660"/>
        <w:spacing w:after="0"/>
        <w:rPr>
          <w:sz w:val="20"/>
          <w:szCs w:val="20"/>
          <w:color w:val="auto"/>
        </w:rPr>
      </w:pPr>
      <w:r>
        <w:rPr>
          <w:rFonts w:ascii="Arial" w:cs="Arial" w:eastAsia="Arial" w:hAnsi="Arial"/>
          <w:sz w:val="19"/>
          <w:szCs w:val="19"/>
          <w:color w:val="auto"/>
        </w:rPr>
        <w:t>adjusted in accordance with GAAP or as a result of adoption or modification of accounting policies shall be excluded;</w:t>
      </w:r>
    </w:p>
    <w:p>
      <w:pPr>
        <w:spacing w:after="0" w:line="254" w:lineRule="exact"/>
        <w:rPr>
          <w:sz w:val="20"/>
          <w:szCs w:val="20"/>
          <w:color w:val="auto"/>
        </w:rPr>
      </w:pPr>
    </w:p>
    <w:p>
      <w:pPr>
        <w:ind w:left="660" w:right="20" w:firstLine="644"/>
        <w:spacing w:after="0" w:line="263" w:lineRule="auto"/>
        <w:tabs>
          <w:tab w:leader="none" w:pos="1734" w:val="left"/>
        </w:tabs>
        <w:numPr>
          <w:ilvl w:val="0"/>
          <w:numId w:val="28"/>
        </w:numPr>
        <w:rPr>
          <w:rFonts w:ascii="Arial" w:cs="Arial" w:eastAsia="Arial" w:hAnsi="Arial"/>
          <w:sz w:val="22"/>
          <w:szCs w:val="22"/>
          <w:color w:val="auto"/>
        </w:rPr>
      </w:pPr>
      <w:r>
        <w:rPr>
          <w:rFonts w:ascii="Arial" w:cs="Arial" w:eastAsia="Arial" w:hAnsi="Arial"/>
          <w:sz w:val="22"/>
          <w:szCs w:val="22"/>
          <w:color w:val="auto"/>
        </w:rPr>
        <w:t>non-cash gains, losses, income and expenses resulting from fair value accounting required by the applicable standard under GAAP and related interpretations shall be excluded;</w:t>
      </w:r>
    </w:p>
    <w:p>
      <w:pPr>
        <w:spacing w:after="0" w:line="174" w:lineRule="exact"/>
        <w:rPr>
          <w:rFonts w:ascii="Arial" w:cs="Arial" w:eastAsia="Arial" w:hAnsi="Arial"/>
          <w:sz w:val="22"/>
          <w:szCs w:val="22"/>
          <w:color w:val="auto"/>
        </w:rPr>
      </w:pPr>
    </w:p>
    <w:p>
      <w:pPr>
        <w:ind w:left="660" w:firstLine="644"/>
        <w:spacing w:after="0" w:line="263" w:lineRule="auto"/>
        <w:tabs>
          <w:tab w:leader="none" w:pos="1744"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any currency translation gains and losses related to currency remeasurements of Indebtedness, and any net loss or gain resulting from hedging transactions for currency exchange risk, shall be excluded;</w:t>
      </w:r>
    </w:p>
    <w:p>
      <w:pPr>
        <w:spacing w:after="0" w:line="174" w:lineRule="exact"/>
        <w:rPr>
          <w:rFonts w:ascii="Arial" w:cs="Arial" w:eastAsia="Arial" w:hAnsi="Arial"/>
          <w:sz w:val="22"/>
          <w:szCs w:val="22"/>
          <w:color w:val="auto"/>
        </w:rPr>
      </w:pPr>
    </w:p>
    <w:p>
      <w:pPr>
        <w:jc w:val="both"/>
        <w:ind w:left="660" w:firstLine="644"/>
        <w:spacing w:after="0" w:line="289" w:lineRule="auto"/>
        <w:tabs>
          <w:tab w:leader="none" w:pos="1763" w:val="left"/>
        </w:tabs>
        <w:numPr>
          <w:ilvl w:val="0"/>
          <w:numId w:val="28"/>
        </w:numPr>
        <w:rPr>
          <w:rFonts w:ascii="Arial" w:cs="Arial" w:eastAsia="Arial" w:hAnsi="Arial"/>
          <w:sz w:val="19"/>
          <w:szCs w:val="19"/>
          <w:color w:val="auto"/>
        </w:rPr>
      </w:pPr>
      <w:r>
        <w:rPr>
          <w:rFonts w:ascii="Arial" w:cs="Arial" w:eastAsia="Arial" w:hAnsi="Arial"/>
          <w:sz w:val="19"/>
          <w:szCs w:val="19"/>
          <w:color w:val="auto"/>
        </w:rPr>
        <w:t>(a) to the extent covered by insurance and actually reimbursed, or, so long as such Person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 (b) amounts in respect of which such Person has determined that there exists reasonable evidence that such amounts will in fact be reimbursed by insurance in respect of lost revenues or earnings in respect of liability or casualty events or business interruption shall be included (with a deduction for amounts actually received up to such estimated amount, to the extent included in Net Income in a future period); and</w:t>
      </w:r>
    </w:p>
    <w:p>
      <w:pPr>
        <w:spacing w:after="0" w:line="156" w:lineRule="exact"/>
        <w:rPr>
          <w:rFonts w:ascii="Arial" w:cs="Arial" w:eastAsia="Arial" w:hAnsi="Arial"/>
          <w:sz w:val="19"/>
          <w:szCs w:val="19"/>
          <w:color w:val="auto"/>
        </w:rPr>
      </w:pPr>
    </w:p>
    <w:p>
      <w:pPr>
        <w:ind w:left="1720" w:hanging="416"/>
        <w:spacing w:after="0"/>
        <w:tabs>
          <w:tab w:leader="none" w:pos="1720" w:val="left"/>
        </w:tabs>
        <w:numPr>
          <w:ilvl w:val="0"/>
          <w:numId w:val="28"/>
        </w:numPr>
        <w:rPr>
          <w:rFonts w:ascii="Arial" w:cs="Arial" w:eastAsia="Arial" w:hAnsi="Arial"/>
          <w:sz w:val="22"/>
          <w:szCs w:val="22"/>
          <w:color w:val="auto"/>
        </w:rPr>
      </w:pPr>
      <w:r>
        <w:rPr>
          <w:rFonts w:ascii="Arial" w:cs="Arial" w:eastAsia="Arial" w:hAnsi="Arial"/>
          <w:sz w:val="22"/>
          <w:szCs w:val="22"/>
          <w:color w:val="auto"/>
        </w:rPr>
        <w:t>non-cash charges for deferred tax asset valuation allowances shall be excluded.</w:t>
      </w:r>
    </w:p>
    <w:p>
      <w:pPr>
        <w:spacing w:after="0" w:line="220" w:lineRule="exact"/>
        <w:rPr>
          <w:sz w:val="20"/>
          <w:szCs w:val="20"/>
          <w:color w:val="auto"/>
        </w:rPr>
      </w:pPr>
    </w:p>
    <w:p>
      <w:pPr>
        <w:jc w:val="both"/>
        <w:ind w:firstLine="580"/>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Non-Cash Charges</w:t>
      </w:r>
      <w:r>
        <w:rPr>
          <w:rFonts w:ascii="Arial" w:cs="Arial" w:eastAsia="Arial" w:hAnsi="Arial"/>
          <w:sz w:val="19"/>
          <w:szCs w:val="19"/>
          <w:color w:val="auto"/>
        </w:rPr>
        <w:t xml:space="preserve">” means, with respect to any Person for any period, the non-cash expenses (other than Consolidated Depreciation and Amortization Expense) of such Person and its Restricted Subsidiaries reducing Consolidated Net Income of such Person for such period on a consolidated basis and otherwise determined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any such non-cash expenses represent an accrual or reserve for potential cash items in any future period, the cash payment in respect thereof in such future period shall be subtracted from EBITDA in such future period to the extent paid, but excluding from this proviso, for the avoidance of doubt, amortization of a prepaid cash item that was paid in a prior period.</w:t>
      </w:r>
    </w:p>
    <w:p>
      <w:pPr>
        <w:spacing w:after="0" w:line="149" w:lineRule="exact"/>
        <w:rPr>
          <w:sz w:val="20"/>
          <w:szCs w:val="20"/>
          <w:color w:val="auto"/>
        </w:rPr>
      </w:pPr>
    </w:p>
    <w:p>
      <w:pPr>
        <w:jc w:val="both"/>
        <w:ind w:firstLine="68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Secured Net Leverage Calculation Date</w:t>
      </w:r>
      <w:r>
        <w:rPr>
          <w:rFonts w:ascii="Arial" w:cs="Arial" w:eastAsia="Arial" w:hAnsi="Arial"/>
          <w:sz w:val="22"/>
          <w:szCs w:val="22"/>
          <w:color w:val="auto"/>
        </w:rPr>
        <w:t>” has the meaning specified in the definition of “Consolidated Secured Net Leverage Ratio.”</w:t>
      </w:r>
    </w:p>
    <w:p>
      <w:pPr>
        <w:spacing w:after="0" w:line="175" w:lineRule="exact"/>
        <w:rPr>
          <w:sz w:val="20"/>
          <w:szCs w:val="20"/>
          <w:color w:val="auto"/>
        </w:rPr>
      </w:pPr>
    </w:p>
    <w:p>
      <w:pPr>
        <w:jc w:val="both"/>
        <w:ind w:firstLine="68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Secured Net Leverage Ratio</w:t>
      </w:r>
      <w:r>
        <w:rPr>
          <w:rFonts w:ascii="Arial" w:cs="Arial" w:eastAsia="Arial" w:hAnsi="Arial"/>
          <w:sz w:val="21"/>
          <w:szCs w:val="21"/>
          <w:color w:val="auto"/>
        </w:rPr>
        <w:t>” means, with respect to any Person, at any date, the ratio of (i) Secured Indebtedness of such Person and its Restricted Subsidiaries as of such date of calculation (determined on a consolidated basis in accordance with GAAP) less the amount of cash and Cash Equivalents in excess of any Restricted Cash that would be stated on the balance sheet of such Person and its Restricted Subsidiaries and held by such Person and its Restricted Subsidiaries as of such date of determination to (ii) EBITDA of such Person for the</w:t>
      </w:r>
    </w:p>
    <w:p>
      <w:pPr>
        <w:sectPr>
          <w:pgSz w:w="11900" w:h="16838" w:orient="portrait"/>
          <w:cols w:equalWidth="0" w:num="1">
            <w:col w:w="11240"/>
          </w:cols>
          <w:pgMar w:left="320" w:top="1428" w:right="339" w:bottom="1440" w:gutter="0" w:footer="0" w:header="0"/>
        </w:sectPr>
      </w:pPr>
    </w:p>
    <w:bookmarkStart w:id="122" w:name="page123"/>
    <w:bookmarkEnd w:id="122"/>
    <w:p>
      <w:pPr>
        <w:jc w:val="both"/>
        <w:spacing w:after="0" w:line="263" w:lineRule="auto"/>
        <w:rPr>
          <w:sz w:val="20"/>
          <w:szCs w:val="20"/>
          <w:color w:val="auto"/>
        </w:rPr>
      </w:pPr>
      <w:r>
        <w:rPr>
          <w:rFonts w:ascii="Arial" w:cs="Arial" w:eastAsia="Arial" w:hAnsi="Arial"/>
          <w:sz w:val="22"/>
          <w:szCs w:val="22"/>
          <w:color w:val="auto"/>
        </w:rPr>
        <w:t>four full fiscal quarters for which internal financial statements are available immediately preceding such date on which such additional Indebtedness is Incurred.</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In the event that Parent Borrower or any Restricted Subsidiary Incurs, repays, repurchases or redeems any Indebtedness or issues, repurchases or redeems Disqualified Capital Stock or Preferred Stock subsequent to the commencement of the period for which the Consolidated Secured Net Leverage Ratio is being calculated but prior to the event for which the calculation of the Consolidated Secured Net Leverage Ratio is made (the “</w:t>
      </w:r>
      <w:r>
        <w:rPr>
          <w:rFonts w:ascii="Arial" w:cs="Arial" w:eastAsia="Arial" w:hAnsi="Arial"/>
          <w:sz w:val="19"/>
          <w:szCs w:val="19"/>
          <w:u w:val="single" w:color="auto"/>
          <w:color w:val="auto"/>
        </w:rPr>
        <w:t>Consolidated Secured Net Leverage Calculation Date</w:t>
      </w:r>
      <w:r>
        <w:rPr>
          <w:rFonts w:ascii="Arial" w:cs="Arial" w:eastAsia="Arial" w:hAnsi="Arial"/>
          <w:sz w:val="19"/>
          <w:szCs w:val="19"/>
          <w:color w:val="auto"/>
        </w:rPr>
        <w:t xml:space="preserve">”), then the Consolidated Secured Net Leverage Ratio shall be calculated giving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effect to such Incurrence, repayment, repurchase or redemption of Indebtedness, or such issuance, repurchase or redemption of Disqualified Capital Stock or Preferred Stock as if the same had occurred at the beginning of the applicable four-quarter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clause 6(B) of the definition of “Permitted Lien”, Parent Borrower may elect pursuant to an Officer’s Certificate delivered to Agent to treat all or any portion of the commitment under any Indebtedness as being Incurred at the time of delivery of such Officer’s Certificate, in which case any subsequent Incurrence of Indebtedness under such commitment shall not be deemed, for purposes of this calculation, to be an Incurrence at such subsequent time, and to the extent Parent Borrower elects pursuant to such an Officer’s Certificate delivered to Agent to treat all or any portion of the commitment under any Indebtedness as being Incurred at the time of delivery of such Officer’s Certificate, solely for purposes of clause 6(B) of the definition of “Permitted Lien”, Parent Borrower shall deem all or such portion of such commitment as having been Incurred and to be outstanding for purposes of calculating the Consolidated Secured Net Leverage Ratio for any period in which Parent Borrower makes any such election and for any subsequent period until such commitments are no longer outstanding or until Parent Borrower elects to withdraw such election.</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For purposes of making the computation referred to above, Investments, acquisitions, dispositions, mergers, amalgamations, consolidations and discontinued operations (as determined in accordance with GAAP), in each case with respect to an operating unit of a business, that Parent Borrower or any Restricted Subsidiary has made during the four-quarter reference period or subsequent to such reference period and on or prior to or simultaneously with the Consolidated Secured Net Leverage Calculation Date (each, for purposes of this definition, a “</w:t>
      </w:r>
      <w:r>
        <w:rPr>
          <w:rFonts w:ascii="Arial" w:cs="Arial" w:eastAsia="Arial" w:hAnsi="Arial"/>
          <w:sz w:val="19"/>
          <w:szCs w:val="19"/>
          <w:u w:val="single" w:color="auto"/>
          <w:color w:val="auto"/>
        </w:rPr>
        <w:t>pro forma event</w:t>
      </w:r>
      <w:r>
        <w:rPr>
          <w:rFonts w:ascii="Arial" w:cs="Arial" w:eastAsia="Arial" w:hAnsi="Arial"/>
          <w:sz w:val="19"/>
          <w:szCs w:val="19"/>
          <w:color w:val="auto"/>
        </w:rPr>
        <w:t xml:space="preserve">”) shall be calculated on a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basis assuming that all such Investments, acquisitions, dispositions, mergers, amalgamations, consolidations or discontinued operations (and the change of any associated fixed charge obligations and the change in EBITDA resulting therefrom) had occurred on the first day of the four-quarter reference period; provided that, notwithstanding any classification of any Person, business, assets or operations as discontinued operations because a definitive agreement for the sale, transfer or other disposition in respect thereof has been entered into, Parent Borrower shall not make such computations on a pro forma basis for any such classification for any period until such sale, transfer or other disposition has been consummated. If since the beginning of such period any Person that subsequently became a Restricted Subsidiary or was merged with or into Parent Borrower or any Restricted Subsidiary since the beginning of such period shall have consummated any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event that would have required adjustment pursuant to this definition, then the Consolidated Secured Net Leverage Ratio shall be calculated giving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effect thereto for such period as if such </w:t>
      </w:r>
      <w:r>
        <w:rPr>
          <w:rFonts w:ascii="Arial" w:cs="Arial" w:eastAsia="Arial" w:hAnsi="Arial"/>
          <w:sz w:val="19"/>
          <w:szCs w:val="19"/>
          <w:u w:val="single" w:color="auto"/>
          <w:color w:val="auto"/>
        </w:rPr>
        <w:t>pro forma</w:t>
      </w:r>
    </w:p>
    <w:p>
      <w:pPr>
        <w:sectPr>
          <w:pgSz w:w="11900" w:h="16838" w:orient="portrait"/>
          <w:cols w:equalWidth="0" w:num="1">
            <w:col w:w="11240"/>
          </w:cols>
          <w:pgMar w:left="320" w:top="1428" w:right="339" w:bottom="1440" w:gutter="0" w:footer="0" w:header="0"/>
        </w:sectPr>
      </w:pPr>
    </w:p>
    <w:bookmarkStart w:id="123" w:name="page124"/>
    <w:bookmarkEnd w:id="123"/>
    <w:p>
      <w:pPr>
        <w:jc w:val="both"/>
        <w:spacing w:after="0" w:line="265" w:lineRule="auto"/>
        <w:rPr>
          <w:sz w:val="20"/>
          <w:szCs w:val="20"/>
          <w:color w:val="auto"/>
        </w:rPr>
      </w:pPr>
      <w:r>
        <w:rPr>
          <w:rFonts w:ascii="Arial" w:cs="Arial" w:eastAsia="Arial" w:hAnsi="Arial"/>
          <w:sz w:val="21"/>
          <w:szCs w:val="21"/>
          <w:color w:val="auto"/>
        </w:rPr>
        <w:t xml:space="preserve">event had occurred at the beginning of the applicable four-quarter period. If since the beginning of such period any Restricted Subsidiary is designated an Unrestricted Subsidiary or any Unrestricted Subsidiary is designated a Restricted Subsidiary, then the Consolidated Secured Net Leverage Ratio shall be calculated giving </w:t>
      </w:r>
      <w:r>
        <w:rPr>
          <w:rFonts w:ascii="Arial" w:cs="Arial" w:eastAsia="Arial" w:hAnsi="Arial"/>
          <w:sz w:val="21"/>
          <w:szCs w:val="21"/>
          <w:u w:val="single" w:color="auto"/>
          <w:color w:val="auto"/>
        </w:rPr>
        <w:t>pro forma</w:t>
      </w:r>
      <w:r>
        <w:rPr>
          <w:rFonts w:ascii="Arial" w:cs="Arial" w:eastAsia="Arial" w:hAnsi="Arial"/>
          <w:sz w:val="21"/>
          <w:szCs w:val="21"/>
          <w:color w:val="auto"/>
        </w:rPr>
        <w:t xml:space="preserve"> effect thereto for such period as if such designation had occurred at the beginning of the applicable four-quarter period.</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For purposes of this definition, whenever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effect is to be given to any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event, the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calculations shall be made in good faith by a responsible financial or accounting officer of Parent Borrower. Any such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calculation may include adjustments appropriate, in the reasonable good faith determination of Parent Borrower, to reflect operating expense reductions and other operating improvements or synergies reasonably expected to result from the applicable event within 18 months of the date the applicable event is consummated. For the avoidance of doubt, adjustments to the computation of the Consolidated Secured Net Leverage Ratio arising from any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event and made in accordance with this paragraph and the paragraph immediately above shall not be subject to the 20% cap set forth in clause (9) of the definition of “EBITDA”.</w:t>
      </w:r>
    </w:p>
    <w:p>
      <w:pPr>
        <w:spacing w:after="0" w:line="151"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 xml:space="preserve">If any Indebtedness bears a floating rate of interest and is being given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effect, the interest on such Indebtedness shall be calculated as if the rate in effect on the Consolidated Secured Net Leverage Calculation Date had been the applicable rate for the entire period (taking into account any Hedging Obligations applicable to such Indebtedness if such Hedging Obligation has a remaining term in excess of 12 months). Interest on a Capitalized Lease Obligation shall be deemed to accrue at an interest rate reasonably determined by a responsible financial or accounting officer of Parent Borrower to be the rate of interest implicit in such Capitalized Lease Obligation in accordance with GAAP. For purposes of making the computation referred to above, interest on any Indebtedness under a revolving credit facility computed on a </w:t>
      </w:r>
      <w:r>
        <w:rPr>
          <w:rFonts w:ascii="Arial" w:cs="Arial" w:eastAsia="Arial" w:hAnsi="Arial"/>
          <w:sz w:val="19"/>
          <w:szCs w:val="19"/>
          <w:u w:val="single" w:color="auto"/>
          <w:color w:val="auto"/>
        </w:rPr>
        <w:t>pro forma</w:t>
      </w:r>
      <w:r>
        <w:rPr>
          <w:rFonts w:ascii="Arial" w:cs="Arial" w:eastAsia="Arial" w:hAnsi="Arial"/>
          <w:sz w:val="19"/>
          <w:szCs w:val="19"/>
          <w:color w:val="auto"/>
        </w:rPr>
        <w:t xml:space="preserve"> basis shall be computed based upon the average daily balance of such Indebtedness during the applicable period.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Parent Borrower may designate.</w:t>
      </w:r>
    </w:p>
    <w:p>
      <w:pPr>
        <w:spacing w:after="0" w:line="200" w:lineRule="exact"/>
        <w:rPr>
          <w:sz w:val="20"/>
          <w:szCs w:val="20"/>
          <w:color w:val="auto"/>
        </w:rPr>
      </w:pP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purposes of this definition, any amount in a currency other than Dollars will be converted to Dollars based on the average exchange rate for such currency for the most recent twelve month period immediately prior to the date of determination in a manner consistent with that used in calculating EBITDA for the applicable period.</w:t>
      </w:r>
    </w:p>
    <w:p>
      <w:pPr>
        <w:spacing w:after="0" w:line="185" w:lineRule="exact"/>
        <w:rPr>
          <w:sz w:val="20"/>
          <w:szCs w:val="20"/>
          <w:color w:val="auto"/>
        </w:rPr>
      </w:pPr>
    </w:p>
    <w:p>
      <w:pPr>
        <w:ind w:right="180" w:firstLine="43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Taxes</w:t>
      </w:r>
      <w:r>
        <w:rPr>
          <w:rFonts w:ascii="Arial" w:cs="Arial" w:eastAsia="Arial" w:hAnsi="Arial"/>
          <w:sz w:val="22"/>
          <w:szCs w:val="22"/>
          <w:color w:val="auto"/>
        </w:rPr>
        <w:t>” means, with respect to any Person for any period, the provision for taxes based on income, profits or capital, including, without limitation, state, franchise, property and similar taxes, foreign withholding taxes (including penalties and interest related to such taxes or arising from tax examinations) and any Tax Distributions taken into account in calculating Consolidated Net Income.</w:t>
      </w:r>
    </w:p>
    <w:p>
      <w:pPr>
        <w:spacing w:after="0" w:line="215" w:lineRule="exact"/>
        <w:rPr>
          <w:sz w:val="20"/>
          <w:szCs w:val="20"/>
          <w:color w:val="auto"/>
        </w:rPr>
      </w:pPr>
    </w:p>
    <w:p>
      <w:pPr>
        <w:ind w:right="20" w:firstLine="432"/>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Indebtedness</w:t>
      </w:r>
      <w:r>
        <w:rPr>
          <w:rFonts w:ascii="Arial" w:cs="Arial" w:eastAsia="Arial" w:hAnsi="Arial"/>
          <w:sz w:val="22"/>
          <w:szCs w:val="22"/>
          <w:color w:val="auto"/>
        </w:rPr>
        <w:t>” means, as of any date of determination, an amount equal to the sum (without duplication) of (1) the aggregate principal amount of all outstanding</w:t>
      </w:r>
    </w:p>
    <w:p>
      <w:pPr>
        <w:sectPr>
          <w:pgSz w:w="11900" w:h="16838" w:orient="portrait"/>
          <w:cols w:equalWidth="0" w:num="1">
            <w:col w:w="11240"/>
          </w:cols>
          <w:pgMar w:left="320" w:top="1428" w:right="339" w:bottom="1440" w:gutter="0" w:footer="0" w:header="0"/>
        </w:sectPr>
      </w:pPr>
    </w:p>
    <w:bookmarkStart w:id="124" w:name="page125"/>
    <w:bookmarkEnd w:id="124"/>
    <w:p>
      <w:pPr>
        <w:jc w:val="both"/>
        <w:spacing w:after="0" w:line="297" w:lineRule="auto"/>
        <w:rPr>
          <w:sz w:val="20"/>
          <w:szCs w:val="20"/>
          <w:color w:val="auto"/>
        </w:rPr>
      </w:pPr>
      <w:r>
        <w:rPr>
          <w:rFonts w:ascii="Arial" w:cs="Arial" w:eastAsia="Arial" w:hAnsi="Arial"/>
          <w:sz w:val="19"/>
          <w:szCs w:val="19"/>
          <w:color w:val="auto"/>
        </w:rPr>
        <w:t>Indebtedness of Parent Borrower and the Restricted Subsidiaries (excluding any undrawn letters of credit) consisting of bankers’ acceptances and Indebtedness for borrowed money, plus (2) the aggregate amount of all outstanding Disqualified Capital Stock of Parent Borrower and the Restricted Subsidiaries and all Preferred Stock of Restricted Subsidiaries, with the amount of such Disqualified Capital Stock and Preferred Stock equal to the greater of their respective voluntary or involuntary liquidation preferences, in each case determined on a consolidated basis in accordance with GAAP.</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Contingent Obligations</w:t>
      </w:r>
      <w:r>
        <w:rPr>
          <w:rFonts w:ascii="Arial" w:cs="Arial" w:eastAsia="Arial" w:hAnsi="Arial"/>
          <w:sz w:val="22"/>
          <w:szCs w:val="22"/>
          <w:color w:val="auto"/>
        </w:rPr>
        <w:t>” means, with respect to any Person, any obligation of such Person guaranteeing any leases, dividends or other obligations that do not constitute Indebtedness (“</w:t>
      </w:r>
      <w:r>
        <w:rPr>
          <w:rFonts w:ascii="Arial" w:cs="Arial" w:eastAsia="Arial" w:hAnsi="Arial"/>
          <w:sz w:val="22"/>
          <w:szCs w:val="22"/>
          <w:u w:val="single" w:color="auto"/>
          <w:color w:val="auto"/>
        </w:rPr>
        <w:t>primary obligations</w:t>
      </w:r>
      <w:r>
        <w:rPr>
          <w:rFonts w:ascii="Arial" w:cs="Arial" w:eastAsia="Arial" w:hAnsi="Arial"/>
          <w:sz w:val="22"/>
          <w:szCs w:val="22"/>
          <w:color w:val="auto"/>
        </w:rPr>
        <w:t>”) of any other Person (the “</w:t>
      </w:r>
      <w:r>
        <w:rPr>
          <w:rFonts w:ascii="Arial" w:cs="Arial" w:eastAsia="Arial" w:hAnsi="Arial"/>
          <w:sz w:val="22"/>
          <w:szCs w:val="22"/>
          <w:u w:val="single" w:color="auto"/>
          <w:color w:val="auto"/>
        </w:rPr>
        <w:t>primary</w:t>
      </w:r>
      <w:r>
        <w:rPr>
          <w:rFonts w:ascii="Arial" w:cs="Arial" w:eastAsia="Arial" w:hAnsi="Arial"/>
          <w:sz w:val="22"/>
          <w:szCs w:val="22"/>
          <w:color w:val="auto"/>
        </w:rPr>
        <w:t xml:space="preserve"> </w:t>
      </w:r>
      <w:r>
        <w:rPr>
          <w:rFonts w:ascii="Arial" w:cs="Arial" w:eastAsia="Arial" w:hAnsi="Arial"/>
          <w:sz w:val="22"/>
          <w:szCs w:val="22"/>
          <w:u w:val="single" w:color="auto"/>
          <w:color w:val="auto"/>
        </w:rPr>
        <w:t>obligor</w:t>
      </w:r>
      <w:r>
        <w:rPr>
          <w:rFonts w:ascii="Arial" w:cs="Arial" w:eastAsia="Arial" w:hAnsi="Arial"/>
          <w:sz w:val="22"/>
          <w:szCs w:val="22"/>
          <w:color w:val="auto"/>
        </w:rPr>
        <w:t>”) in any manner, whether directly or indirectly, including, without limitation, any obligation of such Person, whether or not contingent:</w:t>
      </w:r>
    </w:p>
    <w:p>
      <w:pPr>
        <w:spacing w:after="0" w:line="188" w:lineRule="exact"/>
        <w:rPr>
          <w:sz w:val="20"/>
          <w:szCs w:val="20"/>
          <w:color w:val="auto"/>
        </w:rPr>
      </w:pPr>
    </w:p>
    <w:p>
      <w:pPr>
        <w:ind w:left="1600" w:hanging="296"/>
        <w:spacing w:after="0"/>
        <w:tabs>
          <w:tab w:leader="none" w:pos="1600" w:val="left"/>
        </w:tabs>
        <w:numPr>
          <w:ilvl w:val="0"/>
          <w:numId w:val="29"/>
        </w:numPr>
        <w:rPr>
          <w:rFonts w:ascii="Arial" w:cs="Arial" w:eastAsia="Arial" w:hAnsi="Arial"/>
          <w:sz w:val="21"/>
          <w:szCs w:val="21"/>
          <w:color w:val="auto"/>
        </w:rPr>
      </w:pPr>
      <w:r>
        <w:rPr>
          <w:rFonts w:ascii="Arial" w:cs="Arial" w:eastAsia="Arial" w:hAnsi="Arial"/>
          <w:sz w:val="21"/>
          <w:szCs w:val="21"/>
          <w:color w:val="auto"/>
        </w:rPr>
        <w:t>to purchase any such primary obligation or any property constituting direct or indirect security therefor,</w:t>
      </w:r>
    </w:p>
    <w:p>
      <w:pPr>
        <w:spacing w:after="0" w:line="123" w:lineRule="exact"/>
        <w:rPr>
          <w:rFonts w:ascii="Arial" w:cs="Arial" w:eastAsia="Arial" w:hAnsi="Arial"/>
          <w:sz w:val="21"/>
          <w:szCs w:val="21"/>
          <w:color w:val="auto"/>
        </w:rPr>
      </w:pPr>
    </w:p>
    <w:p>
      <w:pPr>
        <w:ind w:left="1600" w:hanging="296"/>
        <w:spacing w:after="0"/>
        <w:tabs>
          <w:tab w:leader="none" w:pos="160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to advance or supply funds:</w:t>
      </w:r>
    </w:p>
    <w:p>
      <w:pPr>
        <w:spacing w:after="0" w:line="111" w:lineRule="exact"/>
        <w:rPr>
          <w:rFonts w:ascii="Arial" w:cs="Arial" w:eastAsia="Arial" w:hAnsi="Arial"/>
          <w:sz w:val="22"/>
          <w:szCs w:val="22"/>
          <w:color w:val="auto"/>
        </w:rPr>
      </w:pPr>
    </w:p>
    <w:p>
      <w:pPr>
        <w:ind w:left="2240" w:hanging="288"/>
        <w:spacing w:after="0"/>
        <w:tabs>
          <w:tab w:leader="none" w:pos="2240" w:val="left"/>
        </w:tabs>
        <w:numPr>
          <w:ilvl w:val="1"/>
          <w:numId w:val="29"/>
        </w:numPr>
        <w:rPr>
          <w:rFonts w:ascii="Arial" w:cs="Arial" w:eastAsia="Arial" w:hAnsi="Arial"/>
          <w:sz w:val="22"/>
          <w:szCs w:val="22"/>
          <w:color w:val="auto"/>
        </w:rPr>
      </w:pPr>
      <w:r>
        <w:rPr>
          <w:rFonts w:ascii="Arial" w:cs="Arial" w:eastAsia="Arial" w:hAnsi="Arial"/>
          <w:sz w:val="22"/>
          <w:szCs w:val="22"/>
          <w:color w:val="auto"/>
        </w:rPr>
        <w:t>for the purchase or payment of any such primary obligation; or</w:t>
      </w:r>
    </w:p>
    <w:p>
      <w:pPr>
        <w:spacing w:after="0" w:line="219" w:lineRule="exact"/>
        <w:rPr>
          <w:rFonts w:ascii="Arial" w:cs="Arial" w:eastAsia="Arial" w:hAnsi="Arial"/>
          <w:sz w:val="22"/>
          <w:szCs w:val="22"/>
          <w:color w:val="auto"/>
        </w:rPr>
      </w:pPr>
    </w:p>
    <w:p>
      <w:pPr>
        <w:ind w:left="660" w:firstLine="1292"/>
        <w:spacing w:after="0" w:line="263" w:lineRule="auto"/>
        <w:tabs>
          <w:tab w:leader="none" w:pos="2284" w:val="left"/>
        </w:tabs>
        <w:numPr>
          <w:ilvl w:val="1"/>
          <w:numId w:val="29"/>
        </w:numPr>
        <w:rPr>
          <w:rFonts w:ascii="Arial" w:cs="Arial" w:eastAsia="Arial" w:hAnsi="Arial"/>
          <w:sz w:val="22"/>
          <w:szCs w:val="22"/>
          <w:color w:val="auto"/>
        </w:rPr>
      </w:pPr>
      <w:r>
        <w:rPr>
          <w:rFonts w:ascii="Arial" w:cs="Arial" w:eastAsia="Arial" w:hAnsi="Arial"/>
          <w:sz w:val="22"/>
          <w:szCs w:val="22"/>
          <w:color w:val="auto"/>
        </w:rPr>
        <w:t>to maintain working capital or equity capital of the primary obligor or otherwise to maintain the net worth or solvency of the primary obligor; or</w:t>
      </w:r>
    </w:p>
    <w:p>
      <w:pPr>
        <w:spacing w:after="0" w:line="174" w:lineRule="exact"/>
        <w:rPr>
          <w:rFonts w:ascii="Arial" w:cs="Arial" w:eastAsia="Arial" w:hAnsi="Arial"/>
          <w:sz w:val="22"/>
          <w:szCs w:val="22"/>
          <w:color w:val="auto"/>
        </w:rPr>
      </w:pPr>
    </w:p>
    <w:p>
      <w:pPr>
        <w:ind w:firstLine="1304"/>
        <w:spacing w:after="0" w:line="341" w:lineRule="auto"/>
        <w:tabs>
          <w:tab w:leader="none" w:pos="1603" w:val="left"/>
        </w:tabs>
        <w:numPr>
          <w:ilvl w:val="0"/>
          <w:numId w:val="29"/>
        </w:numPr>
        <w:rPr>
          <w:rFonts w:ascii="Arial" w:cs="Arial" w:eastAsia="Arial" w:hAnsi="Arial"/>
          <w:sz w:val="19"/>
          <w:szCs w:val="19"/>
          <w:color w:val="auto"/>
        </w:rPr>
      </w:pPr>
      <w:r>
        <w:rPr>
          <w:rFonts w:ascii="Arial" w:cs="Arial" w:eastAsia="Arial" w:hAnsi="Arial"/>
          <w:sz w:val="19"/>
          <w:szCs w:val="19"/>
          <w:color w:val="auto"/>
        </w:rPr>
        <w:t>to purchase property, securities or services primarily for the purpose of assuring the owner of any such primary obligation of the ability of the primary obligor to make payment of such primary obligation against loss in respect thereof.</w:t>
      </w:r>
    </w:p>
    <w:p>
      <w:pPr>
        <w:jc w:val="both"/>
        <w:ind w:firstLine="607"/>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Continuing Director</w:t>
      </w:r>
      <w:r>
        <w:rPr>
          <w:rFonts w:ascii="Arial" w:cs="Arial" w:eastAsia="Arial" w:hAnsi="Arial"/>
          <w:sz w:val="21"/>
          <w:szCs w:val="21"/>
          <w:color w:val="auto"/>
        </w:rPr>
        <w:t>” means (a) any member of the Board of Directors who was a director of Parent Borrower on the Amendment No. 3 Effective Date and (b) any individual who becomes a member of the Board of Directors after the Amendment No. 3 Effective Date if such individual was approved, appointed or nominated for election to the Board of Directors by Jacobs Private Equity, LLC (or any Affiliate thereof) or a majority of the Continuing Directors.</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Contractual Obligations</w:t>
      </w:r>
      <w:r>
        <w:rPr>
          <w:rFonts w:ascii="Arial" w:cs="Arial" w:eastAsia="Arial" w:hAnsi="Arial"/>
          <w:sz w:val="22"/>
          <w:szCs w:val="22"/>
          <w:color w:val="auto"/>
        </w:rPr>
        <w:t>” means, with respect to any Person, any security issued by such Person or any document or undertaking (other than a Loan Document) to which such Person is a party or by which it or any of its property is bound or to which any of its property is subject.</w:t>
      </w:r>
    </w:p>
    <w:p>
      <w:pPr>
        <w:spacing w:after="0" w:line="185" w:lineRule="exact"/>
        <w:rPr>
          <w:sz w:val="20"/>
          <w:szCs w:val="20"/>
          <w:color w:val="auto"/>
        </w:rPr>
      </w:pPr>
    </w:p>
    <w:p>
      <w:pPr>
        <w:jc w:val="both"/>
        <w:ind w:firstLine="499"/>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Controlled Affiliates</w:t>
      </w:r>
      <w:r>
        <w:rPr>
          <w:rFonts w:ascii="Arial" w:cs="Arial" w:eastAsia="Arial" w:hAnsi="Arial"/>
          <w:sz w:val="22"/>
          <w:szCs w:val="22"/>
          <w:color w:val="auto"/>
        </w:rPr>
        <w:t>” means, with respect to a specified Person, another Person that directly, or indirectly through one or more intermediaries, has Majority Control of or is Majority Controlled by or is under common Majority Control with the Person specified.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Con-way</w:t>
      </w:r>
      <w:r>
        <w:rPr>
          <w:rFonts w:ascii="Arial" w:cs="Arial" w:eastAsia="Arial" w:hAnsi="Arial"/>
          <w:sz w:val="22"/>
          <w:szCs w:val="22"/>
          <w:color w:val="auto"/>
        </w:rPr>
        <w:t>” means Con-way Inc., a Delaware corporation.</w:t>
      </w:r>
    </w:p>
    <w:p>
      <w:pPr>
        <w:spacing w:after="0" w:line="220" w:lineRule="exact"/>
        <w:rPr>
          <w:sz w:val="20"/>
          <w:szCs w:val="20"/>
          <w:color w:val="auto"/>
        </w:rPr>
      </w:pPr>
    </w:p>
    <w:p>
      <w:pPr>
        <w:jc w:val="both"/>
        <w:ind w:firstLine="56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Con-way Acquisition</w:t>
      </w:r>
      <w:r>
        <w:rPr>
          <w:rFonts w:ascii="Arial" w:cs="Arial" w:eastAsia="Arial" w:hAnsi="Arial"/>
          <w:sz w:val="22"/>
          <w:szCs w:val="22"/>
          <w:color w:val="auto"/>
        </w:rPr>
        <w:t>” means the acquisition by Parent Borrower, directly or indirectly, of all of the outstanding capital stock of Con-way in accordance with the Con-way Acquisition Agreement.</w:t>
      </w:r>
    </w:p>
    <w:p>
      <w:pPr>
        <w:sectPr>
          <w:pgSz w:w="11900" w:h="16838" w:orient="portrait"/>
          <w:cols w:equalWidth="0" w:num="1">
            <w:col w:w="11240"/>
          </w:cols>
          <w:pgMar w:left="320" w:top="1428" w:right="339" w:bottom="1440" w:gutter="0" w:footer="0" w:header="0"/>
        </w:sectPr>
      </w:pPr>
    </w:p>
    <w:bookmarkStart w:id="125" w:name="page126"/>
    <w:bookmarkEnd w:id="125"/>
    <w:p>
      <w:pPr>
        <w:jc w:val="both"/>
        <w:ind w:firstLine="459"/>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Con-way Acquisition Agreement</w:t>
      </w:r>
      <w:r>
        <w:rPr>
          <w:rFonts w:ascii="Arial" w:cs="Arial" w:eastAsia="Arial" w:hAnsi="Arial"/>
          <w:sz w:val="22"/>
          <w:szCs w:val="22"/>
          <w:color w:val="auto"/>
        </w:rPr>
        <w:t>” means that certain Agreement and Plan of Merger by and among Parent Borrower, Con-way and Canada Merger Corp. dated as of September 9, 2015, together with all exhibits, annexes and schedules thereto, as amended or modified from time to time.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Con-way Existing Indebtedness</w:t>
      </w:r>
      <w:r>
        <w:rPr>
          <w:rFonts w:ascii="Arial" w:cs="Arial" w:eastAsia="Arial" w:hAnsi="Arial"/>
          <w:sz w:val="22"/>
          <w:szCs w:val="22"/>
          <w:color w:val="auto"/>
        </w:rPr>
        <w:t>” means Indebtedness under Conway’s 6.70% Senior Debentures due 2034.</w:t>
      </w:r>
    </w:p>
    <w:p>
      <w:pPr>
        <w:spacing w:after="0" w:line="220" w:lineRule="exact"/>
        <w:rPr>
          <w:sz w:val="20"/>
          <w:szCs w:val="20"/>
          <w:color w:val="auto"/>
        </w:rPr>
      </w:pPr>
    </w:p>
    <w:p>
      <w:pPr>
        <w:jc w:val="both"/>
        <w:ind w:firstLine="553"/>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Con-way Merger</w:t>
      </w:r>
      <w:r>
        <w:rPr>
          <w:rFonts w:ascii="Arial" w:cs="Arial" w:eastAsia="Arial" w:hAnsi="Arial"/>
          <w:sz w:val="21"/>
          <w:szCs w:val="21"/>
          <w:color w:val="auto"/>
        </w:rPr>
        <w:t>” means the merger of Canada Merger Corp., a wholly owned subsidiary of Parent Borrower, with and into Con-way pursuant to Section 251(h) of the Delaware General Corporation Law, with Con-way surviving such merger as a wholly owned subsidiary of Parent Borrower in accordance with the Con-way Acquisition Agreement.</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Con-way Subsidiary</w:t>
      </w:r>
      <w:r>
        <w:rPr>
          <w:rFonts w:ascii="Arial" w:cs="Arial" w:eastAsia="Arial" w:hAnsi="Arial"/>
          <w:sz w:val="22"/>
          <w:szCs w:val="22"/>
          <w:color w:val="auto"/>
        </w:rPr>
        <w:t>” means any direct or indirect Subsidiary of Con-way.</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Copyrights</w:t>
      </w:r>
      <w:r>
        <w:rPr>
          <w:rFonts w:ascii="Arial" w:cs="Arial" w:eastAsia="Arial" w:hAnsi="Arial"/>
          <w:sz w:val="22"/>
          <w:szCs w:val="22"/>
          <w:color w:val="auto"/>
        </w:rPr>
        <w:t>” has the meaning specified in the U.S. Security Agreement.</w:t>
      </w:r>
    </w:p>
    <w:p>
      <w:pPr>
        <w:spacing w:after="0" w:line="220" w:lineRule="exact"/>
        <w:rPr>
          <w:sz w:val="20"/>
          <w:szCs w:val="20"/>
          <w:color w:val="auto"/>
        </w:rPr>
      </w:pPr>
    </w:p>
    <w:p>
      <w:pPr>
        <w:jc w:val="both"/>
        <w:ind w:firstLine="70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Covenant Trigger Period</w:t>
      </w:r>
      <w:r>
        <w:rPr>
          <w:rFonts w:ascii="Arial" w:cs="Arial" w:eastAsia="Arial" w:hAnsi="Arial"/>
          <w:sz w:val="22"/>
          <w:szCs w:val="22"/>
          <w:color w:val="auto"/>
        </w:rPr>
        <w:t>” means the period (a) commencing on the date that (i) an Event of Default occurs or (ii) Availability is less than the greater of (x) 10% of Available Credit and (y) $75,000,000 and (b) continuing until there has been a period of 30 consecutive days thereafter during which at all times (i) no Event of Default exists and (ii) Availability shall have been not less than the greater of (x) 10% of Available Credit and (y) $75,000,000.</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0000FF"/>
        </w:rPr>
        <w:t>“Covered Entity” has the meaning specified in Section 13.13(b).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8087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808730" cy="8255"/>
                    </a:xfrm>
                    <a:prstGeom prst="rect">
                      <a:avLst/>
                    </a:prstGeom>
                    <a:noFill/>
                  </pic:spPr>
                </pic:pic>
              </a:graphicData>
            </a:graphic>
          </wp:anchor>
        </w:drawing>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22"/>
          <w:szCs w:val="22"/>
          <w:color w:val="0000FF"/>
        </w:rPr>
        <w:t>“Covered Party” has the meaning specified in Section 13.13(a).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7553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755390" cy="8255"/>
                    </a:xfrm>
                    <a:prstGeom prst="rect">
                      <a:avLst/>
                    </a:prstGeom>
                    <a:noFill/>
                  </pic:spPr>
                </pic:pic>
              </a:graphicData>
            </a:graphic>
          </wp:anchor>
        </w:drawing>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Parties</w:t>
      </w:r>
      <w:r>
        <w:rPr>
          <w:rFonts w:ascii="Arial" w:cs="Arial" w:eastAsia="Arial" w:hAnsi="Arial"/>
          <w:sz w:val="22"/>
          <w:szCs w:val="22"/>
          <w:color w:val="auto"/>
        </w:rPr>
        <w:t>” means each Borrower and each Guarantor.</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Amount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9.4(a)</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Cure Right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9.4(a)</w:t>
      </w:r>
      <w:r>
        <w:rPr>
          <w:rFonts w:ascii="Arial" w:cs="Arial" w:eastAsia="Arial" w:hAnsi="Arial"/>
          <w:sz w:val="22"/>
          <w:szCs w:val="22"/>
          <w:color w:val="auto"/>
        </w:rPr>
        <w:t>.</w:t>
      </w:r>
    </w:p>
    <w:p>
      <w:pPr>
        <w:spacing w:after="0" w:line="22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that, with the passage of time or notice or both, would, unless cured or waived, become an Event of Default.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 Rate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2.5(d)</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231F20"/>
        </w:rPr>
        <w:t>“</w:t>
      </w:r>
      <w:r>
        <w:rPr>
          <w:rFonts w:ascii="Arial" w:cs="Arial" w:eastAsia="Arial" w:hAnsi="Arial"/>
          <w:sz w:val="22"/>
          <w:szCs w:val="22"/>
          <w:u w:val="single" w:color="auto"/>
          <w:color w:val="0000FF"/>
        </w:rPr>
        <w:t>Default Right” has the meaning specified in Section 13.13(b).</w:t>
      </w:r>
    </w:p>
    <w:p>
      <w:pPr>
        <w:spacing w:after="0" w:line="220" w:lineRule="exact"/>
        <w:rPr>
          <w:sz w:val="20"/>
          <w:szCs w:val="20"/>
          <w:color w:val="auto"/>
        </w:rPr>
      </w:pPr>
    </w:p>
    <w:p>
      <w:pPr>
        <w:jc w:val="both"/>
        <w:ind w:right="20" w:firstLine="729"/>
        <w:spacing w:after="0" w:line="263" w:lineRule="auto"/>
        <w:rPr>
          <w:sz w:val="20"/>
          <w:szCs w:val="20"/>
          <w:color w:val="auto"/>
        </w:rPr>
      </w:pPr>
      <w:r>
        <w:rPr>
          <w:rFonts w:ascii="Arial" w:cs="Arial" w:eastAsia="Arial" w:hAnsi="Arial"/>
          <w:sz w:val="22"/>
          <w:szCs w:val="22"/>
          <w:color w:val="0000FF"/>
        </w:rPr>
        <w:t>“</w:t>
      </w:r>
      <w:r>
        <w:rPr>
          <w:rFonts w:ascii="Arial" w:cs="Arial" w:eastAsia="Arial" w:hAnsi="Arial"/>
          <w:sz w:val="22"/>
          <w:szCs w:val="22"/>
          <w:u w:val="single" w:color="auto"/>
          <w:color w:val="000000"/>
        </w:rPr>
        <w:t>Defined Benefit Plan</w:t>
      </w:r>
      <w:r>
        <w:rPr>
          <w:rFonts w:ascii="Arial" w:cs="Arial" w:eastAsia="Arial" w:hAnsi="Arial"/>
          <w:sz w:val="22"/>
          <w:szCs w:val="22"/>
          <w:color w:val="000000"/>
        </w:rPr>
        <w:t>” means a Canadian Pension Plan which contains a “defined benefit provision” as defined in</w:t>
      </w:r>
      <w:r>
        <w:rPr>
          <w:rFonts w:ascii="Arial" w:cs="Arial" w:eastAsia="Arial" w:hAnsi="Arial"/>
          <w:sz w:val="22"/>
          <w:szCs w:val="22"/>
          <w:color w:val="0000FF"/>
        </w:rPr>
        <w:t xml:space="preserve"> </w:t>
      </w:r>
      <w:r>
        <w:rPr>
          <w:rFonts w:ascii="Arial" w:cs="Arial" w:eastAsia="Arial" w:hAnsi="Arial"/>
          <w:sz w:val="22"/>
          <w:szCs w:val="22"/>
          <w:color w:val="000000"/>
        </w:rPr>
        <w:t>subsection 147.1(1) of the Income Tax Act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52387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523875" cy="8255"/>
                    </a:xfrm>
                    <a:prstGeom prst="rect">
                      <a:avLst/>
                    </a:prstGeom>
                    <a:noFill/>
                  </pic:spPr>
                </pic:pic>
              </a:graphicData>
            </a:graphic>
          </wp:anchor>
        </w:drawing>
      </w:r>
    </w:p>
    <w:p>
      <w:pPr>
        <w:spacing w:after="0" w:line="155" w:lineRule="exact"/>
        <w:rPr>
          <w:sz w:val="20"/>
          <w:szCs w:val="20"/>
          <w:color w:val="auto"/>
        </w:rPr>
      </w:pPr>
    </w:p>
    <w:p>
      <w:pPr>
        <w:jc w:val="both"/>
        <w:ind w:right="20" w:firstLine="56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Dentressangle Initiatives</w:t>
      </w:r>
      <w:r>
        <w:rPr>
          <w:rFonts w:ascii="Arial" w:cs="Arial" w:eastAsia="Arial" w:hAnsi="Arial"/>
          <w:sz w:val="22"/>
          <w:szCs w:val="22"/>
          <w:color w:val="auto"/>
        </w:rPr>
        <w:t>” means Dentressangle Initiatives SAS, a French limited liability company (</w:t>
      </w:r>
      <w:r>
        <w:rPr>
          <w:rFonts w:ascii="Arial" w:cs="Arial" w:eastAsia="Arial" w:hAnsi="Arial"/>
          <w:sz w:val="22"/>
          <w:szCs w:val="22"/>
          <w:i w:val="1"/>
          <w:iCs w:val="1"/>
          <w:color w:val="auto"/>
        </w:rPr>
        <w:t>société par actions</w:t>
      </w:r>
      <w:r>
        <w:rPr>
          <w:rFonts w:ascii="Arial" w:cs="Arial" w:eastAsia="Arial" w:hAnsi="Arial"/>
          <w:sz w:val="22"/>
          <w:szCs w:val="22"/>
          <w:color w:val="auto"/>
        </w:rPr>
        <w:t xml:space="preserve"> </w:t>
      </w:r>
      <w:r>
        <w:rPr>
          <w:rFonts w:ascii="Arial" w:cs="Arial" w:eastAsia="Arial" w:hAnsi="Arial"/>
          <w:sz w:val="22"/>
          <w:szCs w:val="22"/>
          <w:i w:val="1"/>
          <w:iCs w:val="1"/>
          <w:color w:val="auto"/>
        </w:rPr>
        <w:t>simplifiée</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bookmarkStart w:id="126" w:name="page127"/>
    <w:bookmarkEnd w:id="126"/>
    <w:p>
      <w:pPr>
        <w:jc w:val="both"/>
        <w:ind w:firstLine="477"/>
        <w:spacing w:after="0" w:line="263" w:lineRule="auto"/>
        <w:rPr>
          <w:sz w:val="20"/>
          <w:szCs w:val="20"/>
          <w:color w:val="auto"/>
        </w:rPr>
      </w:pPr>
      <w:r>
        <w:rPr>
          <w:rFonts w:ascii="Arial" w:cs="Arial" w:eastAsia="Arial" w:hAnsi="Arial"/>
          <w:sz w:val="22"/>
          <w:szCs w:val="22"/>
          <w:color w:val="00C000"/>
        </w:rPr>
        <w:t xml:space="preserve">“Deposit Accounts” means all “deposit accounts” as such term is defined in the Code, now or hereafter held in the name of </w:t>
      </w:r>
      <w:r>
        <w:rPr>
          <w:rFonts w:ascii="Arial" w:cs="Arial" w:eastAsia="Arial" w:hAnsi="Arial"/>
          <w:sz w:val="22"/>
          <w:szCs w:val="22"/>
          <w:u w:val="single" w:color="auto"/>
          <w:color w:val="00C000"/>
        </w:rPr>
        <w:t>any Credit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266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155" w:lineRule="exact"/>
        <w:rPr>
          <w:sz w:val="20"/>
          <w:szCs w:val="20"/>
          <w:color w:val="auto"/>
        </w:rPr>
      </w:pPr>
    </w:p>
    <w:p>
      <w:pPr>
        <w:ind w:left="60"/>
        <w:spacing w:after="0"/>
        <w:rPr>
          <w:sz w:val="20"/>
          <w:szCs w:val="20"/>
          <w:color w:val="auto"/>
        </w:rPr>
      </w:pPr>
      <w:r>
        <w:rPr>
          <w:rFonts w:ascii="Arial" w:cs="Arial" w:eastAsia="Arial" w:hAnsi="Arial"/>
          <w:sz w:val="22"/>
          <w:szCs w:val="22"/>
          <w:u w:val="single" w:color="auto"/>
          <w:color w:val="0000FF"/>
        </w:rPr>
        <w:t>“Designated Guarantor” has the meaning assigned to such term in the definition of “Excluded Subsidiary”.</w:t>
      </w:r>
    </w:p>
    <w:p>
      <w:pPr>
        <w:spacing w:after="0" w:line="220" w:lineRule="exact"/>
        <w:rPr>
          <w:sz w:val="20"/>
          <w:szCs w:val="20"/>
          <w:color w:val="auto"/>
        </w:rPr>
      </w:pPr>
    </w:p>
    <w:p>
      <w:pPr>
        <w:jc w:val="both"/>
        <w:ind w:firstLine="553"/>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Non-cash Consideration</w:t>
      </w:r>
      <w:r>
        <w:rPr>
          <w:rFonts w:ascii="Arial" w:cs="Arial" w:eastAsia="Arial" w:hAnsi="Arial"/>
          <w:sz w:val="19"/>
          <w:szCs w:val="19"/>
          <w:color w:val="auto"/>
        </w:rPr>
        <w:t>” means the Fair Market Value (as determined in good faith by Parent Borrower) of non-cash consideration received by Parent Borrower or a Restricted Subsidiary in connection with a Disposition that is so designated as Designated Non-cash Consideration pursuant to an Officer’s Certificate, setting forth such valuation, less the amount of Cash Equivalents received in connection with a subsequent sale of such Designated Non-cash Consideration.</w:t>
      </w:r>
    </w:p>
    <w:p>
      <w:pPr>
        <w:spacing w:after="0" w:line="142" w:lineRule="exact"/>
        <w:rPr>
          <w:sz w:val="20"/>
          <w:szCs w:val="20"/>
          <w:color w:val="auto"/>
        </w:rPr>
      </w:pPr>
    </w:p>
    <w:p>
      <w:pPr>
        <w:jc w:val="both"/>
        <w:ind w:firstLine="45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Designated Preferred Stock</w:t>
      </w:r>
      <w:r>
        <w:rPr>
          <w:rFonts w:ascii="Arial" w:cs="Arial" w:eastAsia="Arial" w:hAnsi="Arial"/>
          <w:sz w:val="21"/>
          <w:szCs w:val="21"/>
          <w:color w:val="auto"/>
        </w:rPr>
        <w:t>” means Preferred Stock of Parent Borrower or any direct or indirect parent of Parent Borrower (other than Disqualified Capital Stock), that is issued for cash (other than to Parent Borrower or any of its Subsidiaries or an employee stock ownership plan or trust established by Parent Borrower or any of its Subsidiaries) and is so designated as Designated Preferred Stock, pursuant to an Officer’s Certificate, on the issuance date thereof.</w:t>
      </w:r>
    </w:p>
    <w:p>
      <w:pPr>
        <w:spacing w:after="0" w:line="175"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22"/>
          <w:szCs w:val="22"/>
          <w:color w:val="00C000"/>
        </w:rPr>
        <w:t>“</w:t>
      </w:r>
      <w:r>
        <w:rPr>
          <w:rFonts w:ascii="Arial" w:cs="Arial" w:eastAsia="Arial" w:hAnsi="Arial"/>
          <w:sz w:val="22"/>
          <w:szCs w:val="22"/>
          <w:u w:val="single" w:color="auto"/>
          <w:color w:val="00C000"/>
        </w:rPr>
        <w:t>Deposit Accounts</w:t>
      </w:r>
      <w:r>
        <w:rPr>
          <w:rFonts w:ascii="Arial" w:cs="Arial" w:eastAsia="Arial" w:hAnsi="Arial"/>
          <w:sz w:val="22"/>
          <w:szCs w:val="22"/>
          <w:color w:val="00C000"/>
        </w:rPr>
        <w:t xml:space="preserve">” means all “deposit accounts” as such term is defined in the Code, now or hereafter held in the name of </w:t>
      </w:r>
      <w:r>
        <w:rPr>
          <w:rFonts w:ascii="Arial" w:cs="Arial" w:eastAsia="Arial" w:hAnsi="Arial"/>
          <w:sz w:val="22"/>
          <w:szCs w:val="22"/>
          <w:color w:val="00C000"/>
          <w:strike w:val="1"/>
        </w:rPr>
        <w:t>any Credit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259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25970" cy="8890"/>
                    </a:xfrm>
                    <a:prstGeom prst="rect">
                      <a:avLst/>
                    </a:prstGeom>
                    <a:noFill/>
                  </pic:spPr>
                </pic:pic>
              </a:graphicData>
            </a:graphic>
          </wp:anchor>
        </w:drawing>
      </w:r>
    </w:p>
    <w:p>
      <w:pPr>
        <w:spacing w:after="0" w:line="155" w:lineRule="exact"/>
        <w:rPr>
          <w:sz w:val="20"/>
          <w:szCs w:val="20"/>
          <w:color w:val="auto"/>
        </w:rPr>
      </w:pPr>
    </w:p>
    <w:p>
      <w:pPr>
        <w:jc w:val="both"/>
        <w:ind w:firstLine="783"/>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Dilution</w:t>
      </w:r>
      <w:r>
        <w:rPr>
          <w:rFonts w:ascii="Arial" w:cs="Arial" w:eastAsia="Arial" w:hAnsi="Arial"/>
          <w:sz w:val="22"/>
          <w:szCs w:val="22"/>
          <w:color w:val="auto"/>
        </w:rPr>
        <w:t>” means, without duplication, with respect to any period, a percentage based upon the experience of the immediately prior twelve (12) month period that is the result of dividing the aggregate dollar amount of (a) all deductions, credit memos, returns, adjustments, allowances, bad debt write-offs and other non-cash credits which are recorded to reduce the Credit Parties’ Accounts in a manner consistent with current and historical accounting practices of the Credit Parties, by (b) the Credit Parties’ total gross sales during such period.</w:t>
      </w:r>
    </w:p>
    <w:p>
      <w:pPr>
        <w:spacing w:after="0" w:line="192" w:lineRule="exact"/>
        <w:rPr>
          <w:sz w:val="20"/>
          <w:szCs w:val="20"/>
          <w:color w:val="auto"/>
        </w:rPr>
      </w:pPr>
    </w:p>
    <w:p>
      <w:pPr>
        <w:jc w:val="both"/>
        <w:ind w:firstLine="621"/>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Dilution Reserve</w:t>
      </w:r>
      <w:r>
        <w:rPr>
          <w:rFonts w:ascii="Arial" w:cs="Arial" w:eastAsia="Arial" w:hAnsi="Arial"/>
          <w:sz w:val="22"/>
          <w:szCs w:val="22"/>
          <w:color w:val="auto"/>
        </w:rPr>
        <w:t xml:space="preserve">” means, as of any date of determination, </w:t>
      </w:r>
      <w:r>
        <w:rPr>
          <w:rFonts w:ascii="Arial" w:cs="Arial" w:eastAsia="Arial" w:hAnsi="Arial"/>
          <w:sz w:val="22"/>
          <w:szCs w:val="22"/>
          <w:u w:val="single" w:color="auto"/>
          <w:color w:val="0000FF"/>
        </w:rPr>
        <w:t>with respect to the Initial Revolving Facility Loans and/or</w:t>
      </w:r>
      <w:r>
        <w:rPr>
          <w:rFonts w:ascii="Arial" w:cs="Arial" w:eastAsia="Arial" w:hAnsi="Arial"/>
          <w:sz w:val="22"/>
          <w:szCs w:val="22"/>
          <w:color w:val="auto"/>
        </w:rPr>
        <w:t xml:space="preserve"> </w:t>
      </w:r>
      <w:r>
        <w:rPr>
          <w:rFonts w:ascii="Arial" w:cs="Arial" w:eastAsia="Arial" w:hAnsi="Arial"/>
          <w:sz w:val="22"/>
          <w:szCs w:val="22"/>
          <w:u w:val="single" w:color="auto"/>
          <w:color w:val="0000FF"/>
        </w:rPr>
        <w:t>Incremental Facility Revolving Loans,</w:t>
      </w:r>
      <w:r>
        <w:rPr>
          <w:rFonts w:ascii="Arial" w:cs="Arial" w:eastAsia="Arial" w:hAnsi="Arial"/>
          <w:sz w:val="22"/>
          <w:szCs w:val="22"/>
          <w:color w:val="0000FF"/>
        </w:rPr>
        <w:t xml:space="preserve"> </w:t>
      </w:r>
      <w:r>
        <w:rPr>
          <w:rFonts w:ascii="Arial" w:cs="Arial" w:eastAsia="Arial" w:hAnsi="Arial"/>
          <w:sz w:val="22"/>
          <w:szCs w:val="22"/>
          <w:color w:val="000000"/>
        </w:rPr>
        <w:t>a reserve established by Co-Collateral Agents in an amount equal to the result of (a) the</w:t>
      </w:r>
      <w:r>
        <w:rPr>
          <w:rFonts w:ascii="Arial" w:cs="Arial" w:eastAsia="Arial" w:hAnsi="Arial"/>
          <w:sz w:val="22"/>
          <w:szCs w:val="22"/>
          <w:color w:val="0000FF"/>
        </w:rPr>
        <w:t xml:space="preserve"> </w:t>
      </w:r>
      <w:r>
        <w:rPr>
          <w:rFonts w:ascii="Arial" w:cs="Arial" w:eastAsia="Arial" w:hAnsi="Arial"/>
          <w:sz w:val="22"/>
          <w:szCs w:val="22"/>
          <w:color w:val="000000"/>
        </w:rPr>
        <w:t xml:space="preserve">percentage by which Dilution is greater than 5%, </w:t>
      </w:r>
      <w:r>
        <w:rPr>
          <w:rFonts w:ascii="Arial" w:cs="Arial" w:eastAsia="Arial" w:hAnsi="Arial"/>
          <w:sz w:val="22"/>
          <w:szCs w:val="22"/>
          <w:i w:val="1"/>
          <w:iCs w:val="1"/>
          <w:color w:val="000000"/>
        </w:rPr>
        <w:t>times</w:t>
      </w:r>
      <w:r>
        <w:rPr>
          <w:rFonts w:ascii="Arial" w:cs="Arial" w:eastAsia="Arial" w:hAnsi="Arial"/>
          <w:sz w:val="22"/>
          <w:szCs w:val="22"/>
          <w:color w:val="000000"/>
        </w:rPr>
        <w:t xml:space="preserve"> (b) the amount of Eligible Accounts as set forth on the most recent Borrowing Base Certificate received by Co-Collateral Agents. If the Dilution does not exceed 5%, the Dilution Reserve shall be zero dollars ($0).</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Disbursement Account</w:t>
      </w:r>
      <w:r>
        <w:rPr>
          <w:rFonts w:ascii="Arial" w:cs="Arial" w:eastAsia="Arial" w:hAnsi="Arial"/>
          <w:sz w:val="22"/>
          <w:szCs w:val="22"/>
          <w:color w:val="auto"/>
        </w:rPr>
        <w:t>” and “</w:t>
      </w:r>
      <w:r>
        <w:rPr>
          <w:rFonts w:ascii="Arial" w:cs="Arial" w:eastAsia="Arial" w:hAnsi="Arial"/>
          <w:sz w:val="22"/>
          <w:szCs w:val="22"/>
          <w:u w:val="single" w:color="auto"/>
          <w:color w:val="auto"/>
        </w:rPr>
        <w:t>Disbursement Accounts</w:t>
      </w:r>
      <w:r>
        <w:rPr>
          <w:rFonts w:ascii="Arial" w:cs="Arial" w:eastAsia="Arial" w:hAnsi="Arial"/>
          <w:sz w:val="22"/>
          <w:szCs w:val="22"/>
          <w:color w:val="auto"/>
        </w:rPr>
        <w:t xml:space="preserve">” have the meanings specified in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pacing w:after="0" w:line="220" w:lineRule="exact"/>
        <w:rPr>
          <w:sz w:val="20"/>
          <w:szCs w:val="20"/>
          <w:color w:val="auto"/>
        </w:rPr>
      </w:pPr>
    </w:p>
    <w:p>
      <w:pPr>
        <w:jc w:val="both"/>
        <w:ind w:firstLine="459"/>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0000FF"/>
        </w:rPr>
        <w:t>Discretionary FILO Dilution Reserve” means, as of any date of determination, with respect to Permitted Incremental FILO</w:t>
      </w:r>
      <w:r>
        <w:rPr>
          <w:rFonts w:ascii="Arial" w:cs="Arial" w:eastAsia="Arial" w:hAnsi="Arial"/>
          <w:sz w:val="22"/>
          <w:szCs w:val="22"/>
          <w:color w:val="auto"/>
        </w:rPr>
        <w:t xml:space="preserve"> </w:t>
      </w:r>
      <w:r>
        <w:rPr>
          <w:rFonts w:ascii="Arial" w:cs="Arial" w:eastAsia="Arial" w:hAnsi="Arial"/>
          <w:sz w:val="22"/>
          <w:szCs w:val="22"/>
          <w:u w:val="single" w:color="auto"/>
          <w:color w:val="0000FF"/>
        </w:rPr>
        <w:t xml:space="preserve">Loans, a reserve which may be established in the discretion of Co-Collateral Agents in an amount equal to the result of (a) the percentage by which Dilution is greater than 2.5%, </w:t>
      </w:r>
      <w:r>
        <w:rPr>
          <w:rFonts w:ascii="Arial" w:cs="Arial" w:eastAsia="Arial" w:hAnsi="Arial"/>
          <w:sz w:val="22"/>
          <w:szCs w:val="22"/>
          <w:i w:val="1"/>
          <w:iCs w:val="1"/>
          <w:u w:val="single" w:color="auto"/>
          <w:color w:val="0000FF"/>
        </w:rPr>
        <w:t>times</w:t>
      </w:r>
      <w:r>
        <w:rPr>
          <w:rFonts w:ascii="Arial" w:cs="Arial" w:eastAsia="Arial" w:hAnsi="Arial"/>
          <w:sz w:val="22"/>
          <w:szCs w:val="22"/>
          <w:u w:val="single" w:color="auto"/>
          <w:color w:val="0000FF"/>
        </w:rPr>
        <w:t xml:space="preserve"> (b) the amount of Eligible Accounts as set forth on the most recent Borrowing Base Certificate received by Co-Collateral Agents. If the Dilution does not exceed 2.5%, the Discretionary FILO Dilution Reserve shall be zero dollars ($0).</w:t>
      </w:r>
    </w:p>
    <w:p>
      <w:pPr>
        <w:sectPr>
          <w:pgSz w:w="11900" w:h="16838" w:orient="portrait"/>
          <w:cols w:equalWidth="0" w:num="1">
            <w:col w:w="11240"/>
          </w:cols>
          <w:pgMar w:left="320" w:top="1428" w:right="339" w:bottom="1440" w:gutter="0" w:footer="0" w:header="0"/>
        </w:sectPr>
      </w:pPr>
    </w:p>
    <w:bookmarkStart w:id="127" w:name="page128"/>
    <w:bookmarkEnd w:id="127"/>
    <w:p>
      <w:pPr>
        <w:jc w:val="both"/>
        <w:ind w:right="20" w:firstLine="54"/>
        <w:spacing w:after="0" w:line="312" w:lineRule="auto"/>
        <w:rPr>
          <w:sz w:val="20"/>
          <w:szCs w:val="20"/>
          <w:color w:val="auto"/>
        </w:rPr>
      </w:pPr>
      <w:r>
        <w:rPr>
          <w:rFonts w:ascii="Arial" w:cs="Arial" w:eastAsia="Arial" w:hAnsi="Arial"/>
          <w:sz w:val="19"/>
          <w:szCs w:val="19"/>
          <w:color w:val="0000FF"/>
        </w:rPr>
        <w:t>“</w:t>
      </w:r>
      <w:r>
        <w:rPr>
          <w:rFonts w:ascii="Arial" w:cs="Arial" w:eastAsia="Arial" w:hAnsi="Arial"/>
          <w:sz w:val="19"/>
          <w:szCs w:val="19"/>
          <w:u w:val="single" w:color="auto"/>
          <w:color w:val="000000"/>
        </w:rPr>
        <w:t>Disposition</w:t>
      </w:r>
      <w:r>
        <w:rPr>
          <w:rFonts w:ascii="Arial" w:cs="Arial" w:eastAsia="Arial" w:hAnsi="Arial"/>
          <w:sz w:val="19"/>
          <w:szCs w:val="19"/>
          <w:color w:val="000000"/>
        </w:rPr>
        <w:t>” means with respect to any property, any sale, lease, license, sale and leaseback, assignment, conveyance, transfer</w:t>
      </w:r>
      <w:r>
        <w:rPr>
          <w:rFonts w:ascii="Arial" w:cs="Arial" w:eastAsia="Arial" w:hAnsi="Arial"/>
          <w:sz w:val="19"/>
          <w:szCs w:val="19"/>
          <w:color w:val="0000FF"/>
        </w:rPr>
        <w:t xml:space="preserve"> </w:t>
      </w:r>
      <w:r>
        <w:rPr>
          <w:rFonts w:ascii="Arial" w:cs="Arial" w:eastAsia="Arial" w:hAnsi="Arial"/>
          <w:sz w:val="19"/>
          <w:szCs w:val="19"/>
          <w:color w:val="000000"/>
        </w:rPr>
        <w:t>or other disposition thereof (including by means of a “plan of division” under the Delaware Limited Liability Company Act or any comparable transaction under any similar law). The terms “Dispose” and “Disposed of” shall have correlative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952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spacing w:after="0" w:line="113"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Disqualified Capital Stock</w:t>
      </w:r>
      <w:r>
        <w:rPr>
          <w:rFonts w:ascii="Arial" w:cs="Arial" w:eastAsia="Arial" w:hAnsi="Arial"/>
          <w:sz w:val="22"/>
          <w:szCs w:val="22"/>
          <w:color w:val="auto"/>
        </w:rPr>
        <w:t>” means, with respect to any Person, any Capital Stock of such Person which, by its terms (or by the terms of any security into which it is convertible or for which it is redeemable or exchangeable), or upon the happening of any event:</w:t>
      </w:r>
    </w:p>
    <w:p>
      <w:pPr>
        <w:spacing w:after="0" w:line="185" w:lineRule="exact"/>
        <w:rPr>
          <w:sz w:val="20"/>
          <w:szCs w:val="20"/>
          <w:color w:val="auto"/>
        </w:rPr>
      </w:pPr>
    </w:p>
    <w:p>
      <w:pPr>
        <w:ind w:firstLine="1304"/>
        <w:spacing w:after="0" w:line="263" w:lineRule="auto"/>
        <w:tabs>
          <w:tab w:leader="none" w:pos="1603" w:val="left"/>
        </w:tabs>
        <w:numPr>
          <w:ilvl w:val="0"/>
          <w:numId w:val="30"/>
        </w:numPr>
        <w:rPr>
          <w:rFonts w:ascii="Arial" w:cs="Arial" w:eastAsia="Arial" w:hAnsi="Arial"/>
          <w:sz w:val="22"/>
          <w:szCs w:val="22"/>
          <w:color w:val="auto"/>
        </w:rPr>
      </w:pPr>
      <w:r>
        <w:rPr>
          <w:rFonts w:ascii="Arial" w:cs="Arial" w:eastAsia="Arial" w:hAnsi="Arial"/>
          <w:sz w:val="22"/>
          <w:szCs w:val="22"/>
          <w:color w:val="auto"/>
        </w:rPr>
        <w:t>matures or is mandatorily redeemable, pursuant to a sinking fund obligation or otherwise (other than as a result of a change of control or asset sale),</w:t>
      </w:r>
    </w:p>
    <w:p>
      <w:pPr>
        <w:spacing w:after="0" w:line="66" w:lineRule="exact"/>
        <w:rPr>
          <w:rFonts w:ascii="Arial" w:cs="Arial" w:eastAsia="Arial" w:hAnsi="Arial"/>
          <w:sz w:val="22"/>
          <w:szCs w:val="22"/>
          <w:color w:val="auto"/>
        </w:rPr>
      </w:pPr>
    </w:p>
    <w:p>
      <w:pPr>
        <w:ind w:right="20" w:firstLine="1304"/>
        <w:spacing w:after="0" w:line="263" w:lineRule="auto"/>
        <w:tabs>
          <w:tab w:leader="none" w:pos="1631" w:val="left"/>
        </w:tabs>
        <w:numPr>
          <w:ilvl w:val="0"/>
          <w:numId w:val="30"/>
        </w:numPr>
        <w:rPr>
          <w:rFonts w:ascii="Arial" w:cs="Arial" w:eastAsia="Arial" w:hAnsi="Arial"/>
          <w:sz w:val="22"/>
          <w:szCs w:val="22"/>
          <w:color w:val="auto"/>
        </w:rPr>
      </w:pPr>
      <w:r>
        <w:rPr>
          <w:rFonts w:ascii="Arial" w:cs="Arial" w:eastAsia="Arial" w:hAnsi="Arial"/>
          <w:sz w:val="22"/>
          <w:szCs w:val="22"/>
          <w:color w:val="auto"/>
        </w:rPr>
        <w:t>is convertible or exchangeable for Indebtedness or Disqualified Capital Stock of such Person or any of its Restricted Subsidiaries, or</w:t>
      </w:r>
    </w:p>
    <w:p>
      <w:pPr>
        <w:spacing w:after="0" w:line="66" w:lineRule="exact"/>
        <w:rPr>
          <w:rFonts w:ascii="Arial" w:cs="Arial" w:eastAsia="Arial" w:hAnsi="Arial"/>
          <w:sz w:val="22"/>
          <w:szCs w:val="22"/>
          <w:color w:val="auto"/>
        </w:rPr>
      </w:pPr>
    </w:p>
    <w:p>
      <w:pPr>
        <w:jc w:val="both"/>
        <w:ind w:firstLine="1304"/>
        <w:spacing w:after="0" w:line="288" w:lineRule="auto"/>
        <w:tabs>
          <w:tab w:leader="none" w:pos="1602"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is redeemable at the option of the holder thereof, in whole or in part (other than solely as a result of a change of control or asset sale), in each case prior to 91 days after the Latest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only the portion of Capital Stock which so matures or is mandatorily redeemable, is so convertible or exchangeable or is so redeemable at the option of the holder thereof prior to such date shall be deemed to be Disqualified Capital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such Capital Stock is issued to any employee or to any plan for the benefit of employees of Parent Borrower or its Subsidiaries or by any such plan to such employees, such Capital Stock shall not constitute Disqualified Capital Stock solely because it may be required to be repurchased by such Person in order to satisfy applicable statutory or regulatory obligations or as a result of such employee’s termination, death or disability;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class of Capital Stock of such Person that by its terms authorizes such Person to satisfy its obligations thereunder by delivery of Capital Stock that is not Disqualified Capital Stock shall not be deemed to be Disqualified Capital Stock.</w:t>
      </w:r>
    </w:p>
    <w:p>
      <w:pPr>
        <w:spacing w:after="0" w:line="51" w:lineRule="exact"/>
        <w:rPr>
          <w:sz w:val="20"/>
          <w:szCs w:val="20"/>
          <w:color w:val="auto"/>
        </w:rPr>
      </w:pPr>
    </w:p>
    <w:p>
      <w:pPr>
        <w:jc w:val="both"/>
        <w:ind w:firstLine="553"/>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Disqualified Institution</w:t>
      </w:r>
      <w:r>
        <w:rPr>
          <w:rFonts w:ascii="Arial" w:cs="Arial" w:eastAsia="Arial" w:hAnsi="Arial"/>
          <w:sz w:val="21"/>
          <w:szCs w:val="21"/>
          <w:color w:val="auto"/>
        </w:rPr>
        <w:t xml:space="preserve">” means (i) any Person identified by name in writing to Agent as a Disqualified Institution on or prior to the Restatement Date and (ii) a competitor of any Borrower or its Subsidiaries identified by name in writing to Agent as Disqualified Institutions prior to the Restatement Date and any other Person identified by name in writing to Agent after the Restatement Date to the extent such Person becomes a direct competitor of any Borrower or its Subsidiaries, which designations shall be promptly provided by Agent to the Lenders and shall become effective two days after delivery of each such written supplement to Agent, but which shall not apply retroactively to disqualify any Persons that have previously acquired an assignment or participation interest in the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“competitor” shall not include any bona fide debt fund or investment vehicle that is engaged in making, purchasing, holding or otherwise investing in commercial revolving loans and similar extensions of credit in the ordinary course of business which is managed, sponsored or advised by any Person controlling, controlled by or under common control with such competitor, and for which no personnel involved with the investment of such competitor thereof, as applicable, (i) makes any investment decisions or (ii) has access to any information (other than information publicly available) relating to the Credit Parties or any entity that forms a part of the Credit Parties’ business (including their Subsidiaries).</w:t>
      </w:r>
    </w:p>
    <w:p>
      <w:pPr>
        <w:sectPr>
          <w:pgSz w:w="11900" w:h="16838" w:orient="portrait"/>
          <w:cols w:equalWidth="0" w:num="1">
            <w:col w:w="11240"/>
          </w:cols>
          <w:pgMar w:left="320" w:top="1428" w:right="339" w:bottom="1440" w:gutter="0" w:footer="0" w:header="0"/>
        </w:sectPr>
      </w:pPr>
    </w:p>
    <w:bookmarkStart w:id="128" w:name="page129"/>
    <w:bookmarkEnd w:id="128"/>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Documents</w:t>
      </w:r>
      <w:r>
        <w:rPr>
          <w:rFonts w:ascii="Arial" w:cs="Arial" w:eastAsia="Arial" w:hAnsi="Arial"/>
          <w:sz w:val="22"/>
          <w:szCs w:val="22"/>
          <w:color w:val="auto"/>
        </w:rPr>
        <w:t>” means all “documents,” as such term is defined in the Code or the PPSA, as applicable, now owned or hereafter acquired by any Credit Party, wherever located.</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Dodd-Frank Act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2.14(e)</w:t>
      </w:r>
      <w:r>
        <w:rPr>
          <w:rFonts w:ascii="Arial" w:cs="Arial" w:eastAsia="Arial" w:hAnsi="Arial"/>
          <w:sz w:val="22"/>
          <w:szCs w:val="22"/>
          <w:color w:val="auto"/>
        </w:rPr>
        <w:t>.</w:t>
      </w:r>
    </w:p>
    <w:p>
      <w:pPr>
        <w:spacing w:after="0" w:line="220" w:lineRule="exact"/>
        <w:rPr>
          <w:sz w:val="20"/>
          <w:szCs w:val="20"/>
          <w:color w:val="auto"/>
        </w:rPr>
      </w:pPr>
    </w:p>
    <w:p>
      <w:pPr>
        <w:jc w:val="both"/>
        <w:ind w:firstLine="499"/>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 Equivalent</w:t>
      </w:r>
      <w:r>
        <w:rPr>
          <w:rFonts w:ascii="Arial" w:cs="Arial" w:eastAsia="Arial" w:hAnsi="Arial"/>
          <w:sz w:val="19"/>
          <w:szCs w:val="19"/>
          <w:color w:val="auto"/>
        </w:rPr>
        <w:t>” means, at any time, (a) with respect to any amount denominated in Dollars, such amount and (b) with respect to any amount denominated in Canadian Dollars or any Alternative Currency, the equivalent in Dollars of such amount as determined by Agent at such time on the basis of the Spot Rate (determined in respect of the most recent Revaluation Date) for the purchase of Dollars with Canadian Dollars or such Alternative Currency, as applicable. In making any determination of the Dollar Equivalent, Agent shall use the relevant Spot Rate in effect on the date on which a Dollar Equivalent is required to be determined pursuant to the provisions of this Agreement. As appropriate, amounts specified herein as amounts in Dollars shall be or include any relevant Dollar Equivalent amount. The Agent shall provide written notice to the Parent Borrower of the Spot Rate on each Revaluation Date (it being understood that the Agent may provide such written notice to the Parent Borrower by email).</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means the lawful currency of the United States.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 Restricted Subsidiary that is not a Foreign Subsidiary.</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Driver</w:t>
      </w:r>
      <w:r>
        <w:rPr>
          <w:rFonts w:ascii="Arial" w:cs="Arial" w:eastAsia="Arial" w:hAnsi="Arial"/>
          <w:sz w:val="22"/>
          <w:szCs w:val="22"/>
          <w:color w:val="auto"/>
        </w:rPr>
        <w:t>” means an operator of a motor vehicle.</w:t>
      </w:r>
    </w:p>
    <w:p>
      <w:pPr>
        <w:spacing w:after="0" w:line="220" w:lineRule="exact"/>
        <w:rPr>
          <w:sz w:val="20"/>
          <w:szCs w:val="20"/>
          <w:color w:val="auto"/>
        </w:rPr>
      </w:pPr>
    </w:p>
    <w:p>
      <w:pPr>
        <w:jc w:val="both"/>
        <w:ind w:firstLine="459"/>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Driver Contract</w:t>
      </w:r>
      <w:r>
        <w:rPr>
          <w:rFonts w:ascii="Arial" w:cs="Arial" w:eastAsia="Arial" w:hAnsi="Arial"/>
          <w:sz w:val="22"/>
          <w:szCs w:val="22"/>
          <w:color w:val="auto"/>
        </w:rPr>
        <w:t>” means any contract, agreement or arrangement between a Credit Party and a Driver for the operation of a motor vehicle owned or leased by such Credit Party.</w:t>
      </w:r>
    </w:p>
    <w:p>
      <w:pPr>
        <w:spacing w:after="0" w:line="175"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Driver Payables</w:t>
      </w:r>
      <w:r>
        <w:rPr>
          <w:rFonts w:ascii="Arial" w:cs="Arial" w:eastAsia="Arial" w:hAnsi="Arial"/>
          <w:sz w:val="22"/>
          <w:szCs w:val="22"/>
          <w:color w:val="auto"/>
        </w:rPr>
        <w:t>” means all amounts owed by any Credit Party to a Driver under the terms of a Driver Contract between such Credit Party and such Driver.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Termination Date</w:t>
      </w:r>
      <w:r>
        <w:rPr>
          <w:rFonts w:ascii="Arial" w:cs="Arial" w:eastAsia="Arial" w:hAnsi="Arial"/>
          <w:sz w:val="22"/>
          <w:szCs w:val="22"/>
          <w:color w:val="auto"/>
        </w:rPr>
        <w:t>” has the meaning specified in the definition of “Commitment Termination Date.”</w:t>
      </w:r>
    </w:p>
    <w:p>
      <w:pPr>
        <w:spacing w:after="0" w:line="22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EBITDA</w:t>
      </w:r>
      <w:r>
        <w:rPr>
          <w:rFonts w:ascii="Arial" w:cs="Arial" w:eastAsia="Arial" w:hAnsi="Arial"/>
          <w:sz w:val="22"/>
          <w:szCs w:val="22"/>
          <w:color w:val="auto"/>
        </w:rPr>
        <w:t xml:space="preserve">” means, with respect to any Person for any period, the Consolidated Net Income of such Person and its Restricted Subsidiaries for such period </w:t>
      </w:r>
      <w:r>
        <w:rPr>
          <w:rFonts w:ascii="Arial" w:cs="Arial" w:eastAsia="Arial" w:hAnsi="Arial"/>
          <w:sz w:val="22"/>
          <w:szCs w:val="22"/>
          <w:i w:val="1"/>
          <w:iCs w:val="1"/>
          <w:color w:val="auto"/>
        </w:rPr>
        <w:t>plus</w:t>
      </w:r>
      <w:r>
        <w:rPr>
          <w:rFonts w:ascii="Arial" w:cs="Arial" w:eastAsia="Arial" w:hAnsi="Arial"/>
          <w:sz w:val="22"/>
          <w:szCs w:val="22"/>
          <w:color w:val="auto"/>
        </w:rPr>
        <w:t>, without duplication, to the extent the same was deducted in calculating Consolidated Net Income:</w:t>
      </w:r>
    </w:p>
    <w:p>
      <w:pPr>
        <w:spacing w:after="0" w:line="185" w:lineRule="exact"/>
        <w:rPr>
          <w:sz w:val="20"/>
          <w:szCs w:val="20"/>
          <w:color w:val="auto"/>
        </w:rPr>
      </w:pPr>
    </w:p>
    <w:p>
      <w:pPr>
        <w:ind w:left="1600" w:hanging="296"/>
        <w:spacing w:after="0"/>
        <w:tabs>
          <w:tab w:leader="none" w:pos="16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Consolidated Taxes; </w:t>
      </w:r>
      <w:r>
        <w:rPr>
          <w:rFonts w:ascii="Arial" w:cs="Arial" w:eastAsia="Arial" w:hAnsi="Arial"/>
          <w:sz w:val="22"/>
          <w:szCs w:val="22"/>
          <w:u w:val="single" w:color="auto"/>
          <w:color w:val="auto"/>
        </w:rPr>
        <w:t>plus</w:t>
      </w:r>
    </w:p>
    <w:p>
      <w:pPr>
        <w:spacing w:after="0" w:line="111" w:lineRule="exact"/>
        <w:rPr>
          <w:rFonts w:ascii="Arial" w:cs="Arial" w:eastAsia="Arial" w:hAnsi="Arial"/>
          <w:sz w:val="22"/>
          <w:szCs w:val="22"/>
          <w:color w:val="auto"/>
        </w:rPr>
      </w:pPr>
    </w:p>
    <w:p>
      <w:pPr>
        <w:ind w:left="1600" w:hanging="296"/>
        <w:spacing w:after="0"/>
        <w:tabs>
          <w:tab w:leader="none" w:pos="16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Fixed Charges and costs of surety bonds in connection with financing activities; </w:t>
      </w:r>
      <w:r>
        <w:rPr>
          <w:rFonts w:ascii="Arial" w:cs="Arial" w:eastAsia="Arial" w:hAnsi="Arial"/>
          <w:sz w:val="22"/>
          <w:szCs w:val="22"/>
          <w:u w:val="single" w:color="auto"/>
          <w:color w:val="auto"/>
        </w:rPr>
        <w:t>plus</w:t>
      </w:r>
    </w:p>
    <w:p>
      <w:pPr>
        <w:spacing w:after="0" w:line="111" w:lineRule="exact"/>
        <w:rPr>
          <w:rFonts w:ascii="Arial" w:cs="Arial" w:eastAsia="Arial" w:hAnsi="Arial"/>
          <w:sz w:val="22"/>
          <w:szCs w:val="22"/>
          <w:color w:val="auto"/>
        </w:rPr>
      </w:pPr>
    </w:p>
    <w:p>
      <w:pPr>
        <w:ind w:left="1600" w:hanging="296"/>
        <w:spacing w:after="0"/>
        <w:tabs>
          <w:tab w:leader="none" w:pos="16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Consolidated Depreciation and Amortization Expense; </w:t>
      </w:r>
      <w:r>
        <w:rPr>
          <w:rFonts w:ascii="Arial" w:cs="Arial" w:eastAsia="Arial" w:hAnsi="Arial"/>
          <w:sz w:val="22"/>
          <w:szCs w:val="22"/>
          <w:u w:val="single" w:color="auto"/>
          <w:color w:val="auto"/>
        </w:rPr>
        <w:t>plus</w:t>
      </w:r>
    </w:p>
    <w:p>
      <w:pPr>
        <w:spacing w:after="0" w:line="111" w:lineRule="exact"/>
        <w:rPr>
          <w:rFonts w:ascii="Arial" w:cs="Arial" w:eastAsia="Arial" w:hAnsi="Arial"/>
          <w:sz w:val="22"/>
          <w:szCs w:val="22"/>
          <w:color w:val="auto"/>
        </w:rPr>
      </w:pPr>
    </w:p>
    <w:p>
      <w:pPr>
        <w:ind w:left="1600" w:hanging="296"/>
        <w:spacing w:after="0"/>
        <w:tabs>
          <w:tab w:leader="none" w:pos="16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 xml:space="preserve">Consolidated Non-Cash Charges; </w:t>
      </w:r>
      <w:r>
        <w:rPr>
          <w:rFonts w:ascii="Arial" w:cs="Arial" w:eastAsia="Arial" w:hAnsi="Arial"/>
          <w:sz w:val="22"/>
          <w:szCs w:val="22"/>
          <w:u w:val="single" w:color="auto"/>
          <w:color w:val="auto"/>
        </w:rPr>
        <w:t>plus</w:t>
      </w:r>
    </w:p>
    <w:p>
      <w:pPr>
        <w:spacing w:after="0" w:line="111" w:lineRule="exact"/>
        <w:rPr>
          <w:rFonts w:ascii="Arial" w:cs="Arial" w:eastAsia="Arial" w:hAnsi="Arial"/>
          <w:sz w:val="22"/>
          <w:szCs w:val="22"/>
          <w:color w:val="auto"/>
        </w:rPr>
      </w:pPr>
    </w:p>
    <w:p>
      <w:pPr>
        <w:jc w:val="both"/>
        <w:ind w:left="660" w:right="20" w:firstLine="644"/>
        <w:spacing w:after="0" w:line="253" w:lineRule="auto"/>
        <w:tabs>
          <w:tab w:leader="none" w:pos="1651" w:val="left"/>
        </w:tabs>
        <w:numPr>
          <w:ilvl w:val="0"/>
          <w:numId w:val="31"/>
        </w:numPr>
        <w:rPr>
          <w:rFonts w:ascii="Arial" w:cs="Arial" w:eastAsia="Arial" w:hAnsi="Arial"/>
          <w:sz w:val="22"/>
          <w:szCs w:val="22"/>
          <w:color w:val="auto"/>
        </w:rPr>
      </w:pPr>
      <w:r>
        <w:rPr>
          <w:rFonts w:ascii="Arial" w:cs="Arial" w:eastAsia="Arial" w:hAnsi="Arial"/>
          <w:sz w:val="22"/>
          <w:szCs w:val="22"/>
          <w:color w:val="auto"/>
        </w:rPr>
        <w:t>any expenses or charges (other than Consolidated Depreciation and Amortization Expense) related to any issuance of Equity Interests, Investment, acquisition, disposition, recapitalization or the incurrence, modification or repayment of</w:t>
      </w:r>
    </w:p>
    <w:p>
      <w:pPr>
        <w:sectPr>
          <w:pgSz w:w="11900" w:h="16838" w:orient="portrait"/>
          <w:cols w:equalWidth="0" w:num="1">
            <w:col w:w="11240"/>
          </w:cols>
          <w:pgMar w:left="320" w:top="1428" w:right="339" w:bottom="1440" w:gutter="0" w:footer="0" w:header="0"/>
        </w:sectPr>
      </w:pPr>
    </w:p>
    <w:bookmarkStart w:id="129" w:name="page130"/>
    <w:bookmarkEnd w:id="129"/>
    <w:p>
      <w:pPr>
        <w:jc w:val="both"/>
        <w:ind w:left="660"/>
        <w:spacing w:after="0" w:line="297" w:lineRule="auto"/>
        <w:rPr>
          <w:sz w:val="20"/>
          <w:szCs w:val="20"/>
          <w:color w:val="auto"/>
        </w:rPr>
      </w:pPr>
      <w:r>
        <w:rPr>
          <w:rFonts w:ascii="Arial" w:cs="Arial" w:eastAsia="Arial" w:hAnsi="Arial"/>
          <w:sz w:val="19"/>
          <w:szCs w:val="19"/>
          <w:color w:val="auto"/>
        </w:rPr>
        <w:t xml:space="preserve">Indebtedness permitted to be incurred by this Agreement (including a refinancing thereof) (whether or not successful), including (i) such fees, expenses or charges related to the Refinancing Transactions, the Transactions, the Norbert Transactions, the 2022 Notes Transactions or the Term Credit Agreement, (ii) any amendment or other modification of the 2022 Notes or other Indebtedness and (iii) commissions, discounts, yield and other fees and charges (including any interest expense) related to any Qualified Securitization Financing; </w:t>
      </w:r>
      <w:r>
        <w:rPr>
          <w:rFonts w:ascii="Arial" w:cs="Arial" w:eastAsia="Arial" w:hAnsi="Arial"/>
          <w:sz w:val="19"/>
          <w:szCs w:val="19"/>
          <w:u w:val="single" w:color="auto"/>
          <w:color w:val="auto"/>
        </w:rPr>
        <w:t>plus</w:t>
      </w:r>
    </w:p>
    <w:p>
      <w:pPr>
        <w:spacing w:after="0" w:line="39" w:lineRule="exact"/>
        <w:rPr>
          <w:sz w:val="20"/>
          <w:szCs w:val="20"/>
          <w:color w:val="auto"/>
        </w:rPr>
      </w:pPr>
    </w:p>
    <w:p>
      <w:pPr>
        <w:jc w:val="both"/>
        <w:ind w:left="660" w:firstLine="644"/>
        <w:spacing w:after="0" w:line="312" w:lineRule="auto"/>
        <w:tabs>
          <w:tab w:leader="none" w:pos="1617"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business optimization expenses and other restructuring charges, reserves or expenses (which, for the avoidance of doubt, shall include, without limitation, the effect of facility closures, facility consolidations, retention, severance, systems establishment costs, contract termination costs, future lease commitments and excess pension charges); </w:t>
      </w:r>
      <w:r>
        <w:rPr>
          <w:rFonts w:ascii="Arial" w:cs="Arial" w:eastAsia="Arial" w:hAnsi="Arial"/>
          <w:sz w:val="19"/>
          <w:szCs w:val="19"/>
          <w:u w:val="single" w:color="auto"/>
          <w:color w:val="auto"/>
        </w:rPr>
        <w:t>plus</w:t>
      </w:r>
    </w:p>
    <w:p>
      <w:pPr>
        <w:spacing w:after="0" w:line="25" w:lineRule="exact"/>
        <w:rPr>
          <w:rFonts w:ascii="Arial" w:cs="Arial" w:eastAsia="Arial" w:hAnsi="Arial"/>
          <w:sz w:val="19"/>
          <w:szCs w:val="19"/>
          <w:color w:val="auto"/>
        </w:rPr>
      </w:pPr>
    </w:p>
    <w:p>
      <w:pPr>
        <w:ind w:left="660" w:firstLine="644"/>
        <w:spacing w:after="0" w:line="263" w:lineRule="auto"/>
        <w:tabs>
          <w:tab w:leader="none" w:pos="1616"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the amount of loss or discount on sale of assets and any commissions, yield and other fees and charges, in each case in connection with a Qualified Securitization Financing; </w:t>
      </w:r>
      <w:r>
        <w:rPr>
          <w:rFonts w:ascii="Arial" w:cs="Arial" w:eastAsia="Arial" w:hAnsi="Arial"/>
          <w:sz w:val="22"/>
          <w:szCs w:val="22"/>
          <w:u w:val="single" w:color="auto"/>
          <w:color w:val="auto"/>
        </w:rPr>
        <w:t>plus</w:t>
      </w:r>
    </w:p>
    <w:p>
      <w:pPr>
        <w:spacing w:after="0" w:line="66" w:lineRule="exact"/>
        <w:rPr>
          <w:rFonts w:ascii="Arial" w:cs="Arial" w:eastAsia="Arial" w:hAnsi="Arial"/>
          <w:sz w:val="22"/>
          <w:szCs w:val="22"/>
          <w:color w:val="auto"/>
        </w:rPr>
      </w:pPr>
    </w:p>
    <w:p>
      <w:pPr>
        <w:jc w:val="both"/>
        <w:ind w:left="660" w:firstLine="644"/>
        <w:spacing w:after="0" w:line="297" w:lineRule="auto"/>
        <w:tabs>
          <w:tab w:leader="none" w:pos="1649"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any costs or expense incurred pursuant to any management equity plan or stock option plan or any other management or employee benefit plan or agreement or any stock subscription or shareholder agreement, to the extent that such cost or expenses are funded with cash proceeds contributed to the capital of Parent Borrower or any Credit Party or net cash proceeds of an issuance of Equity Interests of Parent Borrower (other than Disqualified Capital Stock) solely to the extent that such net cash proceeds are excluded from the calculation of Excluded Contributions; </w:t>
      </w:r>
      <w:r>
        <w:rPr>
          <w:rFonts w:ascii="Arial" w:cs="Arial" w:eastAsia="Arial" w:hAnsi="Arial"/>
          <w:sz w:val="19"/>
          <w:szCs w:val="19"/>
          <w:u w:val="single" w:color="auto"/>
          <w:color w:val="auto"/>
        </w:rPr>
        <w:t>plus</w:t>
      </w:r>
    </w:p>
    <w:p>
      <w:pPr>
        <w:spacing w:after="0" w:line="38" w:lineRule="exact"/>
        <w:rPr>
          <w:rFonts w:ascii="Arial" w:cs="Arial" w:eastAsia="Arial" w:hAnsi="Arial"/>
          <w:sz w:val="19"/>
          <w:szCs w:val="19"/>
          <w:color w:val="auto"/>
        </w:rPr>
      </w:pPr>
    </w:p>
    <w:p>
      <w:pPr>
        <w:jc w:val="both"/>
        <w:ind w:left="660" w:firstLine="644"/>
        <w:spacing w:after="0" w:line="258" w:lineRule="auto"/>
        <w:tabs>
          <w:tab w:leader="none" w:pos="1637" w:val="left"/>
        </w:tabs>
        <w:numPr>
          <w:ilvl w:val="0"/>
          <w:numId w:val="32"/>
        </w:numPr>
        <w:rPr>
          <w:rFonts w:ascii="Arial" w:cs="Arial" w:eastAsia="Arial" w:hAnsi="Arial"/>
          <w:sz w:val="21"/>
          <w:szCs w:val="21"/>
          <w:color w:val="auto"/>
        </w:rPr>
      </w:pPr>
      <w:r>
        <w:rPr>
          <w:rFonts w:ascii="Arial" w:cs="Arial" w:eastAsia="Arial" w:hAnsi="Arial"/>
          <w:sz w:val="21"/>
          <w:szCs w:val="21"/>
          <w:color w:val="auto"/>
        </w:rPr>
        <w:t xml:space="preserve">the amount of net cost savings, operating improvements or synergies projected by Parent Borrower in good faith to be realized within eighteen months following the date of any operational changes, business realignment projects or initiatives, restructurings or reorganizations which have been or are intended to be initiated (other than those operational changes, business realignment projects or initiatives, restructurings or reorganizations entered into in connection with any pro forma event (as defined in “Consolidated Secured Net Leverage Ratio”)) (calculated on a </w:t>
      </w:r>
      <w:r>
        <w:rPr>
          <w:rFonts w:ascii="Arial" w:cs="Arial" w:eastAsia="Arial" w:hAnsi="Arial"/>
          <w:sz w:val="21"/>
          <w:szCs w:val="21"/>
          <w:u w:val="single" w:color="auto"/>
          <w:color w:val="auto"/>
        </w:rPr>
        <w:t>pro</w:t>
      </w:r>
      <w:r>
        <w:rPr>
          <w:rFonts w:ascii="Arial" w:cs="Arial" w:eastAsia="Arial" w:hAnsi="Arial"/>
          <w:sz w:val="21"/>
          <w:szCs w:val="21"/>
          <w:color w:val="auto"/>
        </w:rPr>
        <w:t xml:space="preserve"> </w:t>
      </w:r>
      <w:r>
        <w:rPr>
          <w:rFonts w:ascii="Arial" w:cs="Arial" w:eastAsia="Arial" w:hAnsi="Arial"/>
          <w:sz w:val="21"/>
          <w:szCs w:val="21"/>
          <w:u w:val="single" w:color="auto"/>
          <w:color w:val="auto"/>
        </w:rPr>
        <w:t>forma</w:t>
      </w:r>
      <w:r>
        <w:rPr>
          <w:rFonts w:ascii="Arial" w:cs="Arial" w:eastAsia="Arial" w:hAnsi="Arial"/>
          <w:sz w:val="21"/>
          <w:szCs w:val="21"/>
          <w:color w:val="auto"/>
        </w:rPr>
        <w:t xml:space="preserve"> basis as though such cost savings had been realized on the first day of such period), net of the amount of actual benefits realized during such period from such actions;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net cost savings and operating improvements or synergies are reasonably identifiable and quantifiable; </w:t>
      </w:r>
      <w:r>
        <w:rPr>
          <w:rFonts w:ascii="Arial" w:cs="Arial" w:eastAsia="Arial" w:hAnsi="Arial"/>
          <w:sz w:val="21"/>
          <w:szCs w:val="21"/>
          <w:u w:val="single" w:color="auto"/>
          <w:color w:val="auto"/>
        </w:rPr>
        <w:t>provided</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the aggregate amount added to EBITDA pursuant to this clause (9) shall not exceed 20% of EBITDA for such period (determined after giving effect to such adjustments); and</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less</w:t>
      </w:r>
      <w:r>
        <w:rPr>
          <w:rFonts w:ascii="Arial" w:cs="Arial" w:eastAsia="Arial" w:hAnsi="Arial"/>
          <w:sz w:val="22"/>
          <w:szCs w:val="22"/>
          <w:color w:val="auto"/>
        </w:rPr>
        <w:t>, without duplication, to the extent the same increased Consolidated Net Income,</w:t>
      </w:r>
    </w:p>
    <w:p>
      <w:pPr>
        <w:spacing w:after="0" w:line="220" w:lineRule="exact"/>
        <w:rPr>
          <w:sz w:val="20"/>
          <w:szCs w:val="20"/>
          <w:color w:val="auto"/>
        </w:rPr>
      </w:pPr>
    </w:p>
    <w:p>
      <w:pPr>
        <w:jc w:val="both"/>
        <w:ind w:left="660" w:firstLine="644"/>
        <w:spacing w:after="0" w:line="312" w:lineRule="auto"/>
        <w:tabs>
          <w:tab w:leader="none" w:pos="1744"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non-cash items increasing Consolidated Net Income for such period (excluding the recognition of deferred revenue or any items which represent the reversal of any accrual of, or cash reserve for, anticipated cash charges that reduced EBITDA in any prior period and any items for which cash was received in a prior period).</w:t>
      </w:r>
    </w:p>
    <w:p>
      <w:pPr>
        <w:sectPr>
          <w:pgSz w:w="11900" w:h="16838" w:orient="portrait"/>
          <w:cols w:equalWidth="0" w:num="1">
            <w:col w:w="11240"/>
          </w:cols>
          <w:pgMar w:left="320" w:top="1428" w:right="339" w:bottom="1440" w:gutter="0" w:footer="0" w:header="0"/>
        </w:sectPr>
      </w:pPr>
    </w:p>
    <w:bookmarkStart w:id="130" w:name="page131"/>
    <w:bookmarkEnd w:id="130"/>
    <w:p>
      <w:pPr>
        <w:jc w:val="both"/>
        <w:ind w:firstLine="54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 Norway.</w:t>
      </w:r>
    </w:p>
    <w:p>
      <w:pPr>
        <w:spacing w:after="0" w:line="254" w:lineRule="exact"/>
        <w:rPr>
          <w:sz w:val="20"/>
          <w:szCs w:val="20"/>
          <w:color w:val="auto"/>
        </w:rPr>
      </w:pPr>
    </w:p>
    <w:p>
      <w:pPr>
        <w:jc w:val="both"/>
        <w:ind w:firstLine="499"/>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5" w:lineRule="exact"/>
        <w:rPr>
          <w:sz w:val="20"/>
          <w:szCs w:val="20"/>
          <w:color w:val="auto"/>
        </w:rPr>
      </w:pPr>
    </w:p>
    <w:p>
      <w:pPr>
        <w:jc w:val="both"/>
        <w:ind w:firstLine="517"/>
        <w:spacing w:after="0" w:line="263" w:lineRule="auto"/>
        <w:rPr>
          <w:sz w:val="20"/>
          <w:szCs w:val="20"/>
          <w:color w:val="auto"/>
        </w:rPr>
      </w:pPr>
      <w:r>
        <w:rPr>
          <w:rFonts w:ascii="Arial" w:cs="Arial" w:eastAsia="Arial" w:hAnsi="Arial"/>
          <w:sz w:val="22"/>
          <w:szCs w:val="22"/>
          <w:color w:val="0000FF"/>
        </w:rPr>
        <w:t xml:space="preserve">“EU Bail-In Legislation Schedule” means the EU Bail-In Legislation Schedule published by the Loan Market Association </w:t>
      </w:r>
      <w:r>
        <w:rPr>
          <w:rFonts w:ascii="Arial" w:cs="Arial" w:eastAsia="Arial" w:hAnsi="Arial"/>
          <w:sz w:val="22"/>
          <w:szCs w:val="22"/>
          <w:u w:val="single" w:color="auto"/>
          <w:color w:val="0000FF"/>
        </w:rPr>
        <w:t>(or any successor person),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285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28510" cy="8255"/>
                    </a:xfrm>
                    <a:prstGeom prst="rect">
                      <a:avLst/>
                    </a:prstGeom>
                    <a:noFill/>
                  </pic:spPr>
                </pic:pic>
              </a:graphicData>
            </a:graphic>
          </wp:anchor>
        </w:drawing>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E-Fax</w:t>
      </w:r>
      <w:r>
        <w:rPr>
          <w:rFonts w:ascii="Arial" w:cs="Arial" w:eastAsia="Arial" w:hAnsi="Arial"/>
          <w:sz w:val="22"/>
          <w:szCs w:val="22"/>
          <w:color w:val="auto"/>
        </w:rPr>
        <w:t>” means any system used to receive or transmit faxes electronically.</w:t>
      </w:r>
    </w:p>
    <w:p>
      <w:pPr>
        <w:spacing w:after="0" w:line="220" w:lineRule="exact"/>
        <w:rPr>
          <w:sz w:val="20"/>
          <w:szCs w:val="20"/>
          <w:color w:val="auto"/>
        </w:rPr>
      </w:pPr>
    </w:p>
    <w:p>
      <w:pPr>
        <w:jc w:val="both"/>
        <w:ind w:firstLine="472"/>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Electronic Transmission</w:t>
      </w:r>
      <w:r>
        <w:rPr>
          <w:rFonts w:ascii="Arial" w:cs="Arial" w:eastAsia="Arial" w:hAnsi="Arial"/>
          <w:sz w:val="22"/>
          <w:szCs w:val="22"/>
          <w:color w:val="auto"/>
        </w:rPr>
        <w:t>” means each document, instruction, authorization, file, information and any other communication transmitted, posted or otherwise made or communicated by e-mail or E-Fax, or otherwise to or from an E-System or other equivalent service acceptable to Agent.</w:t>
      </w:r>
    </w:p>
    <w:p>
      <w:pPr>
        <w:spacing w:after="0" w:line="185"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90-Day Account</w:t>
      </w:r>
      <w:r>
        <w:rPr>
          <w:rFonts w:ascii="Arial" w:cs="Arial" w:eastAsia="Arial" w:hAnsi="Arial"/>
          <w:sz w:val="22"/>
          <w:szCs w:val="22"/>
          <w:color w:val="auto"/>
        </w:rPr>
        <w:t>” means any Account that satisfies all of the criteria of the definition of “Eligible Accounts”, other than clause (e) or (g) of such definition, other than any Account (x) for which the Account Debtor has failed to pay within two hundred and ten (210) days after the date of the original invoice therefor or (y) which is unpaid more than one hundred and eighty (180) days after the original due date therefor.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90-Day Accounts Cap</w:t>
      </w:r>
      <w:r>
        <w:rPr>
          <w:rFonts w:ascii="Arial" w:cs="Arial" w:eastAsia="Arial" w:hAnsi="Arial"/>
          <w:sz w:val="22"/>
          <w:szCs w:val="22"/>
          <w:color w:val="auto"/>
        </w:rPr>
        <w:t>” means $25,000,000.</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Accounts</w:t>
      </w:r>
      <w:r>
        <w:rPr>
          <w:rFonts w:ascii="Arial" w:cs="Arial" w:eastAsia="Arial" w:hAnsi="Arial"/>
          <w:sz w:val="22"/>
          <w:szCs w:val="22"/>
          <w:color w:val="auto"/>
        </w:rPr>
        <w:t>” means Accounts created by any Credit Party other than any Account:</w:t>
      </w:r>
    </w:p>
    <w:p>
      <w:pPr>
        <w:spacing w:after="0" w:line="220"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with respect to which the applicable Credit Party does not have good and valid title to such Account;</w:t>
      </w:r>
    </w:p>
    <w:p>
      <w:pPr>
        <w:spacing w:after="0" w:line="219" w:lineRule="exact"/>
        <w:rPr>
          <w:rFonts w:ascii="Arial" w:cs="Arial" w:eastAsia="Arial" w:hAnsi="Arial"/>
          <w:sz w:val="22"/>
          <w:szCs w:val="22"/>
          <w:color w:val="auto"/>
        </w:rPr>
      </w:pPr>
    </w:p>
    <w:p>
      <w:pPr>
        <w:jc w:val="both"/>
        <w:ind w:firstLine="656"/>
        <w:spacing w:after="0" w:line="250" w:lineRule="auto"/>
        <w:tabs>
          <w:tab w:leader="none" w:pos="1291"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that is not a valid, legally enforceable obligation of an Account Debtor payable in Dollars (in the case of a U.S. Credit Party) or payable in Canadian Dollars or Dollars (in the case of a Canadian Credit Party), to such Person in the United States (in the case of a U.S. Credit Party) or the United States or Canada (in the case of a Canadian Credit Party) in the ordinary course of business of such Credit Party;</w:t>
      </w:r>
    </w:p>
    <w:p>
      <w:pPr>
        <w:spacing w:after="0" w:line="187" w:lineRule="exact"/>
        <w:rPr>
          <w:rFonts w:ascii="Arial" w:cs="Arial" w:eastAsia="Arial" w:hAnsi="Arial"/>
          <w:sz w:val="22"/>
          <w:szCs w:val="22"/>
          <w:color w:val="auto"/>
        </w:rPr>
      </w:pPr>
    </w:p>
    <w:p>
      <w:pPr>
        <w:ind w:firstLine="656"/>
        <w:spacing w:after="0" w:line="263" w:lineRule="auto"/>
        <w:tabs>
          <w:tab w:leader="none" w:pos="1293" w:val="left"/>
        </w:tabs>
        <w:numPr>
          <w:ilvl w:val="0"/>
          <w:numId w:val="34"/>
        </w:numPr>
        <w:rPr>
          <w:rFonts w:ascii="Arial" w:cs="Arial" w:eastAsia="Arial" w:hAnsi="Arial"/>
          <w:sz w:val="22"/>
          <w:szCs w:val="22"/>
          <w:color w:val="auto"/>
        </w:rPr>
      </w:pPr>
      <w:r>
        <w:rPr>
          <w:rFonts w:ascii="Arial" w:cs="Arial" w:eastAsia="Arial" w:hAnsi="Arial"/>
          <w:sz w:val="22"/>
          <w:szCs w:val="22"/>
          <w:color w:val="auto"/>
        </w:rPr>
        <w:t>which is not subject to a first priority perfected security interest in favor of Agent (other than Liens that are the subject of a Canadian Priority Payables Reserve);</w:t>
      </w:r>
    </w:p>
    <w:p>
      <w:pPr>
        <w:sectPr>
          <w:pgSz w:w="11900" w:h="16838" w:orient="portrait"/>
          <w:cols w:equalWidth="0" w:num="1">
            <w:col w:w="11240"/>
          </w:cols>
          <w:pgMar w:left="320" w:top="1428" w:right="339" w:bottom="1440" w:gutter="0" w:footer="0" w:header="0"/>
        </w:sectPr>
      </w:pPr>
    </w:p>
    <w:bookmarkStart w:id="131" w:name="page132"/>
    <w:bookmarkEnd w:id="131"/>
    <w:p>
      <w:pPr>
        <w:ind w:left="-656" w:firstLine="656"/>
        <w:spacing w:after="0" w:line="263" w:lineRule="auto"/>
        <w:tabs>
          <w:tab w:leader="none" w:pos="635" w:val="left"/>
        </w:tabs>
        <w:numPr>
          <w:ilvl w:val="0"/>
          <w:numId w:val="35"/>
        </w:numPr>
        <w:rPr>
          <w:rFonts w:ascii="Arial" w:cs="Arial" w:eastAsia="Arial" w:hAnsi="Arial"/>
          <w:sz w:val="22"/>
          <w:szCs w:val="22"/>
          <w:color w:val="auto"/>
        </w:rPr>
      </w:pPr>
      <w:r>
        <w:rPr>
          <w:rFonts w:ascii="Arial" w:cs="Arial" w:eastAsia="Arial" w:hAnsi="Arial"/>
          <w:sz w:val="22"/>
          <w:szCs w:val="22"/>
          <w:color w:val="auto"/>
        </w:rPr>
        <w:t>which is subject to any Lien other than (i) a Lien in favor of Agent and (ii) a Permitted Lien which does not have priority over the Lien in favor of Agent;</w:t>
      </w:r>
    </w:p>
    <w:p>
      <w:pPr>
        <w:spacing w:after="0" w:line="174" w:lineRule="exact"/>
        <w:rPr>
          <w:rFonts w:ascii="Arial" w:cs="Arial" w:eastAsia="Arial" w:hAnsi="Arial"/>
          <w:sz w:val="22"/>
          <w:szCs w:val="22"/>
          <w:color w:val="auto"/>
        </w:rPr>
      </w:pPr>
    </w:p>
    <w:p>
      <w:pPr>
        <w:ind w:left="-656" w:firstLine="656"/>
        <w:spacing w:after="0" w:line="263" w:lineRule="auto"/>
        <w:tabs>
          <w:tab w:leader="none" w:pos="637" w:val="left"/>
        </w:tabs>
        <w:numPr>
          <w:ilvl w:val="0"/>
          <w:numId w:val="35"/>
        </w:numPr>
        <w:rPr>
          <w:rFonts w:ascii="Arial" w:cs="Arial" w:eastAsia="Arial" w:hAnsi="Arial"/>
          <w:sz w:val="22"/>
          <w:szCs w:val="22"/>
          <w:color w:val="auto"/>
        </w:rPr>
      </w:pPr>
      <w:r>
        <w:rPr>
          <w:rFonts w:ascii="Arial" w:cs="Arial" w:eastAsia="Arial" w:hAnsi="Arial"/>
          <w:sz w:val="22"/>
          <w:szCs w:val="22"/>
          <w:color w:val="auto"/>
        </w:rPr>
        <w:t>for which the Account Debtor has failed to pay within one hundred and twenty (120) days after the date of the original invoice therefor;</w:t>
      </w:r>
    </w:p>
    <w:p>
      <w:pPr>
        <w:spacing w:after="0" w:line="174" w:lineRule="exact"/>
        <w:rPr>
          <w:rFonts w:ascii="Arial" w:cs="Arial" w:eastAsia="Arial" w:hAnsi="Arial"/>
          <w:sz w:val="22"/>
          <w:szCs w:val="22"/>
          <w:color w:val="auto"/>
        </w:rPr>
      </w:pPr>
    </w:p>
    <w:p>
      <w:pPr>
        <w:jc w:val="both"/>
        <w:ind w:left="-656" w:firstLine="656"/>
        <w:spacing w:after="0" w:line="292" w:lineRule="auto"/>
        <w:tabs>
          <w:tab w:leader="none" w:pos="640"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with respect to which (i) the goods giving rise to such Account have not been shipped and billed to the Account Debtor or (ii) the services giving rise to such Account have not been performed and billed to the Account Debtor;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Accounts which satisfy all of the other criteria described in this definition and would be deemed ineligible solely because of the failure to comply with this clause (f) shall nevertheless be eligible in an aggregate amount not to exceed at any time twenty-five percent (25%) of all Eligible Accounts and Eligible 90-Day Accounts if (i) the Account Debtor has not been billed but the goods giving rise to such Account have been shipped and/or the services have been completed, and (ii) the Accounts have been unbilled from the date of shipment or performance, as applicable, for not more than thirty (30) days;</w:t>
      </w:r>
    </w:p>
    <w:p>
      <w:pPr>
        <w:spacing w:after="0" w:line="150" w:lineRule="exact"/>
        <w:rPr>
          <w:rFonts w:ascii="Arial" w:cs="Arial" w:eastAsia="Arial" w:hAnsi="Arial"/>
          <w:sz w:val="19"/>
          <w:szCs w:val="19"/>
          <w:color w:val="auto"/>
        </w:rPr>
      </w:pPr>
    </w:p>
    <w:p>
      <w:pPr>
        <w:ind w:left="644" w:hanging="644"/>
        <w:spacing w:after="0"/>
        <w:tabs>
          <w:tab w:leader="none" w:pos="644" w:val="left"/>
        </w:tabs>
        <w:numPr>
          <w:ilvl w:val="0"/>
          <w:numId w:val="35"/>
        </w:numPr>
        <w:rPr>
          <w:rFonts w:ascii="Arial" w:cs="Arial" w:eastAsia="Arial" w:hAnsi="Arial"/>
          <w:sz w:val="22"/>
          <w:szCs w:val="22"/>
          <w:color w:val="auto"/>
        </w:rPr>
      </w:pPr>
      <w:r>
        <w:rPr>
          <w:rFonts w:ascii="Arial" w:cs="Arial" w:eastAsia="Arial" w:hAnsi="Arial"/>
          <w:sz w:val="22"/>
          <w:szCs w:val="22"/>
          <w:color w:val="auto"/>
        </w:rPr>
        <w:t>which is unpaid more than ninety (90) days after the original due date therefor;</w:t>
      </w:r>
    </w:p>
    <w:p>
      <w:pPr>
        <w:spacing w:after="0" w:line="219" w:lineRule="exact"/>
        <w:rPr>
          <w:rFonts w:ascii="Arial" w:cs="Arial" w:eastAsia="Arial" w:hAnsi="Arial"/>
          <w:sz w:val="22"/>
          <w:szCs w:val="22"/>
          <w:color w:val="auto"/>
        </w:rPr>
      </w:pPr>
    </w:p>
    <w:p>
      <w:pPr>
        <w:ind w:left="-656" w:right="20" w:firstLine="656"/>
        <w:spacing w:after="0" w:line="287" w:lineRule="auto"/>
        <w:tabs>
          <w:tab w:leader="none" w:pos="635"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which is owing by an Account Debtor for which fifty percent (50%) or more of the dollar amount of all accounts owing from such Account Debtor and its Controlled Affiliates are ineligible pursuant to </w:t>
      </w:r>
      <w:r>
        <w:rPr>
          <w:rFonts w:ascii="Arial" w:cs="Arial" w:eastAsia="Arial" w:hAnsi="Arial"/>
          <w:sz w:val="21"/>
          <w:szCs w:val="21"/>
          <w:u w:val="single" w:color="auto"/>
          <w:color w:val="auto"/>
        </w:rPr>
        <w:t>clauses (e)</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(g)</w:t>
      </w:r>
      <w:r>
        <w:rPr>
          <w:rFonts w:ascii="Arial" w:cs="Arial" w:eastAsia="Arial" w:hAnsi="Arial"/>
          <w:sz w:val="21"/>
          <w:szCs w:val="21"/>
          <w:color w:val="auto"/>
        </w:rPr>
        <w:t xml:space="preserve"> above;</w:t>
      </w:r>
    </w:p>
    <w:p>
      <w:pPr>
        <w:spacing w:after="0" w:line="151" w:lineRule="exact"/>
        <w:rPr>
          <w:rFonts w:ascii="Arial" w:cs="Arial" w:eastAsia="Arial" w:hAnsi="Arial"/>
          <w:sz w:val="21"/>
          <w:szCs w:val="21"/>
          <w:color w:val="auto"/>
        </w:rPr>
      </w:pPr>
    </w:p>
    <w:p>
      <w:pPr>
        <w:jc w:val="both"/>
        <w:ind w:left="-656" w:firstLine="656"/>
        <w:spacing w:after="0" w:line="265" w:lineRule="auto"/>
        <w:tabs>
          <w:tab w:leader="none" w:pos="628" w:val="left"/>
        </w:tabs>
        <w:numPr>
          <w:ilvl w:val="0"/>
          <w:numId w:val="35"/>
        </w:numPr>
        <w:rPr>
          <w:rFonts w:ascii="Arial" w:cs="Arial" w:eastAsia="Arial" w:hAnsi="Arial"/>
          <w:sz w:val="21"/>
          <w:szCs w:val="21"/>
          <w:color w:val="auto"/>
        </w:rPr>
      </w:pPr>
      <w:r>
        <w:rPr>
          <w:rFonts w:ascii="Arial" w:cs="Arial" w:eastAsia="Arial" w:hAnsi="Arial"/>
          <w:sz w:val="21"/>
          <w:szCs w:val="21"/>
          <w:color w:val="auto"/>
        </w:rPr>
        <w:t>which is owing by an Account Debtor but only to the extent of the aggregate amount of Accounts owing from such Account Debtor and its Affiliates to all Credit Parties in excess of fifteen percent (15%) (or, with respect to the Account Debtor identified in writing by Parent Borrower to Agent prior to the Restatement Date, twenty percent (20%)) of the aggregate amount of Eligible Accounts and Eligible 90-Day Accounts of all Credit Parties;</w:t>
      </w:r>
    </w:p>
    <w:p>
      <w:pPr>
        <w:spacing w:after="0" w:line="175" w:lineRule="exact"/>
        <w:rPr>
          <w:rFonts w:ascii="Arial" w:cs="Arial" w:eastAsia="Arial" w:hAnsi="Arial"/>
          <w:sz w:val="21"/>
          <w:szCs w:val="21"/>
          <w:color w:val="auto"/>
        </w:rPr>
      </w:pPr>
    </w:p>
    <w:p>
      <w:pPr>
        <w:jc w:val="both"/>
        <w:ind w:left="-656" w:firstLine="656"/>
        <w:spacing w:after="0" w:line="253" w:lineRule="auto"/>
        <w:tabs>
          <w:tab w:leader="none" w:pos="628" w:val="left"/>
        </w:tabs>
        <w:numPr>
          <w:ilvl w:val="0"/>
          <w:numId w:val="35"/>
        </w:numPr>
        <w:rPr>
          <w:rFonts w:ascii="Arial" w:cs="Arial" w:eastAsia="Arial" w:hAnsi="Arial"/>
          <w:sz w:val="22"/>
          <w:szCs w:val="22"/>
          <w:color w:val="auto"/>
        </w:rPr>
      </w:pPr>
      <w:r>
        <w:rPr>
          <w:rFonts w:ascii="Arial" w:cs="Arial" w:eastAsia="Arial" w:hAnsi="Arial"/>
          <w:sz w:val="22"/>
          <w:szCs w:val="22"/>
          <w:color w:val="auto"/>
        </w:rPr>
        <w:t>with respect to which any applicable covenant, representation or warranty contained in this Agreement or in any other Loan Document (including documentation with respect to applicable foreign jurisdictions) has been breached or is not true, in each case, in any material respect;</w:t>
      </w:r>
    </w:p>
    <w:p>
      <w:pPr>
        <w:spacing w:after="0" w:line="185" w:lineRule="exact"/>
        <w:rPr>
          <w:rFonts w:ascii="Arial" w:cs="Arial" w:eastAsia="Arial" w:hAnsi="Arial"/>
          <w:sz w:val="22"/>
          <w:szCs w:val="22"/>
          <w:color w:val="auto"/>
        </w:rPr>
      </w:pPr>
    </w:p>
    <w:p>
      <w:pPr>
        <w:jc w:val="both"/>
        <w:ind w:left="-656" w:firstLine="656"/>
        <w:spacing w:after="0" w:line="259" w:lineRule="auto"/>
        <w:tabs>
          <w:tab w:leader="none" w:pos="635" w:val="left"/>
        </w:tabs>
        <w:numPr>
          <w:ilvl w:val="0"/>
          <w:numId w:val="35"/>
        </w:numPr>
        <w:rPr>
          <w:rFonts w:ascii="Arial" w:cs="Arial" w:eastAsia="Arial" w:hAnsi="Arial"/>
          <w:sz w:val="21"/>
          <w:szCs w:val="21"/>
          <w:color w:val="auto"/>
        </w:rPr>
      </w:pPr>
      <w:r>
        <w:rPr>
          <w:rFonts w:ascii="Arial" w:cs="Arial" w:eastAsia="Arial" w:hAnsi="Arial"/>
          <w:sz w:val="21"/>
          <w:szCs w:val="21"/>
          <w:color w:val="auto"/>
        </w:rPr>
        <w:t xml:space="preserve">which (i) does not arise from the sale of goods in the ordinary course of the Credit Parties’ business or from the performance of services in the ordinary course of the Credit Parties’ business, (ii) is not (subject to </w:t>
      </w:r>
      <w:r>
        <w:rPr>
          <w:rFonts w:ascii="Arial" w:cs="Arial" w:eastAsia="Arial" w:hAnsi="Arial"/>
          <w:sz w:val="21"/>
          <w:szCs w:val="21"/>
          <w:u w:val="single" w:color="auto"/>
          <w:color w:val="auto"/>
        </w:rPr>
        <w:t>clause (f)(ii)</w:t>
      </w:r>
      <w:r>
        <w:rPr>
          <w:rFonts w:ascii="Arial" w:cs="Arial" w:eastAsia="Arial" w:hAnsi="Arial"/>
          <w:sz w:val="21"/>
          <w:szCs w:val="21"/>
          <w:color w:val="auto"/>
        </w:rPr>
        <w:t xml:space="preserve"> above) evidenced by an invoice issued by a U.S. Credit Party (in case of the U.S. Borrowing Base) or a Canadian Credit Party (in case of the Canadian Borrowing Base) which has been sent to the Account Debtor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it is understood and agreed that Railcar Receivables are not evidenced by invoices, and that the absence of such invoice shall not be a basis for excluding such Accounts from Eligible Accounts or Eligible 90-Day Accounts), (iii) represents progress billing or a billing that is contingent upon any Credit Party’s completion of any further performance, (iv) represents a sale on a bill-and-hold, guarantied sale, sale-and-return, sale on approval, consignment, cash-on-delivery or any other repurchase or return basis, (v) relates to payments of interest, (vi) relates to restricted</w:t>
      </w:r>
    </w:p>
    <w:p>
      <w:pPr>
        <w:sectPr>
          <w:pgSz w:w="11900" w:h="16838" w:orient="portrait"/>
          <w:cols w:equalWidth="0" w:num="1">
            <w:col w:w="10584"/>
          </w:cols>
          <w:pgMar w:left="976" w:top="1428" w:right="339" w:bottom="1440" w:gutter="0" w:footer="0" w:header="0"/>
        </w:sectPr>
      </w:pPr>
    </w:p>
    <w:bookmarkStart w:id="132" w:name="page133"/>
    <w:bookmarkEnd w:id="132"/>
    <w:p>
      <w:pPr>
        <w:spacing w:after="0"/>
        <w:rPr>
          <w:sz w:val="20"/>
          <w:szCs w:val="20"/>
          <w:color w:val="auto"/>
        </w:rPr>
      </w:pPr>
      <w:r>
        <w:rPr>
          <w:rFonts w:ascii="Arial" w:cs="Arial" w:eastAsia="Arial" w:hAnsi="Arial"/>
          <w:sz w:val="21"/>
          <w:szCs w:val="21"/>
          <w:color w:val="auto"/>
        </w:rPr>
        <w:t>proceeds of Inventory which are subject to a title retention arrangement or (vii) relates to tooling or other similar activities;</w:t>
      </w:r>
    </w:p>
    <w:p>
      <w:pPr>
        <w:spacing w:after="0" w:line="231" w:lineRule="exact"/>
        <w:rPr>
          <w:sz w:val="20"/>
          <w:szCs w:val="20"/>
          <w:color w:val="auto"/>
        </w:rPr>
      </w:pPr>
    </w:p>
    <w:p>
      <w:pPr>
        <w:jc w:val="both"/>
        <w:ind w:firstLine="656"/>
        <w:spacing w:after="0" w:line="253" w:lineRule="auto"/>
        <w:tabs>
          <w:tab w:leader="none" w:pos="1284" w:val="left"/>
        </w:tabs>
        <w:numPr>
          <w:ilvl w:val="0"/>
          <w:numId w:val="36"/>
        </w:numPr>
        <w:rPr>
          <w:rFonts w:ascii="Arial" w:cs="Arial" w:eastAsia="Arial" w:hAnsi="Arial"/>
          <w:sz w:val="22"/>
          <w:szCs w:val="22"/>
          <w:color w:val="auto"/>
        </w:rPr>
      </w:pPr>
      <w:r>
        <w:rPr>
          <w:rFonts w:ascii="Arial" w:cs="Arial" w:eastAsia="Arial" w:hAnsi="Arial"/>
          <w:sz w:val="22"/>
          <w:szCs w:val="22"/>
          <w:color w:val="auto"/>
        </w:rPr>
        <w:t>was invoiced more than once (including chargebacks, debit memos, credits and rebills) other than payment reminders and multiple invoices with respect to Accounts in which partial or multiple shipments are made on such Account, in each case, sent in the ordinary course of business;</w:t>
      </w:r>
    </w:p>
    <w:p>
      <w:pPr>
        <w:spacing w:after="0" w:line="185" w:lineRule="exact"/>
        <w:rPr>
          <w:rFonts w:ascii="Arial" w:cs="Arial" w:eastAsia="Arial" w:hAnsi="Arial"/>
          <w:sz w:val="22"/>
          <w:szCs w:val="22"/>
          <w:color w:val="auto"/>
        </w:rPr>
      </w:pPr>
    </w:p>
    <w:p>
      <w:pPr>
        <w:ind w:firstLine="656"/>
        <w:spacing w:after="0" w:line="263" w:lineRule="auto"/>
        <w:tabs>
          <w:tab w:leader="none" w:pos="1284" w:val="left"/>
        </w:tabs>
        <w:numPr>
          <w:ilvl w:val="0"/>
          <w:numId w:val="36"/>
        </w:numPr>
        <w:rPr>
          <w:rFonts w:ascii="Arial" w:cs="Arial" w:eastAsia="Arial" w:hAnsi="Arial"/>
          <w:sz w:val="22"/>
          <w:szCs w:val="22"/>
          <w:color w:val="auto"/>
        </w:rPr>
      </w:pPr>
      <w:r>
        <w:rPr>
          <w:rFonts w:ascii="Arial" w:cs="Arial" w:eastAsia="Arial" w:hAnsi="Arial"/>
          <w:sz w:val="22"/>
          <w:szCs w:val="22"/>
          <w:color w:val="auto"/>
        </w:rPr>
        <w:t>with respect to which any check or other instrument of payment has been returned uncollected for any reason (other than bank error);</w:t>
      </w:r>
    </w:p>
    <w:p>
      <w:pPr>
        <w:spacing w:after="0" w:line="174" w:lineRule="exact"/>
        <w:rPr>
          <w:rFonts w:ascii="Arial" w:cs="Arial" w:eastAsia="Arial" w:hAnsi="Arial"/>
          <w:sz w:val="22"/>
          <w:szCs w:val="22"/>
          <w:color w:val="auto"/>
        </w:rPr>
      </w:pPr>
    </w:p>
    <w:p>
      <w:pPr>
        <w:jc w:val="both"/>
        <w:ind w:firstLine="656"/>
        <w:spacing w:after="0" w:line="290" w:lineRule="auto"/>
        <w:tabs>
          <w:tab w:leader="none" w:pos="1291" w:val="left"/>
        </w:tabs>
        <w:numPr>
          <w:ilvl w:val="0"/>
          <w:numId w:val="36"/>
        </w:numPr>
        <w:rPr>
          <w:rFonts w:ascii="Arial" w:cs="Arial" w:eastAsia="Arial" w:hAnsi="Arial"/>
          <w:sz w:val="19"/>
          <w:szCs w:val="19"/>
          <w:color w:val="auto"/>
        </w:rPr>
      </w:pPr>
      <w:r>
        <w:rPr>
          <w:rFonts w:ascii="Arial" w:cs="Arial" w:eastAsia="Arial" w:hAnsi="Arial"/>
          <w:sz w:val="19"/>
          <w:szCs w:val="19"/>
          <w:color w:val="auto"/>
        </w:rPr>
        <w:t>which is owed by an Account Debtor which, to the actual knowledge of a Credit Party, has (i) applied for, suffered, or consented to the appointment of any receiver, custodian, trustee, monitor, liquidator or similar person of its assets, (ii) has had possession of all or a material part of its property taken by any receiver, custodian, monitor, liquidator or similar person of its assets, (iii) filed, or had filed against it, any request or petition for liquidation, reorganization, arrangement, adjustment of debts, adjudication as bankrupt, insolvent, winding up, or voluntary or involuntary case under any Insolvency Laws (other than post-petition accounts payable of an Account Debtor that is a debtor-in-possession under any Insolvency Laws and reasonably acceptable to Co-Collateral Agents), (iv) has admitted in writing its inability, or is generally unable, to pay its debts as they become due, (v) become insolvent, or (vi) ceased operation (or has announced plans to cease operation) of its business;</w:t>
      </w:r>
    </w:p>
    <w:p>
      <w:pPr>
        <w:spacing w:after="0" w:line="155" w:lineRule="exact"/>
        <w:rPr>
          <w:rFonts w:ascii="Arial" w:cs="Arial" w:eastAsia="Arial" w:hAnsi="Arial"/>
          <w:sz w:val="19"/>
          <w:szCs w:val="19"/>
          <w:color w:val="auto"/>
        </w:rPr>
      </w:pPr>
    </w:p>
    <w:p>
      <w:pPr>
        <w:ind w:firstLine="656"/>
        <w:spacing w:after="0" w:line="343" w:lineRule="auto"/>
        <w:tabs>
          <w:tab w:leader="none" w:pos="1291" w:val="left"/>
        </w:tabs>
        <w:numPr>
          <w:ilvl w:val="0"/>
          <w:numId w:val="36"/>
        </w:numPr>
        <w:rPr>
          <w:rFonts w:ascii="Arial" w:cs="Arial" w:eastAsia="Arial" w:hAnsi="Arial"/>
          <w:sz w:val="19"/>
          <w:szCs w:val="19"/>
          <w:color w:val="auto"/>
        </w:rPr>
      </w:pPr>
      <w:r>
        <w:rPr>
          <w:rFonts w:ascii="Arial" w:cs="Arial" w:eastAsia="Arial" w:hAnsi="Arial"/>
          <w:sz w:val="19"/>
          <w:szCs w:val="19"/>
          <w:color w:val="auto"/>
        </w:rPr>
        <w:t>which is owed by any Account Debtor which, to the actual knowledge of a Credit Party, has sold all or substantially all of its assets, other than the discontinuance or sale of a line of business or brand by such Account Debtor;</w:t>
      </w:r>
    </w:p>
    <w:p>
      <w:pPr>
        <w:spacing w:after="0" w:line="104" w:lineRule="exact"/>
        <w:rPr>
          <w:rFonts w:ascii="Arial" w:cs="Arial" w:eastAsia="Arial" w:hAnsi="Arial"/>
          <w:sz w:val="19"/>
          <w:szCs w:val="19"/>
          <w:color w:val="auto"/>
        </w:rPr>
      </w:pPr>
    </w:p>
    <w:p>
      <w:pPr>
        <w:jc w:val="both"/>
        <w:ind w:firstLine="656"/>
        <w:spacing w:after="0" w:line="253" w:lineRule="auto"/>
        <w:tabs>
          <w:tab w:leader="none" w:pos="1291" w:val="left"/>
        </w:tabs>
        <w:numPr>
          <w:ilvl w:val="0"/>
          <w:numId w:val="36"/>
        </w:numPr>
        <w:rPr>
          <w:rFonts w:ascii="Arial" w:cs="Arial" w:eastAsia="Arial" w:hAnsi="Arial"/>
          <w:sz w:val="22"/>
          <w:szCs w:val="22"/>
          <w:color w:val="auto"/>
        </w:rPr>
      </w:pPr>
      <w:r>
        <w:rPr>
          <w:rFonts w:ascii="Arial" w:cs="Arial" w:eastAsia="Arial" w:hAnsi="Arial"/>
          <w:sz w:val="22"/>
          <w:szCs w:val="22"/>
          <w:color w:val="auto"/>
        </w:rPr>
        <w:t>which is owed by an Account Debtor which, (x) does not maintain a material place of business in the United States or Canada or (y) is not organized under applicable law of the United States or Canada or any state of the United States or province of Canada;</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656"/>
        <w:spacing w:after="0" w:line="289" w:lineRule="auto"/>
        <w:tabs>
          <w:tab w:leader="none" w:pos="1296"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which is owed by (i) the government (or any department, agency, public corporation, or instrumentality thereof) of any country other than the United States or Canada unless such Account is backed by a Letter of Credit reasonably acceptable to Co-Collateral Agents which is in the possession of Agent, (ii) the government of Canada or a province or territory thereof unless the Account has been assigned, if required, to Agent in compliance with the </w:t>
      </w:r>
      <w:r>
        <w:rPr>
          <w:rFonts w:ascii="Arial" w:cs="Arial" w:eastAsia="Arial" w:hAnsi="Arial"/>
          <w:sz w:val="19"/>
          <w:szCs w:val="19"/>
          <w:i w:val="1"/>
          <w:iCs w:val="1"/>
          <w:color w:val="auto"/>
        </w:rPr>
        <w:t>Financial Administration Act (Canada)</w:t>
      </w:r>
      <w:r>
        <w:rPr>
          <w:rFonts w:ascii="Arial" w:cs="Arial" w:eastAsia="Arial" w:hAnsi="Arial"/>
          <w:sz w:val="19"/>
          <w:szCs w:val="19"/>
          <w:color w:val="auto"/>
        </w:rPr>
        <w:t xml:space="preserve"> (or similar applicable law of such province or territory), and any other steps necessary to perfect or render opposable the Lien of Agent in such Account have been complied with to Co-Collateral Agents’ reasonable satisfaction, or (iii) the government of the United States, or any department, agency, public corporation or instrumentality thereof, unless the Federal Assignment of Claims Act of 1940, as amended (31 U.S.C. § 3727 et seq. and 41 U.S.C. § 15 et seq.), and any other steps necessary to perfect the Lien of Agent in such Account have been complied with to Agent’s reasonable satisfaction;</w:t>
      </w:r>
    </w:p>
    <w:p>
      <w:pPr>
        <w:sectPr>
          <w:pgSz w:w="11900" w:h="16838" w:orient="portrait"/>
          <w:cols w:equalWidth="0" w:num="1">
            <w:col w:w="11240"/>
          </w:cols>
          <w:pgMar w:left="320" w:top="1427" w:right="339" w:bottom="1440" w:gutter="0" w:footer="0" w:header="0"/>
        </w:sectPr>
      </w:pPr>
    </w:p>
    <w:bookmarkStart w:id="133" w:name="page134"/>
    <w:bookmarkEnd w:id="133"/>
    <w:p>
      <w:pPr>
        <w:jc w:val="both"/>
        <w:ind w:firstLine="656"/>
        <w:spacing w:after="0" w:line="250" w:lineRule="auto"/>
        <w:tabs>
          <w:tab w:leader="none" w:pos="1294"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which is owed by any Controlled Affiliate, employee, officer, director or agent of any Credit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so long as transactions between them and the Credit Parties are arms-length, portfolio companies of Jacobs Private Equity, LLC (or any Affiliate thereof), that do business with a Credit Party in the ordinary course of business, will not be treated as Controlled Affiliates for purposes of this clause (s);</w:t>
      </w:r>
    </w:p>
    <w:p>
      <w:pPr>
        <w:spacing w:after="0" w:line="187" w:lineRule="exact"/>
        <w:rPr>
          <w:rFonts w:ascii="Arial" w:cs="Arial" w:eastAsia="Arial" w:hAnsi="Arial"/>
          <w:sz w:val="22"/>
          <w:szCs w:val="22"/>
          <w:color w:val="auto"/>
        </w:rPr>
      </w:pPr>
    </w:p>
    <w:p>
      <w:pPr>
        <w:jc w:val="both"/>
        <w:ind w:firstLine="656"/>
        <w:spacing w:after="0" w:line="248" w:lineRule="auto"/>
        <w:tabs>
          <w:tab w:leader="none" w:pos="1284" w:val="left"/>
        </w:tabs>
        <w:numPr>
          <w:ilvl w:val="0"/>
          <w:numId w:val="37"/>
        </w:numPr>
        <w:rPr>
          <w:rFonts w:ascii="Arial" w:cs="Arial" w:eastAsia="Arial" w:hAnsi="Arial"/>
          <w:sz w:val="22"/>
          <w:szCs w:val="22"/>
          <w:color w:val="auto"/>
        </w:rPr>
      </w:pPr>
      <w:r>
        <w:rPr>
          <w:rFonts w:ascii="Arial" w:cs="Arial" w:eastAsia="Arial" w:hAnsi="Arial"/>
          <w:sz w:val="22"/>
          <w:szCs w:val="22"/>
          <w:color w:val="auto"/>
        </w:rPr>
        <w:t>which is owed by an Account Debtor or any Affiliate of such Account Debtor to which any Credit Party is indebted, but only to the extent of such indebtedness or is subject to any security, deposit, progress payment, retainage or other similar advance made by or for the benefit of an Account Debtor, in each case to the extent thereof, in each case, unless a no-set-off letter in form and substance reasonably acceptable to Co-Collateral Agents has been provided by the Account Debtor with respect to any claims, rights, setoff or dispute;</w:t>
      </w:r>
    </w:p>
    <w:p>
      <w:pPr>
        <w:spacing w:after="0" w:line="191" w:lineRule="exact"/>
        <w:rPr>
          <w:rFonts w:ascii="Arial" w:cs="Arial" w:eastAsia="Arial" w:hAnsi="Arial"/>
          <w:sz w:val="22"/>
          <w:szCs w:val="22"/>
          <w:color w:val="auto"/>
        </w:rPr>
      </w:pPr>
    </w:p>
    <w:p>
      <w:pPr>
        <w:ind w:right="340" w:firstLine="656"/>
        <w:spacing w:after="0" w:line="247" w:lineRule="auto"/>
        <w:tabs>
          <w:tab w:leader="none" w:pos="1291" w:val="left"/>
        </w:tabs>
        <w:numPr>
          <w:ilvl w:val="0"/>
          <w:numId w:val="37"/>
        </w:numPr>
        <w:rPr>
          <w:rFonts w:ascii="Arial" w:cs="Arial" w:eastAsia="Arial" w:hAnsi="Arial"/>
          <w:sz w:val="22"/>
          <w:szCs w:val="22"/>
          <w:color w:val="auto"/>
        </w:rPr>
      </w:pPr>
      <w:r>
        <w:rPr>
          <w:rFonts w:ascii="Arial" w:cs="Arial" w:eastAsia="Arial" w:hAnsi="Arial"/>
          <w:sz w:val="22"/>
          <w:szCs w:val="22"/>
          <w:color w:val="auto"/>
        </w:rPr>
        <w:t>which is subject to any counterclaim, deduction, defense, setoff or dispute but only to the extent of any such counterclaim, deduction, defense, setoff or dispute (it being understood and agreed that this clause (u) shall apply to Accounts subject to deduction by Account Debtors on account of payables owing from Parent Borrower or any of its Subsidiaries to a third-party logistics provider, Driver or other service provider);</w:t>
      </w:r>
    </w:p>
    <w:p>
      <w:pPr>
        <w:spacing w:after="0" w:line="2" w:lineRule="exact"/>
        <w:rPr>
          <w:rFonts w:ascii="Arial" w:cs="Arial" w:eastAsia="Arial" w:hAnsi="Arial"/>
          <w:sz w:val="22"/>
          <w:szCs w:val="22"/>
          <w:color w:val="auto"/>
        </w:rPr>
      </w:pPr>
    </w:p>
    <w:p>
      <w:pPr>
        <w:ind w:left="1300" w:hanging="644"/>
        <w:spacing w:after="0"/>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which is evidenced by any promissory note, chattel paper, or instrument;</w:t>
      </w:r>
    </w:p>
    <w:p>
      <w:pPr>
        <w:spacing w:after="0" w:line="201" w:lineRule="exact"/>
        <w:rPr>
          <w:rFonts w:ascii="Arial" w:cs="Arial" w:eastAsia="Arial" w:hAnsi="Arial"/>
          <w:sz w:val="22"/>
          <w:szCs w:val="22"/>
          <w:color w:val="auto"/>
        </w:rPr>
      </w:pPr>
    </w:p>
    <w:p>
      <w:pPr>
        <w:jc w:val="both"/>
        <w:ind w:firstLine="656"/>
        <w:spacing w:after="0" w:line="250" w:lineRule="auto"/>
        <w:tabs>
          <w:tab w:leader="none" w:pos="1285" w:val="left"/>
        </w:tabs>
        <w:numPr>
          <w:ilvl w:val="0"/>
          <w:numId w:val="37"/>
        </w:numPr>
        <w:rPr>
          <w:rFonts w:ascii="Arial" w:cs="Arial" w:eastAsia="Arial" w:hAnsi="Arial"/>
          <w:sz w:val="22"/>
          <w:szCs w:val="22"/>
          <w:color w:val="auto"/>
        </w:rPr>
      </w:pPr>
      <w:r>
        <w:rPr>
          <w:rFonts w:ascii="Arial" w:cs="Arial" w:eastAsia="Arial" w:hAnsi="Arial"/>
          <w:sz w:val="22"/>
          <w:szCs w:val="22"/>
          <w:color w:val="auto"/>
        </w:rPr>
        <w:t>with respect to which such Credit Party has made any agreement with the Account Debtor for any reduction thereof, other than discounts and adjustments given in the ordinary course of business, or any Account which was partially paid and such Credit Party created a new receivable for the unpaid portion of such Account with a later due date than the original receivable;</w:t>
      </w:r>
    </w:p>
    <w:p>
      <w:pPr>
        <w:spacing w:after="0" w:line="187" w:lineRule="exact"/>
        <w:rPr>
          <w:rFonts w:ascii="Arial" w:cs="Arial" w:eastAsia="Arial" w:hAnsi="Arial"/>
          <w:sz w:val="22"/>
          <w:szCs w:val="22"/>
          <w:color w:val="auto"/>
        </w:rPr>
      </w:pPr>
    </w:p>
    <w:p>
      <w:pPr>
        <w:jc w:val="both"/>
        <w:ind w:firstLine="656"/>
        <w:spacing w:after="0" w:line="253" w:lineRule="auto"/>
        <w:tabs>
          <w:tab w:leader="none" w:pos="1291" w:val="left"/>
        </w:tabs>
        <w:numPr>
          <w:ilvl w:val="0"/>
          <w:numId w:val="37"/>
        </w:numPr>
        <w:rPr>
          <w:rFonts w:ascii="Arial" w:cs="Arial" w:eastAsia="Arial" w:hAnsi="Arial"/>
          <w:sz w:val="22"/>
          <w:szCs w:val="22"/>
          <w:color w:val="auto"/>
        </w:rPr>
      </w:pPr>
      <w:r>
        <w:rPr>
          <w:rFonts w:ascii="Arial" w:cs="Arial" w:eastAsia="Arial" w:hAnsi="Arial"/>
          <w:sz w:val="22"/>
          <w:szCs w:val="22"/>
          <w:color w:val="auto"/>
        </w:rPr>
        <w:t>which does not comply in all material respects with the requirements of all applicable laws and regulations, whether federal, state, provincial, foreign, municipal or local, including, without limitation, the Federal Consumer Credit Protection Act, the Federal Truth in Lending Act and Regulation Z of the Federal Reserve Board;</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which was created on cash on delivery terms; or</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293"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which, in the case of Railcar Receivables, exceed the product of monthly average of Railcar Receivables reported in the three most recent monthly “car-hire reports” made by AAR, or any successor thereto, to Greenbrier Leasing Company LLC or to a U.S. Credit Party, </w:t>
      </w:r>
      <w:r>
        <w:rPr>
          <w:rFonts w:ascii="Arial" w:cs="Arial" w:eastAsia="Arial" w:hAnsi="Arial"/>
          <w:sz w:val="22"/>
          <w:szCs w:val="22"/>
          <w:u w:val="single" w:color="auto"/>
          <w:color w:val="auto"/>
        </w:rPr>
        <w:t>multiplied</w:t>
      </w:r>
      <w:r>
        <w:rPr>
          <w:rFonts w:ascii="Arial" w:cs="Arial" w:eastAsia="Arial" w:hAnsi="Arial"/>
          <w:sz w:val="22"/>
          <w:szCs w:val="22"/>
          <w:color w:val="auto"/>
        </w:rPr>
        <w:t xml:space="preserve"> by two (2).</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There shall be excluded from each Account any portion of such Account representing sales tax, excise tax, goods and services tax, harmonized tax or any other Taxes or collections on behalf of any Governmental Authority which such Credit Party is obligated to distribute or remit to such Governmental Authority.</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12.2(b)</w:t>
      </w:r>
      <w:r>
        <w:rPr>
          <w:rFonts w:ascii="Arial" w:cs="Arial" w:eastAsia="Arial" w:hAnsi="Arial"/>
          <w:sz w:val="22"/>
          <w:szCs w:val="22"/>
          <w:color w:val="auto"/>
        </w:rPr>
        <w:t xml:space="preserve">, Agent shall establish a Dilution Reserve and a Rent Reserve and Agent shall have the right to establish, modify or eliminate </w:t>
      </w:r>
      <w:r>
        <w:rPr>
          <w:rFonts w:ascii="Arial" w:cs="Arial" w:eastAsia="Arial" w:hAnsi="Arial"/>
          <w:sz w:val="22"/>
          <w:szCs w:val="22"/>
          <w:u w:val="single" w:color="auto"/>
          <w:color w:val="0000FF"/>
        </w:rPr>
        <w:t>(i)</w:t>
      </w:r>
      <w:r>
        <w:rPr>
          <w:rFonts w:ascii="Arial" w:cs="Arial" w:eastAsia="Arial" w:hAnsi="Arial"/>
          <w:sz w:val="22"/>
          <w:szCs w:val="22"/>
          <w:color w:val="auto"/>
        </w:rPr>
        <w:t xml:space="preserve"> such other Reserves against</w:t>
      </w:r>
    </w:p>
    <w:p>
      <w:pPr>
        <w:sectPr>
          <w:pgSz w:w="11900" w:h="16838" w:orient="portrait"/>
          <w:cols w:equalWidth="0" w:num="1">
            <w:col w:w="11240"/>
          </w:cols>
          <w:pgMar w:left="320" w:top="1427" w:right="339" w:bottom="1440" w:gutter="0" w:footer="0" w:header="0"/>
        </w:sectPr>
      </w:pPr>
    </w:p>
    <w:bookmarkStart w:id="134" w:name="page135"/>
    <w:bookmarkEnd w:id="134"/>
    <w:p>
      <w:pPr>
        <w:jc w:val="both"/>
        <w:spacing w:after="0" w:line="302" w:lineRule="auto"/>
        <w:rPr>
          <w:sz w:val="20"/>
          <w:szCs w:val="20"/>
          <w:color w:val="auto"/>
        </w:rPr>
      </w:pPr>
      <w:r>
        <w:rPr>
          <w:rFonts w:ascii="Arial" w:cs="Arial" w:eastAsia="Arial" w:hAnsi="Arial"/>
          <w:sz w:val="19"/>
          <w:szCs w:val="19"/>
          <w:color w:val="auto"/>
        </w:rPr>
        <w:t xml:space="preserve">Eligible Accounts and Eligible 90-Day Accounts </w:t>
      </w:r>
      <w:r>
        <w:rPr>
          <w:rFonts w:ascii="Arial" w:cs="Arial" w:eastAsia="Arial" w:hAnsi="Arial"/>
          <w:sz w:val="19"/>
          <w:szCs w:val="19"/>
          <w:color w:val="0000FF"/>
        </w:rPr>
        <w:t>and (ii) with respect to Permitted Incremental FILO Loans only, a Discretionary</w:t>
      </w:r>
      <w:r>
        <w:rPr>
          <w:rFonts w:ascii="Arial" w:cs="Arial" w:eastAsia="Arial" w:hAnsi="Arial"/>
          <w:sz w:val="19"/>
          <w:szCs w:val="19"/>
          <w:color w:val="auto"/>
        </w:rPr>
        <w:t xml:space="preserve"> </w:t>
      </w:r>
      <w:r>
        <w:rPr>
          <w:rFonts w:ascii="Arial" w:cs="Arial" w:eastAsia="Arial" w:hAnsi="Arial"/>
          <w:sz w:val="19"/>
          <w:szCs w:val="19"/>
          <w:u w:val="single" w:color="auto"/>
          <w:color w:val="0000FF"/>
        </w:rPr>
        <w:t>FILO Dilution Reserve, in each case,</w:t>
      </w:r>
      <w:r>
        <w:rPr>
          <w:rFonts w:ascii="Arial" w:cs="Arial" w:eastAsia="Arial" w:hAnsi="Arial"/>
          <w:sz w:val="19"/>
          <w:szCs w:val="19"/>
          <w:color w:val="0000FF"/>
        </w:rPr>
        <w:t xml:space="preserve"> </w:t>
      </w:r>
      <w:r>
        <w:rPr>
          <w:rFonts w:ascii="Arial" w:cs="Arial" w:eastAsia="Arial" w:hAnsi="Arial"/>
          <w:sz w:val="19"/>
          <w:szCs w:val="19"/>
          <w:color w:val="000000"/>
        </w:rPr>
        <w:t>from time to time in its Permitted Discretion in conformity with</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Section 2.18</w:t>
      </w:r>
      <w:r>
        <w:rPr>
          <w:rFonts w:ascii="Arial" w:cs="Arial" w:eastAsia="Arial" w:hAnsi="Arial"/>
          <w:sz w:val="19"/>
          <w:szCs w:val="19"/>
          <w:color w:val="000000"/>
        </w:rPr>
        <w:t>. Any</w:t>
      </w:r>
      <w:r>
        <w:rPr>
          <w:rFonts w:ascii="Arial" w:cs="Arial" w:eastAsia="Arial" w:hAnsi="Arial"/>
          <w:sz w:val="19"/>
          <w:szCs w:val="19"/>
          <w:color w:val="0000FF"/>
        </w:rPr>
        <w:t xml:space="preserve"> </w:t>
      </w:r>
      <w:r>
        <w:rPr>
          <w:rFonts w:ascii="Arial" w:cs="Arial" w:eastAsia="Arial" w:hAnsi="Arial"/>
          <w:sz w:val="19"/>
          <w:szCs w:val="19"/>
          <w:color w:val="000000"/>
        </w:rPr>
        <w:t>Accounts which are not Eligible Accounts or Eligible 90-Day Accounts shall nevertheless be part of (i) in the case of the U.S. Credit Parties, the ABL Priority Collateral and (ii) in the case of the Canadian Credit Parties, the Canadian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2690495</wp:posOffset>
            </wp:positionH>
            <wp:positionV relativeFrom="paragraph">
              <wp:posOffset>-555625</wp:posOffset>
            </wp:positionV>
            <wp:extent cx="44462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4446270" cy="8255"/>
                    </a:xfrm>
                    <a:prstGeom prst="rect">
                      <a:avLst/>
                    </a:prstGeom>
                    <a:noFill/>
                  </pic:spPr>
                </pic:pic>
              </a:graphicData>
            </a:graphic>
          </wp:anchor>
        </w:drawing>
      </w:r>
    </w:p>
    <w:p>
      <w:pPr>
        <w:spacing w:after="0" w:line="122"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In the event that an Account, which was previously an Eligible Account or an Eligible 90-Day Account, ceases to be an Eligible Account or an Eligible 90-Day Account, as applicable, hereunder, Borrower Representative shall exclude such Account from Eligible Accounts and Eligible 90-Day Accounts on, and at the time of submission to Agent of, the next Borrowing Base Certificate. In determining the amount of the Eligible Account or Eligible 90-Day Account, as applicable, the face amount of an Account shall be reduced by, without duplication and to the extent such reduction is not reflected in such face amount, (i) the amount of all accrued and actual discounts, claims, credits or credits pending, promotional program allowances, price adjustments, finance charges or other allowances (including, any amount that any Credit Party is obligated to rebate to an Account Debtor pursuant to the terms of any agreement or understanding (written or oral)), and (ii) the aggregate amount of all cash received in respect of such Account but not yet applied by any Credit Party to reduce the amount of such Account.</w:t>
      </w:r>
    </w:p>
    <w:p>
      <w:pPr>
        <w:spacing w:after="0" w:line="157" w:lineRule="exact"/>
        <w:rPr>
          <w:sz w:val="20"/>
          <w:szCs w:val="20"/>
          <w:color w:val="auto"/>
        </w:rPr>
      </w:pPr>
    </w:p>
    <w:p>
      <w:pPr>
        <w:jc w:val="both"/>
        <w:ind w:firstLine="47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Assignee</w:t>
      </w:r>
      <w:r>
        <w:rPr>
          <w:rFonts w:ascii="Arial" w:cs="Arial" w:eastAsia="Arial" w:hAnsi="Arial"/>
          <w:sz w:val="22"/>
          <w:szCs w:val="22"/>
          <w:color w:val="auto"/>
        </w:rPr>
        <w:t xml:space="preserve">” means (a) a Lender, (b) a commercial bank, insurance company, finance company, financial institution, any fund that invests in revolving loans, (c) any Affiliate of a Lender, or (d) an Approved Fund of a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any event, “Eligible Assignee” shall not include (i) any natural person, (ii) any Disqualified Institution or (iii) any Borrower, any Subsidiary or any Affiliate thereof.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0000FF"/>
        </w:rPr>
        <w:t>Eligible Billed Accounts” means Eligible Accounts other than Eligible Unbilled Accounts.</w:t>
      </w:r>
    </w:p>
    <w:p>
      <w:pPr>
        <w:spacing w:after="0" w:line="220" w:lineRule="exact"/>
        <w:rPr>
          <w:sz w:val="20"/>
          <w:szCs w:val="20"/>
          <w:color w:val="auto"/>
        </w:rPr>
      </w:pPr>
    </w:p>
    <w:p>
      <w:pPr>
        <w:jc w:val="both"/>
        <w:ind w:firstLine="499"/>
        <w:spacing w:after="0" w:line="297" w:lineRule="auto"/>
        <w:rPr>
          <w:sz w:val="20"/>
          <w:szCs w:val="20"/>
          <w:color w:val="auto"/>
        </w:rPr>
      </w:pPr>
      <w:r>
        <w:rPr>
          <w:rFonts w:ascii="Arial" w:cs="Arial" w:eastAsia="Arial" w:hAnsi="Arial"/>
          <w:sz w:val="19"/>
          <w:szCs w:val="19"/>
          <w:color w:val="0000FF"/>
        </w:rPr>
        <w:t>“</w:t>
      </w:r>
      <w:r>
        <w:rPr>
          <w:rFonts w:ascii="Arial" w:cs="Arial" w:eastAsia="Arial" w:hAnsi="Arial"/>
          <w:sz w:val="19"/>
          <w:szCs w:val="19"/>
          <w:u w:val="single" w:color="auto"/>
          <w:color w:val="000000"/>
        </w:rPr>
        <w:t>Eligible Equipment</w:t>
      </w:r>
      <w:r>
        <w:rPr>
          <w:rFonts w:ascii="Arial" w:cs="Arial" w:eastAsia="Arial" w:hAnsi="Arial"/>
          <w:sz w:val="19"/>
          <w:szCs w:val="19"/>
          <w:color w:val="000000"/>
        </w:rPr>
        <w:t>” means Equipment of the U.S. Credit Parties (in case of the U.S. Borrowing Base) or all Credit Parties</w:t>
      </w:r>
      <w:r>
        <w:rPr>
          <w:rFonts w:ascii="Arial" w:cs="Arial" w:eastAsia="Arial" w:hAnsi="Arial"/>
          <w:sz w:val="19"/>
          <w:szCs w:val="19"/>
          <w:color w:val="0000FF"/>
        </w:rPr>
        <w:t xml:space="preserve"> </w:t>
      </w:r>
      <w:r>
        <w:rPr>
          <w:rFonts w:ascii="Arial" w:cs="Arial" w:eastAsia="Arial" w:hAnsi="Arial"/>
          <w:sz w:val="19"/>
          <w:szCs w:val="19"/>
          <w:color w:val="000000"/>
        </w:rPr>
        <w:t>(in case of the Canadian Borrowing Base) (a) that is located at one of the business locations of a Credit Party, (b) that is not excluded as ineligible by virtue of the one or more of the criteria set forth below, and (c) in respect of which Agent has completed a Borrowing Base Collateral review and an appraisal report, in form and substance reasonably satisfactory to Co-Collateral Agents, has been delivered to Agent. An item of Equipment shall not be included in Eligible Equipment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-715645</wp:posOffset>
            </wp:positionV>
            <wp:extent cx="3778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377825" cy="8255"/>
                    </a:xfrm>
                    <a:prstGeom prst="rect">
                      <a:avLst/>
                    </a:prstGeom>
                    <a:noFill/>
                  </pic:spPr>
                </pic:pic>
              </a:graphicData>
            </a:graphic>
          </wp:anchor>
        </w:drawing>
      </w:r>
    </w:p>
    <w:p>
      <w:pPr>
        <w:spacing w:after="0" w:line="127" w:lineRule="exact"/>
        <w:rPr>
          <w:sz w:val="20"/>
          <w:szCs w:val="20"/>
          <w:color w:val="auto"/>
        </w:rPr>
      </w:pPr>
    </w:p>
    <w:p>
      <w:pPr>
        <w:ind w:left="920" w:hanging="264"/>
        <w:spacing w:after="0"/>
        <w:tabs>
          <w:tab w:leader="none" w:pos="9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 Credit Party does not have good and valid title thereto;</w:t>
      </w:r>
    </w:p>
    <w:p>
      <w:pPr>
        <w:spacing w:after="0" w:line="219" w:lineRule="exact"/>
        <w:rPr>
          <w:rFonts w:ascii="Arial" w:cs="Arial" w:eastAsia="Arial" w:hAnsi="Arial"/>
          <w:sz w:val="22"/>
          <w:szCs w:val="22"/>
          <w:color w:val="auto"/>
        </w:rPr>
      </w:pPr>
    </w:p>
    <w:p>
      <w:pPr>
        <w:ind w:left="660" w:hanging="4"/>
        <w:spacing w:after="0" w:line="343" w:lineRule="auto"/>
        <w:tabs>
          <w:tab w:leader="none" w:pos="978" w:val="left"/>
        </w:tabs>
        <w:numPr>
          <w:ilvl w:val="0"/>
          <w:numId w:val="38"/>
        </w:numPr>
        <w:rPr>
          <w:rFonts w:ascii="Arial" w:cs="Arial" w:eastAsia="Arial" w:hAnsi="Arial"/>
          <w:sz w:val="19"/>
          <w:szCs w:val="19"/>
          <w:color w:val="auto"/>
        </w:rPr>
      </w:pPr>
      <w:r>
        <w:rPr>
          <w:rFonts w:ascii="Arial" w:cs="Arial" w:eastAsia="Arial" w:hAnsi="Arial"/>
          <w:sz w:val="19"/>
          <w:szCs w:val="19"/>
          <w:color w:val="auto"/>
        </w:rPr>
        <w:t>(A) with respect to Equipment of the U.S. Credit Parties, it is not located in the continental United States, and (B) with respect to Equipment of the Canadian Credit Parties, it is not located in Canada or the continental United States;</w:t>
      </w:r>
    </w:p>
    <w:p>
      <w:pPr>
        <w:spacing w:after="0" w:line="104" w:lineRule="exact"/>
        <w:rPr>
          <w:rFonts w:ascii="Arial" w:cs="Arial" w:eastAsia="Arial" w:hAnsi="Arial"/>
          <w:sz w:val="19"/>
          <w:szCs w:val="19"/>
          <w:color w:val="auto"/>
        </w:rPr>
      </w:pPr>
    </w:p>
    <w:p>
      <w:pPr>
        <w:ind w:left="660" w:hanging="4"/>
        <w:spacing w:after="0" w:line="263" w:lineRule="auto"/>
        <w:tabs>
          <w:tab w:leader="none" w:pos="1057" w:val="left"/>
        </w:tabs>
        <w:numPr>
          <w:ilvl w:val="0"/>
          <w:numId w:val="38"/>
        </w:numPr>
        <w:rPr>
          <w:rFonts w:ascii="Arial" w:cs="Arial" w:eastAsia="Arial" w:hAnsi="Arial"/>
          <w:sz w:val="22"/>
          <w:szCs w:val="22"/>
          <w:color w:val="auto"/>
        </w:rPr>
      </w:pPr>
      <w:r>
        <w:rPr>
          <w:rFonts w:ascii="Arial" w:cs="Arial" w:eastAsia="Arial" w:hAnsi="Arial"/>
          <w:sz w:val="22"/>
          <w:szCs w:val="22"/>
          <w:color w:val="auto"/>
        </w:rPr>
        <w:t>it is located on real property not owned by a Credit Party, unless (A) (1) it is subject to a written subordination or waiver, in form and substance reasonably satisfactory to Co-</w:t>
      </w:r>
    </w:p>
    <w:p>
      <w:pPr>
        <w:sectPr>
          <w:pgSz w:w="11900" w:h="16838" w:orient="portrait"/>
          <w:cols w:equalWidth="0" w:num="1">
            <w:col w:w="11240"/>
          </w:cols>
          <w:pgMar w:left="320" w:top="1427" w:right="339" w:bottom="1440" w:gutter="0" w:footer="0" w:header="0"/>
        </w:sectPr>
      </w:pPr>
    </w:p>
    <w:bookmarkStart w:id="135" w:name="page136"/>
    <w:bookmarkEnd w:id="135"/>
    <w:p>
      <w:pPr>
        <w:jc w:val="both"/>
        <w:ind w:left="220"/>
        <w:spacing w:after="0" w:line="250" w:lineRule="auto"/>
        <w:rPr>
          <w:sz w:val="20"/>
          <w:szCs w:val="20"/>
          <w:color w:val="auto"/>
        </w:rPr>
      </w:pPr>
      <w:r>
        <w:rPr>
          <w:rFonts w:ascii="Arial" w:cs="Arial" w:eastAsia="Arial" w:hAnsi="Arial"/>
          <w:sz w:val="22"/>
          <w:szCs w:val="22"/>
          <w:color w:val="auto"/>
        </w:rPr>
        <w:t>Collateral Agents, executed by each owner and each lessor of such real property (and any holder of a Lien on such real property) or (2) solely with respect to Equipment, that is located on real property not owned by a Credit Party, a Rent Reserve has been established by Agent with respect to such Equipment, and (B) it is segregated or otherwise separately identifiable from goods of others, if any, located on such real property;</w:t>
      </w:r>
    </w:p>
    <w:p>
      <w:pPr>
        <w:spacing w:after="0" w:line="188" w:lineRule="exact"/>
        <w:rPr>
          <w:sz w:val="20"/>
          <w:szCs w:val="20"/>
          <w:color w:val="auto"/>
        </w:rPr>
      </w:pPr>
    </w:p>
    <w:p>
      <w:pPr>
        <w:ind w:left="220" w:right="20" w:hanging="4"/>
        <w:spacing w:after="0" w:line="343" w:lineRule="auto"/>
        <w:tabs>
          <w:tab w:leader="none" w:pos="605" w:val="left"/>
        </w:tabs>
        <w:numPr>
          <w:ilvl w:val="0"/>
          <w:numId w:val="39"/>
        </w:numPr>
        <w:rPr>
          <w:rFonts w:ascii="Arial" w:cs="Arial" w:eastAsia="Arial" w:hAnsi="Arial"/>
          <w:sz w:val="19"/>
          <w:szCs w:val="19"/>
          <w:color w:val="auto"/>
        </w:rPr>
      </w:pPr>
      <w:r>
        <w:rPr>
          <w:rFonts w:ascii="Arial" w:cs="Arial" w:eastAsia="Arial" w:hAnsi="Arial"/>
          <w:sz w:val="19"/>
          <w:szCs w:val="19"/>
          <w:color w:val="auto"/>
        </w:rPr>
        <w:t>it is located on real property owned by a Credit Party and is subject to a Lien in favor of a mortgagee, unless it is subject to a written subordination or waiver, in form and substance reasonably satisfactory to Co-Collateral Agents;</w:t>
      </w:r>
    </w:p>
    <w:p>
      <w:pPr>
        <w:spacing w:after="0" w:line="104" w:lineRule="exact"/>
        <w:rPr>
          <w:rFonts w:ascii="Arial" w:cs="Arial" w:eastAsia="Arial" w:hAnsi="Arial"/>
          <w:sz w:val="19"/>
          <w:szCs w:val="19"/>
          <w:color w:val="auto"/>
        </w:rPr>
      </w:pPr>
    </w:p>
    <w:p>
      <w:pPr>
        <w:jc w:val="both"/>
        <w:ind w:left="220" w:hanging="4"/>
        <w:spacing w:after="0" w:line="291" w:lineRule="auto"/>
        <w:tabs>
          <w:tab w:leader="none" w:pos="528" w:val="left"/>
        </w:tabs>
        <w:numPr>
          <w:ilvl w:val="0"/>
          <w:numId w:val="39"/>
        </w:numPr>
        <w:rPr>
          <w:rFonts w:ascii="Arial" w:cs="Arial" w:eastAsia="Arial" w:hAnsi="Arial"/>
          <w:sz w:val="19"/>
          <w:szCs w:val="19"/>
          <w:color w:val="auto"/>
        </w:rPr>
      </w:pPr>
      <w:r>
        <w:rPr>
          <w:rFonts w:ascii="Arial" w:cs="Arial" w:eastAsia="Arial" w:hAnsi="Arial"/>
          <w:sz w:val="19"/>
          <w:szCs w:val="19"/>
          <w:color w:val="auto"/>
        </w:rPr>
        <w:t>it is not subject to a valid and perfected first priority Lien in favor of Agent, other than Permitted Liens in favor of any bailee, landlord, warehouseman, mechanic or other non-consensual Lien arising by operation of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either</w:t>
      </w:r>
    </w:p>
    <w:p>
      <w:pPr>
        <w:spacing w:after="0" w:line="1" w:lineRule="exact"/>
        <w:rPr>
          <w:rFonts w:ascii="Arial" w:cs="Arial" w:eastAsia="Arial" w:hAnsi="Arial"/>
          <w:sz w:val="19"/>
          <w:szCs w:val="19"/>
          <w:color w:val="auto"/>
        </w:rPr>
      </w:pPr>
    </w:p>
    <w:p>
      <w:pPr>
        <w:jc w:val="both"/>
        <w:ind w:left="220" w:hanging="4"/>
        <w:spacing w:after="0" w:line="281" w:lineRule="auto"/>
        <w:tabs>
          <w:tab w:leader="none" w:pos="537"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holder of such Permitted Lien has waived or subordinated such Permitted Lien to Agent’s reasonable satisfaction pursuant to a landlord waiver, bailee letter or comparable agreement or (y) a rent reserve has been established by Agent in the exercise of its Permitted Discretion, which rent reserve, with respect to landlord Liens shall not be in excess of three</w:t>
      </w:r>
    </w:p>
    <w:p>
      <w:pPr>
        <w:spacing w:after="0" w:line="2" w:lineRule="exact"/>
        <w:rPr>
          <w:rFonts w:ascii="Arial" w:cs="Arial" w:eastAsia="Arial" w:hAnsi="Arial"/>
          <w:sz w:val="19"/>
          <w:szCs w:val="19"/>
          <w:color w:val="auto"/>
        </w:rPr>
      </w:pPr>
    </w:p>
    <w:p>
      <w:pPr>
        <w:ind w:left="220"/>
        <w:spacing w:after="0" w:line="246" w:lineRule="auto"/>
        <w:rPr>
          <w:rFonts w:ascii="Arial" w:cs="Arial" w:eastAsia="Arial" w:hAnsi="Arial"/>
          <w:sz w:val="19"/>
          <w:szCs w:val="19"/>
          <w:color w:val="auto"/>
        </w:rPr>
      </w:pPr>
      <w:r>
        <w:rPr>
          <w:rFonts w:ascii="Arial" w:cs="Arial" w:eastAsia="Arial" w:hAnsi="Arial"/>
          <w:sz w:val="22"/>
          <w:szCs w:val="22"/>
          <w:color w:val="auto"/>
        </w:rPr>
        <w:t>(3) months’ rent (or for such longer time period that is determined by Agent in its Permitted Discretion as reasonably necessary to protect and/or realize upon the Collateral));</w:t>
      </w:r>
    </w:p>
    <w:p>
      <w:pPr>
        <w:spacing w:after="0" w:line="192" w:lineRule="exact"/>
        <w:rPr>
          <w:rFonts w:ascii="Arial" w:cs="Arial" w:eastAsia="Arial" w:hAnsi="Arial"/>
          <w:sz w:val="19"/>
          <w:szCs w:val="19"/>
          <w:color w:val="auto"/>
        </w:rPr>
      </w:pPr>
    </w:p>
    <w:p>
      <w:pPr>
        <w:ind w:left="220" w:hanging="4"/>
        <w:spacing w:after="0" w:line="343" w:lineRule="auto"/>
        <w:tabs>
          <w:tab w:leader="none" w:pos="59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it (A) is not in good repair and normal operating condition in accordance with its intended use in the business of such Credit Party, (B) is substantially worn, damaged, defective or obsolete, or (C) constitutes furnishings, fixtures or parts, or</w:t>
      </w:r>
    </w:p>
    <w:p>
      <w:pPr>
        <w:spacing w:after="0" w:line="104" w:lineRule="exact"/>
        <w:rPr>
          <w:rFonts w:ascii="Arial" w:cs="Arial" w:eastAsia="Arial" w:hAnsi="Arial"/>
          <w:sz w:val="19"/>
          <w:szCs w:val="19"/>
          <w:color w:val="auto"/>
        </w:rPr>
      </w:pPr>
    </w:p>
    <w:p>
      <w:pPr>
        <w:ind w:left="220" w:hanging="4"/>
        <w:spacing w:after="0" w:line="343" w:lineRule="auto"/>
        <w:tabs>
          <w:tab w:leader="none" w:pos="687"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receipts received by any Credit Party from any warehouse states that the goods covered thereby are to be delivered to bearer or to the order of a named Person or to a named Person and such named Person’s assigns.</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Rolling Stock</w:t>
      </w:r>
      <w:r>
        <w:rPr>
          <w:rFonts w:ascii="Arial" w:cs="Arial" w:eastAsia="Arial" w:hAnsi="Arial"/>
          <w:sz w:val="22"/>
          <w:szCs w:val="22"/>
          <w:color w:val="auto"/>
        </w:rPr>
        <w:t>” means Rolling Stock constituting Railcars, Chassis, trucks, trailers and tractors that:</w:t>
      </w:r>
    </w:p>
    <w:p>
      <w:pPr>
        <w:spacing w:after="0" w:line="220" w:lineRule="exact"/>
        <w:rPr>
          <w:sz w:val="20"/>
          <w:szCs w:val="20"/>
          <w:color w:val="auto"/>
        </w:rPr>
      </w:pPr>
    </w:p>
    <w:p>
      <w:pPr>
        <w:ind w:left="480" w:hanging="264"/>
        <w:spacing w:after="0"/>
        <w:tabs>
          <w:tab w:leader="none" w:pos="4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are owned by any of the U.S. Credit Parties,</w:t>
      </w:r>
    </w:p>
    <w:p>
      <w:pPr>
        <w:spacing w:after="0" w:line="219" w:lineRule="exact"/>
        <w:rPr>
          <w:rFonts w:ascii="Arial" w:cs="Arial" w:eastAsia="Arial" w:hAnsi="Arial"/>
          <w:sz w:val="22"/>
          <w:szCs w:val="22"/>
          <w:color w:val="auto"/>
        </w:rPr>
      </w:pPr>
    </w:p>
    <w:p>
      <w:pPr>
        <w:jc w:val="both"/>
        <w:ind w:left="220" w:hanging="4"/>
        <w:spacing w:after="0" w:line="247" w:lineRule="auto"/>
        <w:tabs>
          <w:tab w:leader="none" w:pos="538"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in the case of Rolling Stock other than Railcars, is either subject to a valid certificate of title (other than with respect to trailers that are registered or located in a State that does not provide that a “certificate of title” is an evidence of ownership of trailers registered or located in such State), or if not so subject, has been fully assembled and delivered to a U.S. Credit Party and, in each case, is subject to a manufacturer’s statement of origin that has been delivered to the applicable titling authority to promptly cause such Rolling Stock to become titled and Agent’s Lien (subject to </w:t>
      </w:r>
      <w:r>
        <w:rPr>
          <w:rFonts w:ascii="Arial" w:cs="Arial" w:eastAsia="Arial" w:hAnsi="Arial"/>
          <w:sz w:val="22"/>
          <w:szCs w:val="22"/>
          <w:u w:val="single" w:color="auto"/>
          <w:color w:val="auto"/>
        </w:rPr>
        <w:t>Section 6.17(b)</w:t>
      </w:r>
      <w:r>
        <w:rPr>
          <w:rFonts w:ascii="Arial" w:cs="Arial" w:eastAsia="Arial" w:hAnsi="Arial"/>
          <w:sz w:val="22"/>
          <w:szCs w:val="22"/>
          <w:color w:val="auto"/>
        </w:rPr>
        <w:t>) has been indicated on such “certificate of title”,</w:t>
      </w:r>
    </w:p>
    <w:p>
      <w:pPr>
        <w:spacing w:after="0" w:line="192" w:lineRule="exact"/>
        <w:rPr>
          <w:rFonts w:ascii="Arial" w:cs="Arial" w:eastAsia="Arial" w:hAnsi="Arial"/>
          <w:sz w:val="22"/>
          <w:szCs w:val="22"/>
          <w:color w:val="auto"/>
        </w:rPr>
      </w:pPr>
    </w:p>
    <w:p>
      <w:pPr>
        <w:jc w:val="both"/>
        <w:ind w:left="220" w:hanging="4"/>
        <w:spacing w:after="0" w:line="312" w:lineRule="auto"/>
        <w:tabs>
          <w:tab w:leader="none" w:pos="607"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 the case of Railcars, Parent Borrower has elected to include in the Borrowing Base and the applicable U.S. Credit Party has executed and delivered to Agent such Memorandum of Security Agreements as Agent may request and recorded such Memorandum of Security Agreements with the Surface Transportation Board and taken</w:t>
      </w:r>
    </w:p>
    <w:p>
      <w:pPr>
        <w:sectPr>
          <w:pgSz w:w="11900" w:h="16838" w:orient="portrait"/>
          <w:cols w:equalWidth="0" w:num="1">
            <w:col w:w="10800"/>
          </w:cols>
          <w:pgMar w:left="760" w:top="1427" w:right="339" w:bottom="1440" w:gutter="0" w:footer="0" w:header="0"/>
        </w:sectPr>
      </w:pPr>
    </w:p>
    <w:bookmarkStart w:id="136" w:name="page137"/>
    <w:bookmarkEnd w:id="136"/>
    <w:p>
      <w:pPr>
        <w:ind w:left="660"/>
        <w:spacing w:after="0" w:line="263" w:lineRule="auto"/>
        <w:rPr>
          <w:sz w:val="20"/>
          <w:szCs w:val="20"/>
          <w:color w:val="auto"/>
        </w:rPr>
      </w:pPr>
      <w:r>
        <w:rPr>
          <w:rFonts w:ascii="Arial" w:cs="Arial" w:eastAsia="Arial" w:hAnsi="Arial"/>
          <w:sz w:val="22"/>
          <w:szCs w:val="22"/>
          <w:color w:val="auto"/>
        </w:rPr>
        <w:t>such other action as Co-Collateral Agents may reasonably request to perfect Agent’s first priority Liens and security interests in such Railcars,</w:t>
      </w:r>
    </w:p>
    <w:p>
      <w:pPr>
        <w:spacing w:after="0" w:line="175" w:lineRule="exact"/>
        <w:rPr>
          <w:sz w:val="20"/>
          <w:szCs w:val="20"/>
          <w:color w:val="auto"/>
        </w:rPr>
      </w:pPr>
    </w:p>
    <w:p>
      <w:pPr>
        <w:jc w:val="both"/>
        <w:ind w:left="660" w:hanging="4"/>
        <w:spacing w:after="0" w:line="312" w:lineRule="auto"/>
        <w:tabs>
          <w:tab w:leader="none" w:pos="1028" w:val="left"/>
        </w:tabs>
        <w:numPr>
          <w:ilvl w:val="0"/>
          <w:numId w:val="43"/>
        </w:numPr>
        <w:rPr>
          <w:rFonts w:ascii="Arial" w:cs="Arial" w:eastAsia="Arial" w:hAnsi="Arial"/>
          <w:sz w:val="19"/>
          <w:szCs w:val="19"/>
          <w:color w:val="auto"/>
        </w:rPr>
      </w:pPr>
      <w:r>
        <w:rPr>
          <w:rFonts w:ascii="Arial" w:cs="Arial" w:eastAsia="Arial" w:hAnsi="Arial"/>
          <w:sz w:val="19"/>
          <w:szCs w:val="19"/>
          <w:color w:val="auto"/>
        </w:rPr>
        <w:t>are in good operating condition, are not unmerchantable (other than in connection with Agent’s Liens), are not out for repair for more than 30 consecutive days, meet in all material respects all standards imposed by any Governmental Authority having regulatory authority over such Rolling Stock, are usable and in good working order,</w:t>
      </w:r>
    </w:p>
    <w:p>
      <w:pPr>
        <w:spacing w:after="0" w:line="133" w:lineRule="exact"/>
        <w:rPr>
          <w:rFonts w:ascii="Arial" w:cs="Arial" w:eastAsia="Arial" w:hAnsi="Arial"/>
          <w:sz w:val="19"/>
          <w:szCs w:val="19"/>
          <w:color w:val="auto"/>
        </w:rPr>
      </w:pPr>
    </w:p>
    <w:p>
      <w:pPr>
        <w:ind w:left="660" w:right="20" w:hanging="4"/>
        <w:spacing w:after="0" w:line="263" w:lineRule="auto"/>
        <w:tabs>
          <w:tab w:leader="none" w:pos="967" w:val="left"/>
        </w:tabs>
        <w:numPr>
          <w:ilvl w:val="0"/>
          <w:numId w:val="43"/>
        </w:numPr>
        <w:rPr>
          <w:rFonts w:ascii="Arial" w:cs="Arial" w:eastAsia="Arial" w:hAnsi="Arial"/>
          <w:sz w:val="22"/>
          <w:szCs w:val="22"/>
          <w:color w:val="auto"/>
        </w:rPr>
      </w:pPr>
      <w:r>
        <w:rPr>
          <w:rFonts w:ascii="Arial" w:cs="Arial" w:eastAsia="Arial" w:hAnsi="Arial"/>
          <w:sz w:val="22"/>
          <w:szCs w:val="22"/>
          <w:color w:val="auto"/>
        </w:rPr>
        <w:t>are not located outside the continental United States and Canada, including in connection with any “over the road use” or “over the rail use”,</w:t>
      </w:r>
    </w:p>
    <w:p>
      <w:pPr>
        <w:spacing w:after="0" w:line="174" w:lineRule="exact"/>
        <w:rPr>
          <w:rFonts w:ascii="Arial" w:cs="Arial" w:eastAsia="Arial" w:hAnsi="Arial"/>
          <w:sz w:val="22"/>
          <w:szCs w:val="22"/>
          <w:color w:val="auto"/>
        </w:rPr>
      </w:pPr>
    </w:p>
    <w:p>
      <w:pPr>
        <w:jc w:val="both"/>
        <w:ind w:left="660" w:hanging="4"/>
        <w:spacing w:after="0" w:line="259" w:lineRule="auto"/>
        <w:tabs>
          <w:tab w:leader="none" w:pos="1047" w:val="left"/>
        </w:tabs>
        <w:numPr>
          <w:ilvl w:val="0"/>
          <w:numId w:val="43"/>
        </w:numPr>
        <w:rPr>
          <w:rFonts w:ascii="Arial" w:cs="Arial" w:eastAsia="Arial" w:hAnsi="Arial"/>
          <w:sz w:val="21"/>
          <w:szCs w:val="21"/>
          <w:color w:val="auto"/>
        </w:rPr>
      </w:pPr>
      <w:r>
        <w:rPr>
          <w:rFonts w:ascii="Arial" w:cs="Arial" w:eastAsia="Arial" w:hAnsi="Arial"/>
          <w:sz w:val="21"/>
          <w:szCs w:val="21"/>
          <w:color w:val="auto"/>
        </w:rPr>
        <w:t>(a) other than with respect to Railcars, are not subject to any lease or other similar arrangement (or if subject to a lease or other similar arrangement, such arrangement is reasonably satisfactory to Co-Collateral Agents and is subject to an acknowledgement of Agent’s Liens and, if applicable, Collateral Access Agreements) and (b) with respect to Railcars, are not subject to any lease, contract or arrangement for hire other than in connection with participation in the Interchange System through Brandon Railroad LLC’s (or any successor railroad acceptable to Agent in its Permitted Discretion under whose marks the Railcars operate) status as “Subscriber” under the Interchange System and which participation is managed by Greenbrier Leasing Company LLC (or its successor or assign) in accordance with the terms of the Administrative Services Agreement (or other similar arrangement, including, if applicable, Collateral Access Agreements), and</w:t>
      </w:r>
    </w:p>
    <w:p>
      <w:pPr>
        <w:spacing w:after="0" w:line="179" w:lineRule="exact"/>
        <w:rPr>
          <w:rFonts w:ascii="Arial" w:cs="Arial" w:eastAsia="Arial" w:hAnsi="Arial"/>
          <w:sz w:val="21"/>
          <w:szCs w:val="21"/>
          <w:color w:val="auto"/>
        </w:rPr>
      </w:pPr>
    </w:p>
    <w:p>
      <w:pPr>
        <w:jc w:val="both"/>
        <w:ind w:left="660" w:hanging="4"/>
        <w:spacing w:after="0" w:line="253" w:lineRule="auto"/>
        <w:tabs>
          <w:tab w:leader="none" w:pos="1118"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in respect of which Co-Collateral Agents are satisfied in their Permitted Discretion that all actions necessary or desirable, including, without limitation pursuant to </w:t>
      </w:r>
      <w:r>
        <w:rPr>
          <w:rFonts w:ascii="Arial" w:cs="Arial" w:eastAsia="Arial" w:hAnsi="Arial"/>
          <w:sz w:val="22"/>
          <w:szCs w:val="22"/>
          <w:u w:val="single" w:color="auto"/>
          <w:color w:val="auto"/>
        </w:rPr>
        <w:t>Section 6.17</w:t>
      </w:r>
      <w:r>
        <w:rPr>
          <w:rFonts w:ascii="Arial" w:cs="Arial" w:eastAsia="Arial" w:hAnsi="Arial"/>
          <w:sz w:val="22"/>
          <w:szCs w:val="22"/>
          <w:color w:val="auto"/>
        </w:rPr>
        <w:t>, in order to create a perfected first priority Lien in favor of Agent on such Rolling Stock have been taken.</w:t>
      </w:r>
    </w:p>
    <w:p>
      <w:pPr>
        <w:spacing w:after="0" w:line="185" w:lineRule="exact"/>
        <w:rPr>
          <w:sz w:val="20"/>
          <w:szCs w:val="20"/>
          <w:color w:val="auto"/>
        </w:rPr>
      </w:pPr>
    </w:p>
    <w:p>
      <w:pPr>
        <w:jc w:val="both"/>
        <w:ind w:firstLine="499"/>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0000FF"/>
        </w:rPr>
        <w:t>Eligible Unbilled Accounts” means Accounts of the type set forth in the proviso to clause (f) of the definition of Eligible</w:t>
      </w:r>
      <w:r>
        <w:rPr>
          <w:rFonts w:ascii="Arial" w:cs="Arial" w:eastAsia="Arial" w:hAnsi="Arial"/>
          <w:sz w:val="22"/>
          <w:szCs w:val="22"/>
          <w:color w:val="auto"/>
        </w:rPr>
        <w:t xml:space="preserve"> </w:t>
      </w:r>
      <w:r>
        <w:rPr>
          <w:rFonts w:ascii="Arial" w:cs="Arial" w:eastAsia="Arial" w:hAnsi="Arial"/>
          <w:sz w:val="22"/>
          <w:szCs w:val="22"/>
          <w:u w:val="single" w:color="auto"/>
          <w:color w:val="0000FF"/>
        </w:rPr>
        <w:t>Accounts.</w:t>
      </w:r>
    </w:p>
    <w:p>
      <w:pPr>
        <w:spacing w:after="0" w:line="175" w:lineRule="exact"/>
        <w:rPr>
          <w:sz w:val="20"/>
          <w:szCs w:val="20"/>
          <w:color w:val="auto"/>
        </w:rPr>
      </w:pPr>
    </w:p>
    <w:p>
      <w:pPr>
        <w:jc w:val="both"/>
        <w:ind w:firstLine="54"/>
        <w:spacing w:after="0" w:line="263" w:lineRule="auto"/>
        <w:rPr>
          <w:sz w:val="20"/>
          <w:szCs w:val="20"/>
          <w:color w:val="auto"/>
        </w:rPr>
      </w:pPr>
      <w:r>
        <w:rPr>
          <w:rFonts w:ascii="Arial" w:cs="Arial" w:eastAsia="Arial" w:hAnsi="Arial"/>
          <w:sz w:val="22"/>
          <w:szCs w:val="22"/>
          <w:color w:val="0000FF"/>
        </w:rPr>
        <w:t>“</w:t>
      </w:r>
      <w:r>
        <w:rPr>
          <w:rFonts w:ascii="Arial" w:cs="Arial" w:eastAsia="Arial" w:hAnsi="Arial"/>
          <w:sz w:val="22"/>
          <w:szCs w:val="22"/>
          <w:u w:val="single" w:color="auto"/>
          <w:color w:val="000000"/>
        </w:rPr>
        <w:t>EMU Legislation</w:t>
      </w:r>
      <w:r>
        <w:rPr>
          <w:rFonts w:ascii="Arial" w:cs="Arial" w:eastAsia="Arial" w:hAnsi="Arial"/>
          <w:sz w:val="22"/>
          <w:szCs w:val="22"/>
          <w:color w:val="000000"/>
        </w:rPr>
        <w:t>” means the legislative measures of the European Council for the introduction of, changeover to or operation</w:t>
      </w:r>
      <w:r>
        <w:rPr>
          <w:rFonts w:ascii="Arial" w:cs="Arial" w:eastAsia="Arial" w:hAnsi="Arial"/>
          <w:sz w:val="22"/>
          <w:szCs w:val="22"/>
          <w:color w:val="0000FF"/>
        </w:rPr>
        <w:t xml:space="preserve"> </w:t>
      </w:r>
      <w:r>
        <w:rPr>
          <w:rFonts w:ascii="Arial" w:cs="Arial" w:eastAsia="Arial" w:hAnsi="Arial"/>
          <w:sz w:val="22"/>
          <w:szCs w:val="22"/>
          <w:color w:val="000000"/>
        </w:rPr>
        <w:t>of a single or unified European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952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95250" cy="8890"/>
                    </a:xfrm>
                    <a:prstGeom prst="rect">
                      <a:avLst/>
                    </a:prstGeom>
                    <a:noFill/>
                  </pic:spPr>
                </pic:pic>
              </a:graphicData>
            </a:graphic>
          </wp:anchor>
        </w:drawing>
      </w:r>
    </w:p>
    <w:p>
      <w:pPr>
        <w:spacing w:after="0" w:line="155" w:lineRule="exact"/>
        <w:rPr>
          <w:sz w:val="20"/>
          <w:szCs w:val="20"/>
          <w:color w:val="auto"/>
        </w:rPr>
      </w:pPr>
    </w:p>
    <w:p>
      <w:pPr>
        <w:jc w:val="both"/>
        <w:ind w:firstLine="553"/>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xml:space="preserve">” means all applicable federal, state, provincial, local and foreign laws, statutes, ordinances, codes, rules, standards and regulations, now or hereafter in effect, including any applicable judicial or administrative order, consent decree, order or judgment, in each case having the force or effect of law, imposing liability or standards of conduct for or relating to the regulation and protection of human health, safety, the environment and natural resources (including ambient air, soil, vapor, surface water, groundwater, wetlands, land surface or subsurface strata, wildlife, aquatic species and vegetation). Environmental Laws include the Comprehensive Environmental Response, Compensation, and Liability Act of 1980 (42 U.S.C. §§ 9601 </w:t>
      </w:r>
      <w:r>
        <w:rPr>
          <w:rFonts w:ascii="Arial" w:cs="Arial" w:eastAsia="Arial" w:hAnsi="Arial"/>
          <w:sz w:val="19"/>
          <w:szCs w:val="19"/>
          <w:u w:val="single" w:color="auto"/>
          <w:color w:val="auto"/>
        </w:rPr>
        <w:t>et seq</w:t>
      </w:r>
      <w:r>
        <w:rPr>
          <w:rFonts w:ascii="Arial" w:cs="Arial" w:eastAsia="Arial" w:hAnsi="Arial"/>
          <w:sz w:val="19"/>
          <w:szCs w:val="19"/>
          <w:color w:val="auto"/>
        </w:rPr>
        <w:t>.) (“</w:t>
      </w:r>
      <w:r>
        <w:rPr>
          <w:rFonts w:ascii="Arial" w:cs="Arial" w:eastAsia="Arial" w:hAnsi="Arial"/>
          <w:sz w:val="19"/>
          <w:szCs w:val="19"/>
          <w:u w:val="single" w:color="auto"/>
          <w:color w:val="auto"/>
        </w:rPr>
        <w:t>CERCLA</w:t>
      </w:r>
      <w:r>
        <w:rPr>
          <w:rFonts w:ascii="Arial" w:cs="Arial" w:eastAsia="Arial" w:hAnsi="Arial"/>
          <w:sz w:val="19"/>
          <w:szCs w:val="19"/>
          <w:color w:val="auto"/>
        </w:rPr>
        <w:t xml:space="preserve">”); the Hazardous Materials Transportation Authorization Act of 1994 (49 U.S.C. §§ 5101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Federal Insecticide, Fungicide, and Rodenticide Act (7 U.S.C. §§ 136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Solid Waste Disposal Act (42 U.S.C. §§ 6901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Toxic Substance Control Act (15 U.S.C. §§ 2601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Clean Air Act (42 U.S.C. §§ 7401 </w:t>
      </w:r>
      <w:r>
        <w:rPr>
          <w:rFonts w:ascii="Arial" w:cs="Arial" w:eastAsia="Arial" w:hAnsi="Arial"/>
          <w:sz w:val="19"/>
          <w:szCs w:val="19"/>
          <w:u w:val="single" w:color="auto"/>
          <w:color w:val="auto"/>
        </w:rPr>
        <w:t>et</w:t>
      </w:r>
    </w:p>
    <w:p>
      <w:pPr>
        <w:sectPr>
          <w:pgSz w:w="11900" w:h="16838" w:orient="portrait"/>
          <w:cols w:equalWidth="0" w:num="1">
            <w:col w:w="11240"/>
          </w:cols>
          <w:pgMar w:left="320" w:top="1427" w:right="339" w:bottom="1440" w:gutter="0" w:footer="0" w:header="0"/>
        </w:sectPr>
      </w:pPr>
    </w:p>
    <w:bookmarkStart w:id="137" w:name="page138"/>
    <w:bookmarkEnd w:id="137"/>
    <w:p>
      <w:pPr>
        <w:jc w:val="both"/>
        <w:spacing w:after="0" w:line="302" w:lineRule="auto"/>
        <w:rPr>
          <w:sz w:val="20"/>
          <w:szCs w:val="20"/>
          <w:color w:val="auto"/>
        </w:rPr>
      </w:pPr>
      <w:r>
        <w:rPr>
          <w:rFonts w:ascii="Arial" w:cs="Arial" w:eastAsia="Arial" w:hAnsi="Arial"/>
          <w:sz w:val="19"/>
          <w:szCs w:val="19"/>
          <w:u w:val="single" w:color="auto"/>
          <w:color w:val="auto"/>
        </w:rPr>
        <w:t>seq</w:t>
      </w:r>
      <w:r>
        <w:rPr>
          <w:rFonts w:ascii="Arial" w:cs="Arial" w:eastAsia="Arial" w:hAnsi="Arial"/>
          <w:sz w:val="19"/>
          <w:szCs w:val="19"/>
          <w:color w:val="auto"/>
        </w:rPr>
        <w:t xml:space="preserve">.); the Federal Water Pollution Control Act (33 U.S.C. §§ 1251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the Occupational Safety and Health Act (29 U.S.C. §§ 651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and the Safe Drinking Water Act (42 U.S.C. §§ 300f </w:t>
      </w:r>
      <w:r>
        <w:rPr>
          <w:rFonts w:ascii="Arial" w:cs="Arial" w:eastAsia="Arial" w:hAnsi="Arial"/>
          <w:sz w:val="19"/>
          <w:szCs w:val="19"/>
          <w:u w:val="single" w:color="auto"/>
          <w:color w:val="auto"/>
        </w:rPr>
        <w:t>et seq</w:t>
      </w:r>
      <w:r>
        <w:rPr>
          <w:rFonts w:ascii="Arial" w:cs="Arial" w:eastAsia="Arial" w:hAnsi="Arial"/>
          <w:sz w:val="19"/>
          <w:szCs w:val="19"/>
          <w:color w:val="auto"/>
        </w:rPr>
        <w:t>.), and any and all regulations promulgated thereunder, and all analogous federal, state, provincial, local and foreign counterparts or equivalents and any transfer of ownership notification or approval statutes related to the protection of human health, safety or the environment.</w:t>
      </w:r>
    </w:p>
    <w:p>
      <w:pPr>
        <w:spacing w:after="0" w:line="14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Liabilities</w:t>
      </w:r>
      <w:r>
        <w:rPr>
          <w:rFonts w:ascii="Arial" w:cs="Arial" w:eastAsia="Arial" w:hAnsi="Arial"/>
          <w:sz w:val="19"/>
          <w:szCs w:val="19"/>
          <w:color w:val="auto"/>
        </w:rPr>
        <w:t>” means, with respect to any Person, all liabilities, obligations, responsibilities, response, remedial and removal costs, investigation and feasibility study costs, losses, damages, punitive damages, property damages, natural resource damages, consequential damages, treble damages, costs and expenses (including all reasonable fees, disbursements and expenses of counsel, experts and consultants), fines, penalties, sanctions and interest incurred as a result of or related to any claim, suit, action, investigation, proceeding or demand by any Person, whether based in contract, tort, implied or express warranty, strict liability, criminal or civil statute or common law, arising under or related to any Environmental Laws, Environmental Permits, or in connection with any Release or threatened Release or presence of a Hazardous Material whether on, at, in, under, from or about or in the vicinity of any real or personal property.</w:t>
      </w:r>
    </w:p>
    <w:p>
      <w:pPr>
        <w:spacing w:after="0" w:line="156" w:lineRule="exact"/>
        <w:rPr>
          <w:sz w:val="20"/>
          <w:szCs w:val="20"/>
          <w:color w:val="auto"/>
        </w:rPr>
      </w:pPr>
    </w:p>
    <w:p>
      <w:pPr>
        <w:jc w:val="both"/>
        <w:ind w:firstLine="513"/>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Permits</w:t>
      </w:r>
      <w:r>
        <w:rPr>
          <w:rFonts w:ascii="Arial" w:cs="Arial" w:eastAsia="Arial" w:hAnsi="Arial"/>
          <w:sz w:val="22"/>
          <w:szCs w:val="22"/>
          <w:color w:val="auto"/>
        </w:rPr>
        <w:t>” means, with respect to any Person, all permits, licenses, authorizations, certificates, approvals or registrations required by any Governmental Authority under any Environmental Laws for conducting the operations of such Person.</w:t>
      </w:r>
    </w:p>
    <w:p>
      <w:pPr>
        <w:spacing w:after="0" w:line="185" w:lineRule="exact"/>
        <w:rPr>
          <w:sz w:val="20"/>
          <w:szCs w:val="20"/>
          <w:color w:val="auto"/>
        </w:rPr>
      </w:pPr>
    </w:p>
    <w:p>
      <w:pPr>
        <w:jc w:val="both"/>
        <w:ind w:right="20" w:firstLine="661"/>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Equipment</w:t>
      </w:r>
      <w:r>
        <w:rPr>
          <w:rFonts w:ascii="Arial" w:cs="Arial" w:eastAsia="Arial" w:hAnsi="Arial"/>
          <w:sz w:val="22"/>
          <w:szCs w:val="22"/>
          <w:color w:val="auto"/>
        </w:rPr>
        <w:t>” means all “equipment,” as such term is defined in the Code or the PPSA, as applicable, now owned or hereafter acquired by any Credit Party, wherever located.</w:t>
      </w:r>
    </w:p>
    <w:p>
      <w:pPr>
        <w:spacing w:after="0" w:line="175"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Equity Interests</w:t>
      </w:r>
      <w:r>
        <w:rPr>
          <w:rFonts w:ascii="Arial" w:cs="Arial" w:eastAsia="Arial" w:hAnsi="Arial"/>
          <w:sz w:val="22"/>
          <w:szCs w:val="22"/>
          <w:color w:val="auto"/>
        </w:rPr>
        <w:t>” means Capital Stock and all warrants, options or other rights to acquire Capital Stock (but excluding any debt security that is convertible into, or exchangeable for, Capital Stock).</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 and any regulations promulgated thereunder.</w:t>
      </w:r>
    </w:p>
    <w:p>
      <w:pPr>
        <w:spacing w:after="0" w:line="175" w:lineRule="exact"/>
        <w:rPr>
          <w:sz w:val="20"/>
          <w:szCs w:val="20"/>
          <w:color w:val="auto"/>
        </w:rPr>
      </w:pPr>
    </w:p>
    <w:p>
      <w:pPr>
        <w:jc w:val="both"/>
        <w:ind w:right="20" w:firstLine="432"/>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with respect to any Credit Party, any trade or business (whether or not incorporated) that, together with such Credit Party, are treated as a single employer within the meaning of Sections 414(b), (c), (m) or (o) of the IRC.</w:t>
      </w:r>
    </w:p>
    <w:p>
      <w:pPr>
        <w:spacing w:after="0" w:line="104" w:lineRule="exact"/>
        <w:rPr>
          <w:sz w:val="20"/>
          <w:szCs w:val="20"/>
          <w:color w:val="auto"/>
        </w:rPr>
      </w:pPr>
    </w:p>
    <w:p>
      <w:pPr>
        <w:jc w:val="both"/>
        <w:ind w:firstLine="472"/>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with respect to any Credit Party or any ERISA Affiliate, (a) any event described in Section 4043(c) of ERISA with respect to a Title IV Plan (other than an event for which the thirty (30) day notice period is waived); (b) the withdrawal of any Credit Party or ERISA Affiliate from a Title IV Plan subject to Section 4063 of ERISA during a plan year in which it was a substantial employer, as defined in Section 4001(a)(2) of ERISA; (c) the complete or partial withdrawal of any Credit Party or any ERISA Affiliate from any Multiemployer Plan; (d) the filing of a notice of intent to terminate a Title IV Plan or the treatment of a plan amendment as a termination under Section 4041 of ERISA; (e) the termination of a Title IV Plan or Multiemployer Plan by the PBGC pursuant to Section 4042 of ERISA; (f) the failure by any</w:t>
      </w:r>
    </w:p>
    <w:p>
      <w:pPr>
        <w:sectPr>
          <w:pgSz w:w="11900" w:h="16838" w:orient="portrait"/>
          <w:cols w:equalWidth="0" w:num="1">
            <w:col w:w="11240"/>
          </w:cols>
          <w:pgMar w:left="320" w:top="1427" w:right="339" w:bottom="1440" w:gutter="0" w:footer="0" w:header="0"/>
        </w:sectPr>
      </w:pPr>
    </w:p>
    <w:bookmarkStart w:id="138" w:name="page139"/>
    <w:bookmarkEnd w:id="138"/>
    <w:p>
      <w:pPr>
        <w:jc w:val="both"/>
        <w:spacing w:after="0" w:line="286" w:lineRule="auto"/>
        <w:rPr>
          <w:sz w:val="20"/>
          <w:szCs w:val="20"/>
          <w:color w:val="auto"/>
        </w:rPr>
      </w:pPr>
      <w:r>
        <w:rPr>
          <w:rFonts w:ascii="Arial" w:cs="Arial" w:eastAsia="Arial" w:hAnsi="Arial"/>
          <w:sz w:val="19"/>
          <w:szCs w:val="19"/>
          <w:color w:val="auto"/>
        </w:rPr>
        <w:t>Credit Party or ERISA Affiliate to make when due required contributions to a Multiemployer Plan or Title IV Plan unless such failure is cured within thirty (30) days; (g) the termination of a Multiemployer Plan under Section 4041A of ERISA or the reorganization or insolvency of a Multiemployer Plan under Section 4241 or 4245 of ERISA or a determination that a Multiemployer Plan is “endangered” or “critical” status under the meaning of Section 432 of the IRC or Section 304 of ERISA;</w:t>
      </w:r>
    </w:p>
    <w:p>
      <w:pPr>
        <w:spacing w:after="0" w:line="3" w:lineRule="exact"/>
        <w:rPr>
          <w:sz w:val="20"/>
          <w:szCs w:val="20"/>
          <w:color w:val="auto"/>
        </w:rPr>
      </w:pPr>
    </w:p>
    <w:p>
      <w:pPr>
        <w:jc w:val="both"/>
        <w:ind w:firstLine="8"/>
        <w:spacing w:after="0" w:line="286" w:lineRule="auto"/>
        <w:tabs>
          <w:tab w:leader="none" w:pos="327"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loss of a Qualified Plan’s qualification or tax exempt status; (i) the termination of a Plan described in Section 4064 of ERISA; (j) any Foreign Benefit Event; or (k) the filing pursuant to Section 412(c) of the Code or Section 302(c) of ERISA of an application for a waiver of the minimum funding standard with respect to any Title IV Plan; (l) a determination that any Title IV Plan is in “at risk” status (within the meaning of Section 430 of the Code or Section 303 of ERISA; (m) the incurrence by any Credit Party or any of its ERISA Affiliates of any liability under Title IV of ERISA (other than non delinquent premiums payable to the PBGC under Sections 4006 and 4007 of ERISA); (n) the imposition of liability on any Credit Party or any ERISA Affiliate due to the cessation of operations at a facility under the circumstances described in Section 4062(e) of ERISA; and (o) the occurrence of a non exempt “prohibited transaction” with respect to which any Credit Party or any of the Subsidiaries is a “disqualified person” (within the meaning of Section 4975 of the Code) or a “party in interest” (within the meaning of Section 406 of ERISA) or with respect to which any Credit Party or any such Subsidiary could otherwise be liable.</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 Lien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6.11</w:t>
      </w:r>
      <w:r>
        <w:rPr>
          <w:rFonts w:ascii="Arial" w:cs="Arial" w:eastAsia="Arial" w:hAnsi="Arial"/>
          <w:sz w:val="22"/>
          <w:szCs w:val="22"/>
          <w:color w:val="auto"/>
        </w:rPr>
        <w:t>.</w:t>
      </w:r>
    </w:p>
    <w:p>
      <w:pPr>
        <w:spacing w:after="0" w:line="220" w:lineRule="exact"/>
        <w:rPr>
          <w:sz w:val="20"/>
          <w:szCs w:val="20"/>
          <w:color w:val="auto"/>
        </w:rPr>
      </w:pPr>
    </w:p>
    <w:p>
      <w:pPr>
        <w:jc w:val="both"/>
        <w:ind w:firstLine="56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E-Signature</w:t>
      </w:r>
      <w:r>
        <w:rPr>
          <w:rFonts w:ascii="Arial" w:cs="Arial" w:eastAsia="Arial" w:hAnsi="Arial"/>
          <w:sz w:val="19"/>
          <w:szCs w:val="19"/>
          <w:color w:val="auto"/>
        </w:rPr>
        <w:t>” means the process of attaching to, or logically associating with, an Electronic Transmission, an electronic symbol, encryption, digital signature or process (including the name or an abbreviation of the name of the party transmitting the Electronic Transmission) with the intent to sign, authenticate or accept such Electronic Transmission.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22"/>
          <w:szCs w:val="22"/>
          <w:color w:val="00C000"/>
        </w:rPr>
        <w:t>“</w:t>
      </w:r>
      <w:r>
        <w:rPr>
          <w:rFonts w:ascii="Arial" w:cs="Arial" w:eastAsia="Arial" w:hAnsi="Arial"/>
          <w:sz w:val="22"/>
          <w:szCs w:val="22"/>
          <w:u w:val="single" w:color="auto"/>
          <w:color w:val="00C000"/>
        </w:rPr>
        <w:t>Excluded Accounts</w:t>
      </w:r>
      <w:r>
        <w:rPr>
          <w:rFonts w:ascii="Arial" w:cs="Arial" w:eastAsia="Arial" w:hAnsi="Arial"/>
          <w:sz w:val="22"/>
          <w:szCs w:val="22"/>
          <w:color w:val="00C000"/>
        </w:rPr>
        <w:t xml:space="preserve">” has the meaning specified in </w:t>
      </w:r>
      <w:r>
        <w:rPr>
          <w:rFonts w:ascii="Arial" w:cs="Arial" w:eastAsia="Arial" w:hAnsi="Arial"/>
          <w:sz w:val="22"/>
          <w:szCs w:val="22"/>
          <w:u w:val="single" w:color="auto"/>
          <w:color w:val="00C000"/>
        </w:rPr>
        <w:t>Annex A</w:t>
      </w:r>
      <w:r>
        <w:rPr>
          <w:rFonts w:ascii="Arial" w:cs="Arial" w:eastAsia="Arial" w:hAnsi="Arial"/>
          <w:sz w:val="22"/>
          <w:szCs w:val="22"/>
          <w:color w:val="00C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36296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3629660" cy="8890"/>
                    </a:xfrm>
                    <a:prstGeom prst="rect">
                      <a:avLst/>
                    </a:prstGeom>
                    <a:noFill/>
                  </pic:spPr>
                </pic:pic>
              </a:graphicData>
            </a:graphic>
          </wp:anchor>
        </w:drawing>
      </w:r>
    </w:p>
    <w:p>
      <w:pPr>
        <w:spacing w:after="0" w:line="200"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E-System</w:t>
      </w:r>
      <w:r>
        <w:rPr>
          <w:rFonts w:ascii="Arial" w:cs="Arial" w:eastAsia="Arial" w:hAnsi="Arial"/>
          <w:sz w:val="21"/>
          <w:szCs w:val="21"/>
          <w:color w:val="auto"/>
        </w:rPr>
        <w:t>” means any electronic system approved by Agent, including Intralinks® and ClearPar® and any other Internet or extranet-based site, whether such electronic system is owned, operated or hosted by Agent, any of its Related Persons or any other Person, providing for access to data protected by passcodes or other security system.</w:t>
      </w:r>
    </w:p>
    <w:p>
      <w:pPr>
        <w:spacing w:after="0" w:line="167" w:lineRule="exact"/>
        <w:rPr>
          <w:sz w:val="20"/>
          <w:szCs w:val="20"/>
          <w:color w:val="auto"/>
        </w:rPr>
      </w:pPr>
    </w:p>
    <w:p>
      <w:pPr>
        <w:jc w:val="both"/>
        <w:ind w:firstLine="513"/>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means the lawful single currency of the Participating Member States.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20" w:lineRule="exact"/>
        <w:rPr>
          <w:sz w:val="20"/>
          <w:szCs w:val="20"/>
          <w:color w:val="auto"/>
        </w:rPr>
      </w:pPr>
    </w:p>
    <w:p>
      <w:pPr>
        <w:jc w:val="both"/>
        <w:ind w:firstLine="68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the rules and regulations of the SEC promulgated thereunder.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00C000"/>
        </w:rPr>
        <w:t>“Excluded Accounts” has the meaning specified in 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6296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3629660" cy="8890"/>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39" w:name="page140"/>
    <w:bookmarkEnd w:id="139"/>
    <w:p>
      <w:pPr>
        <w:ind w:left="7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Contributions</w:t>
      </w:r>
      <w:r>
        <w:rPr>
          <w:rFonts w:ascii="Arial" w:cs="Arial" w:eastAsia="Arial" w:hAnsi="Arial"/>
          <w:sz w:val="19"/>
          <w:szCs w:val="19"/>
          <w:color w:val="auto"/>
        </w:rPr>
        <w:t>” means, at any time the cash and Cash Equivalents received by Parent Borrower after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Restatement Date from:</w:t>
      </w:r>
    </w:p>
    <w:p>
      <w:pPr>
        <w:spacing w:after="0" w:line="202" w:lineRule="exact"/>
        <w:rPr>
          <w:sz w:val="20"/>
          <w:szCs w:val="20"/>
          <w:color w:val="auto"/>
        </w:rPr>
      </w:pPr>
    </w:p>
    <w:p>
      <w:pPr>
        <w:ind w:left="1600" w:hanging="296"/>
        <w:spacing w:after="0"/>
        <w:tabs>
          <w:tab w:leader="none" w:pos="16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contributions to its common equity capital, and</w:t>
      </w:r>
    </w:p>
    <w:p>
      <w:pPr>
        <w:spacing w:after="0" w:line="219" w:lineRule="exact"/>
        <w:rPr>
          <w:rFonts w:ascii="Arial" w:cs="Arial" w:eastAsia="Arial" w:hAnsi="Arial"/>
          <w:sz w:val="22"/>
          <w:szCs w:val="22"/>
          <w:color w:val="auto"/>
        </w:rPr>
      </w:pPr>
    </w:p>
    <w:p>
      <w:pPr>
        <w:jc w:val="both"/>
        <w:ind w:left="660" w:right="20" w:firstLine="644"/>
        <w:spacing w:after="0" w:line="253" w:lineRule="auto"/>
        <w:tabs>
          <w:tab w:leader="none" w:pos="1623"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sale (other than to a Subsidiary of Parent Borrower or to any Subsidiary management equity plan or stock option plan or any other management or employee benefit plan or agreement) of Capital Stock (other than Disqualified Capital Stock and Designated Preferred Stock) of Parent Borrower,</w:t>
      </w:r>
    </w:p>
    <w:p>
      <w:pPr>
        <w:spacing w:after="0" w:line="185" w:lineRule="exact"/>
        <w:rPr>
          <w:sz w:val="20"/>
          <w:szCs w:val="20"/>
          <w:color w:val="auto"/>
        </w:rPr>
      </w:pPr>
    </w:p>
    <w:p>
      <w:pPr>
        <w:ind w:right="660"/>
        <w:spacing w:after="0" w:line="263" w:lineRule="auto"/>
        <w:rPr>
          <w:sz w:val="20"/>
          <w:szCs w:val="20"/>
          <w:color w:val="auto"/>
        </w:rPr>
      </w:pPr>
      <w:r>
        <w:rPr>
          <w:rFonts w:ascii="Arial" w:cs="Arial" w:eastAsia="Arial" w:hAnsi="Arial"/>
          <w:sz w:val="22"/>
          <w:szCs w:val="22"/>
          <w:color w:val="auto"/>
        </w:rPr>
        <w:t xml:space="preserve">in each case designated as Excluded Contributions pursuant to an Officer’s Certificate (but excluding any Cure Amount or amounts distributed pursuant to </w:t>
      </w:r>
      <w:r>
        <w:rPr>
          <w:rFonts w:ascii="Arial" w:cs="Arial" w:eastAsia="Arial" w:hAnsi="Arial"/>
          <w:sz w:val="22"/>
          <w:szCs w:val="22"/>
          <w:u w:val="single" w:color="auto"/>
          <w:color w:val="auto"/>
        </w:rPr>
        <w:t>Section 7.2(b)(ii)</w:t>
      </w:r>
      <w:r>
        <w:rPr>
          <w:rFonts w:ascii="Arial" w:cs="Arial" w:eastAsia="Arial" w:hAnsi="Arial"/>
          <w:sz w:val="22"/>
          <w:szCs w:val="22"/>
          <w:color w:val="auto"/>
        </w:rPr>
        <w:t>).</w:t>
      </w:r>
    </w:p>
    <w:p>
      <w:pPr>
        <w:spacing w:after="0" w:line="175" w:lineRule="exact"/>
        <w:rPr>
          <w:sz w:val="20"/>
          <w:szCs w:val="20"/>
          <w:color w:val="auto"/>
        </w:rPr>
      </w:pPr>
    </w:p>
    <w:p>
      <w:pPr>
        <w:jc w:val="both"/>
        <w:ind w:firstLine="472"/>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Principal Property</w:t>
      </w:r>
      <w:r>
        <w:rPr>
          <w:rFonts w:ascii="Arial" w:cs="Arial" w:eastAsia="Arial" w:hAnsi="Arial"/>
          <w:sz w:val="19"/>
          <w:szCs w:val="19"/>
          <w:color w:val="auto"/>
        </w:rPr>
        <w:t>” means (a) any Principal Property, (b) any shares of capital stock or Indebtedness (as defined in the Existing Con-way Indenture) of any Restricted Subsidiary (as defined in the Existing Con-way Indenture) or (c) any other assets or property owned by Con-way or any Restricted Subsidiary (as defined in the Existing Con-way Indenture) to the extent, in the case of this clause (c), that the existence of liens on such assets or property in favor of the Lenders as security for the Obligations owing under this Agreement would result in the breach of, or require the equal and ratable securing of, all or any portion of the Con-way Existing Indebtedness; provided that the Borrower may, in its sole discretion, elect to designate any property which is an Excluded Principal Property as not being an Excluded Principal Property.</w:t>
      </w:r>
    </w:p>
    <w:p>
      <w:pPr>
        <w:spacing w:after="0" w:line="151"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Property</w:t>
      </w:r>
      <w:r>
        <w:rPr>
          <w:rFonts w:ascii="Arial" w:cs="Arial" w:eastAsia="Arial" w:hAnsi="Arial"/>
          <w:sz w:val="22"/>
          <w:szCs w:val="22"/>
          <w:color w:val="auto"/>
        </w:rPr>
        <w:t>” has the meaning assigned to such term in the U.S. Security Agreement or the Canadian Security Agreement, as applicable.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Subsidiary</w:t>
      </w:r>
      <w:r>
        <w:rPr>
          <w:rFonts w:ascii="Arial" w:cs="Arial" w:eastAsia="Arial" w:hAnsi="Arial"/>
          <w:sz w:val="22"/>
          <w:szCs w:val="22"/>
          <w:color w:val="auto"/>
        </w:rPr>
        <w:t>” means</w:t>
      </w:r>
      <w:r>
        <w:rPr>
          <w:rFonts w:ascii="Arial" w:cs="Arial" w:eastAsia="Arial" w:hAnsi="Arial"/>
          <w:sz w:val="22"/>
          <w:szCs w:val="22"/>
          <w:u w:val="single" w:color="auto"/>
          <w:color w:val="0000FF"/>
        </w:rPr>
        <w:t>:</w:t>
      </w:r>
    </w:p>
    <w:p>
      <w:pPr>
        <w:spacing w:after="0" w:line="220" w:lineRule="exact"/>
        <w:rPr>
          <w:sz w:val="20"/>
          <w:szCs w:val="20"/>
          <w:color w:val="auto"/>
        </w:rPr>
      </w:pPr>
    </w:p>
    <w:p>
      <w:pPr>
        <w:jc w:val="both"/>
        <w:ind w:left="660" w:hanging="4"/>
        <w:spacing w:after="0" w:line="271" w:lineRule="auto"/>
        <w:tabs>
          <w:tab w:leader="none" w:pos="954" w:val="left"/>
        </w:tabs>
        <w:numPr>
          <w:ilvl w:val="0"/>
          <w:numId w:val="46"/>
        </w:numPr>
        <w:rPr>
          <w:rFonts w:ascii="Arial" w:cs="Arial" w:eastAsia="Arial" w:hAnsi="Arial"/>
          <w:sz w:val="21"/>
          <w:szCs w:val="21"/>
          <w:color w:val="auto"/>
        </w:rPr>
      </w:pPr>
      <w:r>
        <w:rPr>
          <w:rFonts w:ascii="Arial" w:cs="Arial" w:eastAsia="Arial" w:hAnsi="Arial"/>
          <w:sz w:val="21"/>
          <w:szCs w:val="21"/>
          <w:color w:val="auto"/>
        </w:rPr>
        <w:t>each Domestic Subsidiary that is prohibited from guaranteeing the Obligations hereunder by any requirement of law or that would require consent, approval, license or authorization of a governmental authority to guarantee the Obligations hereunder (unless such consent, approval, license or authorization has been received),</w:t>
      </w:r>
    </w:p>
    <w:p>
      <w:pPr>
        <w:spacing w:after="0" w:line="167" w:lineRule="exact"/>
        <w:rPr>
          <w:rFonts w:ascii="Arial" w:cs="Arial" w:eastAsia="Arial" w:hAnsi="Arial"/>
          <w:sz w:val="21"/>
          <w:szCs w:val="21"/>
          <w:color w:val="auto"/>
        </w:rPr>
      </w:pPr>
    </w:p>
    <w:p>
      <w:pPr>
        <w:jc w:val="both"/>
        <w:ind w:left="660" w:hanging="4"/>
        <w:spacing w:after="0" w:line="250" w:lineRule="auto"/>
        <w:tabs>
          <w:tab w:leader="none" w:pos="1027" w:val="left"/>
        </w:tabs>
        <w:numPr>
          <w:ilvl w:val="0"/>
          <w:numId w:val="46"/>
        </w:numPr>
        <w:rPr>
          <w:rFonts w:ascii="Arial" w:cs="Arial" w:eastAsia="Arial" w:hAnsi="Arial"/>
          <w:sz w:val="22"/>
          <w:szCs w:val="22"/>
          <w:color w:val="auto"/>
        </w:rPr>
      </w:pPr>
      <w:r>
        <w:rPr>
          <w:rFonts w:ascii="Arial" w:cs="Arial" w:eastAsia="Arial" w:hAnsi="Arial"/>
          <w:sz w:val="22"/>
          <w:szCs w:val="22"/>
          <w:color w:val="auto"/>
        </w:rPr>
        <w:t>each Domestic Subsidiary that is prohibited by any applicable contractual requirement from guaranteeing the Obligations hereunder on the Amendment No. 3 Effective Date or at the time such Subsidiary becomes a Subsidiary (to the extent not incurred in connection with becoming a Subsidiary and in each case for so long as such restriction or any replacement or renewal thereof is in effect),</w:t>
      </w:r>
    </w:p>
    <w:p>
      <w:pPr>
        <w:spacing w:after="0" w:line="187" w:lineRule="exact"/>
        <w:rPr>
          <w:rFonts w:ascii="Arial" w:cs="Arial" w:eastAsia="Arial" w:hAnsi="Arial"/>
          <w:sz w:val="22"/>
          <w:szCs w:val="22"/>
          <w:color w:val="auto"/>
        </w:rPr>
      </w:pPr>
    </w:p>
    <w:p>
      <w:pPr>
        <w:ind w:left="660" w:hanging="4"/>
        <w:spacing w:after="0" w:line="343" w:lineRule="auto"/>
        <w:tabs>
          <w:tab w:leader="none" w:pos="993"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any Domestic Subsidiary (i) that owns no material assets (directly or through its Subsidiaries) other than equity interests of one or more Foreign Subsidiaries or (ii) that is a direct or indirect Subsidiary of a Foreign Subsidiary,</w:t>
      </w:r>
    </w:p>
    <w:p>
      <w:pPr>
        <w:spacing w:after="0" w:line="104" w:lineRule="exact"/>
        <w:rPr>
          <w:rFonts w:ascii="Arial" w:cs="Arial" w:eastAsia="Arial" w:hAnsi="Arial"/>
          <w:sz w:val="19"/>
          <w:szCs w:val="19"/>
          <w:color w:val="auto"/>
        </w:rPr>
      </w:pPr>
    </w:p>
    <w:p>
      <w:pPr>
        <w:ind w:left="960" w:hanging="304"/>
        <w:spacing w:after="0"/>
        <w:tabs>
          <w:tab w:leader="none" w:pos="9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Foreign Subsidiary,</w:t>
      </w:r>
    </w:p>
    <w:p>
      <w:pPr>
        <w:spacing w:after="0" w:line="219" w:lineRule="exact"/>
        <w:rPr>
          <w:rFonts w:ascii="Arial" w:cs="Arial" w:eastAsia="Arial" w:hAnsi="Arial"/>
          <w:sz w:val="22"/>
          <w:szCs w:val="22"/>
          <w:color w:val="auto"/>
        </w:rPr>
      </w:pPr>
    </w:p>
    <w:p>
      <w:pPr>
        <w:ind w:left="940" w:hanging="284"/>
        <w:spacing w:after="0"/>
        <w:tabs>
          <w:tab w:leader="none" w:pos="9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any Securitization Subsidiary,</w:t>
      </w:r>
    </w:p>
    <w:p>
      <w:pPr>
        <w:sectPr>
          <w:pgSz w:w="11900" w:h="16838" w:orient="portrait"/>
          <w:cols w:equalWidth="0" w:num="1">
            <w:col w:w="11240"/>
          </w:cols>
          <w:pgMar w:left="320" w:top="1427" w:right="339" w:bottom="1440" w:gutter="0" w:footer="0" w:header="0"/>
        </w:sectPr>
      </w:pPr>
    </w:p>
    <w:bookmarkStart w:id="140" w:name="page141"/>
    <w:bookmarkEnd w:id="140"/>
    <w:p>
      <w:pPr>
        <w:ind w:left="920" w:hanging="264"/>
        <w:spacing w:after="0"/>
        <w:tabs>
          <w:tab w:leader="none" w:pos="92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CFC,</w:t>
      </w:r>
    </w:p>
    <w:p>
      <w:pPr>
        <w:spacing w:after="0" w:line="219" w:lineRule="exact"/>
        <w:rPr>
          <w:rFonts w:ascii="Arial" w:cs="Arial" w:eastAsia="Arial" w:hAnsi="Arial"/>
          <w:sz w:val="22"/>
          <w:szCs w:val="22"/>
          <w:color w:val="auto"/>
        </w:rPr>
      </w:pPr>
    </w:p>
    <w:p>
      <w:pPr>
        <w:ind w:left="960" w:hanging="304"/>
        <w:spacing w:after="0"/>
        <w:tabs>
          <w:tab w:leader="none" w:pos="960" w:val="left"/>
        </w:tabs>
        <w:numPr>
          <w:ilvl w:val="0"/>
          <w:numId w:val="47"/>
        </w:numPr>
        <w:rPr>
          <w:rFonts w:ascii="Arial" w:cs="Arial" w:eastAsia="Arial" w:hAnsi="Arial"/>
          <w:sz w:val="22"/>
          <w:szCs w:val="22"/>
          <w:color w:val="auto"/>
        </w:rPr>
      </w:pPr>
      <w:r>
        <w:rPr>
          <w:rFonts w:ascii="Arial" w:cs="Arial" w:eastAsia="Arial" w:hAnsi="Arial"/>
          <w:sz w:val="22"/>
          <w:szCs w:val="22"/>
          <w:color w:val="auto"/>
        </w:rPr>
        <w:t>any Unrestricted Subsidiary,</w:t>
      </w:r>
    </w:p>
    <w:p>
      <w:pPr>
        <w:spacing w:after="0" w:line="219" w:lineRule="exact"/>
        <w:rPr>
          <w:rFonts w:ascii="Arial" w:cs="Arial" w:eastAsia="Arial" w:hAnsi="Arial"/>
          <w:sz w:val="22"/>
          <w:szCs w:val="22"/>
          <w:color w:val="auto"/>
        </w:rPr>
      </w:pPr>
    </w:p>
    <w:p>
      <w:pPr>
        <w:ind w:left="960" w:hanging="304"/>
        <w:spacing w:after="0"/>
        <w:tabs>
          <w:tab w:leader="none" w:pos="960" w:val="left"/>
        </w:tabs>
        <w:numPr>
          <w:ilvl w:val="0"/>
          <w:numId w:val="47"/>
        </w:numPr>
        <w:rPr>
          <w:rFonts w:ascii="Arial" w:cs="Arial" w:eastAsia="Arial" w:hAnsi="Arial"/>
          <w:sz w:val="22"/>
          <w:szCs w:val="22"/>
          <w:u w:val="single" w:color="auto"/>
          <w:color w:val="0000FF"/>
        </w:rPr>
      </w:pPr>
      <w:r>
        <w:rPr>
          <w:rFonts w:ascii="Arial" w:cs="Arial" w:eastAsia="Arial" w:hAnsi="Arial"/>
          <w:sz w:val="22"/>
          <w:szCs w:val="22"/>
          <w:color w:val="auto"/>
        </w:rPr>
        <w:t xml:space="preserve">any non-Wholly Owned Subsidiary, </w:t>
      </w:r>
      <w:r>
        <w:rPr>
          <w:rFonts w:ascii="Arial" w:cs="Arial" w:eastAsia="Arial" w:hAnsi="Arial"/>
          <w:sz w:val="22"/>
          <w:szCs w:val="22"/>
          <w:color w:val="FF0000"/>
          <w:strike w:val="1"/>
        </w:rPr>
        <w:t>(h</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0000FF"/>
        </w:rPr>
        <w:t>(i</w:t>
      </w:r>
      <w:r>
        <w:rPr>
          <w:rFonts w:ascii="Arial" w:cs="Arial" w:eastAsia="Arial" w:hAnsi="Arial"/>
          <w:sz w:val="22"/>
          <w:szCs w:val="22"/>
          <w:color w:val="000000"/>
        </w:rPr>
        <w:t>) any Subsidiary that is a captive insurance company</w:t>
      </w:r>
      <w:r>
        <w:rPr>
          <w:rFonts w:ascii="Arial" w:cs="Arial" w:eastAsia="Arial" w:hAnsi="Arial"/>
          <w:sz w:val="22"/>
          <w:szCs w:val="22"/>
          <w:u w:val="single" w:color="auto"/>
          <w:color w:val="0000FF"/>
        </w:rPr>
        <w:t>,</w:t>
      </w:r>
      <w:r>
        <w:rPr>
          <w:rFonts w:ascii="Arial" w:cs="Arial" w:eastAsia="Arial" w:hAnsi="Arial"/>
          <w:sz w:val="22"/>
          <w:szCs w:val="22"/>
          <w:color w:val="0000FF"/>
        </w:rPr>
        <w:t xml:space="preserve"> </w:t>
      </w:r>
      <w:r>
        <w:rPr>
          <w:rFonts w:ascii="Arial" w:cs="Arial" w:eastAsia="Arial" w:hAnsi="Arial"/>
          <w:sz w:val="22"/>
          <w:szCs w:val="22"/>
          <w:color w:val="000000"/>
        </w:rPr>
        <w:t>and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i</w:t>
      </w:r>
      <w:r>
        <w:rPr>
          <w:rFonts w:ascii="Arial" w:cs="Arial" w:eastAsia="Arial" w:hAnsi="Arial"/>
          <w:sz w:val="22"/>
          <w:szCs w:val="22"/>
          <w:u w:val="single" w:color="auto"/>
          <w:color w:val="0000FF"/>
        </w:rPr>
        <w:t>j</w:t>
      </w:r>
      <w:r>
        <w:rPr>
          <w:rFonts w:ascii="Arial" w:cs="Arial" w:eastAsia="Arial" w:hAnsi="Arial"/>
          <w:sz w:val="22"/>
          <w:szCs w:val="22"/>
          <w:color w:val="auto"/>
        </w:rPr>
        <w:t>) any not-for profit Subsidiary;</w:t>
      </w:r>
    </w:p>
    <w:p>
      <w:pPr>
        <w:spacing w:after="0" w:line="220"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Restricted Subsidiaries of Parent Borrower incorporated or otherwise organized in Canada or any province thereof shall not constitute Excluded Subsidiaries under, and for purposes of, clauses (d) and (f) in connection with guarantees and other credit support with respect to the obligations of the Canadian Borrowers,</w:t>
      </w:r>
    </w:p>
    <w:p>
      <w:pPr>
        <w:spacing w:after="0" w:line="18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Restricted Subsidiary of Norbert and/or Con-way which is incorporated or otherwise organized in Canada or any province thereof shall constitute Excluded Subsidiaries under, and for purposes of, clauses (d) and (f) in connection with guarantees and other credit support with respect to the obligations of the Canadian Credit Parties, unless Parent Borrower determines, in its sole discretion that (and delivers a written notice to Agent that) such Subsidiaries shall no longer constitute Excluded Subsidiaries (it being understood that the assets of any such Restricted Subsidiary so excluded shall not contribute to the Borrowing Base until such time as it becomes a Credit Party hereunder)</w:t>
      </w:r>
      <w:r>
        <w:rPr>
          <w:rFonts w:ascii="Arial" w:cs="Arial" w:eastAsia="Arial" w:hAnsi="Arial"/>
          <w:sz w:val="19"/>
          <w:szCs w:val="19"/>
          <w:u w:val="single" w:color="auto"/>
          <w:color w:val="0000FF"/>
        </w:rPr>
        <w:t>;</w:t>
      </w:r>
    </w:p>
    <w:p>
      <w:pPr>
        <w:spacing w:after="0" w:line="149" w:lineRule="exact"/>
        <w:rPr>
          <w:sz w:val="20"/>
          <w:szCs w:val="20"/>
          <w:color w:val="auto"/>
        </w:rPr>
      </w:pPr>
    </w:p>
    <w:p>
      <w:pPr>
        <w:jc w:val="both"/>
        <w:spacing w:after="0" w:line="248" w:lineRule="auto"/>
        <w:rPr>
          <w:sz w:val="20"/>
          <w:szCs w:val="20"/>
          <w:color w:val="auto"/>
        </w:rPr>
      </w:pPr>
      <w:r>
        <w:rPr>
          <w:rFonts w:ascii="Arial" w:cs="Arial" w:eastAsia="Arial" w:hAnsi="Arial"/>
          <w:sz w:val="22"/>
          <w:szCs w:val="22"/>
          <w:u w:val="single" w:color="auto"/>
          <w:color w:val="0000FF"/>
        </w:rPr>
        <w:t>provided, further, that, subject to the terms and conditions set forth in Section 6.13(b), Parent Borrower may cause any Domestic Subsidiary that qualifies as an Excluded Subsidiary under clause (c)(ii) above to become a Guarantor in accordance with the definition thereof and thereafter such Domestic Subsidiary shall not constitute an “Excluded Subsidiary” (unless and until Parent Borrower elects to designate such Domestic Subsidiary as an Excluded Subsidiary) (each such Excluded Subsidiary that becomes a Guarantor hereunder, a “Designated Guarantor”)</w:t>
      </w:r>
      <w:r>
        <w:rPr>
          <w:rFonts w:ascii="Arial" w:cs="Arial" w:eastAsia="Arial" w:hAnsi="Arial"/>
          <w:sz w:val="22"/>
          <w:szCs w:val="22"/>
          <w:color w:val="000000"/>
        </w:rPr>
        <w:t>.</w:t>
      </w:r>
    </w:p>
    <w:p>
      <w:pPr>
        <w:spacing w:after="0" w:line="192"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any Credit Party, any Hedging Obligation if, and to the extent that, all or a portion of the Obligations of such Credit Party of, or the grant by such Credit Party of a security interest to secure, such Hedging Obligation (or any Obligations thereof) is or becomes illegal under the Commodity Exchange Act or any rule, regulation or order of the Commodity Futures Trading Commission (or the application or official interpretation of any thereof). If a Hedging Obligation arises under a master agreement governing more than one swap, such exclusion shall apply only to the portion of such Hedging Obligation that is attributable to swaps for which such Obligation or security interest is or becomes illegal.</w:t>
      </w:r>
    </w:p>
    <w:p>
      <w:pPr>
        <w:spacing w:after="0" w:line="149"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Taxes</w:t>
      </w:r>
      <w:r>
        <w:rPr>
          <w:rFonts w:ascii="Arial" w:cs="Arial" w:eastAsia="Arial" w:hAnsi="Arial"/>
          <w:sz w:val="21"/>
          <w:szCs w:val="21"/>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w:t>
      </w:r>
    </w:p>
    <w:p>
      <w:pPr>
        <w:sectPr>
          <w:pgSz w:w="11900" w:h="16838" w:orient="portrait"/>
          <w:cols w:equalWidth="0" w:num="1">
            <w:col w:w="11240"/>
          </w:cols>
          <w:pgMar w:left="320" w:top="1427" w:right="339" w:bottom="1440" w:gutter="0" w:footer="0" w:header="0"/>
        </w:sectPr>
      </w:pPr>
    </w:p>
    <w:bookmarkStart w:id="141" w:name="page142"/>
    <w:bookmarkEnd w:id="141"/>
    <w:p>
      <w:pPr>
        <w:jc w:val="both"/>
        <w:spacing w:after="0" w:line="294" w:lineRule="auto"/>
        <w:rPr>
          <w:sz w:val="20"/>
          <w:szCs w:val="20"/>
          <w:color w:val="auto"/>
        </w:rPr>
      </w:pPr>
      <w:r>
        <w:rPr>
          <w:rFonts w:ascii="Arial" w:cs="Arial" w:eastAsia="Arial" w:hAnsi="Arial"/>
          <w:sz w:val="19"/>
          <w:szCs w:val="19"/>
          <w:color w:val="auto"/>
        </w:rPr>
        <w:t xml:space="preserve">located in, the jurisdiction imposing such Tax (or any political subdivision thereof) or (ii) that are Other Connection Taxes, (b) in the case of a Lender, any U.S. federal withholding Tax imposed on amounts payable to or for the account of such Lender pursuant to any law in effect on the date such Lender becomes a party to this Agreement (other than as an assignee pursuant to a request by Borrower Representative under </w:t>
      </w:r>
      <w:r>
        <w:rPr>
          <w:rFonts w:ascii="Arial" w:cs="Arial" w:eastAsia="Arial" w:hAnsi="Arial"/>
          <w:sz w:val="19"/>
          <w:szCs w:val="19"/>
          <w:u w:val="single" w:color="auto"/>
          <w:color w:val="auto"/>
        </w:rPr>
        <w:t>Section 2.14(d))</w:t>
      </w:r>
      <w:r>
        <w:rPr>
          <w:rFonts w:ascii="Arial" w:cs="Arial" w:eastAsia="Arial" w:hAnsi="Arial"/>
          <w:sz w:val="19"/>
          <w:szCs w:val="19"/>
          <w:color w:val="auto"/>
        </w:rPr>
        <w:t xml:space="preserve"> or designates a new lending office (unless such designation is at the request of Borrower Representative under </w:t>
      </w:r>
      <w:r>
        <w:rPr>
          <w:rFonts w:ascii="Arial" w:cs="Arial" w:eastAsia="Arial" w:hAnsi="Arial"/>
          <w:sz w:val="19"/>
          <w:szCs w:val="19"/>
          <w:u w:val="single" w:color="auto"/>
          <w:color w:val="auto"/>
        </w:rPr>
        <w:t>Section 2.14(g)</w:t>
      </w:r>
      <w:r>
        <w:rPr>
          <w:rFonts w:ascii="Arial" w:cs="Arial" w:eastAsia="Arial" w:hAnsi="Arial"/>
          <w:sz w:val="19"/>
          <w:szCs w:val="19"/>
          <w:color w:val="auto"/>
        </w:rPr>
        <w:t xml:space="preserve">), (c) Taxes attributable to such Recipient’s failure to comply with </w:t>
      </w:r>
      <w:r>
        <w:rPr>
          <w:rFonts w:ascii="Arial" w:cs="Arial" w:eastAsia="Arial" w:hAnsi="Arial"/>
          <w:sz w:val="19"/>
          <w:szCs w:val="19"/>
          <w:u w:val="single" w:color="auto"/>
          <w:color w:val="auto"/>
        </w:rPr>
        <w:t>Section 2.13(d)</w:t>
      </w:r>
      <w:r>
        <w:rPr>
          <w:rFonts w:ascii="Arial" w:cs="Arial" w:eastAsia="Arial" w:hAnsi="Arial"/>
          <w:sz w:val="19"/>
          <w:szCs w:val="19"/>
          <w:color w:val="auto"/>
        </w:rPr>
        <w:t xml:space="preserve"> and (d) any U.S. federal withholding Taxes imposed under FATCA.</w:t>
      </w:r>
    </w:p>
    <w:p>
      <w:pPr>
        <w:spacing w:after="0" w:line="14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Con-way Indenture</w:t>
      </w:r>
      <w:r>
        <w:rPr>
          <w:rFonts w:ascii="Arial" w:cs="Arial" w:eastAsia="Arial" w:hAnsi="Arial"/>
          <w:sz w:val="22"/>
          <w:szCs w:val="22"/>
          <w:color w:val="auto"/>
        </w:rPr>
        <w:t>” means that certain Indenture, dated as of March 8, 2000, between CNF Transportation, Inc., as issuer, and Bank One Trust Company, National Association, as trustee, in the case of Con-way’s 6.70% Senior Debentures due 2034.</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has the meaning assigned to such term in the recitals hereto.</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Extended Revolving Commitment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2.16(c)</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2.16(c)</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2.16(c)</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Labor Standards Act</w:t>
      </w:r>
      <w:r>
        <w:rPr>
          <w:rFonts w:ascii="Arial" w:cs="Arial" w:eastAsia="Arial" w:hAnsi="Arial"/>
          <w:sz w:val="22"/>
          <w:szCs w:val="22"/>
          <w:color w:val="auto"/>
        </w:rPr>
        <w:t xml:space="preserve">” means the Fair Labor Standards Act, 29 U.S.C. §§ 201 </w:t>
      </w:r>
      <w:r>
        <w:rPr>
          <w:rFonts w:ascii="Arial" w:cs="Arial" w:eastAsia="Arial" w:hAnsi="Arial"/>
          <w:sz w:val="22"/>
          <w:szCs w:val="22"/>
          <w:u w:val="single" w:color="auto"/>
          <w:color w:val="auto"/>
        </w:rPr>
        <w:t>et seq</w:t>
      </w:r>
      <w:r>
        <w:rPr>
          <w:rFonts w:ascii="Arial" w:cs="Arial" w:eastAsia="Arial" w:hAnsi="Arial"/>
          <w:sz w:val="22"/>
          <w:szCs w:val="22"/>
          <w:color w:val="auto"/>
        </w:rPr>
        <w:t>.</w:t>
      </w:r>
    </w:p>
    <w:p>
      <w:pPr>
        <w:spacing w:after="0" w:line="220" w:lineRule="exact"/>
        <w:rPr>
          <w:sz w:val="20"/>
          <w:szCs w:val="20"/>
          <w:color w:val="auto"/>
        </w:rPr>
      </w:pPr>
    </w:p>
    <w:p>
      <w:pPr>
        <w:jc w:val="both"/>
        <w:ind w:firstLine="54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means, with respect to any asset or property, the price which could be negotiated in an arm’s-length transaction, for cash, between a willing seller and a willing and able buyer, neither of whom is under undue pressure or compulsion to complete the transaction.</w:t>
      </w:r>
    </w:p>
    <w:p>
      <w:pPr>
        <w:spacing w:after="0" w:line="185" w:lineRule="exact"/>
        <w:rPr>
          <w:sz w:val="20"/>
          <w:szCs w:val="20"/>
          <w:color w:val="auto"/>
        </w:rPr>
      </w:pPr>
    </w:p>
    <w:p>
      <w:pPr>
        <w:jc w:val="both"/>
        <w:ind w:firstLine="553"/>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FATCA</w:t>
      </w:r>
      <w:r>
        <w:rPr>
          <w:rFonts w:ascii="Arial" w:cs="Arial" w:eastAsia="Arial" w:hAnsi="Arial"/>
          <w:sz w:val="22"/>
          <w:szCs w:val="22"/>
          <w:color w:val="auto"/>
        </w:rPr>
        <w:t>” means Sections 1471 through 1474 of the IRC as of the date of this Agreement (or any amended or successor version that is substantively comparable and not materially more onerous to comply with) and any current or future regulations or official interpretations thereof and any agreement entered into pursuant to Section 1471(b)(1) of the IRC and any intergovernmental agreements implementing the foregoing.</w:t>
      </w:r>
    </w:p>
    <w:p>
      <w:pPr>
        <w:spacing w:after="0" w:line="188" w:lineRule="exact"/>
        <w:rPr>
          <w:sz w:val="20"/>
          <w:szCs w:val="20"/>
          <w:color w:val="auto"/>
        </w:rPr>
      </w:pPr>
    </w:p>
    <w:p>
      <w:pPr>
        <w:jc w:val="both"/>
        <w:ind w:firstLine="553"/>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FCPA</w:t>
      </w:r>
      <w:r>
        <w:rPr>
          <w:rFonts w:ascii="Arial" w:cs="Arial" w:eastAsia="Arial" w:hAnsi="Arial"/>
          <w:sz w:val="22"/>
          <w:szCs w:val="22"/>
          <w:color w:val="auto"/>
        </w:rPr>
        <w:t xml:space="preserve">” means the Foreign Corrupt Practices Act of 1977 (15 U.S.C. §§ 78dd-1, </w:t>
      </w:r>
      <w:r>
        <w:rPr>
          <w:rFonts w:ascii="Arial" w:cs="Arial" w:eastAsia="Arial" w:hAnsi="Arial"/>
          <w:sz w:val="22"/>
          <w:szCs w:val="22"/>
          <w:u w:val="single" w:color="auto"/>
          <w:color w:val="auto"/>
        </w:rPr>
        <w:t>et seq</w:t>
      </w:r>
      <w:r>
        <w:rPr>
          <w:rFonts w:ascii="Arial" w:cs="Arial" w:eastAsia="Arial" w:hAnsi="Arial"/>
          <w:sz w:val="22"/>
          <w:szCs w:val="22"/>
          <w:color w:val="auto"/>
        </w:rPr>
        <w:t>.), as amended, and the rules and regulations thereunder.</w:t>
      </w:r>
    </w:p>
    <w:p>
      <w:pPr>
        <w:spacing w:after="0" w:line="175" w:lineRule="exact"/>
        <w:rPr>
          <w:sz w:val="20"/>
          <w:szCs w:val="20"/>
          <w:color w:val="auto"/>
        </w:rPr>
      </w:pPr>
    </w:p>
    <w:p>
      <w:pPr>
        <w:jc w:val="both"/>
        <w:ind w:firstLine="56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means, for any day, a floating rate equal to (a) the weighted average of interest rates on overnight federal funds transactions with members of the Federal Reserve System, as published by the Federal Reserve Bank of New York on the next Business Day; or (b) if no such rate is published on the next Business Day, the weighted average of the rates on overnight Federal funds transactions among members of the Federal Reserve System, as determined by Agent in its reasonable discretion, which determination shall be final, binding and conclusive (absent manifest error).</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Federal Reserve Board</w:t>
      </w:r>
      <w:r>
        <w:rPr>
          <w:rFonts w:ascii="Arial" w:cs="Arial" w:eastAsia="Arial" w:hAnsi="Arial"/>
          <w:sz w:val="22"/>
          <w:szCs w:val="22"/>
          <w:color w:val="auto"/>
        </w:rPr>
        <w:t>” means the Board of Governors of the Federal Reserve System.</w:t>
      </w:r>
    </w:p>
    <w:p>
      <w:pPr>
        <w:sectPr>
          <w:pgSz w:w="11900" w:h="16838" w:orient="portrait"/>
          <w:cols w:equalWidth="0" w:num="1">
            <w:col w:w="11240"/>
          </w:cols>
          <w:pgMar w:left="320" w:top="1427" w:right="339" w:bottom="1440" w:gutter="0" w:footer="0" w:header="0"/>
        </w:sectPr>
      </w:pPr>
    </w:p>
    <w:bookmarkStart w:id="142" w:name="page143"/>
    <w:bookmarkEnd w:id="142"/>
    <w:p>
      <w:pPr>
        <w:jc w:val="both"/>
        <w:ind w:firstLine="459"/>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 Letter</w:t>
      </w:r>
      <w:r>
        <w:rPr>
          <w:rFonts w:ascii="Arial" w:cs="Arial" w:eastAsia="Arial" w:hAnsi="Arial"/>
          <w:sz w:val="22"/>
          <w:szCs w:val="22"/>
          <w:color w:val="auto"/>
        </w:rPr>
        <w:t>” means that certain Fee Letter, dated as of October 27, 2015, between Agent, Parent Borrower and other parties party thereto with respect to certain Fees to be paid from time to time by Borrowers.</w:t>
      </w:r>
    </w:p>
    <w:p>
      <w:pPr>
        <w:spacing w:after="0" w:line="175" w:lineRule="exact"/>
        <w:rPr>
          <w:sz w:val="20"/>
          <w:szCs w:val="20"/>
          <w:color w:val="auto"/>
        </w:rPr>
      </w:pPr>
    </w:p>
    <w:p>
      <w:pPr>
        <w:jc w:val="both"/>
        <w:ind w:firstLine="459"/>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Fees</w:t>
      </w:r>
      <w:r>
        <w:rPr>
          <w:rFonts w:ascii="Arial" w:cs="Arial" w:eastAsia="Arial" w:hAnsi="Arial"/>
          <w:sz w:val="22"/>
          <w:szCs w:val="22"/>
          <w:color w:val="auto"/>
        </w:rPr>
        <w:t>” means any and all fees and other amounts payable to Agent, any Co-Collateral Agent or any Lender pursuant to this Agreement or any of the other Loan Documents.</w:t>
      </w:r>
    </w:p>
    <w:p>
      <w:pPr>
        <w:spacing w:after="0" w:line="175" w:lineRule="exact"/>
        <w:rPr>
          <w:sz w:val="20"/>
          <w:szCs w:val="20"/>
          <w:color w:val="auto"/>
        </w:rPr>
      </w:pPr>
    </w:p>
    <w:p>
      <w:pPr>
        <w:jc w:val="both"/>
        <w:ind w:right="20" w:firstLine="499"/>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Financial Officer</w:t>
      </w:r>
      <w:r>
        <w:rPr>
          <w:rFonts w:ascii="Arial" w:cs="Arial" w:eastAsia="Arial" w:hAnsi="Arial"/>
          <w:sz w:val="21"/>
          <w:szCs w:val="21"/>
          <w:color w:val="auto"/>
        </w:rPr>
        <w:t>” means, with respect to any of Parent Borrower or its Subsidiaries, the chief executive officer, the chief financial officer, the principal accounting officer, the treasurer, the assistant treasurer and the controller thereof.</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Performance Covenant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9.4(a)</w:t>
      </w:r>
      <w:r>
        <w:rPr>
          <w:rFonts w:ascii="Arial" w:cs="Arial" w:eastAsia="Arial" w:hAnsi="Arial"/>
          <w:sz w:val="22"/>
          <w:szCs w:val="22"/>
          <w:color w:val="auto"/>
        </w:rPr>
        <w:t>.</w:t>
      </w:r>
    </w:p>
    <w:p>
      <w:pPr>
        <w:spacing w:after="0" w:line="220" w:lineRule="exact"/>
        <w:rPr>
          <w:sz w:val="20"/>
          <w:szCs w:val="20"/>
          <w:color w:val="auto"/>
        </w:rPr>
      </w:pPr>
    </w:p>
    <w:p>
      <w:pPr>
        <w:jc w:val="both"/>
        <w:ind w:firstLine="553"/>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xml:space="preserve">” means the consolidated income statements, statements of cash flows and balance sheets of Parent Borrower delivered in accordance with </w:t>
      </w:r>
      <w:r>
        <w:rPr>
          <w:rFonts w:ascii="Arial" w:cs="Arial" w:eastAsia="Arial" w:hAnsi="Arial"/>
          <w:sz w:val="22"/>
          <w:szCs w:val="22"/>
          <w:u w:val="single" w:color="auto"/>
          <w:color w:val="auto"/>
        </w:rPr>
        <w:t>Section 4.4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5.1</w:t>
      </w:r>
      <w:r>
        <w:rPr>
          <w:rFonts w:ascii="Arial" w:cs="Arial" w:eastAsia="Arial" w:hAnsi="Arial"/>
          <w:sz w:val="22"/>
          <w:szCs w:val="22"/>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Month</w:t>
      </w:r>
      <w:r>
        <w:rPr>
          <w:rFonts w:ascii="Arial" w:cs="Arial" w:eastAsia="Arial" w:hAnsi="Arial"/>
          <w:sz w:val="22"/>
          <w:szCs w:val="22"/>
          <w:color w:val="auto"/>
        </w:rPr>
        <w:t>” means any of the monthly accounting periods of Borrowers.</w:t>
      </w:r>
    </w:p>
    <w:p>
      <w:pPr>
        <w:spacing w:after="0" w:line="220" w:lineRule="exact"/>
        <w:rPr>
          <w:sz w:val="20"/>
          <w:szCs w:val="20"/>
          <w:color w:val="auto"/>
        </w:rPr>
      </w:pPr>
    </w:p>
    <w:p>
      <w:pPr>
        <w:jc w:val="both"/>
        <w:ind w:right="20" w:firstLine="472"/>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Quarter</w:t>
      </w:r>
      <w:r>
        <w:rPr>
          <w:rFonts w:ascii="Arial" w:cs="Arial" w:eastAsia="Arial" w:hAnsi="Arial"/>
          <w:sz w:val="22"/>
          <w:szCs w:val="22"/>
          <w:color w:val="auto"/>
        </w:rPr>
        <w:t>” means any of the quarterly accounting periods of Borrowers, ending on March 31, June 30, September 30, and December 31 of each year.</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Fiscal Year</w:t>
      </w:r>
      <w:r>
        <w:rPr>
          <w:rFonts w:ascii="Arial" w:cs="Arial" w:eastAsia="Arial" w:hAnsi="Arial"/>
          <w:sz w:val="22"/>
          <w:szCs w:val="22"/>
          <w:color w:val="auto"/>
        </w:rPr>
        <w:t>” means any of the annual accounting periods of Borrowers ending on December 31 of each year.</w:t>
      </w:r>
    </w:p>
    <w:p>
      <w:pPr>
        <w:spacing w:after="0" w:line="22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Charge Coverage Ratio</w:t>
      </w:r>
      <w:r>
        <w:rPr>
          <w:rFonts w:ascii="Arial" w:cs="Arial" w:eastAsia="Arial" w:hAnsi="Arial"/>
          <w:sz w:val="22"/>
          <w:szCs w:val="22"/>
          <w:color w:val="auto"/>
        </w:rPr>
        <w:t xml:space="preserve">” means for any period, the ratio of (a) Consolidated EBITDA for such period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the sum of (i) Unfinanced Capital Expenditures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the portion of taxes based on income actually paid in cash and provisions for cash income taxes to (b) ABL Fixed Charges for such period.</w:t>
      </w:r>
    </w:p>
    <w:p>
      <w:pPr>
        <w:spacing w:after="0" w:line="185" w:lineRule="exact"/>
        <w:rPr>
          <w:sz w:val="20"/>
          <w:szCs w:val="20"/>
          <w:color w:val="auto"/>
        </w:rPr>
      </w:pPr>
    </w:p>
    <w:p>
      <w:pPr>
        <w:jc w:val="both"/>
        <w:ind w:firstLine="634"/>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Charges</w:t>
      </w:r>
      <w:r>
        <w:rPr>
          <w:rFonts w:ascii="Arial" w:cs="Arial" w:eastAsia="Arial" w:hAnsi="Arial"/>
          <w:sz w:val="22"/>
          <w:szCs w:val="22"/>
          <w:color w:val="auto"/>
        </w:rPr>
        <w:t>” means, with respect to any Person for any period, the sum, without duplication, of: (1) Consolidated Interest Expense (excluding amortization or write-off of deferred financing costs) of such Person for such period, and (2) all cash dividend payments (excluding items eliminated in consolidation) on any series of Preferred Stock or Disqualified Capital Stock of such Person and its Restricted Subsidiaries.</w:t>
      </w:r>
    </w:p>
    <w:p>
      <w:pPr>
        <w:spacing w:after="0" w:line="188" w:lineRule="exact"/>
        <w:rPr>
          <w:sz w:val="20"/>
          <w:szCs w:val="20"/>
          <w:color w:val="auto"/>
        </w:rPr>
      </w:pPr>
    </w:p>
    <w:p>
      <w:pPr>
        <w:jc w:val="both"/>
        <w:ind w:firstLine="634"/>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Flood Insurance Laws</w:t>
      </w:r>
      <w:r>
        <w:rPr>
          <w:rFonts w:ascii="Arial" w:cs="Arial" w:eastAsia="Arial" w:hAnsi="Arial"/>
          <w:sz w:val="21"/>
          <w:szCs w:val="21"/>
          <w:color w:val="auto"/>
        </w:rPr>
        <w:t>” means the National Flood Insurance Reform Act of 1994 and related or successor legislation (including the regulations of the Board of Governors of the Federal Reserve System of the United States).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Flood Hazard Property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6.10(b)(iv)</w:t>
      </w:r>
      <w:r>
        <w:rPr>
          <w:rFonts w:ascii="Arial" w:cs="Arial" w:eastAsia="Arial" w:hAnsi="Arial"/>
          <w:sz w:val="22"/>
          <w:szCs w:val="22"/>
          <w:color w:val="auto"/>
        </w:rPr>
        <w:t>.</w:t>
      </w:r>
    </w:p>
    <w:p>
      <w:pPr>
        <w:spacing w:after="0" w:line="220" w:lineRule="exact"/>
        <w:rPr>
          <w:sz w:val="20"/>
          <w:szCs w:val="20"/>
          <w:color w:val="auto"/>
        </w:rPr>
      </w:pPr>
    </w:p>
    <w:p>
      <w:pPr>
        <w:jc w:val="both"/>
        <w:ind w:firstLine="45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Foreign Benefit Event</w:t>
      </w:r>
      <w:r>
        <w:rPr>
          <w:rFonts w:ascii="Arial" w:cs="Arial" w:eastAsia="Arial" w:hAnsi="Arial"/>
          <w:sz w:val="21"/>
          <w:szCs w:val="21"/>
          <w:color w:val="auto"/>
        </w:rPr>
        <w:t>” means, with respect to any Foreign Pension Plan, (a) the existence of unfunded liabilities in excess of the amount permitted under any applicable law, or in excess of the amount that would be permitted absent a waiver from a Governmental Authority, (b) the failure to make the required contributions or payments, under any applicable law, on or before the due date for such contributions or payments, (c) the termination of any such Foreign</w:t>
      </w:r>
    </w:p>
    <w:p>
      <w:pPr>
        <w:sectPr>
          <w:pgSz w:w="11900" w:h="16838" w:orient="portrait"/>
          <w:cols w:equalWidth="0" w:num="1">
            <w:col w:w="11240"/>
          </w:cols>
          <w:pgMar w:left="320" w:top="1427" w:right="339" w:bottom="1440" w:gutter="0" w:footer="0" w:header="0"/>
        </w:sectPr>
      </w:pPr>
    </w:p>
    <w:bookmarkStart w:id="143" w:name="page144"/>
    <w:bookmarkEnd w:id="143"/>
    <w:p>
      <w:pPr>
        <w:jc w:val="both"/>
        <w:spacing w:after="0" w:line="260" w:lineRule="auto"/>
        <w:rPr>
          <w:sz w:val="20"/>
          <w:szCs w:val="20"/>
          <w:color w:val="auto"/>
        </w:rPr>
      </w:pPr>
      <w:r>
        <w:rPr>
          <w:rFonts w:ascii="Arial" w:cs="Arial" w:eastAsia="Arial" w:hAnsi="Arial"/>
          <w:sz w:val="21"/>
          <w:szCs w:val="21"/>
          <w:color w:val="auto"/>
        </w:rPr>
        <w:t>Pension Plan or appointment of a trustee or similar official to administer any such Foreign Pension Plan, in each case, by a Governmental Authority, (d) the incurrence of any liability in excess of $90,000,000 by any Credit Party or any Subsidiary under applicable law on account of the complete or partial termination of such Foreign Pension Plan or the complete or partial withdrawal of any participating employer therein, or (e) the occurrence of any transaction that is prohibited under any applicable law and that would reasonably be expected to result in the incurrence of any liability by any Credit Party or any of the Subsidiaries, or the imposition on any Credit Party or any of the Subsidiaries of any fine, excise tax or penalty resulting from any noncompliance with any applicable law, in each case in excess of $90,000,000.</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2.13(d)</w:t>
      </w:r>
      <w:r>
        <w:rPr>
          <w:rFonts w:ascii="Arial" w:cs="Arial" w:eastAsia="Arial" w:hAnsi="Arial"/>
          <w:sz w:val="22"/>
          <w:szCs w:val="22"/>
          <w:color w:val="auto"/>
        </w:rPr>
        <w:t>.</w:t>
      </w:r>
    </w:p>
    <w:p>
      <w:pPr>
        <w:spacing w:after="0" w:line="22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Pension Plan</w:t>
      </w:r>
      <w:r>
        <w:rPr>
          <w:rFonts w:ascii="Arial" w:cs="Arial" w:eastAsia="Arial" w:hAnsi="Arial"/>
          <w:sz w:val="22"/>
          <w:szCs w:val="22"/>
          <w:color w:val="auto"/>
        </w:rPr>
        <w:t>” means any pension or benefit plan that under applicable law other than the laws of the United States or any political subdivision thereof, is required to be funded through a trust or other funding vehicle other than a trust or funding vehicle maintained exclusively by a Governmental Authority.</w:t>
      </w:r>
    </w:p>
    <w:p>
      <w:pPr>
        <w:spacing w:after="0" w:line="185" w:lineRule="exact"/>
        <w:rPr>
          <w:sz w:val="20"/>
          <w:szCs w:val="20"/>
          <w:color w:val="auto"/>
        </w:rPr>
      </w:pPr>
    </w:p>
    <w:p>
      <w:pPr>
        <w:jc w:val="both"/>
        <w:ind w:firstLine="47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 Restricted Subsidiary that is not organized or established under the laws of the United States of America, any state thereof or the District of Columbia. For the avoidance of doubt, any Subsidiary incorporated or organized under the laws of a territory of the United States (including the Commonwealth of Puerto Rico) shall constitute a “Foreign Subsidiary” hereunder.</w:t>
      </w:r>
    </w:p>
    <w:p>
      <w:pPr>
        <w:spacing w:after="0" w:line="188"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GAAP</w:t>
      </w:r>
      <w:r>
        <w:rPr>
          <w:rFonts w:ascii="Arial" w:cs="Arial" w:eastAsia="Arial" w:hAnsi="Arial"/>
          <w:sz w:val="21"/>
          <w:szCs w:val="21"/>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on the Amendment No. 3 Effective Date. For the purposes of this Agreement, the term “consolidated” with respect to any Person shall mean such Person consolidated with its Restricted Subsidiaries, and shall not include any Unrestricted Subsidiary, but the interest of such Person in an Unrestricted Subsidiary will be accounted for as an Investment.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General Intangibles</w:t>
      </w:r>
      <w:r>
        <w:rPr>
          <w:rFonts w:ascii="Arial" w:cs="Arial" w:eastAsia="Arial" w:hAnsi="Arial"/>
          <w:sz w:val="22"/>
          <w:szCs w:val="22"/>
          <w:color w:val="auto"/>
        </w:rPr>
        <w:t>” has the meaning specified in the U.S. Security Agreement.</w:t>
      </w:r>
    </w:p>
    <w:p>
      <w:pPr>
        <w:spacing w:after="0" w:line="220" w:lineRule="exact"/>
        <w:rPr>
          <w:sz w:val="20"/>
          <w:szCs w:val="20"/>
          <w:color w:val="auto"/>
        </w:rPr>
      </w:pPr>
    </w:p>
    <w:p>
      <w:pPr>
        <w:jc w:val="both"/>
        <w:ind w:right="20" w:firstLine="432"/>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Authority</w:t>
      </w:r>
      <w:r>
        <w:rPr>
          <w:rFonts w:ascii="Arial" w:cs="Arial" w:eastAsia="Arial" w:hAnsi="Arial"/>
          <w:sz w:val="19"/>
          <w:szCs w:val="19"/>
          <w:color w:val="auto"/>
        </w:rPr>
        <w:t>” any federal, state, provincial or other political subdivision thereof, and any agency, department or other entity exercising executive, legislative, judicial, regulatory or administrative functions of or pertaining to government.</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Granting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11.1(g)</w:t>
      </w:r>
      <w:r>
        <w:rPr>
          <w:rFonts w:ascii="Arial" w:cs="Arial" w:eastAsia="Arial" w:hAnsi="Arial"/>
          <w:sz w:val="22"/>
          <w:szCs w:val="22"/>
          <w:color w:val="auto"/>
        </w:rPr>
        <w:t>.</w:t>
      </w:r>
    </w:p>
    <w:p>
      <w:pPr>
        <w:spacing w:after="0" w:line="220"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guarantee</w:t>
      </w:r>
      <w:r>
        <w:rPr>
          <w:rFonts w:ascii="Arial" w:cs="Arial" w:eastAsia="Arial" w:hAnsi="Arial"/>
          <w:sz w:val="21"/>
          <w:szCs w:val="21"/>
          <w:color w:val="auto"/>
        </w:rPr>
        <w:t>” means a guarantee (other than by endorsement of negotiable instruments for collection in the ordinary course of business), direct or indirect, in any manner (including, without limitation, letters of credit and reimbursement agreements in respect thereof), of all or any part of any Indebtedness or other obligations. The amount of any guarantee shall be deemed to be an amount equal to the stated or determinable amount of the Indebtedness in respect of</w:t>
      </w:r>
    </w:p>
    <w:p>
      <w:pPr>
        <w:sectPr>
          <w:pgSz w:w="11900" w:h="16838" w:orient="portrait"/>
          <w:cols w:equalWidth="0" w:num="1">
            <w:col w:w="11240"/>
          </w:cols>
          <w:pgMar w:left="320" w:top="1427" w:right="339" w:bottom="1440" w:gutter="0" w:footer="0" w:header="0"/>
        </w:sectPr>
      </w:pPr>
    </w:p>
    <w:bookmarkStart w:id="144" w:name="page145"/>
    <w:bookmarkEnd w:id="144"/>
    <w:p>
      <w:pPr>
        <w:jc w:val="both"/>
        <w:ind w:right="20"/>
        <w:spacing w:after="0" w:line="263" w:lineRule="auto"/>
        <w:rPr>
          <w:sz w:val="20"/>
          <w:szCs w:val="20"/>
          <w:color w:val="auto"/>
        </w:rPr>
      </w:pPr>
      <w:r>
        <w:rPr>
          <w:rFonts w:ascii="Arial" w:cs="Arial" w:eastAsia="Arial" w:hAnsi="Arial"/>
          <w:sz w:val="22"/>
          <w:szCs w:val="22"/>
          <w:color w:val="auto"/>
        </w:rPr>
        <w:t>which such guarantee is made or, if not stated or determinable, the maximum reasonably anticipated liability in respect thereof as determined by such person in good faith.</w:t>
      </w:r>
    </w:p>
    <w:p>
      <w:pPr>
        <w:spacing w:after="0" w:line="1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Guarantied Obligations</w:t>
      </w:r>
      <w:r>
        <w:rPr>
          <w:rFonts w:ascii="Arial" w:cs="Arial" w:eastAsia="Arial" w:hAnsi="Arial"/>
          <w:sz w:val="19"/>
          <w:szCs w:val="19"/>
          <w:color w:val="auto"/>
        </w:rPr>
        <w:t>” means as to any Person, any obligation of such Person guarantying or otherwise having the economic effect of guarantying any Indebtedness, lease, dividend, or other obligation (“</w:t>
      </w:r>
      <w:r>
        <w:rPr>
          <w:rFonts w:ascii="Arial" w:cs="Arial" w:eastAsia="Arial" w:hAnsi="Arial"/>
          <w:sz w:val="19"/>
          <w:szCs w:val="19"/>
          <w:u w:val="single" w:color="auto"/>
          <w:color w:val="auto"/>
        </w:rPr>
        <w:t>primary obligation</w:t>
      </w:r>
      <w:r>
        <w:rPr>
          <w:rFonts w:ascii="Arial" w:cs="Arial" w:eastAsia="Arial" w:hAnsi="Arial"/>
          <w:sz w:val="19"/>
          <w:szCs w:val="19"/>
          <w:color w:val="auto"/>
        </w:rPr>
        <w:t>”)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 any manner, including any obligation or arrangement of such Person to (a) purchase or repurchase any such primary obligation, (b) advance or supply funds (i) for the purchase or payment of any such primary obligation or (ii) to maintain working capital or equity capital of the primary obligor or otherwise to maintain the net worth or solvency or any balance sheet condition of the primary obligor, (c) purchase property, securities or services primarily for the purpose of assuring the owner of any such primary obligation of the ability of the primary obligor to make payment of such primary obligation, (d) protect the beneficiary of such arrangement from loss (other than product warranties given in the ordinary course of business), or</w:t>
      </w:r>
    </w:p>
    <w:p>
      <w:pPr>
        <w:spacing w:after="0" w:line="2" w:lineRule="exact"/>
        <w:rPr>
          <w:sz w:val="20"/>
          <w:szCs w:val="20"/>
          <w:color w:val="auto"/>
        </w:rPr>
      </w:pPr>
    </w:p>
    <w:p>
      <w:pPr>
        <w:jc w:val="both"/>
        <w:ind w:firstLine="8"/>
        <w:spacing w:after="0" w:line="243" w:lineRule="auto"/>
        <w:tabs>
          <w:tab w:leader="none" w:pos="306"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indemnify the owner of such primary obligation against loss in respect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term Guarantied Obligations shall not include endorsements of instruments for deposit or collection in the ordinary course of business or standard contractual indemnities. The amount of any Guarantied Obligations at any time shall be deemed to be an amount equal to the lesser at such time of (x) the stated or determinable amount of the primary obligation in respect of which such Guarantied Obligations is incurred, and (y) the maximum amount for which such Person may be liable pursuant to the terms of the instrument embodying such Guarantied Obligations, or, if not stated or determinable, the maximum reasonably anticipated liability (assuming full performance) in respect thereof.</w:t>
      </w:r>
    </w:p>
    <w:p>
      <w:pPr>
        <w:spacing w:after="0" w:line="201" w:lineRule="exact"/>
        <w:rPr>
          <w:sz w:val="20"/>
          <w:szCs w:val="20"/>
          <w:color w:val="auto"/>
        </w:rPr>
      </w:pPr>
    </w:p>
    <w:p>
      <w:pPr>
        <w:jc w:val="both"/>
        <w:ind w:right="20" w:firstLine="60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w:t>
      </w:r>
      <w:r>
        <w:rPr>
          <w:rFonts w:ascii="Arial" w:cs="Arial" w:eastAsia="Arial" w:hAnsi="Arial"/>
          <w:sz w:val="22"/>
          <w:szCs w:val="22"/>
          <w:color w:val="auto"/>
        </w:rPr>
        <w:t>” means the guarantee of the Obligations by the Credit Parties in Article 13 hereunder or in a supplemental guarantee in accordance with Section 6.12 of this Agreement.</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Guaranties</w:t>
      </w:r>
      <w:r>
        <w:rPr>
          <w:rFonts w:ascii="Arial" w:cs="Arial" w:eastAsia="Arial" w:hAnsi="Arial"/>
          <w:sz w:val="22"/>
          <w:szCs w:val="22"/>
          <w:color w:val="auto"/>
        </w:rPr>
        <w:t>” means the U.S. Guaranty, the Canadian Guaranty and any other guaranty executed by any Guarantor in favor of Agent, for the benefit of the Secured Parties, in respect of the Obligations.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 Payments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13.7</w:t>
      </w:r>
      <w:r>
        <w:rPr>
          <w:rFonts w:ascii="Arial" w:cs="Arial" w:eastAsia="Arial" w:hAnsi="Arial"/>
          <w:sz w:val="22"/>
          <w:szCs w:val="22"/>
          <w:color w:val="auto"/>
        </w:rPr>
        <w:t>.</w:t>
      </w:r>
    </w:p>
    <w:p>
      <w:pPr>
        <w:spacing w:after="0" w:line="220" w:lineRule="exact"/>
        <w:rPr>
          <w:sz w:val="20"/>
          <w:szCs w:val="20"/>
          <w:color w:val="auto"/>
        </w:rPr>
      </w:pPr>
    </w:p>
    <w:p>
      <w:pPr>
        <w:jc w:val="both"/>
        <w:ind w:firstLine="68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Guarantors</w:t>
      </w:r>
      <w:r>
        <w:rPr>
          <w:rFonts w:ascii="Arial" w:cs="Arial" w:eastAsia="Arial" w:hAnsi="Arial"/>
          <w:sz w:val="22"/>
          <w:szCs w:val="22"/>
          <w:color w:val="auto"/>
        </w:rPr>
        <w:t>” means each Subsidiary Guarantor</w:t>
      </w:r>
      <w:r>
        <w:rPr>
          <w:rFonts w:ascii="Arial" w:cs="Arial" w:eastAsia="Arial" w:hAnsi="Arial"/>
          <w:sz w:val="22"/>
          <w:szCs w:val="22"/>
          <w:u w:val="single" w:color="auto"/>
          <w:color w:val="0000FF"/>
        </w:rPr>
        <w:t>, Designated Guarantor</w:t>
      </w:r>
      <w:r>
        <w:rPr>
          <w:rFonts w:ascii="Arial" w:cs="Arial" w:eastAsia="Arial" w:hAnsi="Arial"/>
          <w:sz w:val="22"/>
          <w:szCs w:val="22"/>
          <w:color w:val="auto"/>
        </w:rPr>
        <w:t xml:space="preserve"> and each other Person, if any, that executes a guaranty or other similar agreement in favor of Agent, for itself and the ratable benefit of the Secured Parties, in connection with the transactions contemplated by this Agreement and the other Loan Documents;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notwithstanding anything to the contrary in this Agreement or in any other Loan Document </w:t>
      </w:r>
      <w:r>
        <w:rPr>
          <w:rFonts w:ascii="Arial" w:cs="Arial" w:eastAsia="Arial" w:hAnsi="Arial"/>
          <w:sz w:val="22"/>
          <w:szCs w:val="22"/>
          <w:color w:val="0000FF"/>
        </w:rPr>
        <w:t>(other than with respect to Designated Guarantors, to which this</w:t>
      </w:r>
      <w:r>
        <w:rPr>
          <w:rFonts w:ascii="Arial" w:cs="Arial" w:eastAsia="Arial" w:hAnsi="Arial"/>
          <w:sz w:val="22"/>
          <w:szCs w:val="22"/>
          <w:color w:val="auto"/>
        </w:rPr>
        <w:t xml:space="preserve"> </w:t>
      </w:r>
      <w:r>
        <w:rPr>
          <w:rFonts w:ascii="Arial" w:cs="Arial" w:eastAsia="Arial" w:hAnsi="Arial"/>
          <w:sz w:val="22"/>
          <w:szCs w:val="22"/>
          <w:u w:val="single" w:color="auto"/>
          <w:color w:val="0000FF"/>
        </w:rPr>
        <w:t>proviso shall not apply)</w:t>
      </w:r>
      <w:r>
        <w:rPr>
          <w:rFonts w:ascii="Arial" w:cs="Arial" w:eastAsia="Arial" w:hAnsi="Arial"/>
          <w:sz w:val="22"/>
          <w:szCs w:val="22"/>
          <w:color w:val="000000"/>
        </w:rPr>
        <w:t>, in no event shall an Excluded Subsidiary be a Guarantor of or otherwise obligated in respect of any</w:t>
      </w:r>
      <w:r>
        <w:rPr>
          <w:rFonts w:ascii="Arial" w:cs="Arial" w:eastAsia="Arial" w:hAnsi="Arial"/>
          <w:sz w:val="22"/>
          <w:szCs w:val="22"/>
          <w:color w:val="0000FF"/>
        </w:rPr>
        <w:t xml:space="preserve"> </w:t>
      </w:r>
      <w:r>
        <w:rPr>
          <w:rFonts w:ascii="Arial" w:cs="Arial" w:eastAsia="Arial" w:hAnsi="Arial"/>
          <w:sz w:val="22"/>
          <w:szCs w:val="22"/>
          <w:color w:val="000000"/>
        </w:rPr>
        <w:t>Obligation of a U.S. Borrower or any “United States person” as defined in section 7701(a)(30) of the IRC</w:t>
      </w:r>
      <w:r>
        <w:rPr>
          <w:rFonts w:ascii="Arial" w:cs="Arial" w:eastAsia="Arial" w:hAnsi="Arial"/>
          <w:sz w:val="22"/>
          <w:szCs w:val="22"/>
          <w:color w:val="FF0000"/>
          <w:strike w:val="1"/>
        </w:rPr>
        <w:t>,</w:t>
      </w:r>
      <w:r>
        <w:rPr>
          <w:rFonts w:ascii="Arial" w:cs="Arial" w:eastAsia="Arial" w:hAnsi="Arial"/>
          <w:sz w:val="22"/>
          <w:szCs w:val="22"/>
          <w:u w:val="single" w:color="auto"/>
          <w:color w:val="0000FF"/>
        </w:rPr>
        <w:t>;</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provided</w:t>
      </w:r>
      <w:r>
        <w:rPr>
          <w:rFonts w:ascii="Arial" w:cs="Arial" w:eastAsia="Arial" w:hAnsi="Arial"/>
          <w:sz w:val="22"/>
          <w:szCs w:val="22"/>
          <w:u w:val="single" w:color="auto"/>
          <w:color w:val="0000FF"/>
        </w:rPr>
        <w:t>,</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further</w:t>
      </w:r>
      <w:r>
        <w:rPr>
          <w:rFonts w:ascii="Arial" w:cs="Arial" w:eastAsia="Arial" w:hAnsi="Arial"/>
          <w:sz w:val="22"/>
          <w:szCs w:val="22"/>
          <w:color w:val="000000"/>
        </w:rPr>
        <w:t xml:space="preserve"> that upon the release or discharge of such Person from its Guaranty in accordance with this Agreement, such Person shall cease to be a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3401695</wp:posOffset>
            </wp:positionH>
            <wp:positionV relativeFrom="paragraph">
              <wp:posOffset>-685800</wp:posOffset>
            </wp:positionV>
            <wp:extent cx="37350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3735070" cy="8255"/>
                    </a:xfrm>
                    <a:prstGeom prst="rect">
                      <a:avLst/>
                    </a:prstGeom>
                    <a:noFill/>
                  </pic:spPr>
                </pic:pic>
              </a:graphicData>
            </a:graphic>
          </wp:anchor>
        </w:drawing>
      </w:r>
    </w:p>
    <w:p>
      <w:pPr>
        <w:spacing w:after="0" w:line="174" w:lineRule="exact"/>
        <w:rPr>
          <w:sz w:val="20"/>
          <w:szCs w:val="20"/>
          <w:color w:val="auto"/>
        </w:rPr>
      </w:pPr>
    </w:p>
    <w:p>
      <w:pPr>
        <w:jc w:val="both"/>
        <w:ind w:right="20" w:firstLine="499"/>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Hazardous Material</w:t>
      </w:r>
      <w:r>
        <w:rPr>
          <w:rFonts w:ascii="Arial" w:cs="Arial" w:eastAsia="Arial" w:hAnsi="Arial"/>
          <w:sz w:val="22"/>
          <w:szCs w:val="22"/>
          <w:color w:val="auto"/>
        </w:rPr>
        <w:t>” means any substance, material or waste that is regulated as a hazardous waste, hazardous substance, hazardous material, pollutant, contaminant or words of</w:t>
      </w:r>
    </w:p>
    <w:p>
      <w:pPr>
        <w:sectPr>
          <w:pgSz w:w="11900" w:h="16838" w:orient="portrait"/>
          <w:cols w:equalWidth="0" w:num="1">
            <w:col w:w="11240"/>
          </w:cols>
          <w:pgMar w:left="320" w:top="1427" w:right="339" w:bottom="1440" w:gutter="0" w:footer="0" w:header="0"/>
        </w:sectPr>
      </w:pPr>
    </w:p>
    <w:bookmarkStart w:id="145" w:name="page146"/>
    <w:bookmarkEnd w:id="145"/>
    <w:p>
      <w:pPr>
        <w:jc w:val="both"/>
        <w:spacing w:after="0" w:line="294" w:lineRule="auto"/>
        <w:rPr>
          <w:sz w:val="20"/>
          <w:szCs w:val="20"/>
          <w:color w:val="auto"/>
        </w:rPr>
      </w:pPr>
      <w:r>
        <w:rPr>
          <w:rFonts w:ascii="Arial" w:cs="Arial" w:eastAsia="Arial" w:hAnsi="Arial"/>
          <w:sz w:val="19"/>
          <w:szCs w:val="19"/>
          <w:color w:val="auto"/>
        </w:rPr>
        <w:t xml:space="preserve">similar import under any Environmental Law, including but not limited to any “Hazardous Waste” as defined by the Resource Conservation and Recovery Act (RCRA) (42 U.S.C. § 6901 </w:t>
      </w:r>
      <w:r>
        <w:rPr>
          <w:rFonts w:ascii="Arial" w:cs="Arial" w:eastAsia="Arial" w:hAnsi="Arial"/>
          <w:sz w:val="19"/>
          <w:szCs w:val="19"/>
          <w:u w:val="single" w:color="auto"/>
          <w:color w:val="auto"/>
        </w:rPr>
        <w:t>et seq</w:t>
      </w:r>
      <w:r>
        <w:rPr>
          <w:rFonts w:ascii="Arial" w:cs="Arial" w:eastAsia="Arial" w:hAnsi="Arial"/>
          <w:sz w:val="19"/>
          <w:szCs w:val="19"/>
          <w:color w:val="auto"/>
        </w:rPr>
        <w:t xml:space="preserve">. (1976)), any “Hazardous Substance” as defined under the Comprehensive Environmental Response, Compensation and Liability Act (CERCLA) (42 U.S.C. § 9601 </w:t>
      </w:r>
      <w:r>
        <w:rPr>
          <w:rFonts w:ascii="Arial" w:cs="Arial" w:eastAsia="Arial" w:hAnsi="Arial"/>
          <w:sz w:val="19"/>
          <w:szCs w:val="19"/>
          <w:u w:val="single" w:color="auto"/>
          <w:color w:val="auto"/>
        </w:rPr>
        <w:t>et seq</w:t>
      </w:r>
      <w:r>
        <w:rPr>
          <w:rFonts w:ascii="Arial" w:cs="Arial" w:eastAsia="Arial" w:hAnsi="Arial"/>
          <w:sz w:val="19"/>
          <w:szCs w:val="19"/>
          <w:color w:val="auto"/>
        </w:rPr>
        <w:t>. (1980)), any petroleum or any fraction thereof, asbestos, polychlorinated biphenyls, toxic mold, mycotoxins, toxic microbial matter (naturally occurring or otherwise), infectious waste and radioactive substances or any other substance that is regulated under Environmental Law due to its toxic, ignitable, reactive, corrosive, caustic or dangerous properties.</w:t>
      </w:r>
    </w:p>
    <w:p>
      <w:pPr>
        <w:spacing w:after="0" w:line="149" w:lineRule="exact"/>
        <w:rPr>
          <w:sz w:val="20"/>
          <w:szCs w:val="20"/>
          <w:color w:val="auto"/>
        </w:rPr>
      </w:pPr>
    </w:p>
    <w:p>
      <w:pPr>
        <w:jc w:val="both"/>
        <w:ind w:firstLine="432"/>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Hedge Bank</w:t>
      </w:r>
      <w:r>
        <w:rPr>
          <w:rFonts w:ascii="Arial" w:cs="Arial" w:eastAsia="Arial" w:hAnsi="Arial"/>
          <w:sz w:val="22"/>
          <w:szCs w:val="22"/>
          <w:color w:val="auto"/>
        </w:rPr>
        <w:t>” means (a) any Person counterparty to a Swap Contract who is (or at the time such Swap Contract was entered into, was) a Lender, an Agent or an Affiliate of any thereof, (b) any Person counterparty to a Swap Contract who was, at the time such Swap Contract was entered into, a lender or agent or Affiliate of any thereof under and pursuant to the Existing Credit Agreement, and (c) any Person who is an Agent or a Lender (and any Affiliate thereof) as of the Restatement Date or Amendment No. 3 Effective Date but subsequently, whether before or after entering into a Swap Agreement, ceases to be an Agent or a Lender, as the case may be.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Hedging Obligations</w:t>
      </w:r>
      <w:r>
        <w:rPr>
          <w:rFonts w:ascii="Arial" w:cs="Arial" w:eastAsia="Arial" w:hAnsi="Arial"/>
          <w:sz w:val="22"/>
          <w:szCs w:val="22"/>
          <w:color w:val="auto"/>
        </w:rPr>
        <w:t>” means, with respect to any Person, the obligations of such Person under:</w:t>
      </w:r>
    </w:p>
    <w:p>
      <w:pPr>
        <w:spacing w:after="0" w:line="220" w:lineRule="exact"/>
        <w:rPr>
          <w:sz w:val="20"/>
          <w:szCs w:val="20"/>
          <w:color w:val="auto"/>
        </w:rPr>
      </w:pPr>
    </w:p>
    <w:p>
      <w:pPr>
        <w:ind w:left="660" w:right="980" w:firstLine="644"/>
        <w:spacing w:after="0" w:line="343" w:lineRule="auto"/>
        <w:tabs>
          <w:tab w:leader="none" w:pos="1614" w:val="left"/>
        </w:tabs>
        <w:numPr>
          <w:ilvl w:val="0"/>
          <w:numId w:val="49"/>
        </w:numPr>
        <w:rPr>
          <w:rFonts w:ascii="Arial" w:cs="Arial" w:eastAsia="Arial" w:hAnsi="Arial"/>
          <w:sz w:val="19"/>
          <w:szCs w:val="19"/>
          <w:color w:val="auto"/>
        </w:rPr>
      </w:pPr>
      <w:r>
        <w:rPr>
          <w:rFonts w:ascii="Arial" w:cs="Arial" w:eastAsia="Arial" w:hAnsi="Arial"/>
          <w:sz w:val="19"/>
          <w:szCs w:val="19"/>
          <w:color w:val="auto"/>
        </w:rPr>
        <w:t>currency exchange, interest rate or commodity swap agreements, currency exchange, interest rate or commodity cap agreements and currency exchange, interest rate or commodity collar agreements; and</w:t>
      </w:r>
    </w:p>
    <w:p>
      <w:pPr>
        <w:spacing w:after="0" w:line="104" w:lineRule="exact"/>
        <w:rPr>
          <w:rFonts w:ascii="Arial" w:cs="Arial" w:eastAsia="Arial" w:hAnsi="Arial"/>
          <w:sz w:val="19"/>
          <w:szCs w:val="19"/>
          <w:color w:val="auto"/>
        </w:rPr>
      </w:pPr>
    </w:p>
    <w:p>
      <w:pPr>
        <w:ind w:left="660" w:right="220" w:firstLine="644"/>
        <w:spacing w:after="0" w:line="263" w:lineRule="auto"/>
        <w:tabs>
          <w:tab w:leader="none" w:pos="1614" w:val="left"/>
        </w:tabs>
        <w:numPr>
          <w:ilvl w:val="0"/>
          <w:numId w:val="49"/>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interest rates or commodity prices.</w:t>
      </w:r>
    </w:p>
    <w:p>
      <w:pPr>
        <w:spacing w:after="0" w:line="175" w:lineRule="exact"/>
        <w:rPr>
          <w:sz w:val="20"/>
          <w:szCs w:val="20"/>
          <w:color w:val="auto"/>
        </w:rPr>
      </w:pPr>
    </w:p>
    <w:p>
      <w:pPr>
        <w:jc w:val="both"/>
        <w:ind w:firstLine="513"/>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Immaterial Subsidiary</w:t>
      </w:r>
      <w:r>
        <w:rPr>
          <w:rFonts w:ascii="Arial" w:cs="Arial" w:eastAsia="Arial" w:hAnsi="Arial"/>
          <w:sz w:val="21"/>
          <w:szCs w:val="21"/>
          <w:color w:val="auto"/>
        </w:rPr>
        <w:t xml:space="preserve">” means, with respect to </w:t>
      </w:r>
      <w:r>
        <w:rPr>
          <w:rFonts w:ascii="Arial" w:cs="Arial" w:eastAsia="Arial" w:hAnsi="Arial"/>
          <w:sz w:val="21"/>
          <w:szCs w:val="21"/>
          <w:u w:val="single" w:color="auto"/>
          <w:color w:val="auto"/>
        </w:rPr>
        <w:t>Sections 9.1(j)</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(k)</w:t>
      </w:r>
      <w:r>
        <w:rPr>
          <w:rFonts w:ascii="Arial" w:cs="Arial" w:eastAsia="Arial" w:hAnsi="Arial"/>
          <w:sz w:val="21"/>
          <w:szCs w:val="21"/>
          <w:color w:val="auto"/>
        </w:rPr>
        <w:t xml:space="preserve"> (events and/or circumstances described therein, each an “</w:t>
      </w:r>
      <w:r>
        <w:rPr>
          <w:rFonts w:ascii="Arial" w:cs="Arial" w:eastAsia="Arial" w:hAnsi="Arial"/>
          <w:sz w:val="21"/>
          <w:szCs w:val="21"/>
          <w:u w:val="single" w:color="auto"/>
          <w:color w:val="auto"/>
        </w:rPr>
        <w:t>Insolvency Event</w:t>
      </w:r>
      <w:r>
        <w:rPr>
          <w:rFonts w:ascii="Arial" w:cs="Arial" w:eastAsia="Arial" w:hAnsi="Arial"/>
          <w:sz w:val="21"/>
          <w:szCs w:val="21"/>
          <w:color w:val="auto"/>
        </w:rPr>
        <w:t xml:space="preserve">”) as of any date, any Restricted Subsidiary of Parent Borrower (other than any Borrower) (a) whose total assets at the last day of the of the most recent fiscal period for which financial statements are required to be delivered pursuant to </w:t>
      </w:r>
      <w:r>
        <w:rPr>
          <w:rFonts w:ascii="Arial" w:cs="Arial" w:eastAsia="Arial" w:hAnsi="Arial"/>
          <w:sz w:val="21"/>
          <w:szCs w:val="21"/>
          <w:u w:val="single" w:color="auto"/>
          <w:color w:val="auto"/>
        </w:rPr>
        <w:t>Section 5.1(b)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were equal to or less than 5% of the consolidated total assets of Parent Borrower and its Restricted Subsidiaries at such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total assets of all Immaterial Subsidiaries subject to Insolvency Events on any date shall not exceed 5% of total assets of Parent Borrower and its Restricted Subsidiaries at such date and (b) that does not contribute EBITDA in excess of 5% of the EBITDA of Parent Borrower and its Restricted Subsidiaries, in each case, for the most recently ended for the twelve month period ending on the last day of the most recent fiscal period for which financial statements have been delivered pursuant to </w:t>
      </w:r>
      <w:r>
        <w:rPr>
          <w:rFonts w:ascii="Arial" w:cs="Arial" w:eastAsia="Arial" w:hAnsi="Arial"/>
          <w:sz w:val="21"/>
          <w:szCs w:val="21"/>
          <w:u w:val="single" w:color="auto"/>
          <w:color w:val="auto"/>
        </w:rPr>
        <w:t>Section 5.1(b)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EBITDA (as so determined) of all Immaterial Subsidiaries subject to Insolvency Events on any date shall not exceed 5% of EBITDA of Parent Borrower and its Restricted Subsidiaries for the relevant period.</w:t>
      </w:r>
    </w:p>
    <w:p>
      <w:pPr>
        <w:spacing w:after="0" w:line="182" w:lineRule="exact"/>
        <w:rPr>
          <w:sz w:val="20"/>
          <w:szCs w:val="20"/>
          <w:color w:val="auto"/>
        </w:rPr>
      </w:pPr>
    </w:p>
    <w:p>
      <w:pPr>
        <w:jc w:val="both"/>
        <w:ind w:firstLine="459"/>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Impacted Lender</w:t>
      </w:r>
      <w:r>
        <w:rPr>
          <w:rFonts w:ascii="Arial" w:cs="Arial" w:eastAsia="Arial" w:hAnsi="Arial"/>
          <w:sz w:val="21"/>
          <w:szCs w:val="21"/>
          <w:color w:val="auto"/>
        </w:rPr>
        <w:t>” means any Lender that fails to promptly provide any Borrower or Agent, upon such Person’s reasonable request, reasonably satisfactory evidence that such Lender will not become a Non-Funding Lender.</w:t>
      </w:r>
    </w:p>
    <w:p>
      <w:pPr>
        <w:sectPr>
          <w:pgSz w:w="11900" w:h="16838" w:orient="portrait"/>
          <w:cols w:equalWidth="0" w:num="1">
            <w:col w:w="11240"/>
          </w:cols>
          <w:pgMar w:left="320" w:top="1427" w:right="339" w:bottom="1440" w:gutter="0" w:footer="0" w:header="0"/>
        </w:sectPr>
      </w:pPr>
    </w:p>
    <w:bookmarkStart w:id="146" w:name="page147"/>
    <w:bookmarkEnd w:id="146"/>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Increased Amount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7.7</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0000FF"/>
        </w:rPr>
        <w:t>Incremental Facility Revolving Loans” has the meaning specified in Section 2.16(a).</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0000FF"/>
        </w:rPr>
        <w:t>“</w:t>
      </w:r>
      <w:r>
        <w:rPr>
          <w:rFonts w:ascii="Arial" w:cs="Arial" w:eastAsia="Arial" w:hAnsi="Arial"/>
          <w:sz w:val="22"/>
          <w:szCs w:val="22"/>
          <w:u w:val="single" w:color="auto"/>
          <w:color w:val="000000"/>
        </w:rPr>
        <w:t>Incremental Lender</w:t>
      </w:r>
      <w:r>
        <w:rPr>
          <w:rFonts w:ascii="Arial" w:cs="Arial" w:eastAsia="Arial" w:hAnsi="Arial"/>
          <w:sz w:val="22"/>
          <w:szCs w:val="22"/>
          <w:color w:val="000000"/>
        </w:rPr>
        <w:t>” has the meaning specified in</w:t>
      </w:r>
      <w:r>
        <w:rPr>
          <w:rFonts w:ascii="Arial" w:cs="Arial" w:eastAsia="Arial" w:hAnsi="Arial"/>
          <w:sz w:val="22"/>
          <w:szCs w:val="22"/>
          <w:color w:val="0000FF"/>
        </w:rPr>
        <w:t xml:space="preserve"> </w:t>
      </w:r>
      <w:r>
        <w:rPr>
          <w:rFonts w:ascii="Arial" w:cs="Arial" w:eastAsia="Arial" w:hAnsi="Arial"/>
          <w:sz w:val="22"/>
          <w:szCs w:val="22"/>
          <w:u w:val="single" w:color="auto"/>
          <w:color w:val="000000"/>
        </w:rPr>
        <w:t>Section 2.16(a)</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52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335280" cy="8255"/>
                    </a:xfrm>
                    <a:prstGeom prst="rect">
                      <a:avLst/>
                    </a:prstGeom>
                    <a:noFill/>
                  </pic:spPr>
                </pic:pic>
              </a:graphicData>
            </a:graphic>
          </wp:anchor>
        </w:drawing>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Loan Amendment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2.16(a)</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Revolving Loans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2.16(a)</w:t>
      </w:r>
      <w:r>
        <w:rPr>
          <w:rFonts w:ascii="Arial" w:cs="Arial" w:eastAsia="Arial" w:hAnsi="Arial"/>
          <w:sz w:val="22"/>
          <w:szCs w:val="22"/>
          <w:color w:val="auto"/>
        </w:rPr>
        <w:t>.</w:t>
      </w:r>
    </w:p>
    <w:p>
      <w:pPr>
        <w:spacing w:after="0" w:line="220"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Incur</w:t>
      </w:r>
      <w:r>
        <w:rPr>
          <w:rFonts w:ascii="Arial" w:cs="Arial" w:eastAsia="Arial" w:hAnsi="Arial"/>
          <w:sz w:val="22"/>
          <w:szCs w:val="22"/>
          <w:color w:val="auto"/>
        </w:rPr>
        <w:t xml:space="preserve">” means issue, assume, guarantee, incur or otherwise become liable for;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Indebtedness or Capital Stock of a Person existing at the time such person becomes a Subsidiary (whether by merger, amalgamation, consolidation, acquisition or otherwise) shall be deemed to be Incurred by such Person at the time it becomes a Subsidiary. “</w:t>
      </w:r>
      <w:r>
        <w:rPr>
          <w:rFonts w:ascii="Arial" w:cs="Arial" w:eastAsia="Arial" w:hAnsi="Arial"/>
          <w:sz w:val="22"/>
          <w:szCs w:val="22"/>
          <w:u w:val="single" w:color="auto"/>
          <w:color w:val="auto"/>
        </w:rPr>
        <w:t>Incurred</w:t>
      </w:r>
      <w:r>
        <w:rPr>
          <w:rFonts w:ascii="Arial" w:cs="Arial" w:eastAsia="Arial" w:hAnsi="Arial"/>
          <w:sz w:val="22"/>
          <w:szCs w:val="22"/>
          <w:color w:val="auto"/>
        </w:rPr>
        <w:t>” and “</w:t>
      </w:r>
      <w:r>
        <w:rPr>
          <w:rFonts w:ascii="Arial" w:cs="Arial" w:eastAsia="Arial" w:hAnsi="Arial"/>
          <w:sz w:val="22"/>
          <w:szCs w:val="22"/>
          <w:u w:val="single" w:color="auto"/>
          <w:color w:val="auto"/>
        </w:rPr>
        <w:t>Incurrence</w:t>
      </w:r>
      <w:r>
        <w:rPr>
          <w:rFonts w:ascii="Arial" w:cs="Arial" w:eastAsia="Arial" w:hAnsi="Arial"/>
          <w:sz w:val="22"/>
          <w:szCs w:val="22"/>
          <w:color w:val="auto"/>
        </w:rPr>
        <w:t>” shall have like meanings.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0000FF"/>
        </w:rPr>
        <w:t>“Initial Revolving Facility Loans” has the meaning specified in Section 2.16(a).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6545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4654550" cy="8255"/>
                    </a:xfrm>
                    <a:prstGeom prst="rect">
                      <a:avLst/>
                    </a:prstGeom>
                    <a:noFill/>
                  </pic:spPr>
                </pic:pic>
              </a:graphicData>
            </a:graphic>
          </wp:anchor>
        </w:drawing>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means, with respect to any Person:</w:t>
      </w:r>
    </w:p>
    <w:p>
      <w:pPr>
        <w:spacing w:after="0" w:line="220" w:lineRule="exact"/>
        <w:rPr>
          <w:sz w:val="20"/>
          <w:szCs w:val="20"/>
          <w:color w:val="auto"/>
        </w:rPr>
      </w:pPr>
    </w:p>
    <w:p>
      <w:pPr>
        <w:ind w:left="1620" w:hanging="316"/>
        <w:spacing w:after="0"/>
        <w:tabs>
          <w:tab w:leader="none" w:pos="1620" w:val="left"/>
        </w:tabs>
        <w:numPr>
          <w:ilvl w:val="1"/>
          <w:numId w:val="50"/>
        </w:numPr>
        <w:rPr>
          <w:rFonts w:ascii="Arial" w:cs="Arial" w:eastAsia="Arial" w:hAnsi="Arial"/>
          <w:sz w:val="19"/>
          <w:szCs w:val="19"/>
          <w:color w:val="auto"/>
        </w:rPr>
      </w:pPr>
      <w:r>
        <w:rPr>
          <w:rFonts w:ascii="Arial" w:cs="Arial" w:eastAsia="Arial" w:hAnsi="Arial"/>
          <w:sz w:val="19"/>
          <w:szCs w:val="19"/>
          <w:color w:val="auto"/>
        </w:rPr>
        <w:t>the principal of any indebtedness of such Person, whether or not contingent, (a) in respect of borrowed money,</w:t>
      </w:r>
    </w:p>
    <w:p>
      <w:pPr>
        <w:spacing w:after="0" w:line="55" w:lineRule="exact"/>
        <w:rPr>
          <w:rFonts w:ascii="Arial" w:cs="Arial" w:eastAsia="Arial" w:hAnsi="Arial"/>
          <w:sz w:val="19"/>
          <w:szCs w:val="19"/>
          <w:color w:val="auto"/>
        </w:rPr>
      </w:pPr>
    </w:p>
    <w:p>
      <w:pPr>
        <w:jc w:val="both"/>
        <w:ind w:left="660" w:hanging="4"/>
        <w:spacing w:after="0" w:line="281" w:lineRule="auto"/>
        <w:tabs>
          <w:tab w:leader="none" w:pos="979" w:val="left"/>
        </w:tabs>
        <w:numPr>
          <w:ilvl w:val="0"/>
          <w:numId w:val="51"/>
        </w:numPr>
        <w:rPr>
          <w:rFonts w:ascii="Arial" w:cs="Arial" w:eastAsia="Arial" w:hAnsi="Arial"/>
          <w:sz w:val="19"/>
          <w:szCs w:val="19"/>
          <w:color w:val="auto"/>
        </w:rPr>
      </w:pPr>
      <w:r>
        <w:rPr>
          <w:rFonts w:ascii="Arial" w:cs="Arial" w:eastAsia="Arial" w:hAnsi="Arial"/>
          <w:sz w:val="19"/>
          <w:szCs w:val="19"/>
          <w:color w:val="auto"/>
        </w:rPr>
        <w:t>evidenced by bonds, notes, debentures or similar instruments or letters of credit or bankers’ acceptances (or, without duplication, reimbursement agreements in respect thereof), (c) representing the deferred and unpaid purchase price of any property (except any such balance that constitutes (i) a trade payable or similar obligation to a trade creditor Incurred in the ordinary course of business, (ii) any earn-out obligations until such obligation becomes a liability on the balance sheet of such Person in accordance with GAAP and (iii) liabilities accrued in the ordinary course of business), which purchase price is due more than twelve months after the date of placing the property in service or taking delivery and title thereto,</w:t>
      </w:r>
    </w:p>
    <w:p>
      <w:pPr>
        <w:spacing w:after="0" w:line="4" w:lineRule="exact"/>
        <w:rPr>
          <w:rFonts w:ascii="Arial" w:cs="Arial" w:eastAsia="Arial" w:hAnsi="Arial"/>
          <w:sz w:val="19"/>
          <w:szCs w:val="19"/>
          <w:color w:val="auto"/>
        </w:rPr>
      </w:pPr>
    </w:p>
    <w:p>
      <w:pPr>
        <w:jc w:val="both"/>
        <w:ind w:left="660" w:hanging="4"/>
        <w:spacing w:after="0" w:line="245" w:lineRule="auto"/>
        <w:tabs>
          <w:tab w:leader="none" w:pos="974"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 respect of Capitalized Lease Obligations, or (e) representing any Hedging Obligations, if and to the extent that any of the foregoing indebtedness would appear as a liability on a balance sheet (excluding the footnotes thereto) of such Person prepared in accordance with GAAP;</w:t>
      </w:r>
    </w:p>
    <w:p>
      <w:pPr>
        <w:spacing w:after="0" w:line="84" w:lineRule="exact"/>
        <w:rPr>
          <w:rFonts w:ascii="Arial" w:cs="Arial" w:eastAsia="Arial" w:hAnsi="Arial"/>
          <w:sz w:val="22"/>
          <w:szCs w:val="22"/>
          <w:color w:val="auto"/>
        </w:rPr>
      </w:pPr>
    </w:p>
    <w:p>
      <w:pPr>
        <w:jc w:val="both"/>
        <w:ind w:left="660" w:firstLine="644"/>
        <w:spacing w:after="0" w:line="253" w:lineRule="auto"/>
        <w:tabs>
          <w:tab w:leader="none" w:pos="1648" w:val="left"/>
        </w:tabs>
        <w:numPr>
          <w:ilvl w:val="1"/>
          <w:numId w:val="52"/>
        </w:numPr>
        <w:rPr>
          <w:rFonts w:ascii="Arial" w:cs="Arial" w:eastAsia="Arial" w:hAnsi="Arial"/>
          <w:sz w:val="22"/>
          <w:szCs w:val="22"/>
          <w:color w:val="auto"/>
        </w:rPr>
      </w:pPr>
      <w:r>
        <w:rPr>
          <w:rFonts w:ascii="Arial" w:cs="Arial" w:eastAsia="Arial" w:hAnsi="Arial"/>
          <w:sz w:val="22"/>
          <w:szCs w:val="22"/>
          <w:color w:val="auto"/>
        </w:rPr>
        <w:t>to the extent not otherwise included, any obligation of such Person to be liable for, or to pay, as obligor, guarantor or otherwise, the obligations referred to in clause (1) of another Person (other than by endorsement of negotiable instruments for collection in the ordinary course of business); and</w:t>
      </w:r>
    </w:p>
    <w:p>
      <w:pPr>
        <w:spacing w:after="0" w:line="77" w:lineRule="exact"/>
        <w:rPr>
          <w:rFonts w:ascii="Arial" w:cs="Arial" w:eastAsia="Arial" w:hAnsi="Arial"/>
          <w:sz w:val="22"/>
          <w:szCs w:val="22"/>
          <w:color w:val="auto"/>
        </w:rPr>
      </w:pPr>
    </w:p>
    <w:p>
      <w:pPr>
        <w:jc w:val="both"/>
        <w:ind w:left="660" w:firstLine="644"/>
        <w:spacing w:after="0" w:line="302" w:lineRule="auto"/>
        <w:tabs>
          <w:tab w:leader="none" w:pos="1620" w:val="left"/>
        </w:tabs>
        <w:numPr>
          <w:ilvl w:val="1"/>
          <w:numId w:val="52"/>
        </w:numPr>
        <w:rPr>
          <w:rFonts w:ascii="Arial" w:cs="Arial" w:eastAsia="Arial" w:hAnsi="Arial"/>
          <w:sz w:val="19"/>
          <w:szCs w:val="19"/>
          <w:color w:val="auto"/>
        </w:rPr>
      </w:pPr>
      <w:r>
        <w:rPr>
          <w:rFonts w:ascii="Arial" w:cs="Arial" w:eastAsia="Arial" w:hAnsi="Arial"/>
          <w:sz w:val="19"/>
          <w:szCs w:val="19"/>
          <w:color w:val="auto"/>
        </w:rPr>
        <w:t xml:space="preserve">to the extent not otherwise included, Indebtedness of another Person secured by a Lien on any asset owned by such Person (whether or not such Indebtedness is assumed by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amount of such Indebtedness will be the lesser of: (a) the Fair Market Value (as determined in good faith by Parent Borrower) of such asset at such date of determination, and (b) the amount of such Indebtedness of such other Person;</w:t>
      </w:r>
    </w:p>
    <w:p>
      <w:pPr>
        <w:sectPr>
          <w:pgSz w:w="11900" w:h="16838" w:orient="portrait"/>
          <w:cols w:equalWidth="0" w:num="1">
            <w:col w:w="11240"/>
          </w:cols>
          <w:pgMar w:left="320" w:top="1427" w:right="339" w:bottom="1440" w:gutter="0" w:footer="0" w:header="0"/>
        </w:sectPr>
      </w:pPr>
    </w:p>
    <w:bookmarkStart w:id="147" w:name="page148"/>
    <w:bookmarkEnd w:id="147"/>
    <w:p>
      <w:pPr>
        <w:ind w:right="60" w:firstLine="1296"/>
        <w:spacing w:after="0" w:line="285"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notwithstanding the foregoing, Indebtedness shall be deemed not to include (1) Contingent Obligations incurred in the ordinary course of business and not in respect of borrowed money; (2) deferred or prepaid revenues; (3) purchase price holdbacks in respect of a portion of the purchase price of an asset to satisfy warranty or other unperformed obligations of the respective seller; (4) obligations under or in respect of a Qualified Securitization Financing (including all obligations of any Securitization Subsidiary); (5) trade and other ordinary course payables, accrued expenses and intercompany liabilities arising in the ordinary course of business; (6) obligations in respect of cash management services; (7) in the case of Parent Borrower and the Restricted Subsidiaries (x) all intercompany Indebtedness having a term not exceeding 364 days (inclusive of any roll-over or extensions of terms) and made in the ordinary course of business and (y) intercompany liabilities in connection with cash management, tax and accounting operations of Parent Borrower and the Restricted Subsidiaries; and (8) any obligations under Hedging Obligations;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agreements are entered into for bona fide hedging purposes of Parent Borrower or the Restricted Subsidiaries (as determined in good faith by the board of directors or senior management of Parent Borrower, whether or not accounted for as a hedge in accordance with GAAP) and, in the case of any foreign exchange contract, currency swap agreement, futures contract, option contract or other similar agreement, such agreements are related to business transactions of Parent Borrower or the Restricted Subsidiaries entered into in the ordinary course of business and, in the case of any interest rate protection agreement, interest rate future agreement, interest rate option agreement, interest rate swap agreement, interest rate cap agreement, interest rate collar agreement, interest rate hedge agreement or other similar agreement or arrangement, such agreements substantially correspond in terms of notional amount, duration and interest rates, as applicable, to Indebtedness of Parent Borrower or the Restricted Subsidiaries Incurred without violation of this Agreement.</w:t>
      </w:r>
    </w:p>
    <w:p>
      <w:pPr>
        <w:spacing w:after="0" w:line="200" w:lineRule="exact"/>
        <w:rPr>
          <w:sz w:val="20"/>
          <w:szCs w:val="20"/>
          <w:color w:val="auto"/>
        </w:rPr>
      </w:pPr>
    </w:p>
    <w:p>
      <w:pPr>
        <w:spacing w:after="0" w:line="219"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Notwithstanding anything in this Agreement to the contrary, Indebtedness shall not include, and shall be calculated without giving effect to, the effects of Statement of Financial Accounting Standards No. 133 and related interpretations to the extent such effects would otherwise increase or decrease an amount of Indebtedness for any purpose under this Agreement as a result of accounting for any embedded derivatives created by the terms of such Indebtedness; and any such amounts that would have constituted Indebtedness under this Agreement but for the application of this sentence shall not be deemed an Incurrence of Indebtedness under this Agreement.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Liabilities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2.11</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Person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2.11</w:t>
      </w:r>
      <w:r>
        <w:rPr>
          <w:rFonts w:ascii="Arial" w:cs="Arial" w:eastAsia="Arial" w:hAnsi="Arial"/>
          <w:sz w:val="22"/>
          <w:szCs w:val="22"/>
          <w:color w:val="auto"/>
        </w:rPr>
        <w:t>.</w:t>
      </w:r>
    </w:p>
    <w:p>
      <w:pPr>
        <w:spacing w:after="0" w:line="220"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w:t>
      </w:r>
      <w:r>
        <w:rPr>
          <w:rFonts w:ascii="Arial" w:cs="Arial" w:eastAsia="Arial" w:hAnsi="Arial"/>
          <w:sz w:val="22"/>
          <w:szCs w:val="22"/>
          <w:color w:val="auto"/>
        </w:rPr>
        <w:t>” means (a) Taxes, other than Excluded Taxes, imposed on or with respect to any payment made by or on account of any obligation of a Credit Party under any Loan Document and (b) to the extent not otherwise described in clause (a), Other Taxes.</w:t>
      </w:r>
    </w:p>
    <w:p>
      <w:pPr>
        <w:spacing w:after="0" w:line="185" w:lineRule="exact"/>
        <w:rPr>
          <w:sz w:val="20"/>
          <w:szCs w:val="20"/>
          <w:color w:val="auto"/>
        </w:rPr>
      </w:pPr>
    </w:p>
    <w:p>
      <w:pPr>
        <w:jc w:val="both"/>
        <w:ind w:firstLine="499"/>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Independent Financial Advisor</w:t>
      </w:r>
      <w:r>
        <w:rPr>
          <w:rFonts w:ascii="Arial" w:cs="Arial" w:eastAsia="Arial" w:hAnsi="Arial"/>
          <w:sz w:val="22"/>
          <w:szCs w:val="22"/>
          <w:color w:val="auto"/>
        </w:rPr>
        <w:t>” means an accounting, appraisal or investment banking firm or consultant, in each case of nationally recognized standing, that is, in the good faith determination of Parent Borrower, qualified to perform the task for which it has been engaged.</w:t>
      </w:r>
    </w:p>
    <w:p>
      <w:pPr>
        <w:sectPr>
          <w:pgSz w:w="11900" w:h="16838" w:orient="portrait"/>
          <w:cols w:equalWidth="0" w:num="1">
            <w:col w:w="11240"/>
          </w:cols>
          <w:pgMar w:left="320" w:top="1427" w:right="339" w:bottom="1440" w:gutter="0" w:footer="0" w:header="0"/>
        </w:sectPr>
      </w:pPr>
    </w:p>
    <w:bookmarkStart w:id="148" w:name="page149"/>
    <w:bookmarkEnd w:id="148"/>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12.8</w:t>
      </w:r>
      <w:r>
        <w:rPr>
          <w:rFonts w:ascii="Arial" w:cs="Arial" w:eastAsia="Arial" w:hAnsi="Arial"/>
          <w:sz w:val="22"/>
          <w:szCs w:val="22"/>
          <w:color w:val="auto"/>
        </w:rPr>
        <w:t>.</w:t>
      </w:r>
    </w:p>
    <w:p>
      <w:pPr>
        <w:spacing w:after="0" w:line="220" w:lineRule="exact"/>
        <w:rPr>
          <w:sz w:val="20"/>
          <w:szCs w:val="20"/>
          <w:color w:val="auto"/>
        </w:rPr>
      </w:pPr>
    </w:p>
    <w:p>
      <w:pPr>
        <w:jc w:val="both"/>
        <w:ind w:firstLine="44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Insolvency Laws</w:t>
      </w:r>
      <w:r>
        <w:rPr>
          <w:rFonts w:ascii="Arial" w:cs="Arial" w:eastAsia="Arial" w:hAnsi="Arial"/>
          <w:sz w:val="22"/>
          <w:szCs w:val="22"/>
          <w:color w:val="auto"/>
        </w:rPr>
        <w:t>” means any of the Bankruptcy Code, the BIA, the WRA or the CCAA, in each case, as now and hereafter in effect, any successors to any such statute and any other applicable insolvency or other similar law of any jurisdiction including, without limitation, any law of any jurisdiction permitting a debtor to obtain a stay or a compromise of the claims of its creditors against it.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means any and all Patents, Copyrights and Trademarks.</w:t>
      </w:r>
    </w:p>
    <w:p>
      <w:pPr>
        <w:spacing w:after="0" w:line="220" w:lineRule="exact"/>
        <w:rPr>
          <w:sz w:val="20"/>
          <w:szCs w:val="20"/>
          <w:color w:val="auto"/>
        </w:rPr>
      </w:pPr>
    </w:p>
    <w:p>
      <w:pPr>
        <w:jc w:val="both"/>
        <w:ind w:firstLine="729"/>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 Security Agreements</w:t>
      </w:r>
      <w:r>
        <w:rPr>
          <w:rFonts w:ascii="Arial" w:cs="Arial" w:eastAsia="Arial" w:hAnsi="Arial"/>
          <w:sz w:val="22"/>
          <w:szCs w:val="22"/>
          <w:color w:val="auto"/>
        </w:rPr>
        <w:t>” means, collectively, any and all Copyright Security Agreements, Patent Security Agreements and Trademark Security Agreements, made in favor of Agent, on behalf of itself and Lenders, by each Credit Party signatory thereto, as amended from time to time.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Interchange System</w:t>
      </w:r>
      <w:r>
        <w:rPr>
          <w:rFonts w:ascii="Arial" w:cs="Arial" w:eastAsia="Arial" w:hAnsi="Arial"/>
          <w:sz w:val="22"/>
          <w:szCs w:val="22"/>
          <w:color w:val="auto"/>
        </w:rPr>
        <w:t>” means that certain rail interchange system governed by the AAR Rules.</w:t>
      </w:r>
    </w:p>
    <w:p>
      <w:pPr>
        <w:spacing w:after="0" w:line="220"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Expense</w:t>
      </w:r>
      <w:r>
        <w:rPr>
          <w:rFonts w:ascii="Arial" w:cs="Arial" w:eastAsia="Arial" w:hAnsi="Arial"/>
          <w:sz w:val="22"/>
          <w:szCs w:val="22"/>
          <w:color w:val="auto"/>
        </w:rPr>
        <w:t xml:space="preserve">” means, with respect to any Person for any fiscal period, (i) interest expense of such Person determined in accordance with GAAP for the relevant period ended on such date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(ii) cash interest income of such Person determined in accordance with GAAP for the relevant period ended on such date.</w:t>
      </w:r>
    </w:p>
    <w:p>
      <w:pPr>
        <w:spacing w:after="0" w:line="185" w:lineRule="exact"/>
        <w:rPr>
          <w:sz w:val="20"/>
          <w:szCs w:val="20"/>
          <w:color w:val="auto"/>
        </w:rPr>
      </w:pPr>
    </w:p>
    <w:p>
      <w:pPr>
        <w:jc w:val="both"/>
        <w:ind w:firstLine="513"/>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xml:space="preserve">” means (a) as to any Base Rate Loan, the last Business Day of each Fiscal Quarter to occur while such Loan is outstanding and the final maturity date of such Loan, and (b) as to any LIBOR Loan, the last day of the applicable LIBOR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LIBOR Period greater than three months in duration, interest shall be payable at three-month intervals and on the last day of such LIBOR Period;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in addition to the foregoing, each of</w:t>
      </w:r>
    </w:p>
    <w:p>
      <w:pPr>
        <w:spacing w:after="0" w:line="3" w:lineRule="exact"/>
        <w:rPr>
          <w:sz w:val="20"/>
          <w:szCs w:val="20"/>
          <w:color w:val="auto"/>
        </w:rPr>
      </w:pPr>
    </w:p>
    <w:p>
      <w:pPr>
        <w:jc w:val="both"/>
        <w:ind w:firstLine="8"/>
        <w:spacing w:after="0" w:line="245" w:lineRule="auto"/>
        <w:tabs>
          <w:tab w:leader="none" w:pos="351"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date upon which all of the Commitments have been terminated and the Loans have been paid in full and (y) the Commitment Termination Date shall be deemed to be an Interest Payment Date with respect to any interest that has then accrued under this Agreement.</w:t>
      </w:r>
    </w:p>
    <w:p>
      <w:pPr>
        <w:spacing w:after="0" w:line="193" w:lineRule="exact"/>
        <w:rPr>
          <w:sz w:val="20"/>
          <w:szCs w:val="20"/>
          <w:color w:val="auto"/>
        </w:rPr>
      </w:pPr>
    </w:p>
    <w:p>
      <w:pPr>
        <w:ind w:firstLine="472"/>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Inventory</w:t>
      </w:r>
      <w:r>
        <w:rPr>
          <w:rFonts w:ascii="Arial" w:cs="Arial" w:eastAsia="Arial" w:hAnsi="Arial"/>
          <w:sz w:val="22"/>
          <w:szCs w:val="22"/>
          <w:color w:val="auto"/>
        </w:rPr>
        <w:t>” means all “inventory,” as such term is defined in the Code or the PPSA, as applicable, now owned or hereafter acquired by any Credit Party, wherever located.</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Grade Securities</w:t>
      </w:r>
      <w:r>
        <w:rPr>
          <w:rFonts w:ascii="Arial" w:cs="Arial" w:eastAsia="Arial" w:hAnsi="Arial"/>
          <w:sz w:val="22"/>
          <w:szCs w:val="22"/>
          <w:color w:val="auto"/>
        </w:rPr>
        <w:t>” means:</w:t>
      </w:r>
    </w:p>
    <w:p>
      <w:pPr>
        <w:spacing w:after="0" w:line="220" w:lineRule="exact"/>
        <w:rPr>
          <w:sz w:val="20"/>
          <w:szCs w:val="20"/>
          <w:color w:val="auto"/>
        </w:rPr>
      </w:pPr>
    </w:p>
    <w:p>
      <w:pPr>
        <w:ind w:left="660" w:right="900" w:firstLine="644"/>
        <w:spacing w:after="0" w:line="263" w:lineRule="auto"/>
        <w:tabs>
          <w:tab w:leader="none" w:pos="1614" w:val="left"/>
        </w:tabs>
        <w:numPr>
          <w:ilvl w:val="0"/>
          <w:numId w:val="54"/>
        </w:numPr>
        <w:rPr>
          <w:rFonts w:ascii="Arial" w:cs="Arial" w:eastAsia="Arial" w:hAnsi="Arial"/>
          <w:sz w:val="22"/>
          <w:szCs w:val="22"/>
          <w:color w:val="auto"/>
        </w:rPr>
      </w:pPr>
      <w:r>
        <w:rPr>
          <w:rFonts w:ascii="Arial" w:cs="Arial" w:eastAsia="Arial" w:hAnsi="Arial"/>
          <w:sz w:val="22"/>
          <w:szCs w:val="22"/>
          <w:color w:val="auto"/>
        </w:rPr>
        <w:t>securities issued or directly and fully guaranteed or insured by the U.S. government or any agency or instrumentality thereof (other than Cash Equivalents),</w:t>
      </w:r>
    </w:p>
    <w:p>
      <w:pPr>
        <w:spacing w:after="0" w:line="66" w:lineRule="exact"/>
        <w:rPr>
          <w:rFonts w:ascii="Arial" w:cs="Arial" w:eastAsia="Arial" w:hAnsi="Arial"/>
          <w:sz w:val="22"/>
          <w:szCs w:val="22"/>
          <w:color w:val="auto"/>
        </w:rPr>
      </w:pPr>
    </w:p>
    <w:p>
      <w:pPr>
        <w:jc w:val="both"/>
        <w:ind w:left="660" w:right="80" w:firstLine="644"/>
        <w:spacing w:after="0" w:line="343" w:lineRule="auto"/>
        <w:tabs>
          <w:tab w:leader="none" w:pos="1614" w:val="left"/>
        </w:tabs>
        <w:numPr>
          <w:ilvl w:val="0"/>
          <w:numId w:val="54"/>
        </w:numPr>
        <w:rPr>
          <w:rFonts w:ascii="Arial" w:cs="Arial" w:eastAsia="Arial" w:hAnsi="Arial"/>
          <w:sz w:val="19"/>
          <w:szCs w:val="19"/>
          <w:color w:val="auto"/>
        </w:rPr>
      </w:pPr>
      <w:r>
        <w:rPr>
          <w:rFonts w:ascii="Arial" w:cs="Arial" w:eastAsia="Arial" w:hAnsi="Arial"/>
          <w:sz w:val="19"/>
          <w:szCs w:val="19"/>
          <w:color w:val="auto"/>
        </w:rPr>
        <w:t>securities that have a rating equal to or higher than Baa3 (or equivalent) by Moody’s and BBB- (or equivalent) by S&amp;P, but excluding any debt securities or loans or advances between and among Parent Borrower and its Subsidiaries,</w:t>
      </w:r>
    </w:p>
    <w:p>
      <w:pPr>
        <w:sectPr>
          <w:pgSz w:w="11900" w:h="16838" w:orient="portrait"/>
          <w:cols w:equalWidth="0" w:num="1">
            <w:col w:w="11240"/>
          </w:cols>
          <w:pgMar w:left="320" w:top="1427" w:right="339" w:bottom="1440" w:gutter="0" w:footer="0" w:header="0"/>
        </w:sectPr>
      </w:pPr>
    </w:p>
    <w:bookmarkStart w:id="149" w:name="page150"/>
    <w:bookmarkEnd w:id="149"/>
    <w:p>
      <w:pPr>
        <w:ind w:left="660" w:right="440" w:firstLine="644"/>
        <w:spacing w:after="0" w:line="287" w:lineRule="auto"/>
        <w:tabs>
          <w:tab w:leader="none" w:pos="1614" w:val="left"/>
        </w:tabs>
        <w:numPr>
          <w:ilvl w:val="0"/>
          <w:numId w:val="55"/>
        </w:numPr>
        <w:rPr>
          <w:rFonts w:ascii="Arial" w:cs="Arial" w:eastAsia="Arial" w:hAnsi="Arial"/>
          <w:sz w:val="21"/>
          <w:szCs w:val="21"/>
          <w:color w:val="auto"/>
        </w:rPr>
      </w:pPr>
      <w:r>
        <w:rPr>
          <w:rFonts w:ascii="Arial" w:cs="Arial" w:eastAsia="Arial" w:hAnsi="Arial"/>
          <w:sz w:val="21"/>
          <w:szCs w:val="21"/>
          <w:color w:val="auto"/>
        </w:rPr>
        <w:t>investments in any fund that invests exclusively in investments of the type described in clauses (1) and (2) which fund may also hold material amounts of cash pending investment and/or distribution, and</w:t>
      </w:r>
    </w:p>
    <w:p>
      <w:pPr>
        <w:spacing w:after="0" w:line="43" w:lineRule="exact"/>
        <w:rPr>
          <w:rFonts w:ascii="Arial" w:cs="Arial" w:eastAsia="Arial" w:hAnsi="Arial"/>
          <w:sz w:val="21"/>
          <w:szCs w:val="21"/>
          <w:color w:val="auto"/>
        </w:rPr>
      </w:pPr>
    </w:p>
    <w:p>
      <w:pPr>
        <w:ind w:left="660" w:right="640" w:firstLine="644"/>
        <w:spacing w:after="0" w:line="287" w:lineRule="auto"/>
        <w:tabs>
          <w:tab w:leader="none" w:pos="1614" w:val="left"/>
        </w:tabs>
        <w:numPr>
          <w:ilvl w:val="0"/>
          <w:numId w:val="55"/>
        </w:numPr>
        <w:rPr>
          <w:rFonts w:ascii="Arial" w:cs="Arial" w:eastAsia="Arial" w:hAnsi="Arial"/>
          <w:sz w:val="21"/>
          <w:szCs w:val="21"/>
          <w:color w:val="auto"/>
        </w:rPr>
      </w:pPr>
      <w:r>
        <w:rPr>
          <w:rFonts w:ascii="Arial" w:cs="Arial" w:eastAsia="Arial" w:hAnsi="Arial"/>
          <w:sz w:val="21"/>
          <w:szCs w:val="21"/>
          <w:color w:val="auto"/>
        </w:rPr>
        <w:t>corresponding instruments in countries other than the United States customarily utilized for high quality investments and in each case with maturities not exceeding two years from the date of acquisition.</w:t>
      </w:r>
    </w:p>
    <w:p>
      <w:pPr>
        <w:spacing w:after="0" w:line="43" w:lineRule="exact"/>
        <w:rPr>
          <w:sz w:val="20"/>
          <w:szCs w:val="20"/>
          <w:color w:val="auto"/>
        </w:rPr>
      </w:pPr>
    </w:p>
    <w:p>
      <w:pPr>
        <w:jc w:val="both"/>
        <w:ind w:firstLine="499"/>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Investments</w:t>
      </w:r>
      <w:r>
        <w:rPr>
          <w:rFonts w:ascii="Arial" w:cs="Arial" w:eastAsia="Arial" w:hAnsi="Arial"/>
          <w:sz w:val="21"/>
          <w:szCs w:val="21"/>
          <w:color w:val="auto"/>
        </w:rPr>
        <w:t xml:space="preserve">” means, with respect to any Person, all investments by such Person in other Persons (including Affiliates) in the form of loans (including guarantees), advances or capital contributions (excluding accounts receivable, trade credit and advances to customers and commission, travel and similar advances to officers, employees and consultants made in the ordinary course of business and any assets or securities received in satisfaction or partial satisfaction thereof from financially troubled account debtors to the extent reasonably necessary in order to prevent or limit loss and any prepayments and other credits to suppliers made in the ordinary course of business), purchases or other acquisitions for consideration of Indebtedness, Equity Interests or other securities issued by any other Person and investments that are required by GAAP to be classified on the balance sheet of such Person in the same manner as the other investments included in this definition to the extent such transactions involve the transfer of cash or other property. For purposes of the definition of “Unrestricted Subsidiary,” </w:t>
      </w:r>
      <w:r>
        <w:rPr>
          <w:rFonts w:ascii="Arial" w:cs="Arial" w:eastAsia="Arial" w:hAnsi="Arial"/>
          <w:sz w:val="21"/>
          <w:szCs w:val="21"/>
          <w:u w:val="single" w:color="auto"/>
          <w:color w:val="auto"/>
        </w:rPr>
        <w:t>Section 6.13</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7.2</w:t>
      </w:r>
      <w:r>
        <w:rPr>
          <w:rFonts w:ascii="Arial" w:cs="Arial" w:eastAsia="Arial" w:hAnsi="Arial"/>
          <w:sz w:val="21"/>
          <w:szCs w:val="21"/>
          <w:color w:val="auto"/>
        </w:rPr>
        <w:t>:</w:t>
      </w:r>
    </w:p>
    <w:p>
      <w:pPr>
        <w:spacing w:after="0" w:line="185" w:lineRule="exact"/>
        <w:rPr>
          <w:sz w:val="20"/>
          <w:szCs w:val="20"/>
          <w:color w:val="auto"/>
        </w:rPr>
      </w:pPr>
    </w:p>
    <w:p>
      <w:pPr>
        <w:ind w:left="660" w:right="80" w:firstLine="644"/>
        <w:spacing w:after="0" w:line="297" w:lineRule="auto"/>
        <w:tabs>
          <w:tab w:leader="none" w:pos="1614"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“Investments” shall include the portion (proportionate to Parent Borrower’s equity interest in such Subsidiary) of the Fair Market Value (as determined in good faith by Parent Borrower) of the net assets of such Subsidiary at the time that such Subsidiary is designated an Unrestricted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a redesignation of such Subsidiary as a Restricted Subsidiary, Parent Borrower shall be deemed to continue to have a permanent “Investment” in an Unrestricted Subsidiary equal to an amount (if positive) equal to:</w:t>
      </w:r>
    </w:p>
    <w:p>
      <w:pPr>
        <w:spacing w:after="0" w:line="146" w:lineRule="exact"/>
        <w:rPr>
          <w:rFonts w:ascii="Arial" w:cs="Arial" w:eastAsia="Arial" w:hAnsi="Arial"/>
          <w:sz w:val="19"/>
          <w:szCs w:val="19"/>
          <w:color w:val="auto"/>
        </w:rPr>
      </w:pPr>
    </w:p>
    <w:p>
      <w:pPr>
        <w:ind w:left="2240" w:hanging="288"/>
        <w:spacing w:after="0"/>
        <w:tabs>
          <w:tab w:leader="none" w:pos="2240" w:val="left"/>
        </w:tabs>
        <w:numPr>
          <w:ilvl w:val="1"/>
          <w:numId w:val="56"/>
        </w:numPr>
        <w:rPr>
          <w:rFonts w:ascii="Arial" w:cs="Arial" w:eastAsia="Arial" w:hAnsi="Arial"/>
          <w:sz w:val="22"/>
          <w:szCs w:val="22"/>
          <w:color w:val="auto"/>
        </w:rPr>
      </w:pPr>
      <w:r>
        <w:rPr>
          <w:rFonts w:ascii="Arial" w:cs="Arial" w:eastAsia="Arial" w:hAnsi="Arial"/>
          <w:sz w:val="22"/>
          <w:szCs w:val="22"/>
          <w:color w:val="auto"/>
        </w:rPr>
        <w:t>its “Investment” in such Subsidiary at the time of such redesignation less</w:t>
      </w:r>
    </w:p>
    <w:p>
      <w:pPr>
        <w:spacing w:after="0" w:line="219" w:lineRule="exact"/>
        <w:rPr>
          <w:rFonts w:ascii="Arial" w:cs="Arial" w:eastAsia="Arial" w:hAnsi="Arial"/>
          <w:sz w:val="22"/>
          <w:szCs w:val="22"/>
          <w:color w:val="auto"/>
        </w:rPr>
      </w:pPr>
    </w:p>
    <w:p>
      <w:pPr>
        <w:ind w:left="1300" w:right="780" w:firstLine="652"/>
        <w:spacing w:after="0" w:line="253" w:lineRule="auto"/>
        <w:tabs>
          <w:tab w:leader="none" w:pos="2254" w:val="left"/>
        </w:tabs>
        <w:numPr>
          <w:ilvl w:val="1"/>
          <w:numId w:val="56"/>
        </w:numPr>
        <w:rPr>
          <w:rFonts w:ascii="Arial" w:cs="Arial" w:eastAsia="Arial" w:hAnsi="Arial"/>
          <w:sz w:val="22"/>
          <w:szCs w:val="22"/>
          <w:color w:val="auto"/>
        </w:rPr>
      </w:pPr>
      <w:r>
        <w:rPr>
          <w:rFonts w:ascii="Arial" w:cs="Arial" w:eastAsia="Arial" w:hAnsi="Arial"/>
          <w:sz w:val="22"/>
          <w:szCs w:val="22"/>
          <w:color w:val="auto"/>
        </w:rPr>
        <w:t>the portion (proportionate to its equity interest in such Subsidiary) of the Fair Market Value (as determined in good faith by Parent Borrower) of the net assets of such Subsidiary at the time of such redesignation; and</w:t>
      </w:r>
    </w:p>
    <w:p>
      <w:pPr>
        <w:spacing w:after="0" w:line="185" w:lineRule="exact"/>
        <w:rPr>
          <w:rFonts w:ascii="Arial" w:cs="Arial" w:eastAsia="Arial" w:hAnsi="Arial"/>
          <w:sz w:val="22"/>
          <w:szCs w:val="22"/>
          <w:color w:val="auto"/>
        </w:rPr>
      </w:pPr>
    </w:p>
    <w:p>
      <w:pPr>
        <w:ind w:left="660" w:right="120" w:firstLine="644"/>
        <w:spacing w:after="0" w:line="253" w:lineRule="auto"/>
        <w:tabs>
          <w:tab w:leader="none" w:pos="1614"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property transferred to or from an Unrestricted Subsidiary shall be valued at its Fair Market Value (as determined in good faith by Parent Borrower) at the time of such transfer, in each case as determined in good faith by the Board of Directors of Parent Borrower.</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IRC</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IRS</w:t>
      </w:r>
      <w:r>
        <w:rPr>
          <w:rFonts w:ascii="Arial" w:cs="Arial" w:eastAsia="Arial" w:hAnsi="Arial"/>
          <w:sz w:val="22"/>
          <w:szCs w:val="22"/>
          <w:color w:val="auto"/>
        </w:rPr>
        <w:t>” means the Internal Revenue Service.</w:t>
      </w:r>
    </w:p>
    <w:p>
      <w:pPr>
        <w:sectPr>
          <w:pgSz w:w="11900" w:h="16838" w:orient="portrait"/>
          <w:cols w:equalWidth="0" w:num="1">
            <w:col w:w="11240"/>
          </w:cols>
          <w:pgMar w:left="320" w:top="1427" w:right="339" w:bottom="1440" w:gutter="0" w:footer="0" w:header="0"/>
        </w:sectPr>
      </w:pPr>
    </w:p>
    <w:bookmarkStart w:id="150" w:name="page151"/>
    <w:bookmarkEnd w:id="150"/>
    <w:p>
      <w:pPr>
        <w:jc w:val="both"/>
        <w:ind w:firstLine="499"/>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Joinder Agreement</w:t>
      </w:r>
      <w:r>
        <w:rPr>
          <w:rFonts w:ascii="Arial" w:cs="Arial" w:eastAsia="Arial" w:hAnsi="Arial"/>
          <w:sz w:val="21"/>
          <w:szCs w:val="21"/>
          <w:color w:val="auto"/>
        </w:rPr>
        <w:t xml:space="preserve">” means (a) with respect to the joinder of a Domestic Subsidiary pursuant to </w:t>
      </w:r>
      <w:r>
        <w:rPr>
          <w:rFonts w:ascii="Arial" w:cs="Arial" w:eastAsia="Arial" w:hAnsi="Arial"/>
          <w:sz w:val="21"/>
          <w:szCs w:val="21"/>
          <w:u w:val="single" w:color="auto"/>
          <w:color w:val="auto"/>
        </w:rPr>
        <w:t>Section 6.12(a)</w:t>
      </w:r>
      <w:r>
        <w:rPr>
          <w:rFonts w:ascii="Arial" w:cs="Arial" w:eastAsia="Arial" w:hAnsi="Arial"/>
          <w:sz w:val="21"/>
          <w:szCs w:val="21"/>
          <w:color w:val="auto"/>
        </w:rPr>
        <w:t xml:space="preserve">, a joinder agreement substantially in the form of Exhibit 2 to the U.S. Security Agreement and (b) with respect to the joinder of a Subsidiary organized under the laws of Canada (or and province or territory thereof) pursuant to </w:t>
      </w:r>
      <w:r>
        <w:rPr>
          <w:rFonts w:ascii="Arial" w:cs="Arial" w:eastAsia="Arial" w:hAnsi="Arial"/>
          <w:sz w:val="21"/>
          <w:szCs w:val="21"/>
          <w:u w:val="single" w:color="auto"/>
          <w:color w:val="auto"/>
        </w:rPr>
        <w:t>Section 6.12(a)</w:t>
      </w:r>
      <w:r>
        <w:rPr>
          <w:rFonts w:ascii="Arial" w:cs="Arial" w:eastAsia="Arial" w:hAnsi="Arial"/>
          <w:sz w:val="21"/>
          <w:szCs w:val="21"/>
          <w:color w:val="auto"/>
        </w:rPr>
        <w:t>, a joinder agreement substantially in the form of Exhibit 2 to the Canadian Security Agreement.</w:t>
      </w:r>
    </w:p>
    <w:p>
      <w:pPr>
        <w:spacing w:after="0" w:line="175" w:lineRule="exact"/>
        <w:rPr>
          <w:sz w:val="20"/>
          <w:szCs w:val="20"/>
          <w:color w:val="auto"/>
        </w:rPr>
      </w:pPr>
    </w:p>
    <w:p>
      <w:pPr>
        <w:jc w:val="both"/>
        <w:ind w:firstLine="499"/>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Joint Venture</w:t>
      </w:r>
      <w:r>
        <w:rPr>
          <w:rFonts w:ascii="Arial" w:cs="Arial" w:eastAsia="Arial" w:hAnsi="Arial"/>
          <w:sz w:val="19"/>
          <w:szCs w:val="19"/>
          <w:color w:val="auto"/>
        </w:rPr>
        <w:t>” means any Person a portion (but not all) of the Capital Stock of which is owned directly or indirectly by a Borrower or a Subsidiary thereof but which is not a Wholly Owned Subsidiary and which is engaged in a business that is similar to or complementary with the business of Borrowers and their Subsidiaries as permitted under this Agreement.</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JPMorgan Chase</w:t>
      </w:r>
      <w:r>
        <w:rPr>
          <w:rFonts w:ascii="Arial" w:cs="Arial" w:eastAsia="Arial" w:hAnsi="Arial"/>
          <w:sz w:val="22"/>
          <w:szCs w:val="22"/>
          <w:color w:val="auto"/>
        </w:rPr>
        <w:t>” has the meaning specified in the preamble to this Agreement.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 Conversion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12.20</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 Currency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12.20</w:t>
      </w:r>
      <w:r>
        <w:rPr>
          <w:rFonts w:ascii="Arial" w:cs="Arial" w:eastAsia="Arial" w:hAnsi="Arial"/>
          <w:sz w:val="22"/>
          <w:szCs w:val="22"/>
          <w:color w:val="auto"/>
        </w:rPr>
        <w:t>.</w:t>
      </w:r>
    </w:p>
    <w:p>
      <w:pPr>
        <w:spacing w:after="0" w:line="220" w:lineRule="exact"/>
        <w:rPr>
          <w:sz w:val="20"/>
          <w:szCs w:val="20"/>
          <w:color w:val="auto"/>
        </w:rPr>
      </w:pPr>
    </w:p>
    <w:p>
      <w:pPr>
        <w:jc w:val="both"/>
        <w:ind w:firstLine="472"/>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Latest Maturity Date</w:t>
      </w:r>
      <w:r>
        <w:rPr>
          <w:rFonts w:ascii="Arial" w:cs="Arial" w:eastAsia="Arial" w:hAnsi="Arial"/>
          <w:sz w:val="19"/>
          <w:szCs w:val="19"/>
          <w:color w:val="auto"/>
        </w:rPr>
        <w:t>” means, at any date of determination, the latest maturity or expiration date applicable to any Loan or Commitment hereunder at such time, including the latest maturity or expiration date of any Incremental Revolving Loan or any Extended Revolving Commitment, in each case as extended in accordance with this Agreement from time to time.</w:t>
      </w:r>
    </w:p>
    <w:p>
      <w:pPr>
        <w:spacing w:after="0" w:line="133" w:lineRule="exact"/>
        <w:rPr>
          <w:sz w:val="20"/>
          <w:szCs w:val="20"/>
          <w:color w:val="auto"/>
        </w:rPr>
      </w:pPr>
    </w:p>
    <w:p>
      <w:pPr>
        <w:jc w:val="both"/>
        <w:ind w:firstLine="49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Issuer</w:t>
      </w:r>
      <w:r>
        <w:rPr>
          <w:rFonts w:ascii="Arial" w:cs="Arial" w:eastAsia="Arial" w:hAnsi="Arial"/>
          <w:sz w:val="19"/>
          <w:szCs w:val="19"/>
          <w:color w:val="auto"/>
        </w:rPr>
        <w:t>” means each of Morgan Stanley Bank, N.A., JPMorgan Chase Bank, N.A., Wells Fargo Bank, N.A., Deutsche Bank AG New York Branch, Citibank, N.A., Barclays Bank PLC, PNC Bank, N.A., U.S. Bank National Association or any of their respective Affiliates or branches, each in its capacity as issuer of any Letter of Credit, or such other bank or authorized Person as Borrower Representative may select (subject to Agent’s consent, not to be unreasonably withheld, delayed or conditioned, and the consent of such bank or authorized Person) as an L/C Issuer under this Agreement.</w:t>
      </w:r>
    </w:p>
    <w:p>
      <w:pPr>
        <w:spacing w:after="0" w:line="1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Issuer Fronting Sublimit Amount</w:t>
      </w:r>
      <w:r>
        <w:rPr>
          <w:rFonts w:ascii="Arial" w:cs="Arial" w:eastAsia="Arial" w:hAnsi="Arial"/>
          <w:sz w:val="21"/>
          <w:szCs w:val="21"/>
          <w:color w:val="auto"/>
        </w:rPr>
        <w:t>” means (a) as to each L/C Issuer party hereto as of the Restatement Date, the fronting sublimit amount set forth opposite its name on Annex D and (b) as to each L/C Issuer that becomes an L/C Issuer hereunder after the date hereof, the fronting sublimit amount of such L/C Issuer set forth in the instrument under which such L/C Issuer becomes an L/C Issuer. The L/C Issuer Fronting Sublimit Amount of any L/C Issuer may be changed by written agreement between Parent Borrower and such L/C Issuer, without the consent of any other party hereto (but with notice to Agent), it being understood that no such change shall impact the L/C Sublimit.</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Sublimit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220" w:lineRule="exact"/>
        <w:rPr>
          <w:sz w:val="20"/>
          <w:szCs w:val="20"/>
          <w:color w:val="auto"/>
        </w:rPr>
      </w:pPr>
    </w:p>
    <w:p>
      <w:pPr>
        <w:jc w:val="both"/>
        <w:ind w:firstLine="540"/>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Lead Arrangers</w:t>
      </w:r>
      <w:r>
        <w:rPr>
          <w:rFonts w:ascii="Arial" w:cs="Arial" w:eastAsia="Arial" w:hAnsi="Arial"/>
          <w:sz w:val="19"/>
          <w:szCs w:val="19"/>
          <w:color w:val="auto"/>
        </w:rPr>
        <w:t>” means each of Morgan Stanley Senior Funding, Inc., J.P. Morgan Securities LLC, Barclays Bank PLC, Citibank, N.A. and Deutsche Bank Securities Inc., in each case in its capacities as Joint Lead Arrangers and Joint Bookrunners.</w:t>
      </w:r>
    </w:p>
    <w:p>
      <w:pPr>
        <w:sectPr>
          <w:pgSz w:w="11900" w:h="16838" w:orient="portrait"/>
          <w:cols w:equalWidth="0" w:num="1">
            <w:col w:w="11240"/>
          </w:cols>
          <w:pgMar w:left="320" w:top="1427" w:right="339" w:bottom="1440" w:gutter="0" w:footer="0" w:header="0"/>
        </w:sectPr>
      </w:pPr>
    </w:p>
    <w:bookmarkStart w:id="151" w:name="page152"/>
    <w:bookmarkEnd w:id="151"/>
    <w:p>
      <w:pPr>
        <w:jc w:val="both"/>
        <w:ind w:firstLine="513"/>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Lenders</w:t>
      </w:r>
      <w:r>
        <w:rPr>
          <w:rFonts w:ascii="Arial" w:cs="Arial" w:eastAsia="Arial" w:hAnsi="Arial"/>
          <w:sz w:val="21"/>
          <w:szCs w:val="21"/>
          <w:color w:val="auto"/>
        </w:rPr>
        <w:t xml:space="preserve">” means the Lenders named on the signature pages of this Agreement and all financial institutions and funds that make Incremental Revolving Loans hereunder; and, if any such Lender shall decide to assign (in accordance with </w:t>
      </w:r>
      <w:r>
        <w:rPr>
          <w:rFonts w:ascii="Arial" w:cs="Arial" w:eastAsia="Arial" w:hAnsi="Arial"/>
          <w:sz w:val="21"/>
          <w:szCs w:val="21"/>
          <w:u w:val="single" w:color="auto"/>
          <w:color w:val="auto"/>
        </w:rPr>
        <w:t>Section 11.1</w:t>
      </w:r>
      <w:r>
        <w:rPr>
          <w:rFonts w:ascii="Arial" w:cs="Arial" w:eastAsia="Arial" w:hAnsi="Arial"/>
          <w:sz w:val="21"/>
          <w:szCs w:val="21"/>
          <w:color w:val="auto"/>
        </w:rPr>
        <w:t>) all or any portion of the Obligations, such term shall include any permitted assignee of such Lender.</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 Fee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2.2(d)</w:t>
      </w:r>
      <w:r>
        <w:rPr>
          <w:rFonts w:ascii="Arial" w:cs="Arial" w:eastAsia="Arial" w:hAnsi="Arial"/>
          <w:sz w:val="22"/>
          <w:szCs w:val="22"/>
          <w:color w:val="auto"/>
        </w:rPr>
        <w:t>.</w:t>
      </w:r>
    </w:p>
    <w:p>
      <w:pPr>
        <w:spacing w:after="0" w:line="220"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Obligations</w:t>
      </w:r>
      <w:r>
        <w:rPr>
          <w:rFonts w:ascii="Arial" w:cs="Arial" w:eastAsia="Arial" w:hAnsi="Arial"/>
          <w:sz w:val="19"/>
          <w:szCs w:val="19"/>
          <w:color w:val="auto"/>
        </w:rPr>
        <w:t xml:space="preserve">” means all outstanding obligations incurred by Agent, L/C Issuers and Lenders at the request of Borrower Representative, whether direct or indirect, contingent or otherwise, due or not due, in connection with the issuance of, or payments made in respect of, Letters of Credit by the L/C Issuers or the purchase of a participation as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w:t>
      </w:r>
      <w:r>
        <w:rPr>
          <w:rFonts w:ascii="Arial" w:cs="Arial" w:eastAsia="Arial" w:hAnsi="Arial"/>
          <w:sz w:val="19"/>
          <w:szCs w:val="19"/>
          <w:color w:val="auto"/>
        </w:rPr>
        <w:t xml:space="preserve"> with respect to any Letter of Credit. The amount of such Letter of Credit Obligations shall equal the Dollar Equivalent of the maximum amount that may be payable (or that has been paid by the L/C Issuers and not reimbursed) at such time or at any time thereafter by L/C Issuers, Agent or Lenders thereupon or pursuant thereto.</w:t>
      </w:r>
    </w:p>
    <w:p>
      <w:pPr>
        <w:spacing w:after="0" w:line="149"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Letters of Credit</w:t>
      </w:r>
      <w:r>
        <w:rPr>
          <w:rFonts w:ascii="Arial" w:cs="Arial" w:eastAsia="Arial" w:hAnsi="Arial"/>
          <w:sz w:val="22"/>
          <w:szCs w:val="22"/>
          <w:color w:val="auto"/>
        </w:rPr>
        <w:t>” means standby letters of credit issued for the account of any Borrower by any L/C Issuer pursuant hereto (including as provided in Section 2.2 (j)), in form and substance satisfactory to such L/C Issuer.</w:t>
      </w:r>
    </w:p>
    <w:p>
      <w:pPr>
        <w:spacing w:after="0" w:line="175" w:lineRule="exact"/>
        <w:rPr>
          <w:sz w:val="20"/>
          <w:szCs w:val="20"/>
          <w:color w:val="auto"/>
        </w:rPr>
      </w:pPr>
    </w:p>
    <w:p>
      <w:pPr>
        <w:jc w:val="both"/>
        <w:ind w:firstLine="52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Business Day</w:t>
      </w:r>
      <w:r>
        <w:rPr>
          <w:rFonts w:ascii="Arial" w:cs="Arial" w:eastAsia="Arial" w:hAnsi="Arial"/>
          <w:sz w:val="22"/>
          <w:szCs w:val="22"/>
          <w:color w:val="auto"/>
        </w:rPr>
        <w:t>” means a Business Day on which banks in the City of London are generally open for interbank or foreign exchange transactions and (i) if such day relates to any fundings, disbursements, settlements and payments in Euros, means a TARGET Day, and (ii) if such day relates to any fundings, disbursements, settlements and payments in an Alternative Currency approved pursuant to Section 1.4, any such day treated as a business day based on the customs and practices of the handling of such Alternative Currency.</w:t>
      </w:r>
    </w:p>
    <w:p>
      <w:pPr>
        <w:spacing w:after="0" w:line="192"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Loan</w:t>
      </w:r>
      <w:r>
        <w:rPr>
          <w:rFonts w:ascii="Arial" w:cs="Arial" w:eastAsia="Arial" w:hAnsi="Arial"/>
          <w:sz w:val="22"/>
          <w:szCs w:val="22"/>
          <w:color w:val="auto"/>
        </w:rPr>
        <w:t>” means a Loan or any portion thereof bearing interest by reference to the (a) LIBOR Rate, with respect to Loans denominated in Dollars and (b) BA Rate, with respect to Loans denominated in Canadian Dollars.</w:t>
      </w:r>
    </w:p>
    <w:p>
      <w:pPr>
        <w:spacing w:after="0" w:line="175" w:lineRule="exact"/>
        <w:rPr>
          <w:sz w:val="20"/>
          <w:szCs w:val="20"/>
          <w:color w:val="auto"/>
        </w:rPr>
      </w:pPr>
    </w:p>
    <w:p>
      <w:pPr>
        <w:jc w:val="both"/>
        <w:ind w:firstLine="54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Margin</w:t>
      </w:r>
      <w:r>
        <w:rPr>
          <w:rFonts w:ascii="Arial" w:cs="Arial" w:eastAsia="Arial" w:hAnsi="Arial"/>
          <w:sz w:val="22"/>
          <w:szCs w:val="22"/>
          <w:color w:val="auto"/>
        </w:rPr>
        <w:t>” means the per annum interest rate margin from time to time in effect and payable in addition to the (a) LIBOR Rate, with respect to LIBOR Loans and Letters of Credit denominated in Dollars, (b) BA Rate, with respect to LIBOR Loans and Letters of Credit denominated in Canadian Dollars, and (c) LIBOR Rate, with respect to Letters of Credit denominated in an Alternative Currency, in each case applicable to the Revolving Credit Advances, as determined in accordance with the definition of Applicable Margin.</w:t>
      </w:r>
    </w:p>
    <w:p>
      <w:pPr>
        <w:spacing w:after="0" w:line="192"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LIBOR Period</w:t>
      </w:r>
      <w:r>
        <w:rPr>
          <w:rFonts w:ascii="Arial" w:cs="Arial" w:eastAsia="Arial" w:hAnsi="Arial"/>
          <w:sz w:val="21"/>
          <w:szCs w:val="21"/>
          <w:color w:val="auto"/>
        </w:rPr>
        <w:t xml:space="preserve">” means, with respect to any LIBOR Loan, each period commencing on a LIBOR Business Day selected by Borrower Representative pursuant to this Agreement and ending one, three or six months (and if available to all Lenders, twelve months) thereafter, as selected by Borrower Representative’s irrevocable notice to Agent as set forth in </w:t>
      </w:r>
      <w:r>
        <w:rPr>
          <w:rFonts w:ascii="Arial" w:cs="Arial" w:eastAsia="Arial" w:hAnsi="Arial"/>
          <w:sz w:val="21"/>
          <w:szCs w:val="21"/>
          <w:u w:val="single" w:color="auto"/>
          <w:color w:val="auto"/>
        </w:rPr>
        <w:t>Section 2.5(e)</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that the foregoing provision relating to LIBOR Periods is subject to the following:</w:t>
      </w:r>
    </w:p>
    <w:p>
      <w:pPr>
        <w:spacing w:after="0" w:line="175" w:lineRule="exact"/>
        <w:rPr>
          <w:sz w:val="20"/>
          <w:szCs w:val="20"/>
          <w:color w:val="auto"/>
        </w:rPr>
      </w:pPr>
    </w:p>
    <w:p>
      <w:pPr>
        <w:ind w:firstLine="656"/>
        <w:spacing w:after="0" w:line="263" w:lineRule="auto"/>
        <w:tabs>
          <w:tab w:leader="none" w:pos="1293" w:val="left"/>
        </w:tabs>
        <w:numPr>
          <w:ilvl w:val="0"/>
          <w:numId w:val="57"/>
        </w:numPr>
        <w:rPr>
          <w:rFonts w:ascii="Arial" w:cs="Arial" w:eastAsia="Arial" w:hAnsi="Arial"/>
          <w:sz w:val="22"/>
          <w:szCs w:val="22"/>
          <w:color w:val="auto"/>
        </w:rPr>
      </w:pPr>
      <w:r>
        <w:rPr>
          <w:rFonts w:ascii="Arial" w:cs="Arial" w:eastAsia="Arial" w:hAnsi="Arial"/>
          <w:sz w:val="22"/>
          <w:szCs w:val="22"/>
          <w:color w:val="auto"/>
        </w:rPr>
        <w:t>if any LIBOR Period would otherwise end on a day that is not a LIBOR Business Day, such LIBOR Period shall be extended to the next succeeding LIBOR Business Day unless</w:t>
      </w:r>
    </w:p>
    <w:p>
      <w:pPr>
        <w:sectPr>
          <w:pgSz w:w="11900" w:h="16838" w:orient="portrait"/>
          <w:cols w:equalWidth="0" w:num="1">
            <w:col w:w="11240"/>
          </w:cols>
          <w:pgMar w:left="320" w:top="1427" w:right="339" w:bottom="1440" w:gutter="0" w:footer="0" w:header="0"/>
        </w:sectPr>
      </w:pPr>
    </w:p>
    <w:bookmarkStart w:id="152" w:name="page153"/>
    <w:bookmarkEnd w:id="152"/>
    <w:p>
      <w:pPr>
        <w:ind w:right="20"/>
        <w:spacing w:after="0" w:line="263" w:lineRule="auto"/>
        <w:rPr>
          <w:sz w:val="20"/>
          <w:szCs w:val="20"/>
          <w:color w:val="auto"/>
        </w:rPr>
      </w:pPr>
      <w:r>
        <w:rPr>
          <w:rFonts w:ascii="Arial" w:cs="Arial" w:eastAsia="Arial" w:hAnsi="Arial"/>
          <w:sz w:val="22"/>
          <w:szCs w:val="22"/>
          <w:color w:val="auto"/>
        </w:rPr>
        <w:t>the result of such extension would be to carry such LIBOR Period into another calendar month, in which event such LIBOR Period shall end on the immediately preceding LIBOR Business Day;</w:t>
      </w:r>
    </w:p>
    <w:p>
      <w:pPr>
        <w:spacing w:after="0" w:line="175"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any LIBOR Period that would otherwise extend beyond the Commitment Termination Date shall end on such date;</w:t>
      </w:r>
    </w:p>
    <w:p>
      <w:pPr>
        <w:spacing w:after="0" w:line="254" w:lineRule="exact"/>
        <w:rPr>
          <w:rFonts w:ascii="Arial" w:cs="Arial" w:eastAsia="Arial" w:hAnsi="Arial"/>
          <w:sz w:val="19"/>
          <w:szCs w:val="19"/>
          <w:color w:val="auto"/>
        </w:rPr>
      </w:pPr>
    </w:p>
    <w:p>
      <w:pPr>
        <w:jc w:val="both"/>
        <w:ind w:firstLine="656"/>
        <w:spacing w:after="0" w:line="253" w:lineRule="auto"/>
        <w:tabs>
          <w:tab w:leader="none" w:pos="1293" w:val="left"/>
        </w:tabs>
        <w:numPr>
          <w:ilvl w:val="0"/>
          <w:numId w:val="58"/>
        </w:numPr>
        <w:rPr>
          <w:rFonts w:ascii="Arial" w:cs="Arial" w:eastAsia="Arial" w:hAnsi="Arial"/>
          <w:sz w:val="22"/>
          <w:szCs w:val="22"/>
          <w:color w:val="auto"/>
        </w:rPr>
      </w:pPr>
      <w:r>
        <w:rPr>
          <w:rFonts w:ascii="Arial" w:cs="Arial" w:eastAsia="Arial" w:hAnsi="Arial"/>
          <w:sz w:val="22"/>
          <w:szCs w:val="22"/>
          <w:color w:val="auto"/>
        </w:rPr>
        <w:t>any LIBOR Period that begins on the last LIBOR Business Day of a calendar month (or on a day for which there is no numerically corresponding day in the calendar month at the end of such LIBOR Period) shall end on the last LIBOR Business Day of a calendar month; and</w:t>
      </w:r>
    </w:p>
    <w:p>
      <w:pPr>
        <w:spacing w:after="0" w:line="185" w:lineRule="exact"/>
        <w:rPr>
          <w:rFonts w:ascii="Arial" w:cs="Arial" w:eastAsia="Arial" w:hAnsi="Arial"/>
          <w:sz w:val="22"/>
          <w:szCs w:val="22"/>
          <w:color w:val="auto"/>
        </w:rPr>
      </w:pPr>
    </w:p>
    <w:p>
      <w:pPr>
        <w:ind w:right="20" w:firstLine="656"/>
        <w:spacing w:after="0" w:line="263" w:lineRule="auto"/>
        <w:tabs>
          <w:tab w:leader="none" w:pos="1291" w:val="left"/>
        </w:tabs>
        <w:numPr>
          <w:ilvl w:val="0"/>
          <w:numId w:val="58"/>
        </w:numPr>
        <w:rPr>
          <w:rFonts w:ascii="Arial" w:cs="Arial" w:eastAsia="Arial" w:hAnsi="Arial"/>
          <w:sz w:val="22"/>
          <w:szCs w:val="22"/>
          <w:color w:val="auto"/>
        </w:rPr>
      </w:pPr>
      <w:r>
        <w:rPr>
          <w:rFonts w:ascii="Arial" w:cs="Arial" w:eastAsia="Arial" w:hAnsi="Arial"/>
          <w:sz w:val="22"/>
          <w:szCs w:val="22"/>
          <w:color w:val="auto"/>
        </w:rPr>
        <w:t>Borrower Representative shall select LIBOR Periods so that there shall be no more than ten (10) separate LIBOR Loans in existence at any one time.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Rate</w:t>
      </w:r>
      <w:r>
        <w:rPr>
          <w:rFonts w:ascii="Arial" w:cs="Arial" w:eastAsia="Arial" w:hAnsi="Arial"/>
          <w:sz w:val="22"/>
          <w:szCs w:val="22"/>
          <w:color w:val="auto"/>
        </w:rPr>
        <w:t>” means for each LIBOR Period, a rate of interest determined by Agent equal to:</w:t>
      </w:r>
    </w:p>
    <w:p>
      <w:pPr>
        <w:spacing w:after="0" w:line="220" w:lineRule="exact"/>
        <w:rPr>
          <w:sz w:val="20"/>
          <w:szCs w:val="20"/>
          <w:color w:val="auto"/>
        </w:rPr>
      </w:pPr>
    </w:p>
    <w:p>
      <w:pPr>
        <w:jc w:val="both"/>
        <w:ind w:firstLine="656"/>
        <w:spacing w:after="0" w:line="258" w:lineRule="auto"/>
        <w:tabs>
          <w:tab w:leader="none" w:pos="1293"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London interbank offered rate, for any LIBOR Period with respect to a LIBOR Loan, and displayed on the appropriate page of the Reuters screen (or on any successor page or any successor service, or any substitute page or substitute for such service, providing rate quotations comparable to those currently provided on Reuters screen, as determined by Agent from time to time for purposes of providing quotations of interest rates applicable to Dollar deposits in the London interbank market) (“</w:t>
      </w:r>
      <w:r>
        <w:rPr>
          <w:rFonts w:ascii="Arial" w:cs="Arial" w:eastAsia="Arial" w:hAnsi="Arial"/>
          <w:sz w:val="21"/>
          <w:szCs w:val="21"/>
          <w:u w:val="single" w:color="auto"/>
          <w:color w:val="auto"/>
        </w:rPr>
        <w:t>LIBOR Screen Rate</w:t>
      </w:r>
      <w:r>
        <w:rPr>
          <w:rFonts w:ascii="Arial" w:cs="Arial" w:eastAsia="Arial" w:hAnsi="Arial"/>
          <w:sz w:val="21"/>
          <w:szCs w:val="21"/>
          <w:color w:val="auto"/>
        </w:rPr>
        <w:t xml:space="preserve">”) for deposits in Dollars or for the relevant Alternative Currency (for delivery on the first day of such LIBOR Period) with a term equivalent to such LIBOR Period two Business Days prior to the commencement of such LIBOR Period (but if more than one rate is specified on such page, the rate will be an arithmetic average of all such rates), or, if for any reason such rate is not available, the rate at which Dollar deposits for a maturity comparable to such LIBOR Period that would be offered to Agent by major banks in the London or other offshore interbank market for Dollars or the relevant Alternative Currency at their request at approximately 11:00 a.m. (London time) two Business Days prior to the commencement of such LIBOR Period; </w:t>
      </w:r>
      <w:r>
        <w:rPr>
          <w:rFonts w:ascii="Arial" w:cs="Arial" w:eastAsia="Arial" w:hAnsi="Arial"/>
          <w:sz w:val="21"/>
          <w:szCs w:val="21"/>
          <w:u w:val="single" w:color="auto"/>
          <w:color w:val="auto"/>
        </w:rPr>
        <w:t>divided by</w:t>
      </w:r>
    </w:p>
    <w:p>
      <w:pPr>
        <w:spacing w:after="0" w:line="181" w:lineRule="exact"/>
        <w:rPr>
          <w:rFonts w:ascii="Arial" w:cs="Arial" w:eastAsia="Arial" w:hAnsi="Arial"/>
          <w:sz w:val="21"/>
          <w:szCs w:val="21"/>
          <w:color w:val="auto"/>
        </w:rPr>
      </w:pPr>
    </w:p>
    <w:p>
      <w:pPr>
        <w:jc w:val="both"/>
        <w:ind w:firstLine="656"/>
        <w:spacing w:after="0" w:line="261" w:lineRule="auto"/>
        <w:tabs>
          <w:tab w:leader="none" w:pos="1291" w:val="left"/>
        </w:tabs>
        <w:numPr>
          <w:ilvl w:val="0"/>
          <w:numId w:val="59"/>
        </w:numPr>
        <w:rPr>
          <w:rFonts w:ascii="Arial" w:cs="Arial" w:eastAsia="Arial" w:hAnsi="Arial"/>
          <w:sz w:val="21"/>
          <w:szCs w:val="21"/>
          <w:color w:val="auto"/>
        </w:rPr>
      </w:pPr>
      <w:r>
        <w:rPr>
          <w:rFonts w:ascii="Arial" w:cs="Arial" w:eastAsia="Arial" w:hAnsi="Arial"/>
          <w:sz w:val="21"/>
          <w:szCs w:val="21"/>
          <w:color w:val="auto"/>
        </w:rPr>
        <w:t xml:space="preserve">a number equal to 1.0 </w:t>
      </w:r>
      <w:r>
        <w:rPr>
          <w:rFonts w:ascii="Arial" w:cs="Arial" w:eastAsia="Arial" w:hAnsi="Arial"/>
          <w:sz w:val="21"/>
          <w:szCs w:val="21"/>
          <w:u w:val="single" w:color="auto"/>
          <w:color w:val="auto"/>
        </w:rPr>
        <w:t>minus</w:t>
      </w:r>
      <w:r>
        <w:rPr>
          <w:rFonts w:ascii="Arial" w:cs="Arial" w:eastAsia="Arial" w:hAnsi="Arial"/>
          <w:sz w:val="21"/>
          <w:szCs w:val="21"/>
          <w:color w:val="auto"/>
        </w:rPr>
        <w:t xml:space="preserve"> the aggregate (but without duplication) of the rates (expressed as a decimal fraction) of reserve requirements in effect on the day that is two (2) LIBOR Business Days prior to the beginning of such LIBOR Period (including basic, supplemental, marginal and emergency reserves under any regulations of the Federal Reserve Board or other Governmental Authority having jurisdiction with respect thereto, as now and from time to time in effect) for Eurocurrency funding (currently referred to as “Eurocurrency Liabilities” in Regulation D of the Federal Reserve Board) that are required to be maintained by a member bank of the Federal Reserve System.</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In no event shall the LIBOR Rate be less than 0.0%</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Screen Rate</w:t>
      </w:r>
      <w:r>
        <w:rPr>
          <w:rFonts w:ascii="Arial" w:cs="Arial" w:eastAsia="Arial" w:hAnsi="Arial"/>
          <w:sz w:val="22"/>
          <w:szCs w:val="22"/>
          <w:color w:val="auto"/>
        </w:rPr>
        <w:t>” has the meaning specified in the definition of “LIBOR Rate.”</w:t>
      </w:r>
    </w:p>
    <w:p>
      <w:pPr>
        <w:sectPr>
          <w:pgSz w:w="11900" w:h="16838" w:orient="portrait"/>
          <w:cols w:equalWidth="0" w:num="1">
            <w:col w:w="11240"/>
          </w:cols>
          <w:pgMar w:left="320" w:top="1428" w:right="339" w:bottom="1440" w:gutter="0" w:footer="0" w:header="0"/>
        </w:sectPr>
      </w:pPr>
    </w:p>
    <w:bookmarkStart w:id="153" w:name="page154"/>
    <w:bookmarkEnd w:id="153"/>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Successor Amendment</w:t>
      </w:r>
      <w:r>
        <w:rPr>
          <w:rFonts w:ascii="Arial" w:cs="Arial" w:eastAsia="Arial" w:hAnsi="Arial"/>
          <w:sz w:val="22"/>
          <w:szCs w:val="22"/>
          <w:color w:val="auto"/>
        </w:rPr>
        <w:t>” has the meaning specified in Section 2.15.</w:t>
      </w:r>
    </w:p>
    <w:p>
      <w:pPr>
        <w:spacing w:after="0" w:line="220"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LIBOR Successor Rate</w:t>
      </w:r>
      <w:r>
        <w:rPr>
          <w:rFonts w:ascii="Arial" w:cs="Arial" w:eastAsia="Arial" w:hAnsi="Arial"/>
          <w:sz w:val="22"/>
          <w:szCs w:val="22"/>
          <w:color w:val="auto"/>
        </w:rPr>
        <w:t>” has the meaning specified in Section 2.15.</w:t>
      </w:r>
    </w:p>
    <w:p>
      <w:pPr>
        <w:spacing w:after="0" w:line="220" w:lineRule="exact"/>
        <w:rPr>
          <w:sz w:val="20"/>
          <w:szCs w:val="20"/>
          <w:color w:val="auto"/>
        </w:rPr>
      </w:pPr>
    </w:p>
    <w:p>
      <w:pPr>
        <w:jc w:val="both"/>
        <w:ind w:firstLine="999"/>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Successor Rate Conforming Changes</w:t>
      </w:r>
      <w:r>
        <w:rPr>
          <w:rFonts w:ascii="Arial" w:cs="Arial" w:eastAsia="Arial" w:hAnsi="Arial"/>
          <w:sz w:val="19"/>
          <w:szCs w:val="19"/>
          <w:color w:val="auto"/>
        </w:rPr>
        <w:t>” means, with respect to any proposed LIBOR Successor Rate, any conforming changes to the definition of LIBOR Rate or LIBOR Period or provisions herein relating to the timing and frequency of determining rates and making payments of interest and other administrative matters as may be appropriate, in the reasonable discretion of Agent, to reflect the adoption of such LIBOR Successor Rate and to permit the administration thereof by Agent in a manner substantially consistent with market practice (or, if Agent determines that adoption of any portion of such market practice is not administratively feasible or that no market practice for the administration of such LIBOR Successor Rate exists, in such other manner of administration as Agent reasonably determines in consultation with Borrower).</w:t>
      </w:r>
    </w:p>
    <w:p>
      <w:pPr>
        <w:spacing w:after="0" w:line="151" w:lineRule="exact"/>
        <w:rPr>
          <w:sz w:val="20"/>
          <w:szCs w:val="20"/>
          <w:color w:val="auto"/>
        </w:rPr>
      </w:pPr>
    </w:p>
    <w:p>
      <w:pPr>
        <w:jc w:val="both"/>
        <w:ind w:firstLine="45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xml:space="preserve">” means, with respect to any asset, any mortgage, lien, pledge, charge, security interest or similar encumbrance of any kind in respect of such asset, whether or not filed, recorded or otherwise perfected under applicable law (including any conditional sale or other title retention agreement or any lease in the nature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event shall an operating lease or an agreement to sell be deemed to constitute a Lien.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Litigation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4.13</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Account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2.10</w:t>
      </w:r>
      <w:r>
        <w:rPr>
          <w:rFonts w:ascii="Arial" w:cs="Arial" w:eastAsia="Arial" w:hAnsi="Arial"/>
          <w:sz w:val="22"/>
          <w:szCs w:val="22"/>
          <w:color w:val="auto"/>
        </w:rPr>
        <w:t>.</w:t>
      </w:r>
    </w:p>
    <w:p>
      <w:pPr>
        <w:spacing w:after="0" w:line="220" w:lineRule="exact"/>
        <w:rPr>
          <w:sz w:val="20"/>
          <w:szCs w:val="20"/>
          <w:color w:val="auto"/>
        </w:rPr>
      </w:pPr>
    </w:p>
    <w:p>
      <w:pPr>
        <w:jc w:val="both"/>
        <w:ind w:firstLine="634"/>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means this Agreement, the Guaranties, the ABL Intercreditor Agreement, the Notes, the Collateral Documents, the Fee Letter and all other agreements, instruments, and documents executed and delivered to, or in favor of, Agent, Co-Collateral Agent, or any Lenders pertaining to any Obligation and including all other pledges, powers of attorney, consents and assignments.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Revolving Loans and the Swing Line Loans.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Lock Boxes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pacing w:after="0" w:line="220" w:lineRule="exact"/>
        <w:rPr>
          <w:sz w:val="20"/>
          <w:szCs w:val="20"/>
          <w:color w:val="auto"/>
        </w:rPr>
      </w:pPr>
    </w:p>
    <w:p>
      <w:pPr>
        <w:jc w:val="both"/>
        <w:ind w:firstLine="540"/>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Majority Control</w:t>
      </w:r>
      <w:r>
        <w:rPr>
          <w:rFonts w:ascii="Arial" w:cs="Arial" w:eastAsia="Arial" w:hAnsi="Arial"/>
          <w:sz w:val="22"/>
          <w:szCs w:val="22"/>
          <w:color w:val="auto"/>
        </w:rPr>
        <w:t>” means with respect to any Person (the “</w:t>
      </w:r>
      <w:r>
        <w:rPr>
          <w:rFonts w:ascii="Arial" w:cs="Arial" w:eastAsia="Arial" w:hAnsi="Arial"/>
          <w:sz w:val="22"/>
          <w:szCs w:val="22"/>
          <w:u w:val="single" w:color="auto"/>
          <w:color w:val="auto"/>
        </w:rPr>
        <w:t>parent</w:t>
      </w:r>
      <w:r>
        <w:rPr>
          <w:rFonts w:ascii="Arial" w:cs="Arial" w:eastAsia="Arial" w:hAnsi="Arial"/>
          <w:sz w:val="22"/>
          <w:szCs w:val="22"/>
          <w:color w:val="auto"/>
        </w:rPr>
        <w:t>”) at any date, (i) the ownership, control, or holding by parent of securities or other ownership interests representing 50% or more of the ordinary voting power or, in the case of a partnership, 50% or more of the general partnership interest of any other corporation, limited liability company, partnership, association or other entity (the “</w:t>
      </w:r>
      <w:r>
        <w:rPr>
          <w:rFonts w:ascii="Arial" w:cs="Arial" w:eastAsia="Arial" w:hAnsi="Arial"/>
          <w:sz w:val="22"/>
          <w:szCs w:val="22"/>
          <w:u w:val="single" w:color="auto"/>
          <w:color w:val="auto"/>
        </w:rPr>
        <w:t>subject person</w:t>
      </w:r>
      <w:r>
        <w:rPr>
          <w:rFonts w:ascii="Arial" w:cs="Arial" w:eastAsia="Arial" w:hAnsi="Arial"/>
          <w:sz w:val="22"/>
          <w:szCs w:val="22"/>
          <w:color w:val="auto"/>
        </w:rPr>
        <w:t>”), (ii) occupation of 50% or more of the seats (other than vacant seats) on the board of directors of the subject person by Persons who were nominees, designees or Related Persons of parent, or (iii) any circumstances that could require</w:t>
      </w:r>
    </w:p>
    <w:p>
      <w:pPr>
        <w:sectPr>
          <w:pgSz w:w="11900" w:h="16838" w:orient="portrait"/>
          <w:cols w:equalWidth="0" w:num="1">
            <w:col w:w="11240"/>
          </w:cols>
          <w:pgMar w:left="320" w:top="1428" w:right="339" w:bottom="1440" w:gutter="0" w:footer="0" w:header="0"/>
        </w:sectPr>
      </w:pPr>
    </w:p>
    <w:bookmarkStart w:id="154" w:name="page155"/>
    <w:bookmarkEnd w:id="154"/>
    <w:p>
      <w:pPr>
        <w:jc w:val="both"/>
        <w:spacing w:after="0" w:line="253" w:lineRule="auto"/>
        <w:rPr>
          <w:sz w:val="20"/>
          <w:szCs w:val="20"/>
          <w:color w:val="auto"/>
        </w:rPr>
      </w:pPr>
      <w:r>
        <w:rPr>
          <w:rFonts w:ascii="Arial" w:cs="Arial" w:eastAsia="Arial" w:hAnsi="Arial"/>
          <w:sz w:val="22"/>
          <w:szCs w:val="22"/>
          <w:color w:val="auto"/>
        </w:rPr>
        <w:t>the accounts of the subject Person to be consolidated with those of the parent in the parent’s consolidated financial statements if such financial statements were prepared in accordance with GAAP as of such date. Terms such as “</w:t>
      </w:r>
      <w:r>
        <w:rPr>
          <w:rFonts w:ascii="Arial" w:cs="Arial" w:eastAsia="Arial" w:hAnsi="Arial"/>
          <w:sz w:val="22"/>
          <w:szCs w:val="22"/>
          <w:u w:val="single" w:color="auto"/>
          <w:color w:val="auto"/>
        </w:rPr>
        <w:t>Majority Controlled</w:t>
      </w:r>
      <w:r>
        <w:rPr>
          <w:rFonts w:ascii="Arial" w:cs="Arial" w:eastAsia="Arial" w:hAnsi="Arial"/>
          <w:sz w:val="22"/>
          <w:szCs w:val="22"/>
          <w:color w:val="auto"/>
        </w:rPr>
        <w:t>” and “</w:t>
      </w:r>
      <w:r>
        <w:rPr>
          <w:rFonts w:ascii="Arial" w:cs="Arial" w:eastAsia="Arial" w:hAnsi="Arial"/>
          <w:sz w:val="22"/>
          <w:szCs w:val="22"/>
          <w:u w:val="single" w:color="auto"/>
          <w:color w:val="auto"/>
        </w:rPr>
        <w:t>Majority Controlling</w:t>
      </w:r>
      <w:r>
        <w:rPr>
          <w:rFonts w:ascii="Arial" w:cs="Arial" w:eastAsia="Arial" w:hAnsi="Arial"/>
          <w:sz w:val="22"/>
          <w:szCs w:val="22"/>
          <w:color w:val="auto"/>
        </w:rPr>
        <w:t>” shall have corresponding meanings.</w:t>
      </w:r>
    </w:p>
    <w:p>
      <w:pPr>
        <w:spacing w:after="0" w:line="185" w:lineRule="exact"/>
        <w:rPr>
          <w:sz w:val="20"/>
          <w:szCs w:val="20"/>
          <w:color w:val="auto"/>
        </w:rPr>
      </w:pPr>
    </w:p>
    <w:p>
      <w:pPr>
        <w:jc w:val="both"/>
        <w:ind w:firstLine="472"/>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means, a material adverse effect on (x) the business, financial condition, operations or properties of Borrowers and their respective Subsidiaries, taken as a whole, after giving effect to the Transactions, (y) the ability of Borrowers or the other Credit Parties to perform their payment obligations under the Loan Documents when due, and (z) the validity or enforceability of any of the Loan Documents or the rights and remedies of Agent and the Lenders under any of the Loan Documents.</w:t>
      </w:r>
    </w:p>
    <w:p>
      <w:pPr>
        <w:spacing w:after="0" w:line="192" w:lineRule="exact"/>
        <w:rPr>
          <w:sz w:val="20"/>
          <w:szCs w:val="20"/>
          <w:color w:val="auto"/>
        </w:rPr>
      </w:pPr>
    </w:p>
    <w:p>
      <w:pPr>
        <w:jc w:val="both"/>
        <w:ind w:firstLine="594"/>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Real Property</w:t>
      </w:r>
      <w:r>
        <w:rPr>
          <w:rFonts w:ascii="Arial" w:cs="Arial" w:eastAsia="Arial" w:hAnsi="Arial"/>
          <w:sz w:val="19"/>
          <w:szCs w:val="19"/>
          <w:color w:val="auto"/>
        </w:rPr>
        <w:t>” means any owned Real Property located in the United States (excluding, for the avoidance of doubt, any territory thereof) that is owned in fee simple by a U.S. Credit Party and has an individual fair market value in excess of $15,000,000, other than any Real Property which is an Excluded Principal Property or Excluded Property.</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Lawful Rate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2.5(f)</w:t>
      </w:r>
      <w:r>
        <w:rPr>
          <w:rFonts w:ascii="Arial" w:cs="Arial" w:eastAsia="Arial" w:hAnsi="Arial"/>
          <w:sz w:val="22"/>
          <w:szCs w:val="22"/>
          <w:color w:val="auto"/>
        </w:rPr>
        <w:t>.</w:t>
      </w:r>
    </w:p>
    <w:p>
      <w:pPr>
        <w:spacing w:after="0" w:line="220" w:lineRule="exact"/>
        <w:rPr>
          <w:sz w:val="20"/>
          <w:szCs w:val="20"/>
          <w:color w:val="auto"/>
        </w:rPr>
      </w:pPr>
    </w:p>
    <w:p>
      <w:pPr>
        <w:jc w:val="both"/>
        <w:ind w:firstLine="769"/>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Memorandum of Security Agreement</w:t>
      </w:r>
      <w:r>
        <w:rPr>
          <w:rFonts w:ascii="Arial" w:cs="Arial" w:eastAsia="Arial" w:hAnsi="Arial"/>
          <w:sz w:val="22"/>
          <w:szCs w:val="22"/>
          <w:color w:val="auto"/>
        </w:rPr>
        <w:t>” means one or more Memorandum of Security Agreement, dated as of the Restatement Date (and after the Restatement Date with respect to any Railcars acquired after the Restatement Date), executed by the Credit Parties that own any Railcars, in each case, in favor of Agent and in form and substance reasonably satisfactory to Agent and in any event in customary form and including such documents, including any required transmittal letter, for recording such Memorandum of Security Agreement with Surface Transportation Board pursuant to the provisions of 49 USC §11301 and 49 CFR §1177.</w:t>
      </w:r>
    </w:p>
    <w:p>
      <w:pPr>
        <w:spacing w:after="0" w:line="193" w:lineRule="exact"/>
        <w:rPr>
          <w:sz w:val="20"/>
          <w:szCs w:val="20"/>
          <w:color w:val="auto"/>
        </w:rPr>
      </w:pPr>
    </w:p>
    <w:p>
      <w:pPr>
        <w:jc w:val="both"/>
        <w:ind w:firstLine="459"/>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MNPI</w:t>
      </w:r>
      <w:r>
        <w:rPr>
          <w:rFonts w:ascii="Arial" w:cs="Arial" w:eastAsia="Arial" w:hAnsi="Arial"/>
          <w:sz w:val="22"/>
          <w:szCs w:val="22"/>
          <w:color w:val="auto"/>
        </w:rPr>
        <w:t>” means information that is (a) not publicly available with respect to Borrowers (or any Subsidiary of any Borrower, as the case may be) and (b) material with respect to Borrowers (or their Subsidiaries) or their securities for purpose of United States federal and state securities laws.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 to its rating agency business.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 Policies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6.10(b)(ii)</w:t>
      </w:r>
      <w:r>
        <w:rPr>
          <w:rFonts w:ascii="Arial" w:cs="Arial" w:eastAsia="Arial" w:hAnsi="Arial"/>
          <w:sz w:val="22"/>
          <w:szCs w:val="22"/>
          <w:color w:val="auto"/>
        </w:rPr>
        <w:t>.</w:t>
      </w:r>
    </w:p>
    <w:p>
      <w:pPr>
        <w:spacing w:after="0" w:line="22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Mortgages</w:t>
      </w:r>
      <w:r>
        <w:rPr>
          <w:rFonts w:ascii="Arial" w:cs="Arial" w:eastAsia="Arial" w:hAnsi="Arial"/>
          <w:sz w:val="19"/>
          <w:szCs w:val="19"/>
          <w:color w:val="auto"/>
        </w:rPr>
        <w:t xml:space="preserve">” means collectively, the deeds of trust, trust deeds, hypothecs and mortgages made by the Credit Parties in favor or for the benefit of Agent on behalf of the Lenders in form and substance which (i) is consistent with the terms and provisions of this Agreement, (ii) provides for automatic release to the extent the real property subject to the Mortgage is or becomes an Excluded Principal Property or Excluded Property, or if the Lien created thereby is of the type described in </w:t>
      </w:r>
      <w:r>
        <w:rPr>
          <w:rFonts w:ascii="Arial" w:cs="Arial" w:eastAsia="Arial" w:hAnsi="Arial"/>
          <w:sz w:val="19"/>
          <w:szCs w:val="19"/>
          <w:u w:val="single" w:color="auto"/>
          <w:color w:val="auto"/>
        </w:rPr>
        <w:t>Section 6.10(c)(D)</w:t>
      </w:r>
      <w:r>
        <w:rPr>
          <w:rFonts w:ascii="Arial" w:cs="Arial" w:eastAsia="Arial" w:hAnsi="Arial"/>
          <w:sz w:val="19"/>
          <w:szCs w:val="19"/>
          <w:color w:val="auto"/>
        </w:rPr>
        <w:t xml:space="preserve">, and (iii) is otherwise reasonably satisfactory to Agent executed and delivered pursuant to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6.14</w:t>
      </w:r>
      <w:r>
        <w:rPr>
          <w:rFonts w:ascii="Arial" w:cs="Arial" w:eastAsia="Arial" w:hAnsi="Arial"/>
          <w:sz w:val="19"/>
          <w:szCs w:val="19"/>
          <w:color w:val="auto"/>
        </w:rPr>
        <w: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MSSF</w:t>
      </w:r>
      <w:r>
        <w:rPr>
          <w:rFonts w:ascii="Arial" w:cs="Arial" w:eastAsia="Arial" w:hAnsi="Arial"/>
          <w:sz w:val="22"/>
          <w:szCs w:val="22"/>
          <w:color w:val="auto"/>
        </w:rPr>
        <w:t>” has the meaning specified in the preamble to this Agreement.</w:t>
      </w:r>
    </w:p>
    <w:p>
      <w:pPr>
        <w:sectPr>
          <w:pgSz w:w="11900" w:h="16838" w:orient="portrait"/>
          <w:cols w:equalWidth="0" w:num="1">
            <w:col w:w="11240"/>
          </w:cols>
          <w:pgMar w:left="320" w:top="1428" w:right="339" w:bottom="1440" w:gutter="0" w:footer="0" w:header="0"/>
        </w:sectPr>
      </w:pPr>
    </w:p>
    <w:bookmarkStart w:id="155" w:name="page156"/>
    <w:bookmarkEnd w:id="155"/>
    <w:p>
      <w:pPr>
        <w:jc w:val="both"/>
        <w:ind w:firstLine="499"/>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 and to which any Credit Party or ERISA Affiliate is making, is obligated to make, or has made or been obligated to make, contributions on behalf of participants who are or were employed by any of them.</w:t>
      </w:r>
    </w:p>
    <w:p>
      <w:pPr>
        <w:spacing w:after="0" w:line="185" w:lineRule="exact"/>
        <w:rPr>
          <w:sz w:val="20"/>
          <w:szCs w:val="20"/>
          <w:color w:val="auto"/>
        </w:rPr>
      </w:pPr>
    </w:p>
    <w:p>
      <w:pPr>
        <w:jc w:val="both"/>
        <w:ind w:firstLine="621"/>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Income</w:t>
      </w:r>
      <w:r>
        <w:rPr>
          <w:rFonts w:ascii="Arial" w:cs="Arial" w:eastAsia="Arial" w:hAnsi="Arial"/>
          <w:sz w:val="21"/>
          <w:szCs w:val="21"/>
          <w:color w:val="auto"/>
        </w:rPr>
        <w:t>” means, with respect to any Person, the net income (loss) of such Person and its Restricted Subsidiaries, determined in accordance with GAAP and before any reduction in respect of Preferred Stock dividends.</w:t>
      </w:r>
    </w:p>
    <w:p>
      <w:pPr>
        <w:spacing w:after="0" w:line="151" w:lineRule="exact"/>
        <w:rPr>
          <w:sz w:val="20"/>
          <w:szCs w:val="20"/>
          <w:color w:val="auto"/>
        </w:rPr>
      </w:pPr>
    </w:p>
    <w:p>
      <w:pPr>
        <w:jc w:val="both"/>
        <w:ind w:firstLine="526"/>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Orderly Liquidation Value</w:t>
      </w:r>
      <w:r>
        <w:rPr>
          <w:rFonts w:ascii="Arial" w:cs="Arial" w:eastAsia="Arial" w:hAnsi="Arial"/>
          <w:sz w:val="19"/>
          <w:szCs w:val="19"/>
          <w:color w:val="auto"/>
        </w:rPr>
        <w:t>” means, with respect to any category of Eligible Equipment or Eligible Rolling Stock, as applicable, the estimated net recovery value as set forth in the most recent appraisal report for such Eligible Equipment or Eligible Rolling Stock, as applicable performed by an appraiser reasonably acceptable to Agent, applying an approach to valuation which is consistent with the approach used in appraisals prepared for Agent’s use at the time such Eligible Equipment or Eligible Rolling Stock, as applicable is included in the Borrowing Base, which reflects the estimated net cash value expected by the appraiser to be derived from a sale or disposition at a liquidation or going-out-of-business sale of such Eligible Equipment or Eligible Rolling Stock, as applicable after deducting all reasonable costs, expenses and fees attributable to such sale or disposition, including, without limitation, all reasonable fees, costs and expenses of any liquidator engaged to conduct such sale or disposition, and all reasonable costs and expenses of removing and delivering the same to a purchaser.</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Non-Consenting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12.2(d)</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Non-Con-way Subsidiary</w:t>
      </w:r>
      <w:r>
        <w:rPr>
          <w:rFonts w:ascii="Arial" w:cs="Arial" w:eastAsia="Arial" w:hAnsi="Arial"/>
          <w:sz w:val="22"/>
          <w:szCs w:val="22"/>
          <w:color w:val="auto"/>
        </w:rPr>
        <w:t>” means any Subsidiary of Parent Borrower that is not a Con-way Subsidiary.</w:t>
      </w:r>
    </w:p>
    <w:p>
      <w:pPr>
        <w:spacing w:after="0" w:line="22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Non-Funding Lender</w:t>
      </w:r>
      <w:r>
        <w:rPr>
          <w:rFonts w:ascii="Arial" w:cs="Arial" w:eastAsia="Arial" w:hAnsi="Arial"/>
          <w:sz w:val="19"/>
          <w:szCs w:val="19"/>
          <w:color w:val="auto"/>
        </w:rPr>
        <w:t>” means any Lender that (a) has failed to (i) fund all or any portion of its Loans within two Business Days of the date such Loans were required to be funded hereunder unless such Lender notifies Agent and Borrower Representative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Agent or any other Lender any other amount required to be paid by it hereunder within two Business Days of the date when due, (b) has notified Borrower Representative and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Agent or Borrower Representative, to confirm in writing to Agent and Borrower Representative that it will comply with its prospective funding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Non-Funding Lender pursuant to this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upon receipt of such written confirmation by Agent and Borrower Representative), or (d) has, or has a direct or indirect parent company that has, (i) become the subject of a proceeding under any Insolvency Law, (ii) had appointed for it a</w:t>
      </w:r>
    </w:p>
    <w:p>
      <w:pPr>
        <w:sectPr>
          <w:pgSz w:w="11900" w:h="16838" w:orient="portrait"/>
          <w:cols w:equalWidth="0" w:num="1">
            <w:col w:w="11240"/>
          </w:cols>
          <w:pgMar w:left="320" w:top="1428" w:right="339" w:bottom="1440" w:gutter="0" w:footer="0" w:header="0"/>
        </w:sectPr>
      </w:pPr>
    </w:p>
    <w:bookmarkStart w:id="156" w:name="page157"/>
    <w:bookmarkEnd w:id="156"/>
    <w:p>
      <w:pPr>
        <w:jc w:val="both"/>
        <w:spacing w:after="0" w:line="287" w:lineRule="auto"/>
        <w:rPr>
          <w:sz w:val="20"/>
          <w:szCs w:val="20"/>
          <w:color w:val="auto"/>
        </w:rPr>
      </w:pPr>
      <w:r>
        <w:rPr>
          <w:rFonts w:ascii="Arial" w:cs="Arial" w:eastAsia="Arial" w:hAnsi="Arial"/>
          <w:sz w:val="19"/>
          <w:szCs w:val="19"/>
          <w:color w:val="auto"/>
        </w:rPr>
        <w:t xml:space="preserve">receiver, interim receiver, custodian, conservator, trustee, monitor, administrator, assignee for the benefit of creditors or similar Person charged with reorganization or liquidation of its business or assets, including the Federal Deposit Insurance Corporation or any other state, federal or foreign regulatory authority acting in such a capacity, or (iii) become the subject of a Bail-In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Lender shall not be a Non-Funding Lender solely by virtue of the ownership or acquisition of any Capital Stock in that Lender or any direct or indirect parent company thereof by a Governmental Authority so long as such ownership interest does not result in or provide such Lender with immunity from the jurisdiction of courts within the United States or Canada or from the enforcement of judgments or writs of attachment on its assets or permit such Lender (or such Governmental Authority) to reject, repudiate, disavow or disaffirm any contracts or agreements made with such Lender. Any determination by Agent that a Lender is a Non-Funding Lender under any one or more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(d)</w:t>
      </w:r>
      <w:r>
        <w:rPr>
          <w:rFonts w:ascii="Arial" w:cs="Arial" w:eastAsia="Arial" w:hAnsi="Arial"/>
          <w:sz w:val="19"/>
          <w:szCs w:val="19"/>
          <w:color w:val="auto"/>
        </w:rPr>
        <w:t xml:space="preserve"> above, and of the effective date of such status, shall be conclusive and binding absent manifest error, and such Lender shall be deemed to be a Non-Funding Lender as of the date established therefor by Agent in a written notice of such determination, which shall be delivered by Agent to Borrower Representative and each other Lender promptly following such determination.</w:t>
      </w:r>
    </w:p>
    <w:p>
      <w:pPr>
        <w:spacing w:after="0" w:line="159"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Norbert</w:t>
      </w:r>
      <w:r>
        <w:rPr>
          <w:rFonts w:ascii="Arial" w:cs="Arial" w:eastAsia="Arial" w:hAnsi="Arial"/>
          <w:sz w:val="22"/>
          <w:szCs w:val="22"/>
          <w:color w:val="auto"/>
        </w:rPr>
        <w:t>” means XPO Logistics Europe SA (formerly known as Norbert Dentressangle S.A.), a French public limited company (</w:t>
      </w:r>
      <w:r>
        <w:rPr>
          <w:rFonts w:ascii="Arial" w:cs="Arial" w:eastAsia="Arial" w:hAnsi="Arial"/>
          <w:sz w:val="22"/>
          <w:szCs w:val="22"/>
          <w:i w:val="1"/>
          <w:iCs w:val="1"/>
          <w:color w:val="auto"/>
        </w:rPr>
        <w:t>société anonyme</w:t>
      </w:r>
      <w:r>
        <w:rPr>
          <w:rFonts w:ascii="Arial" w:cs="Arial" w:eastAsia="Arial" w:hAnsi="Arial"/>
          <w:sz w:val="22"/>
          <w:szCs w:val="22"/>
          <w:color w:val="auto"/>
        </w:rPr>
        <w:t>).</w:t>
      </w:r>
    </w:p>
    <w:p>
      <w:pPr>
        <w:spacing w:after="0" w:line="175"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Norbert Acquisition</w:t>
      </w:r>
      <w:r>
        <w:rPr>
          <w:rFonts w:ascii="Arial" w:cs="Arial" w:eastAsia="Arial" w:hAnsi="Arial"/>
          <w:sz w:val="22"/>
          <w:szCs w:val="22"/>
          <w:color w:val="auto"/>
        </w:rPr>
        <w:t>” means the acquisition by the Parent Borrower, directly or indirectly, of up to 100% of the outstanding capital stock of Norbert pursuant to (a) the Norbert Private Sale and (b) the Norbert Offer and (c) market purchases or any other purchase of shares not sold in the Norbert Offer or the Norbert Private Sale.</w:t>
      </w:r>
    </w:p>
    <w:p>
      <w:pPr>
        <w:spacing w:after="0" w:line="185" w:lineRule="exact"/>
        <w:rPr>
          <w:sz w:val="20"/>
          <w:szCs w:val="20"/>
          <w:color w:val="auto"/>
        </w:rPr>
      </w:pPr>
    </w:p>
    <w:p>
      <w:pPr>
        <w:jc w:val="both"/>
        <w:ind w:firstLine="661"/>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Norbert Acquisition Agreement</w:t>
      </w:r>
      <w:r>
        <w:rPr>
          <w:rFonts w:ascii="Arial" w:cs="Arial" w:eastAsia="Arial" w:hAnsi="Arial"/>
          <w:sz w:val="21"/>
          <w:szCs w:val="21"/>
          <w:color w:val="auto"/>
        </w:rPr>
        <w:t>” means that certain Share Purchase Agreement among Dentressangle Initiatives, Mr. Norbert Dentressangle, Mrs. Evelyne Dentressangle, Mr. Pierre-Henri Dentressangle, Ms. Marine Dentressangle and the Parent Borrower, dated as of April 28, 2015, together with all exhibits, annexes and schedules thereto.</w:t>
      </w:r>
    </w:p>
    <w:p>
      <w:pPr>
        <w:spacing w:after="0" w:line="16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Norbert Bridge Credit Agreement</w:t>
      </w:r>
      <w:r>
        <w:rPr>
          <w:rFonts w:ascii="Arial" w:cs="Arial" w:eastAsia="Arial" w:hAnsi="Arial"/>
          <w:sz w:val="22"/>
          <w:szCs w:val="22"/>
          <w:color w:val="auto"/>
        </w:rPr>
        <w:t>” means that certain Senior Unsecured Bridge Term Loan Credit Agreement, dated as of April 28, 2015, by and among the Parent Borrower, certain subsidiaries of the Parent Borrower, MSSF, as administrative agent, and the other parties thereto, including all exhibits, annexes and schedules thereto.</w:t>
      </w:r>
    </w:p>
    <w:p>
      <w:pPr>
        <w:spacing w:after="0" w:line="185" w:lineRule="exact"/>
        <w:rPr>
          <w:sz w:val="20"/>
          <w:szCs w:val="20"/>
          <w:color w:val="auto"/>
        </w:rPr>
      </w:pPr>
    </w:p>
    <w:p>
      <w:pPr>
        <w:jc w:val="both"/>
        <w:ind w:right="20" w:firstLine="56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Norbert Offer</w:t>
      </w:r>
      <w:r>
        <w:rPr>
          <w:rFonts w:ascii="Arial" w:cs="Arial" w:eastAsia="Arial" w:hAnsi="Arial"/>
          <w:sz w:val="19"/>
          <w:szCs w:val="19"/>
          <w:color w:val="auto"/>
        </w:rPr>
        <w:t xml:space="preserve">” means the mandatory public takeover offer made or to be made by the Parent Borrower pursuant to the General Regulation of the French </w:t>
      </w:r>
      <w:r>
        <w:rPr>
          <w:rFonts w:ascii="Arial" w:cs="Arial" w:eastAsia="Arial" w:hAnsi="Arial"/>
          <w:sz w:val="19"/>
          <w:szCs w:val="19"/>
          <w:i w:val="1"/>
          <w:iCs w:val="1"/>
          <w:color w:val="auto"/>
        </w:rPr>
        <w:t>Autorité des marches financiers</w:t>
      </w:r>
      <w:r>
        <w:rPr>
          <w:rFonts w:ascii="Arial" w:cs="Arial" w:eastAsia="Arial" w:hAnsi="Arial"/>
          <w:sz w:val="19"/>
          <w:szCs w:val="19"/>
          <w:color w:val="auto"/>
        </w:rPr>
        <w:t xml:space="preserve"> and in accordance with the Norbert Offer Agreement.</w:t>
      </w:r>
    </w:p>
    <w:p>
      <w:pPr>
        <w:spacing w:after="0" w:line="104"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Norbert Offer Agreement</w:t>
      </w:r>
      <w:r>
        <w:rPr>
          <w:rFonts w:ascii="Arial" w:cs="Arial" w:eastAsia="Arial" w:hAnsi="Arial"/>
          <w:sz w:val="22"/>
          <w:szCs w:val="22"/>
          <w:color w:val="auto"/>
        </w:rPr>
        <w:t>” means the Tender Offer Agreement between the Parent Borrower and Norbert, dated as of April 28, 2015, together with all exhibits, annexes and schedules thereto.</w:t>
      </w:r>
    </w:p>
    <w:p>
      <w:pPr>
        <w:spacing w:after="0" w:line="175" w:lineRule="exact"/>
        <w:rPr>
          <w:sz w:val="20"/>
          <w:szCs w:val="20"/>
          <w:color w:val="auto"/>
        </w:rPr>
      </w:pPr>
    </w:p>
    <w:p>
      <w:pPr>
        <w:ind w:right="380" w:firstLine="432"/>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Norbert Private Sale</w:t>
      </w:r>
      <w:r>
        <w:rPr>
          <w:rFonts w:ascii="Arial" w:cs="Arial" w:eastAsia="Arial" w:hAnsi="Arial"/>
          <w:sz w:val="22"/>
          <w:szCs w:val="22"/>
          <w:color w:val="auto"/>
        </w:rPr>
        <w:t>” means the sale of 6,561,776 ordinary shares, nominal value €2, of Norbert acquired by the Parent Borrower pursuant to the Norbert Acquisition Agreement.</w:t>
      </w:r>
    </w:p>
    <w:p>
      <w:pPr>
        <w:sectPr>
          <w:pgSz w:w="11900" w:h="16838" w:orient="portrait"/>
          <w:cols w:equalWidth="0" w:num="1">
            <w:col w:w="11240"/>
          </w:cols>
          <w:pgMar w:left="320" w:top="1428" w:right="339" w:bottom="1440" w:gutter="0" w:footer="0" w:header="0"/>
        </w:sectPr>
      </w:pPr>
    </w:p>
    <w:bookmarkStart w:id="157" w:name="page158"/>
    <w:bookmarkEnd w:id="157"/>
    <w:p>
      <w:pPr>
        <w:jc w:val="both"/>
        <w:ind w:firstLine="634"/>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Norbert Refinancing Indebtedness</w:t>
      </w:r>
      <w:r>
        <w:rPr>
          <w:rFonts w:ascii="Arial" w:cs="Arial" w:eastAsia="Arial" w:hAnsi="Arial"/>
          <w:sz w:val="19"/>
          <w:szCs w:val="19"/>
          <w:color w:val="auto"/>
        </w:rPr>
        <w:t>” means Indebtedness incurred at Norbert or any of its Subsidiaries and incurred to refund, refinance, replace, renew, extend or defease any Indebtedness of Norbert or any of its Subsidiaries, and any Indebtedness incurred at Norbert or any of its Subsidiaries issued to so refund, refinance, replace, renew, extend or defease such Indebtedness, in an amount not to exceed the principal amount of such Indebtedness plus additional Indebtedness incurred to pay make-wholes, premiums, accrued interest, defeasance costs and fees and related costs and expenses in connection therewith.</w:t>
      </w:r>
    </w:p>
    <w:p>
      <w:pPr>
        <w:spacing w:after="0" w:line="147" w:lineRule="exact"/>
        <w:rPr>
          <w:sz w:val="20"/>
          <w:szCs w:val="20"/>
          <w:color w:val="auto"/>
        </w:rPr>
      </w:pPr>
    </w:p>
    <w:p>
      <w:pPr>
        <w:jc w:val="both"/>
        <w:ind w:firstLine="472"/>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Norbert Transactions</w:t>
      </w:r>
      <w:r>
        <w:rPr>
          <w:rFonts w:ascii="Arial" w:cs="Arial" w:eastAsia="Arial" w:hAnsi="Arial"/>
          <w:sz w:val="19"/>
          <w:szCs w:val="19"/>
          <w:color w:val="auto"/>
        </w:rPr>
        <w:t>” means (a) the consummation of the Norbert Acquisition (including the Norbert Private Sale and the Norbert Offer) and transactions contemplated thereby and in connection therewith, (b) the execution, delivery and performance of the Norbert Bridge Credit Agreement, (c) the Parent Borrower’s or any of its Subsidiaries’ incurrence, replacement, redemption, repayment, defeasance, discharge or refinancing of indebtedness or liens in connection with the Norbert Acquisition, including the incurrence of any Norbert Refinancing Indebtedness, (d) the amendment of the Existing Credit Agreement pursuant to Amendment No. 2 thereto and (e) the payment of fees and expenses in connection with the foregoing.</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means, collectively, the Revolving Notes and the Swing Line Notes.</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Conversion/Continuation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2.5(e)</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of Revolving Credit Advance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2.1(a)(i)</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 Currency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12.20</w:t>
      </w:r>
      <w:r>
        <w:rPr>
          <w:rFonts w:ascii="Arial" w:cs="Arial" w:eastAsia="Arial" w:hAnsi="Arial"/>
          <w:sz w:val="22"/>
          <w:szCs w:val="22"/>
          <w:color w:val="auto"/>
        </w:rPr>
        <w:t>.</w:t>
      </w:r>
    </w:p>
    <w:p>
      <w:pPr>
        <w:spacing w:after="0" w:line="22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means all loans, advances, debts, liabilities and obligations for the performance of covenants or for payment of monetary amounts (whether or not such performance is then required or contingent, or such amounts are liquidated or determinable) owing by any Credit Party to any Secured Party under any Loan Document, and all covenants and duties regarding such amounts, of any kind or nature, present or future, whether or not evidenced by any note, agreement, letter of credit agreement or other instrument, arising under this Agreement, any of the other Loan Documents, any Bank Product Documents or any Secured Hedge Agreement (other than with respect to any Credit Party’s obligations that constitute Excluded Swap Obligations solely with respect to such Credit Party). This term includes all principal, Letter of Credit Obligations, interest (including all interest that accrues after the commencement of any case or proceeding by or against any Credit Party in bankruptcy, whether or not allowed in such case or proceeding), Fees, Secured Hedging Obligations (other than with respect to any Credit Party’s Secured Hedging Obligations that constitute Excluded Swap Obligations solely with respect to such Credit Party), expenses, attorneys’ fees and any other sum chargeable to any Credit Party under this Agreement, any of the other Loan Documents, any Bank Product Documents or any Secured Hedge Agreements.</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OFAC</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4.23</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bookmarkStart w:id="158" w:name="page159"/>
    <w:bookmarkEnd w:id="158"/>
    <w:p>
      <w:pPr>
        <w:jc w:val="both"/>
        <w:ind w:firstLine="499"/>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Officer</w:t>
      </w:r>
      <w:r>
        <w:rPr>
          <w:rFonts w:ascii="Arial" w:cs="Arial" w:eastAsia="Arial" w:hAnsi="Arial"/>
          <w:sz w:val="19"/>
          <w:szCs w:val="19"/>
          <w:color w:val="auto"/>
        </w:rPr>
        <w:t>” means, with respect to any Person, the Chairman of the Board, Chief Executive Officer, Chief Financial Officer, President, any Executive Vice President, Senior Vice President or Vice President, the Treasurer or the Secretary of such Person.</w:t>
      </w:r>
    </w:p>
    <w:p>
      <w:pPr>
        <w:spacing w:after="0" w:line="104" w:lineRule="exact"/>
        <w:rPr>
          <w:sz w:val="20"/>
          <w:szCs w:val="20"/>
          <w:color w:val="auto"/>
        </w:rPr>
      </w:pPr>
    </w:p>
    <w:p>
      <w:pPr>
        <w:jc w:val="both"/>
        <w:ind w:firstLine="513"/>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Officer’s Certificate</w:t>
      </w:r>
      <w:r>
        <w:rPr>
          <w:rFonts w:ascii="Arial" w:cs="Arial" w:eastAsia="Arial" w:hAnsi="Arial"/>
          <w:sz w:val="21"/>
          <w:szCs w:val="21"/>
          <w:color w:val="auto"/>
        </w:rPr>
        <w:t>” means, with respect to any Person, a certificate signed on behalf of such Person by two Officers of such Person, one of whom must be the principal executive officer, the principal financial officer, the treasurer or the principal accounting officer of such Person, which meets the requirements set forth in this Agreement.</w:t>
      </w:r>
    </w:p>
    <w:p>
      <w:pPr>
        <w:spacing w:after="0" w:line="167" w:lineRule="exact"/>
        <w:rPr>
          <w:sz w:val="20"/>
          <w:szCs w:val="20"/>
          <w:color w:val="auto"/>
        </w:rPr>
      </w:pPr>
    </w:p>
    <w:p>
      <w:pPr>
        <w:jc w:val="both"/>
        <w:ind w:firstLine="499"/>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Connection Taxes</w:t>
      </w:r>
      <w:r>
        <w:rPr>
          <w:rFonts w:ascii="Arial" w:cs="Arial" w:eastAsia="Arial" w:hAnsi="Arial"/>
          <w:sz w:val="22"/>
          <w:szCs w:val="22"/>
          <w:color w:val="auto"/>
        </w:rPr>
        <w:t>” means, with respect to a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2" w:lineRule="exact"/>
        <w:rPr>
          <w:sz w:val="20"/>
          <w:szCs w:val="20"/>
          <w:color w:val="auto"/>
        </w:rPr>
      </w:pPr>
    </w:p>
    <w:p>
      <w:pPr>
        <w:jc w:val="both"/>
        <w:ind w:firstLine="540"/>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other Loan Documents,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2.14(d)</w:t>
      </w:r>
      <w:r>
        <w:rPr>
          <w:rFonts w:ascii="Arial" w:cs="Arial" w:eastAsia="Arial" w:hAnsi="Arial"/>
          <w:sz w:val="19"/>
          <w:szCs w:val="19"/>
          <w:color w:val="auto"/>
        </w:rPr>
        <w:t>).</w:t>
      </w:r>
    </w:p>
    <w:p>
      <w:pPr>
        <w:spacing w:after="0" w:line="142" w:lineRule="exact"/>
        <w:rPr>
          <w:sz w:val="20"/>
          <w:szCs w:val="20"/>
          <w:color w:val="auto"/>
        </w:rPr>
      </w:pPr>
    </w:p>
    <w:p>
      <w:pPr>
        <w:jc w:val="both"/>
        <w:ind w:right="20" w:firstLine="783"/>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Overadvance</w:t>
      </w:r>
      <w:r>
        <w:rPr>
          <w:rFonts w:ascii="Arial" w:cs="Arial" w:eastAsia="Arial" w:hAnsi="Arial"/>
          <w:sz w:val="22"/>
          <w:szCs w:val="22"/>
          <w:color w:val="auto"/>
        </w:rPr>
        <w:t xml:space="preserve">” means, at any time, and without duplication, the sum of the U.S. Overadvance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Canadian Overadvance.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Borrower</w:t>
      </w:r>
      <w:r>
        <w:rPr>
          <w:rFonts w:ascii="Arial" w:cs="Arial" w:eastAsia="Arial" w:hAnsi="Arial"/>
          <w:sz w:val="22"/>
          <w:szCs w:val="22"/>
          <w:color w:val="auto"/>
        </w:rPr>
        <w:t>” has the meaning specified in the preamble to this Agreement.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11.1(c)</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Member States</w:t>
      </w:r>
      <w:r>
        <w:rPr>
          <w:rFonts w:ascii="Arial" w:cs="Arial" w:eastAsia="Arial" w:hAnsi="Arial"/>
          <w:sz w:val="22"/>
          <w:szCs w:val="22"/>
          <w:color w:val="auto"/>
        </w:rPr>
        <w:t>” means each state so described in any EMU Legislation.</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Patents</w:t>
      </w:r>
      <w:r>
        <w:rPr>
          <w:rFonts w:ascii="Arial" w:cs="Arial" w:eastAsia="Arial" w:hAnsi="Arial"/>
          <w:sz w:val="22"/>
          <w:szCs w:val="22"/>
          <w:color w:val="auto"/>
        </w:rPr>
        <w:t>” has the meaning specified in the U.S. Security Agreement.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Patriot Act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4.24</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Pension Plan</w:t>
      </w:r>
      <w:r>
        <w:rPr>
          <w:rFonts w:ascii="Arial" w:cs="Arial" w:eastAsia="Arial" w:hAnsi="Arial"/>
          <w:sz w:val="22"/>
          <w:szCs w:val="22"/>
          <w:color w:val="auto"/>
        </w:rPr>
        <w:t>” means a Plan described in Section 3(2) of ERISA.</w:t>
      </w:r>
    </w:p>
    <w:p>
      <w:pPr>
        <w:spacing w:after="0" w:line="220" w:lineRule="exact"/>
        <w:rPr>
          <w:sz w:val="20"/>
          <w:szCs w:val="20"/>
          <w:color w:val="auto"/>
        </w:rPr>
      </w:pPr>
    </w:p>
    <w:p>
      <w:pPr>
        <w:jc w:val="both"/>
        <w:ind w:firstLine="526"/>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Discretion</w:t>
      </w:r>
      <w:r>
        <w:rPr>
          <w:rFonts w:ascii="Arial" w:cs="Arial" w:eastAsia="Arial" w:hAnsi="Arial"/>
          <w:sz w:val="22"/>
          <w:szCs w:val="22"/>
          <w:color w:val="auto"/>
        </w:rPr>
        <w:t>” means a reasonable determination made by Agent or any Co-Collateral Agent in good faith and in the exercise of reasonable commercial judgment (from the perspective of a secured asset-based revolving lender) and as it relates to the establishment of Reserves or the adjustment or imposition of exclusionary criteria shall require that, (x) such establishment, adjustment or imposition after the Amendment No. 3 Effective Date be based on (1) the analysis of facts or events relating to the Accounts, Inventory, Equipment, Rolling Stock or other components of the Borrowing Base first occurring or first discovered by Agent or any</w:t>
      </w:r>
    </w:p>
    <w:p>
      <w:pPr>
        <w:sectPr>
          <w:pgSz w:w="11900" w:h="16838" w:orient="portrait"/>
          <w:cols w:equalWidth="0" w:num="1">
            <w:col w:w="11240"/>
          </w:cols>
          <w:pgMar w:left="320" w:top="1428" w:right="339" w:bottom="1440" w:gutter="0" w:footer="0" w:header="0"/>
        </w:sectPr>
      </w:pPr>
    </w:p>
    <w:bookmarkStart w:id="159" w:name="page160"/>
    <w:bookmarkEnd w:id="159"/>
    <w:p>
      <w:pPr>
        <w:jc w:val="both"/>
        <w:spacing w:after="0" w:line="289" w:lineRule="auto"/>
        <w:rPr>
          <w:sz w:val="20"/>
          <w:szCs w:val="20"/>
          <w:color w:val="auto"/>
        </w:rPr>
      </w:pPr>
      <w:r>
        <w:rPr>
          <w:rFonts w:ascii="Arial" w:cs="Arial" w:eastAsia="Arial" w:hAnsi="Arial"/>
          <w:sz w:val="19"/>
          <w:szCs w:val="19"/>
          <w:color w:val="auto"/>
        </w:rPr>
        <w:t>Co-Collateral Agent after the Amendment No. 3 Effective Date or that are materially different from facts or events occurring or known to Agent or such Co-Collateral Agent on the Amendment No. 3 Effective Date or (2) changes in applicable law after the Amendment No. 3 Effective Date which result in additional priority claims and liabilities being required to be satisfied in connection with the realization by the Agent upon the Borrowing Base Collateral, (y) the contributing factors to the imposition of any Reserve shall not duplicate any reserves deducted in computing book value and (z) the amount of any such Reserve so established or the effect of any adjustment or imposition of exclusionary criteria be a reasonable quantification of the incremental dilution of the Borrowing Base attributable to such contributing factors. If either Co-Collateral Agent exercises its Permitted Discretion, the other Co-Collateral Agent shall respond to such proposal within three Business Days, and the Co-Collateral Agent asserting the more conservative Permitted Discretion shall prevail.</w:t>
      </w:r>
    </w:p>
    <w:p>
      <w:pPr>
        <w:spacing w:after="0" w:line="157" w:lineRule="exact"/>
        <w:rPr>
          <w:sz w:val="20"/>
          <w:szCs w:val="20"/>
          <w:color w:val="auto"/>
        </w:rPr>
      </w:pPr>
    </w:p>
    <w:p>
      <w:pPr>
        <w:jc w:val="both"/>
        <w:ind w:firstLine="580"/>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Holders</w:t>
      </w:r>
      <w:r>
        <w:rPr>
          <w:rFonts w:ascii="Arial" w:cs="Arial" w:eastAsia="Arial" w:hAnsi="Arial"/>
          <w:sz w:val="22"/>
          <w:szCs w:val="22"/>
          <w:color w:val="auto"/>
        </w:rPr>
        <w:t>” means Jacobs Private Equity, LLC and each of its Affiliates, Bradley Jacobs (“</w:t>
      </w:r>
      <w:r>
        <w:rPr>
          <w:rFonts w:ascii="Arial" w:cs="Arial" w:eastAsia="Arial" w:hAnsi="Arial"/>
          <w:sz w:val="22"/>
          <w:szCs w:val="22"/>
          <w:u w:val="single" w:color="auto"/>
          <w:color w:val="auto"/>
        </w:rPr>
        <w:t>Jacobs</w:t>
      </w:r>
      <w:r>
        <w:rPr>
          <w:rFonts w:ascii="Arial" w:cs="Arial" w:eastAsia="Arial" w:hAnsi="Arial"/>
          <w:sz w:val="22"/>
          <w:szCs w:val="22"/>
          <w:color w:val="auto"/>
        </w:rPr>
        <w:t>”), any entity controlled by Jacobs, Jacobs’ wife, Jacobs’ children and other lineal descendants and trusts established for the benefit of any of the foregoing.</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0000FF"/>
        </w:rPr>
        <w:t>“Permitted Incremental FILO Loans” has the meaning specified in Section 2.16(a).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8298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4829810" cy="8255"/>
                    </a:xfrm>
                    <a:prstGeom prst="rect">
                      <a:avLst/>
                    </a:prstGeom>
                    <a:noFill/>
                  </pic:spPr>
                </pic:pic>
              </a:graphicData>
            </a:graphic>
          </wp:anchor>
        </w:drawing>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Investments</w:t>
      </w:r>
      <w:r>
        <w:rPr>
          <w:rFonts w:ascii="Arial" w:cs="Arial" w:eastAsia="Arial" w:hAnsi="Arial"/>
          <w:sz w:val="22"/>
          <w:szCs w:val="22"/>
          <w:color w:val="auto"/>
        </w:rPr>
        <w:t>” means:</w:t>
      </w:r>
    </w:p>
    <w:p>
      <w:pPr>
        <w:spacing w:after="0" w:line="220" w:lineRule="exact"/>
        <w:rPr>
          <w:sz w:val="20"/>
          <w:szCs w:val="20"/>
          <w:color w:val="auto"/>
        </w:rPr>
      </w:pPr>
    </w:p>
    <w:p>
      <w:pPr>
        <w:jc w:val="both"/>
        <w:ind w:left="660" w:firstLine="644"/>
        <w:spacing w:after="0" w:line="285" w:lineRule="auto"/>
        <w:tabs>
          <w:tab w:leader="none" w:pos="1640" w:val="left"/>
        </w:tabs>
        <w:numPr>
          <w:ilvl w:val="1"/>
          <w:numId w:val="60"/>
        </w:numPr>
        <w:rPr>
          <w:rFonts w:ascii="Arial" w:cs="Arial" w:eastAsia="Arial" w:hAnsi="Arial"/>
          <w:sz w:val="19"/>
          <w:szCs w:val="19"/>
          <w:color w:val="auto"/>
        </w:rPr>
      </w:pPr>
      <w:r>
        <w:rPr>
          <w:rFonts w:ascii="Arial" w:cs="Arial" w:eastAsia="Arial" w:hAnsi="Arial"/>
          <w:sz w:val="19"/>
          <w:szCs w:val="19"/>
          <w:color w:val="auto"/>
        </w:rPr>
        <w:t xml:space="preserve">any Investment in Parent Borrower or any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aggregate amount of Investments by Credit Parties in Restricted Subsidiaries that are not Credit Parties in reliance on this Clause (1) shall not exceed (when combined with Investments made by Credit Parties in Subsidiaries that are not (or do not become in connection with such transaction) Credit Parties in reliance on Clauses (3), (21) and (22) of the definition of Permitted Investment) the greater of (x) $320 million and (y) 20% of Consolidated EBITDA as of the date of such Investment and</w:t>
      </w:r>
    </w:p>
    <w:p>
      <w:pPr>
        <w:spacing w:after="0" w:line="3" w:lineRule="exact"/>
        <w:rPr>
          <w:rFonts w:ascii="Arial" w:cs="Arial" w:eastAsia="Arial" w:hAnsi="Arial"/>
          <w:sz w:val="19"/>
          <w:szCs w:val="19"/>
          <w:color w:val="auto"/>
        </w:rPr>
      </w:pPr>
    </w:p>
    <w:p>
      <w:pPr>
        <w:jc w:val="both"/>
        <w:ind w:left="660" w:hanging="4"/>
        <w:spacing w:after="0" w:line="259" w:lineRule="auto"/>
        <w:tabs>
          <w:tab w:leader="none" w:pos="989" w:val="left"/>
        </w:tabs>
        <w:numPr>
          <w:ilvl w:val="0"/>
          <w:numId w:val="61"/>
        </w:numPr>
        <w:rPr>
          <w:rFonts w:ascii="Arial" w:cs="Arial" w:eastAsia="Arial" w:hAnsi="Arial"/>
          <w:sz w:val="21"/>
          <w:szCs w:val="21"/>
          <w:color w:val="auto"/>
        </w:rPr>
      </w:pPr>
      <w:r>
        <w:rPr>
          <w:rFonts w:ascii="Arial" w:cs="Arial" w:eastAsia="Arial" w:hAnsi="Arial"/>
          <w:sz w:val="21"/>
          <w:szCs w:val="21"/>
          <w:color w:val="auto"/>
        </w:rPr>
        <w:t>no Credit Party that is a Non-Con-way Subsidiary may make an Investment in a Con-way Subsidiary by transferring any Equity Interests or any Principal Property to such Con-way Subsidiary in reliance on this clause (1) if such Investment would cause such Equity Interests or Principal Property so invested to be Excluded Principal Property, unless Borrower agrees that such property will not constitute Excluded Principal Property;</w:t>
      </w:r>
    </w:p>
    <w:p>
      <w:pPr>
        <w:spacing w:after="0" w:line="181" w:lineRule="exact"/>
        <w:rPr>
          <w:rFonts w:ascii="Arial" w:cs="Arial" w:eastAsia="Arial" w:hAnsi="Arial"/>
          <w:sz w:val="21"/>
          <w:szCs w:val="21"/>
          <w:color w:val="auto"/>
        </w:rPr>
      </w:pPr>
    </w:p>
    <w:p>
      <w:pPr>
        <w:ind w:left="1600" w:hanging="296"/>
        <w:spacing w:after="0"/>
        <w:tabs>
          <w:tab w:leader="none" w:pos="1600" w:val="left"/>
        </w:tabs>
        <w:numPr>
          <w:ilvl w:val="1"/>
          <w:numId w:val="61"/>
        </w:numPr>
        <w:rPr>
          <w:rFonts w:ascii="Arial" w:cs="Arial" w:eastAsia="Arial" w:hAnsi="Arial"/>
          <w:sz w:val="22"/>
          <w:szCs w:val="22"/>
          <w:color w:val="auto"/>
        </w:rPr>
      </w:pPr>
      <w:r>
        <w:rPr>
          <w:rFonts w:ascii="Arial" w:cs="Arial" w:eastAsia="Arial" w:hAnsi="Arial"/>
          <w:sz w:val="22"/>
          <w:szCs w:val="22"/>
          <w:color w:val="auto"/>
        </w:rPr>
        <w:t>any Investment in Cash Equivalents or Investment Grade Securities;</w:t>
      </w:r>
    </w:p>
    <w:p>
      <w:pPr>
        <w:spacing w:after="0" w:line="219" w:lineRule="exact"/>
        <w:rPr>
          <w:rFonts w:ascii="Arial" w:cs="Arial" w:eastAsia="Arial" w:hAnsi="Arial"/>
          <w:sz w:val="22"/>
          <w:szCs w:val="22"/>
          <w:color w:val="auto"/>
        </w:rPr>
      </w:pPr>
    </w:p>
    <w:p>
      <w:pPr>
        <w:jc w:val="both"/>
        <w:ind w:left="660" w:firstLine="644"/>
        <w:spacing w:after="0" w:line="290" w:lineRule="auto"/>
        <w:tabs>
          <w:tab w:leader="none" w:pos="1648" w:val="left"/>
        </w:tabs>
        <w:numPr>
          <w:ilvl w:val="1"/>
          <w:numId w:val="61"/>
        </w:numPr>
        <w:rPr>
          <w:rFonts w:ascii="Arial" w:cs="Arial" w:eastAsia="Arial" w:hAnsi="Arial"/>
          <w:sz w:val="19"/>
          <w:szCs w:val="19"/>
          <w:color w:val="auto"/>
        </w:rPr>
      </w:pPr>
      <w:r>
        <w:rPr>
          <w:rFonts w:ascii="Arial" w:cs="Arial" w:eastAsia="Arial" w:hAnsi="Arial"/>
          <w:sz w:val="19"/>
          <w:szCs w:val="19"/>
          <w:color w:val="auto"/>
        </w:rPr>
        <w:t xml:space="preserve">any Investment by Parent Borrower or any Restricted Subsidiary in a Person that is engaged in a Similar Business if as a result of such Investment (a) such Person becomes a Restricted Subsidiary, or (b) such Person, in one transaction or a series of related transactions, is merged, consolidated or amalgamated with or into, or transfers or conveys all or substantially all of its assets to, or is liquidated into, Parent Borrower or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aggregate amount of Investments by Credit Parties in Restricted Subsidiaries that are not Credit Parties (or do not merge into a Credit Party in connection with such transaction) in reliance on this Clause (3) shall not exceed (when combined with Investments made by Credit Parties in Subsidiaries that are not (or do not become in connection with such transaction) Credit Parties in reliance on Clauses</w:t>
      </w:r>
    </w:p>
    <w:p>
      <w:pPr>
        <w:sectPr>
          <w:pgSz w:w="11900" w:h="16838" w:orient="portrait"/>
          <w:cols w:equalWidth="0" w:num="1">
            <w:col w:w="11240"/>
          </w:cols>
          <w:pgMar w:left="320" w:top="1428" w:right="339" w:bottom="1440" w:gutter="0" w:footer="0" w:header="0"/>
        </w:sectPr>
      </w:pPr>
    </w:p>
    <w:bookmarkStart w:id="160" w:name="page161"/>
    <w:bookmarkEnd w:id="160"/>
    <w:p>
      <w:pPr>
        <w:jc w:val="both"/>
        <w:spacing w:after="0" w:line="247" w:lineRule="auto"/>
        <w:rPr>
          <w:sz w:val="20"/>
          <w:szCs w:val="20"/>
          <w:color w:val="auto"/>
        </w:rPr>
      </w:pPr>
      <w:r>
        <w:rPr>
          <w:rFonts w:ascii="Arial" w:cs="Arial" w:eastAsia="Arial" w:hAnsi="Arial"/>
          <w:sz w:val="22"/>
          <w:szCs w:val="22"/>
          <w:color w:val="auto"/>
        </w:rPr>
        <w:t>(1), (21) and (22) of the definition of Permitted Investment) the greater of (x) $320 million and (y) 20% of Consolidated EBITDA as of the date of such Investment and (ii) no Credit Party that is a Non-Con-way Subsidiary may make an Investment in a Con-way Subsidiary by transferring any Equity Interests or any Principal Property to such Con-way Subsidiary in reliance on this clause (3) if such Investment would cause such Equity Interests or Principal Property so invested to be Excluded Principal Property, unless Borrower agrees that such property will not constitute Excluded Principal Property;</w:t>
      </w:r>
    </w:p>
    <w:p>
      <w:pPr>
        <w:spacing w:after="0" w:line="193" w:lineRule="exact"/>
        <w:rPr>
          <w:sz w:val="20"/>
          <w:szCs w:val="20"/>
          <w:color w:val="auto"/>
        </w:rPr>
      </w:pPr>
    </w:p>
    <w:p>
      <w:pPr>
        <w:ind w:right="20" w:firstLine="644"/>
        <w:spacing w:after="0" w:line="263" w:lineRule="auto"/>
        <w:tabs>
          <w:tab w:leader="none" w:pos="962"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any Investment in securities or other assets not constituting Cash Equivalents and received in connection with any disposition of assets permitted by </w:t>
      </w:r>
      <w:r>
        <w:rPr>
          <w:rFonts w:ascii="Arial" w:cs="Arial" w:eastAsia="Arial" w:hAnsi="Arial"/>
          <w:sz w:val="22"/>
          <w:szCs w:val="22"/>
          <w:u w:val="single" w:color="auto"/>
          <w:color w:val="auto"/>
        </w:rPr>
        <w:t>Section 7.4</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644"/>
        <w:spacing w:after="0" w:line="247" w:lineRule="auto"/>
        <w:tabs>
          <w:tab w:leader="none" w:pos="984"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any Investment existing on, or made pursuant to binding commitments existing on, the Amendment No. 3 Effective Date (including, for the avoidance of doubt, Investments of Con-way and any Restricted Subsidiary which is a Subsidiary thereof) or an Investment consisting of any extension, modification or renewal of any Investment existing on the Amendment No. 3 Effective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any such Investment may be increased (x) as required by the terms of such Investment as in existence on the Amendment No. 3 Effective Date or (y) as otherwise permitted under this Agreement;</w:t>
      </w:r>
    </w:p>
    <w:p>
      <w:pPr>
        <w:spacing w:after="0" w:line="192" w:lineRule="exact"/>
        <w:rPr>
          <w:rFonts w:ascii="Arial" w:cs="Arial" w:eastAsia="Arial" w:hAnsi="Arial"/>
          <w:sz w:val="22"/>
          <w:szCs w:val="22"/>
          <w:color w:val="auto"/>
        </w:rPr>
      </w:pPr>
    </w:p>
    <w:p>
      <w:pPr>
        <w:jc w:val="both"/>
        <w:ind w:firstLine="644"/>
        <w:spacing w:after="0" w:line="294" w:lineRule="auto"/>
        <w:tabs>
          <w:tab w:leader="none" w:pos="1020" w:val="left"/>
        </w:tabs>
        <w:numPr>
          <w:ilvl w:val="0"/>
          <w:numId w:val="62"/>
        </w:numPr>
        <w:rPr>
          <w:rFonts w:ascii="Arial" w:cs="Arial" w:eastAsia="Arial" w:hAnsi="Arial"/>
          <w:sz w:val="19"/>
          <w:szCs w:val="19"/>
          <w:color w:val="auto"/>
        </w:rPr>
      </w:pPr>
      <w:r>
        <w:rPr>
          <w:rFonts w:ascii="Arial" w:cs="Arial" w:eastAsia="Arial" w:hAnsi="Arial"/>
          <w:sz w:val="19"/>
          <w:szCs w:val="19"/>
          <w:color w:val="auto"/>
        </w:rPr>
        <w:t>loans and advances to officers, directors, employees or consultants of Parent Borrower or any of its Subsidiaries (i) in the ordinary course of business in an aggregate outstanding amount (valued at the time of the making thereof, and without giving effect to any write-downs or write-offs thereof) not to exceed $100 million at the time of Incurrence, (ii) in respect of payroll payments and expenses in the ordinary course of business and (iii) in connection with such Person’s purchase of Equity Interests of Parent Borrower or any direct or indirect parent of Parent Borrower solely to the extent that the amount of such loans and advances shall be contributed to Parent Borrower in cash as common equity;</w:t>
      </w:r>
    </w:p>
    <w:p>
      <w:pPr>
        <w:spacing w:after="0" w:line="149" w:lineRule="exact"/>
        <w:rPr>
          <w:rFonts w:ascii="Arial" w:cs="Arial" w:eastAsia="Arial" w:hAnsi="Arial"/>
          <w:sz w:val="19"/>
          <w:szCs w:val="19"/>
          <w:color w:val="auto"/>
        </w:rPr>
      </w:pPr>
    </w:p>
    <w:p>
      <w:pPr>
        <w:jc w:val="both"/>
        <w:ind w:firstLine="644"/>
        <w:spacing w:after="0" w:line="294" w:lineRule="auto"/>
        <w:tabs>
          <w:tab w:leader="none" w:pos="996" w:val="left"/>
        </w:tabs>
        <w:numPr>
          <w:ilvl w:val="0"/>
          <w:numId w:val="62"/>
        </w:numPr>
        <w:rPr>
          <w:rFonts w:ascii="Arial" w:cs="Arial" w:eastAsia="Arial" w:hAnsi="Arial"/>
          <w:sz w:val="19"/>
          <w:szCs w:val="19"/>
          <w:color w:val="auto"/>
        </w:rPr>
      </w:pPr>
      <w:r>
        <w:rPr>
          <w:rFonts w:ascii="Arial" w:cs="Arial" w:eastAsia="Arial" w:hAnsi="Arial"/>
          <w:sz w:val="19"/>
          <w:szCs w:val="19"/>
          <w:color w:val="auto"/>
        </w:rPr>
        <w:t>any Investment acquired by Parent Borrower or any Restricted Subsidiary (a) in exchange for any other Investment or accounts receivable held by Parent Borrower or such Restricted Subsidiary in connection with or as a result of a bankruptcy, workout, reorganization or recapitalization of the issuer of such other Investment or accounts receivable, or (b) as a result of a foreclosure by Parent Borrower or any Restricted Subsidiary with respect to any secured Investment or other transfer of title with respect to any secured Investment in default, or as a result of a Bail-In Action with respect to any contractual counterparty of Parent Borrower or any Restricted Subsidiary;</w:t>
      </w:r>
    </w:p>
    <w:p>
      <w:pPr>
        <w:spacing w:after="0" w:line="149" w:lineRule="exact"/>
        <w:rPr>
          <w:rFonts w:ascii="Arial" w:cs="Arial" w:eastAsia="Arial" w:hAnsi="Arial"/>
          <w:sz w:val="19"/>
          <w:szCs w:val="19"/>
          <w:color w:val="auto"/>
        </w:rPr>
      </w:pPr>
    </w:p>
    <w:p>
      <w:pPr>
        <w:ind w:left="940" w:hanging="296"/>
        <w:spacing w:after="0"/>
        <w:tabs>
          <w:tab w:leader="none" w:pos="9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Hedging Obligations permitted under </w:t>
      </w:r>
      <w:r>
        <w:rPr>
          <w:rFonts w:ascii="Arial" w:cs="Arial" w:eastAsia="Arial" w:hAnsi="Arial"/>
          <w:sz w:val="22"/>
          <w:szCs w:val="22"/>
          <w:u w:val="single" w:color="auto"/>
          <w:color w:val="auto"/>
        </w:rPr>
        <w:t>Section 7.1(b)(x)</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940" w:hanging="296"/>
        <w:spacing w:after="0"/>
        <w:tabs>
          <w:tab w:leader="none" w:pos="94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firstLine="644"/>
        <w:spacing w:after="0" w:line="263" w:lineRule="auto"/>
        <w:tabs>
          <w:tab w:leader="none" w:pos="1092" w:val="left"/>
        </w:tabs>
        <w:numPr>
          <w:ilvl w:val="0"/>
          <w:numId w:val="62"/>
        </w:numPr>
        <w:rPr>
          <w:rFonts w:ascii="Arial" w:cs="Arial" w:eastAsia="Arial" w:hAnsi="Arial"/>
          <w:sz w:val="22"/>
          <w:szCs w:val="22"/>
          <w:color w:val="auto"/>
        </w:rPr>
      </w:pPr>
      <w:r>
        <w:rPr>
          <w:rFonts w:ascii="Arial" w:cs="Arial" w:eastAsia="Arial" w:hAnsi="Arial"/>
          <w:sz w:val="22"/>
          <w:szCs w:val="22"/>
          <w:color w:val="auto"/>
        </w:rPr>
        <w:t>additional Investments by Parent Borrower or any Restricted Subsidiary having an aggregate Fair Market Value (as determined in good faith by Parent Borrower),</w:t>
      </w:r>
    </w:p>
    <w:p>
      <w:pPr>
        <w:sectPr>
          <w:pgSz w:w="11900" w:h="16838" w:orient="portrait"/>
          <w:cols w:equalWidth="0" w:num="1">
            <w:col w:w="10580"/>
          </w:cols>
          <w:pgMar w:left="980" w:top="1428" w:right="339" w:bottom="1440" w:gutter="0" w:footer="0" w:header="0"/>
        </w:sectPr>
      </w:pPr>
    </w:p>
    <w:bookmarkStart w:id="161" w:name="page162"/>
    <w:bookmarkEnd w:id="161"/>
    <w:p>
      <w:pPr>
        <w:jc w:val="both"/>
        <w:spacing w:after="0" w:line="294" w:lineRule="auto"/>
        <w:rPr>
          <w:sz w:val="20"/>
          <w:szCs w:val="20"/>
          <w:color w:val="auto"/>
        </w:rPr>
      </w:pPr>
      <w:r>
        <w:rPr>
          <w:rFonts w:ascii="Arial" w:cs="Arial" w:eastAsia="Arial" w:hAnsi="Arial"/>
          <w:sz w:val="19"/>
          <w:szCs w:val="19"/>
          <w:color w:val="auto"/>
        </w:rPr>
        <w:t xml:space="preserve">taken together with all other Investments made pursuant to this clause (10) that are at that time outstanding, not to exceed the sum of the greater of $160 million and 10% of Consolidated EBITDA as of the date of such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Investment pursuant to this clause (10) is made in any Person that is not a Credit Party at the date of the making of such Investment and such Person becomes a Credit Party after such date, such Investment shall thereafter be deemed to have been made pursuant to clause (1) above and shall cease to have been made pursuant to this clause (10) for so long as such Person continues to be a Credit Party;</w:t>
      </w:r>
    </w:p>
    <w:p>
      <w:pPr>
        <w:spacing w:after="0" w:line="149" w:lineRule="exact"/>
        <w:rPr>
          <w:sz w:val="20"/>
          <w:szCs w:val="20"/>
          <w:color w:val="auto"/>
        </w:rPr>
      </w:pPr>
    </w:p>
    <w:p>
      <w:pPr>
        <w:jc w:val="both"/>
        <w:ind w:firstLine="644"/>
        <w:spacing w:after="0" w:line="312" w:lineRule="auto"/>
        <w:tabs>
          <w:tab w:leader="none" w:pos="1063" w:val="left"/>
        </w:tabs>
        <w:numPr>
          <w:ilvl w:val="1"/>
          <w:numId w:val="63"/>
        </w:numPr>
        <w:rPr>
          <w:rFonts w:ascii="Arial" w:cs="Arial" w:eastAsia="Arial" w:hAnsi="Arial"/>
          <w:sz w:val="19"/>
          <w:szCs w:val="19"/>
          <w:color w:val="auto"/>
        </w:rPr>
      </w:pPr>
      <w:r>
        <w:rPr>
          <w:rFonts w:ascii="Arial" w:cs="Arial" w:eastAsia="Arial" w:hAnsi="Arial"/>
          <w:sz w:val="19"/>
          <w:szCs w:val="19"/>
          <w:color w:val="auto"/>
        </w:rPr>
        <w:t>loans and advances to officers, directors or employees for business-related travel expenses, moving expenses and other similar expenses, in each case Incurred in the ordinary course of business or consistent with past practice or to fund such Person’s purchase of Equity Interests of Parent Borrower or any direct or indirect parent of Parent Borrower;</w:t>
      </w:r>
    </w:p>
    <w:p>
      <w:pPr>
        <w:spacing w:after="0" w:line="133" w:lineRule="exact"/>
        <w:rPr>
          <w:rFonts w:ascii="Arial" w:cs="Arial" w:eastAsia="Arial" w:hAnsi="Arial"/>
          <w:sz w:val="19"/>
          <w:szCs w:val="19"/>
          <w:color w:val="auto"/>
        </w:rPr>
      </w:pPr>
    </w:p>
    <w:p>
      <w:pPr>
        <w:jc w:val="both"/>
        <w:ind w:firstLine="644"/>
        <w:spacing w:after="0" w:line="271" w:lineRule="auto"/>
        <w:tabs>
          <w:tab w:leader="none" w:pos="1078" w:val="left"/>
        </w:tabs>
        <w:numPr>
          <w:ilvl w:val="1"/>
          <w:numId w:val="63"/>
        </w:numPr>
        <w:rPr>
          <w:rFonts w:ascii="Arial" w:cs="Arial" w:eastAsia="Arial" w:hAnsi="Arial"/>
          <w:sz w:val="21"/>
          <w:szCs w:val="21"/>
          <w:color w:val="auto"/>
        </w:rPr>
      </w:pPr>
      <w:r>
        <w:rPr>
          <w:rFonts w:ascii="Arial" w:cs="Arial" w:eastAsia="Arial" w:hAnsi="Arial"/>
          <w:sz w:val="21"/>
          <w:szCs w:val="21"/>
          <w:color w:val="auto"/>
        </w:rPr>
        <w:t xml:space="preserve">Investments the payment for which consists of Equity Interests of Parent Borrower (other than Disqualified Capital Stock) or any direct or indirect parent of Parent Borrower, as applicable;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Equity Interests will not increase the amount available for Restricted Payments under 7.2(b)(viii);</w:t>
      </w:r>
    </w:p>
    <w:p>
      <w:pPr>
        <w:spacing w:after="0" w:line="167" w:lineRule="exact"/>
        <w:rPr>
          <w:rFonts w:ascii="Arial" w:cs="Arial" w:eastAsia="Arial" w:hAnsi="Arial"/>
          <w:sz w:val="21"/>
          <w:szCs w:val="21"/>
          <w:color w:val="auto"/>
        </w:rPr>
      </w:pPr>
    </w:p>
    <w:p>
      <w:pPr>
        <w:ind w:firstLine="644"/>
        <w:spacing w:after="0" w:line="343" w:lineRule="auto"/>
        <w:tabs>
          <w:tab w:leader="none" w:pos="1064" w:val="left"/>
        </w:tabs>
        <w:numPr>
          <w:ilvl w:val="1"/>
          <w:numId w:val="63"/>
        </w:numPr>
        <w:rPr>
          <w:rFonts w:ascii="Arial" w:cs="Arial" w:eastAsia="Arial" w:hAnsi="Arial"/>
          <w:sz w:val="19"/>
          <w:szCs w:val="19"/>
          <w:color w:val="auto"/>
        </w:rPr>
      </w:pPr>
      <w:r>
        <w:rPr>
          <w:rFonts w:ascii="Arial" w:cs="Arial" w:eastAsia="Arial" w:hAnsi="Arial"/>
          <w:sz w:val="19"/>
          <w:szCs w:val="19"/>
          <w:color w:val="auto"/>
        </w:rPr>
        <w:t xml:space="preserve">any transaction to the extent it constitutes an Investment that is permitted by and made in accordance with the provisions of </w:t>
      </w:r>
      <w:r>
        <w:rPr>
          <w:rFonts w:ascii="Arial" w:cs="Arial" w:eastAsia="Arial" w:hAnsi="Arial"/>
          <w:sz w:val="19"/>
          <w:szCs w:val="19"/>
          <w:u w:val="single" w:color="auto"/>
          <w:color w:val="auto"/>
        </w:rPr>
        <w:t>Section 7.5(b)</w:t>
      </w:r>
      <w:r>
        <w:rPr>
          <w:rFonts w:ascii="Arial" w:cs="Arial" w:eastAsia="Arial" w:hAnsi="Arial"/>
          <w:sz w:val="19"/>
          <w:szCs w:val="19"/>
          <w:color w:val="auto"/>
        </w:rPr>
        <w:t xml:space="preserve"> (except transactions described in clauses (ii), (iv), (vi), (viii)(B) and (xv) of </w:t>
      </w:r>
      <w:r>
        <w:rPr>
          <w:rFonts w:ascii="Arial" w:cs="Arial" w:eastAsia="Arial" w:hAnsi="Arial"/>
          <w:sz w:val="19"/>
          <w:szCs w:val="19"/>
          <w:u w:val="single" w:color="auto"/>
          <w:color w:val="auto"/>
        </w:rPr>
        <w:t>Section 7.5(b)</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firstLine="644"/>
        <w:spacing w:after="0" w:line="250" w:lineRule="auto"/>
        <w:tabs>
          <w:tab w:leader="none" w:pos="1120" w:val="left"/>
        </w:tabs>
        <w:numPr>
          <w:ilvl w:val="1"/>
          <w:numId w:val="63"/>
        </w:numPr>
        <w:rPr>
          <w:rFonts w:ascii="Arial" w:cs="Arial" w:eastAsia="Arial" w:hAnsi="Arial"/>
          <w:sz w:val="22"/>
          <w:szCs w:val="22"/>
          <w:color w:val="auto"/>
        </w:rPr>
      </w:pPr>
      <w:r>
        <w:rPr>
          <w:rFonts w:ascii="Arial" w:cs="Arial" w:eastAsia="Arial" w:hAnsi="Arial"/>
          <w:sz w:val="22"/>
          <w:szCs w:val="22"/>
          <w:color w:val="auto"/>
        </w:rPr>
        <w:t xml:space="preserve">guarantees issued in accordance with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6.12</w:t>
      </w:r>
      <w:r>
        <w:rPr>
          <w:rFonts w:ascii="Arial" w:cs="Arial" w:eastAsia="Arial" w:hAnsi="Arial"/>
          <w:sz w:val="22"/>
          <w:szCs w:val="22"/>
          <w:color w:val="auto"/>
        </w:rPr>
        <w:t xml:space="preserve"> including, without limitation, any guarantee or other obligation issued or incurred under this Agreement in connection with any letter of credit issued for the account of Parent Borrower or any of its Subsidiaries (including with respect to the issuance of, or payments in respect of drawings under, such letters of credit);</w:t>
      </w:r>
    </w:p>
    <w:p>
      <w:pPr>
        <w:spacing w:after="0" w:line="187" w:lineRule="exact"/>
        <w:rPr>
          <w:rFonts w:ascii="Arial" w:cs="Arial" w:eastAsia="Arial" w:hAnsi="Arial"/>
          <w:sz w:val="22"/>
          <w:szCs w:val="22"/>
          <w:color w:val="auto"/>
        </w:rPr>
      </w:pPr>
    </w:p>
    <w:p>
      <w:pPr>
        <w:ind w:left="-40" w:right="200" w:firstLine="439"/>
        <w:spacing w:after="0" w:line="287" w:lineRule="auto"/>
        <w:tabs>
          <w:tab w:leader="none" w:pos="815" w:val="left"/>
        </w:tabs>
        <w:numPr>
          <w:ilvl w:val="0"/>
          <w:numId w:val="64"/>
        </w:numPr>
        <w:rPr>
          <w:rFonts w:ascii="Arial" w:cs="Arial" w:eastAsia="Arial" w:hAnsi="Arial"/>
          <w:sz w:val="21"/>
          <w:szCs w:val="21"/>
          <w:color w:val="auto"/>
        </w:rPr>
      </w:pPr>
      <w:r>
        <w:rPr>
          <w:rFonts w:ascii="Arial" w:cs="Arial" w:eastAsia="Arial" w:hAnsi="Arial"/>
          <w:sz w:val="21"/>
          <w:szCs w:val="21"/>
          <w:color w:val="auto"/>
        </w:rPr>
        <w:t>Investments consisting of or to finance purchases and acquisitions of inventory, supplies, materials, services or equipment or purchases of contract rights or licenses or leases of intellectual property;</w:t>
      </w:r>
    </w:p>
    <w:p>
      <w:pPr>
        <w:spacing w:after="0" w:line="286" w:lineRule="exact"/>
        <w:rPr>
          <w:rFonts w:ascii="Arial" w:cs="Arial" w:eastAsia="Arial" w:hAnsi="Arial"/>
          <w:sz w:val="21"/>
          <w:szCs w:val="21"/>
          <w:color w:val="auto"/>
        </w:rPr>
      </w:pPr>
    </w:p>
    <w:p>
      <w:pPr>
        <w:jc w:val="both"/>
        <w:ind w:firstLine="644"/>
        <w:spacing w:after="0" w:line="259" w:lineRule="auto"/>
        <w:tabs>
          <w:tab w:leader="none" w:pos="1065" w:val="left"/>
        </w:tabs>
        <w:numPr>
          <w:ilvl w:val="1"/>
          <w:numId w:val="64"/>
        </w:numPr>
        <w:rPr>
          <w:rFonts w:ascii="Arial" w:cs="Arial" w:eastAsia="Arial" w:hAnsi="Arial"/>
          <w:sz w:val="21"/>
          <w:szCs w:val="21"/>
          <w:color w:val="auto"/>
        </w:rPr>
      </w:pPr>
      <w:r>
        <w:rPr>
          <w:rFonts w:ascii="Arial" w:cs="Arial" w:eastAsia="Arial" w:hAnsi="Arial"/>
          <w:sz w:val="21"/>
          <w:szCs w:val="21"/>
          <w:color w:val="auto"/>
        </w:rPr>
        <w:t xml:space="preserve">(A) any Investment by a Subsidiary that is not a Credit Party in a Securitization Subsidiary or any Investment by a Securitization Subsidiary in any other Person in connection with a Qualified Securitization Financing, including Investments of funds held in accounts permitted or required by the arrangements governing such Qualified Securitization Financing or any related Indebtedness, and (B) any Investment in a Securitization Subsidiary or any Investment by a Securitization Subsidiary in any other Person in connection with a Qualified Securitization Financing, including Investments of funds held in accounts permitted or required by the arrangements governing such Qualified Securitization Financing or any related Indebtedness;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aggregate amount of outstanding Investments made pursuant to this clause (16)(B), taken</w:t>
      </w:r>
    </w:p>
    <w:p>
      <w:pPr>
        <w:sectPr>
          <w:pgSz w:w="11900" w:h="16838" w:orient="portrait"/>
          <w:cols w:equalWidth="0" w:num="1">
            <w:col w:w="10580"/>
          </w:cols>
          <w:pgMar w:left="980" w:top="1428" w:right="339" w:bottom="1440" w:gutter="0" w:footer="0" w:header="0"/>
        </w:sectPr>
      </w:pPr>
    </w:p>
    <w:bookmarkStart w:id="162" w:name="page163"/>
    <w:bookmarkEnd w:id="162"/>
    <w:p>
      <w:pPr>
        <w:spacing w:after="0" w:line="263" w:lineRule="auto"/>
        <w:rPr>
          <w:sz w:val="20"/>
          <w:szCs w:val="20"/>
          <w:color w:val="auto"/>
        </w:rPr>
      </w:pPr>
      <w:r>
        <w:rPr>
          <w:rFonts w:ascii="Arial" w:cs="Arial" w:eastAsia="Arial" w:hAnsi="Arial"/>
          <w:sz w:val="22"/>
          <w:szCs w:val="22"/>
          <w:color w:val="auto"/>
        </w:rPr>
        <w:t>together with all outstanding Investments made pursuant to clause (17)(B), shall not exceed $100,000,000 at the time of such Investment;</w:t>
      </w:r>
    </w:p>
    <w:p>
      <w:pPr>
        <w:spacing w:after="0" w:line="175" w:lineRule="exact"/>
        <w:rPr>
          <w:sz w:val="20"/>
          <w:szCs w:val="20"/>
          <w:color w:val="auto"/>
        </w:rPr>
      </w:pPr>
    </w:p>
    <w:p>
      <w:pPr>
        <w:jc w:val="both"/>
        <w:ind w:firstLine="644"/>
        <w:spacing w:after="0" w:line="247" w:lineRule="auto"/>
        <w:tabs>
          <w:tab w:leader="none" w:pos="1066"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(A) any Investment by a Subsidiary that is not a Credit Party in an entity which is not a Restricted Subsidiary to which a Restricted Subsidiary sells Securitization Assets pursuant to a Securitization Financing, and (B) any Investment in an entity which is not a Restricted Subsidiary to which a Restricted Subsidiary sells Securitization Assets pursuant to a Securitization Financing;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amount of outstanding Investments made pursuant to this clause (17))(B), taken together with all outstanding Investments made pursuant to clause (16)(B), shall not exceed $100,000,000 at the time of such Investment;</w:t>
      </w:r>
    </w:p>
    <w:p>
      <w:pPr>
        <w:spacing w:after="0" w:line="192" w:lineRule="exact"/>
        <w:rPr>
          <w:rFonts w:ascii="Arial" w:cs="Arial" w:eastAsia="Arial" w:hAnsi="Arial"/>
          <w:sz w:val="22"/>
          <w:szCs w:val="22"/>
          <w:color w:val="auto"/>
        </w:rPr>
      </w:pPr>
    </w:p>
    <w:p>
      <w:pPr>
        <w:jc w:val="both"/>
        <w:ind w:firstLine="644"/>
        <w:spacing w:after="0" w:line="248" w:lineRule="auto"/>
        <w:tabs>
          <w:tab w:leader="none" w:pos="1084" w:val="left"/>
        </w:tabs>
        <w:numPr>
          <w:ilvl w:val="0"/>
          <w:numId w:val="65"/>
        </w:numPr>
        <w:rPr>
          <w:rFonts w:ascii="Arial" w:cs="Arial" w:eastAsia="Arial" w:hAnsi="Arial"/>
          <w:sz w:val="22"/>
          <w:szCs w:val="22"/>
          <w:color w:val="auto"/>
        </w:rPr>
      </w:pPr>
      <w:r>
        <w:rPr>
          <w:rFonts w:ascii="Arial" w:cs="Arial" w:eastAsia="Arial" w:hAnsi="Arial"/>
          <w:sz w:val="22"/>
          <w:szCs w:val="22"/>
          <w:color w:val="auto"/>
        </w:rPr>
        <w:t xml:space="preserve">Investments of a Restricted Subsidiary acquired after the Amendment No. 3 Effective Date or of an entity merged into, amalgamated with, or consolidated with Parent Borrower or a Restricted Subsidiary in a transaction that is not prohibited by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after the Amendment No. 3 Effective Date to the extent that such Investments were not made in contemplation of such acquisition, merger, amalgamation or consolidation and were in existence on the date of such acquisition, merger, amalgamation or consolidation;</w:t>
      </w:r>
    </w:p>
    <w:p>
      <w:pPr>
        <w:spacing w:after="0" w:line="191" w:lineRule="exact"/>
        <w:rPr>
          <w:rFonts w:ascii="Arial" w:cs="Arial" w:eastAsia="Arial" w:hAnsi="Arial"/>
          <w:sz w:val="22"/>
          <w:szCs w:val="22"/>
          <w:color w:val="auto"/>
        </w:rPr>
      </w:pPr>
    </w:p>
    <w:p>
      <w:pPr>
        <w:jc w:val="both"/>
        <w:ind w:firstLine="644"/>
        <w:spacing w:after="0" w:line="253" w:lineRule="auto"/>
        <w:tabs>
          <w:tab w:leader="none" w:pos="11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Investments in the ordinary course of business consisting of Uniform Commercial Code Article 3 endorsements for collection or deposit and Uniform Commercial Code Article 4 customary trade arrangements with customers;</w:t>
      </w:r>
    </w:p>
    <w:p>
      <w:pPr>
        <w:spacing w:after="0" w:line="185" w:lineRule="exact"/>
        <w:rPr>
          <w:rFonts w:ascii="Arial" w:cs="Arial" w:eastAsia="Arial" w:hAnsi="Arial"/>
          <w:sz w:val="22"/>
          <w:szCs w:val="22"/>
          <w:color w:val="auto"/>
        </w:rPr>
      </w:pPr>
    </w:p>
    <w:p>
      <w:pPr>
        <w:ind w:firstLine="644"/>
        <w:spacing w:after="0" w:line="263" w:lineRule="auto"/>
        <w:tabs>
          <w:tab w:leader="none" w:pos="1083" w:val="left"/>
        </w:tabs>
        <w:numPr>
          <w:ilvl w:val="0"/>
          <w:numId w:val="65"/>
        </w:numPr>
        <w:rPr>
          <w:rFonts w:ascii="Arial" w:cs="Arial" w:eastAsia="Arial" w:hAnsi="Arial"/>
          <w:sz w:val="22"/>
          <w:szCs w:val="22"/>
          <w:color w:val="auto"/>
        </w:rPr>
      </w:pPr>
      <w:r>
        <w:rPr>
          <w:rFonts w:ascii="Arial" w:cs="Arial" w:eastAsia="Arial" w:hAnsi="Arial"/>
          <w:sz w:val="22"/>
          <w:szCs w:val="22"/>
          <w:color w:val="auto"/>
        </w:rPr>
        <w:t>advances in the form of a prepayment of expenses, so long as such expenses are being paid in accordance with customary trade terms of Parent Borrower or the Restricted Subsidiaries;</w:t>
      </w:r>
    </w:p>
    <w:p>
      <w:pPr>
        <w:spacing w:after="0" w:line="174" w:lineRule="exact"/>
        <w:rPr>
          <w:rFonts w:ascii="Arial" w:cs="Arial" w:eastAsia="Arial" w:hAnsi="Arial"/>
          <w:sz w:val="22"/>
          <w:szCs w:val="22"/>
          <w:color w:val="auto"/>
        </w:rPr>
      </w:pPr>
    </w:p>
    <w:p>
      <w:pPr>
        <w:jc w:val="both"/>
        <w:ind w:firstLine="644"/>
        <w:spacing w:after="0" w:line="286" w:lineRule="auto"/>
        <w:tabs>
          <w:tab w:leader="none" w:pos="1218"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Investments in joint ventures or Unrestricted Subsidiaries having an aggregate Fair Market Value (as determined in good faith by Parent Borrower), taken together with all other Investments made pursuant to this clause (21) that are at that time outstanding, not to exceed the sum of (x) the greater of (A) $160 million and (B) 10% of Consolidated EBITDA in the aggregate as of the date of such Investment, </w:t>
      </w:r>
      <w:r>
        <w:rPr>
          <w:rFonts w:ascii="Arial" w:cs="Arial" w:eastAsia="Arial" w:hAnsi="Arial"/>
          <w:sz w:val="19"/>
          <w:szCs w:val="19"/>
          <w:i w:val="1"/>
          <w:iCs w:val="1"/>
          <w:color w:val="auto"/>
        </w:rPr>
        <w:t>plus</w:t>
      </w:r>
      <w:r>
        <w:rPr>
          <w:rFonts w:ascii="Arial" w:cs="Arial" w:eastAsia="Arial" w:hAnsi="Arial"/>
          <w:sz w:val="19"/>
          <w:szCs w:val="19"/>
          <w:color w:val="auto"/>
        </w:rPr>
        <w:t xml:space="preserve"> (y) an amount equal to any returns (including dividends, interest, distributions, returns of principal, profits on sale, repayments, income and similar amounts) actually received in respect of any such Investment (with the Fair Market Value each Investment being measured at the time made and without giving effect to subsequent changes in value);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Investments made in reliance on this Clause (21) shall not exceed (when combined with Investments made by Credit Parties in Subsidiaries that are not (or do not become in connection with such transaction) Credit Parties in reliance on Clauses (1), (3) and (22) of the definition of Permitted Investment) the greater of (x) $320 million and (y) 20% of Consolidated EBITDA as of the date of such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Investment pursuant to this clause (21) is made in any Person that is not a Credit Party at the date of the making of such Investment and such Person becomes a Credit Party after such date, such Investment shall thereafter be deemed to have been made pursuant to clause (1) above and shall cease to have been</w:t>
      </w:r>
    </w:p>
    <w:p>
      <w:pPr>
        <w:sectPr>
          <w:pgSz w:w="11900" w:h="16838" w:orient="portrait"/>
          <w:cols w:equalWidth="0" w:num="1">
            <w:col w:w="10580"/>
          </w:cols>
          <w:pgMar w:left="980" w:top="1428" w:right="339" w:bottom="1440" w:gutter="0" w:footer="0" w:header="0"/>
        </w:sectPr>
      </w:pPr>
    </w:p>
    <w:bookmarkStart w:id="163" w:name="page164"/>
    <w:bookmarkEnd w:id="163"/>
    <w:p>
      <w:pPr>
        <w:ind w:left="660"/>
        <w:spacing w:after="0"/>
        <w:rPr>
          <w:sz w:val="20"/>
          <w:szCs w:val="20"/>
          <w:color w:val="auto"/>
        </w:rPr>
      </w:pPr>
      <w:r>
        <w:rPr>
          <w:rFonts w:ascii="Arial" w:cs="Arial" w:eastAsia="Arial" w:hAnsi="Arial"/>
          <w:sz w:val="22"/>
          <w:szCs w:val="22"/>
          <w:color w:val="auto"/>
        </w:rPr>
        <w:t>made pursuant to this clause (21) for so long as such Person continues to be a Credit Party;</w:t>
      </w:r>
    </w:p>
    <w:p>
      <w:pPr>
        <w:spacing w:after="0" w:line="220" w:lineRule="exact"/>
        <w:rPr>
          <w:sz w:val="20"/>
          <w:szCs w:val="20"/>
          <w:color w:val="auto"/>
        </w:rPr>
      </w:pPr>
    </w:p>
    <w:p>
      <w:pPr>
        <w:jc w:val="both"/>
        <w:ind w:left="660" w:firstLine="644"/>
        <w:spacing w:after="0" w:line="288" w:lineRule="auto"/>
        <w:tabs>
          <w:tab w:leader="none" w:pos="1737"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any Investment in any Subsidiary of Parent Borrower or any joint venture in connection with intercompany cash management arrangements or related activities arising in the ordinary course of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Investments made by Credit Parties in Subsidiaries or joint ventures that are not Credit Parties in reliance on this Clause (22) shall not exceed (when combined with Investments made by Credit Parties in Subsidiaries that are not (or do not become in connection with such transaction) Credit Parties in reliance on Clauses (1), (3) and (21) of the definition of Permitted Investment) the greater of (x) $320 million and (y) 20% of Consolidated EBITDA as of the date of such Investment;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Investment pursuant to this clause (22) is made in any Person that is not a Credit Party at the date of the making of such Investment and such Person becomes a Credit Party after such date, such Investment shall thereafter be deemed to have been made pursuant to clause (1) above and shall cease to have been made pursuant to this clause (22) for so long as such Person continues to be a Credit Party;</w:t>
      </w:r>
    </w:p>
    <w:p>
      <w:pPr>
        <w:spacing w:after="0" w:line="159" w:lineRule="exact"/>
        <w:rPr>
          <w:rFonts w:ascii="Arial" w:cs="Arial" w:eastAsia="Arial" w:hAnsi="Arial"/>
          <w:sz w:val="19"/>
          <w:szCs w:val="19"/>
          <w:color w:val="auto"/>
        </w:rPr>
      </w:pPr>
    </w:p>
    <w:p>
      <w:pPr>
        <w:ind w:left="660" w:firstLine="644"/>
        <w:spacing w:after="0" w:line="263" w:lineRule="auto"/>
        <w:tabs>
          <w:tab w:leader="none" w:pos="1729" w:val="left"/>
        </w:tabs>
        <w:numPr>
          <w:ilvl w:val="0"/>
          <w:numId w:val="66"/>
        </w:numPr>
        <w:rPr>
          <w:rFonts w:ascii="Arial" w:cs="Arial" w:eastAsia="Arial" w:hAnsi="Arial"/>
          <w:sz w:val="22"/>
          <w:szCs w:val="22"/>
          <w:color w:val="auto"/>
        </w:rPr>
      </w:pPr>
      <w:r>
        <w:rPr>
          <w:rFonts w:ascii="Arial" w:cs="Arial" w:eastAsia="Arial" w:hAnsi="Arial"/>
          <w:sz w:val="22"/>
          <w:szCs w:val="22"/>
          <w:color w:val="auto"/>
        </w:rPr>
        <w:t>Guarantied Obligations of any Credit Party or any Restricted Subsidiary of leases or of other obligations that do not constitute Indebtedness, in each case entered into in the ordinary course of business;</w:t>
      </w:r>
    </w:p>
    <w:p>
      <w:pPr>
        <w:spacing w:after="0" w:line="174" w:lineRule="exact"/>
        <w:rPr>
          <w:rFonts w:ascii="Arial" w:cs="Arial" w:eastAsia="Arial" w:hAnsi="Arial"/>
          <w:sz w:val="22"/>
          <w:szCs w:val="22"/>
          <w:color w:val="auto"/>
        </w:rPr>
      </w:pPr>
    </w:p>
    <w:p>
      <w:pPr>
        <w:ind w:left="1720" w:hanging="416"/>
        <w:spacing w:after="0"/>
        <w:tabs>
          <w:tab w:leader="none" w:pos="1720" w:val="left"/>
        </w:tabs>
        <w:numPr>
          <w:ilvl w:val="0"/>
          <w:numId w:val="66"/>
        </w:numPr>
        <w:rPr>
          <w:rFonts w:ascii="Arial" w:cs="Arial" w:eastAsia="Arial" w:hAnsi="Arial"/>
          <w:sz w:val="22"/>
          <w:szCs w:val="22"/>
          <w:color w:val="auto"/>
        </w:rPr>
      </w:pPr>
      <w:r>
        <w:rPr>
          <w:rFonts w:ascii="Arial" w:cs="Arial" w:eastAsia="Arial" w:hAnsi="Arial"/>
          <w:sz w:val="22"/>
          <w:szCs w:val="22"/>
          <w:color w:val="auto"/>
        </w:rPr>
        <w:t>subject to Pro Forma Compliance with the Restricted Conditions, any other Investments; and</w:t>
      </w:r>
    </w:p>
    <w:p>
      <w:pPr>
        <w:spacing w:after="0" w:line="219" w:lineRule="exact"/>
        <w:rPr>
          <w:rFonts w:ascii="Arial" w:cs="Arial" w:eastAsia="Arial" w:hAnsi="Arial"/>
          <w:sz w:val="22"/>
          <w:szCs w:val="22"/>
          <w:color w:val="auto"/>
        </w:rPr>
      </w:pPr>
    </w:p>
    <w:p>
      <w:pPr>
        <w:ind w:left="660" w:firstLine="644"/>
        <w:spacing w:after="0" w:line="263" w:lineRule="auto"/>
        <w:tabs>
          <w:tab w:leader="none" w:pos="1753" w:val="left"/>
        </w:tabs>
        <w:numPr>
          <w:ilvl w:val="0"/>
          <w:numId w:val="66"/>
        </w:numPr>
        <w:rPr>
          <w:rFonts w:ascii="Arial" w:cs="Arial" w:eastAsia="Arial" w:hAnsi="Arial"/>
          <w:sz w:val="22"/>
          <w:szCs w:val="22"/>
          <w:color w:val="auto"/>
        </w:rPr>
      </w:pPr>
      <w:r>
        <w:rPr>
          <w:rFonts w:ascii="Arial" w:cs="Arial" w:eastAsia="Arial" w:hAnsi="Arial"/>
          <w:sz w:val="22"/>
          <w:szCs w:val="22"/>
          <w:color w:val="auto"/>
        </w:rPr>
        <w:t>loans and advances to independent contractors, owner-operators, drivers and carriers in an amount not to exceed $25 million at any time.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 with respect to any Person:</w:t>
      </w:r>
    </w:p>
    <w:p>
      <w:pPr>
        <w:spacing w:after="0" w:line="220" w:lineRule="exact"/>
        <w:rPr>
          <w:sz w:val="20"/>
          <w:szCs w:val="20"/>
          <w:color w:val="auto"/>
        </w:rPr>
      </w:pPr>
    </w:p>
    <w:p>
      <w:pPr>
        <w:jc w:val="both"/>
        <w:ind w:left="660" w:firstLine="644"/>
        <w:spacing w:after="0" w:line="261" w:lineRule="auto"/>
        <w:tabs>
          <w:tab w:leader="none" w:pos="1652" w:val="left"/>
        </w:tabs>
        <w:numPr>
          <w:ilvl w:val="0"/>
          <w:numId w:val="67"/>
        </w:numPr>
        <w:rPr>
          <w:rFonts w:ascii="Arial" w:cs="Arial" w:eastAsia="Arial" w:hAnsi="Arial"/>
          <w:sz w:val="21"/>
          <w:szCs w:val="21"/>
          <w:color w:val="auto"/>
        </w:rPr>
      </w:pPr>
      <w:r>
        <w:rPr>
          <w:rFonts w:ascii="Arial" w:cs="Arial" w:eastAsia="Arial" w:hAnsi="Arial"/>
          <w:sz w:val="21"/>
          <w:szCs w:val="21"/>
          <w:color w:val="auto"/>
        </w:rPr>
        <w:t>pledges, bonds or deposits and other Liens granted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performance and return of money bonds, or deposits as security for contested Taxes or import duties or for the payment of rent, in each case Incurred in the ordinary course of business;</w:t>
      </w:r>
    </w:p>
    <w:p>
      <w:pPr>
        <w:spacing w:after="0" w:line="179" w:lineRule="exact"/>
        <w:rPr>
          <w:rFonts w:ascii="Arial" w:cs="Arial" w:eastAsia="Arial" w:hAnsi="Arial"/>
          <w:sz w:val="21"/>
          <w:szCs w:val="21"/>
          <w:color w:val="auto"/>
        </w:rPr>
      </w:pPr>
    </w:p>
    <w:p>
      <w:pPr>
        <w:jc w:val="both"/>
        <w:ind w:left="660" w:firstLine="644"/>
        <w:spacing w:after="0" w:line="302" w:lineRule="auto"/>
        <w:tabs>
          <w:tab w:leader="none" w:pos="1622" w:val="left"/>
        </w:tabs>
        <w:numPr>
          <w:ilvl w:val="0"/>
          <w:numId w:val="67"/>
        </w:numPr>
        <w:rPr>
          <w:rFonts w:ascii="Arial" w:cs="Arial" w:eastAsia="Arial" w:hAnsi="Arial"/>
          <w:sz w:val="19"/>
          <w:szCs w:val="19"/>
          <w:color w:val="auto"/>
        </w:rPr>
      </w:pPr>
      <w:r>
        <w:rPr>
          <w:rFonts w:ascii="Arial" w:cs="Arial" w:eastAsia="Arial" w:hAnsi="Arial"/>
          <w:sz w:val="19"/>
          <w:szCs w:val="19"/>
          <w:color w:val="auto"/>
        </w:rPr>
        <w:t>Liens imposed by law, such as landlord’s, carriers’, warehousemen’s, mechanics’, materialmen’s, repairmen’s, construction or other like Liens securing obligations that are not overdue by more than 30 days or that are being contested in good faith by appropriate proceedings or other Liens arising out of judgments or awards against such Person with respect to which such Person shall then be proceeding with an appeal or other proceedings for review;</w:t>
      </w:r>
    </w:p>
    <w:p>
      <w:pPr>
        <w:sectPr>
          <w:pgSz w:w="11900" w:h="16838" w:orient="portrait"/>
          <w:cols w:equalWidth="0" w:num="1">
            <w:col w:w="11240"/>
          </w:cols>
          <w:pgMar w:left="320" w:top="1428" w:right="339" w:bottom="1440" w:gutter="0" w:footer="0" w:header="0"/>
        </w:sectPr>
      </w:pPr>
    </w:p>
    <w:bookmarkStart w:id="164" w:name="page165"/>
    <w:bookmarkEnd w:id="164"/>
    <w:p>
      <w:pPr>
        <w:ind w:left="-460" w:right="20" w:firstLine="644"/>
        <w:spacing w:after="0" w:line="263" w:lineRule="auto"/>
        <w:tabs>
          <w:tab w:leader="none" w:pos="502" w:val="left"/>
        </w:tabs>
        <w:numPr>
          <w:ilvl w:val="0"/>
          <w:numId w:val="68"/>
        </w:numPr>
        <w:rPr>
          <w:rFonts w:ascii="Arial" w:cs="Arial" w:eastAsia="Arial" w:hAnsi="Arial"/>
          <w:sz w:val="22"/>
          <w:szCs w:val="22"/>
          <w:color w:val="auto"/>
        </w:rPr>
      </w:pPr>
      <w:r>
        <w:rPr>
          <w:rFonts w:ascii="Arial" w:cs="Arial" w:eastAsia="Arial" w:hAnsi="Arial"/>
          <w:sz w:val="22"/>
          <w:szCs w:val="22"/>
          <w:color w:val="auto"/>
        </w:rPr>
        <w:t>Liens for Taxes, assessments or other governmental charges not yet overdue by more than 30 days, or that are being contested in good faith by appropriate proceedings;</w:t>
      </w:r>
    </w:p>
    <w:p>
      <w:pPr>
        <w:spacing w:after="0" w:line="174" w:lineRule="exact"/>
        <w:rPr>
          <w:rFonts w:ascii="Arial" w:cs="Arial" w:eastAsia="Arial" w:hAnsi="Arial"/>
          <w:sz w:val="22"/>
          <w:szCs w:val="22"/>
          <w:color w:val="auto"/>
        </w:rPr>
      </w:pPr>
    </w:p>
    <w:p>
      <w:pPr>
        <w:jc w:val="both"/>
        <w:ind w:left="-460" w:firstLine="644"/>
        <w:spacing w:after="0" w:line="253" w:lineRule="auto"/>
        <w:tabs>
          <w:tab w:leader="none" w:pos="520" w:val="left"/>
        </w:tabs>
        <w:numPr>
          <w:ilvl w:val="0"/>
          <w:numId w:val="68"/>
        </w:numPr>
        <w:rPr>
          <w:rFonts w:ascii="Arial" w:cs="Arial" w:eastAsia="Arial" w:hAnsi="Arial"/>
          <w:sz w:val="22"/>
          <w:szCs w:val="22"/>
          <w:color w:val="auto"/>
        </w:rPr>
      </w:pPr>
      <w:r>
        <w:rPr>
          <w:rFonts w:ascii="Arial" w:cs="Arial" w:eastAsia="Arial" w:hAnsi="Arial"/>
          <w:sz w:val="22"/>
          <w:szCs w:val="22"/>
          <w:color w:val="auto"/>
        </w:rPr>
        <w:t>Liens in favor of issuers of performance and surety bonds or bid bonds or with respect to other regulatory requirements or letters of credit, bankers’ acceptances or similar obligations issued pursuant to the request of and for the account of such Person in the ordinary course of its business;</w:t>
      </w:r>
    </w:p>
    <w:p>
      <w:pPr>
        <w:spacing w:after="0" w:line="185" w:lineRule="exact"/>
        <w:rPr>
          <w:rFonts w:ascii="Arial" w:cs="Arial" w:eastAsia="Arial" w:hAnsi="Arial"/>
          <w:sz w:val="22"/>
          <w:szCs w:val="22"/>
          <w:color w:val="auto"/>
        </w:rPr>
      </w:pPr>
    </w:p>
    <w:p>
      <w:pPr>
        <w:jc w:val="both"/>
        <w:ind w:left="-460" w:firstLine="644"/>
        <w:spacing w:after="0" w:line="292" w:lineRule="auto"/>
        <w:tabs>
          <w:tab w:leader="none" w:pos="499" w:val="left"/>
        </w:tabs>
        <w:numPr>
          <w:ilvl w:val="0"/>
          <w:numId w:val="68"/>
        </w:numPr>
        <w:rPr>
          <w:rFonts w:ascii="Arial" w:cs="Arial" w:eastAsia="Arial" w:hAnsi="Arial"/>
          <w:sz w:val="19"/>
          <w:szCs w:val="19"/>
          <w:color w:val="auto"/>
        </w:rPr>
      </w:pPr>
      <w:r>
        <w:rPr>
          <w:rFonts w:ascii="Arial" w:cs="Arial" w:eastAsia="Arial" w:hAnsi="Arial"/>
          <w:sz w:val="19"/>
          <w:szCs w:val="19"/>
          <w:color w:val="auto"/>
        </w:rPr>
        <w:t>minor survey exceptions, minor encumbrances, trackage rights, special assessments, easements or reservations of, or rights of others for, licenses, rights-of-way, sewers, electric lines, telegraph and telephone lines and other similar purposes, servicing agreements, development agreements, site plan agreements and other similar encumbrances incurred in the ordinary course of business or zoning or other restrictions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150" w:lineRule="exact"/>
        <w:rPr>
          <w:rFonts w:ascii="Arial" w:cs="Arial" w:eastAsia="Arial" w:hAnsi="Arial"/>
          <w:sz w:val="19"/>
          <w:szCs w:val="19"/>
          <w:color w:val="auto"/>
        </w:rPr>
      </w:pPr>
    </w:p>
    <w:p>
      <w:pPr>
        <w:ind w:left="-460" w:firstLine="644"/>
        <w:spacing w:after="0" w:line="263" w:lineRule="auto"/>
        <w:tabs>
          <w:tab w:leader="none" w:pos="496"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(A) Liens on assets of a Subsidiary that is not a Credit Party securing Indebtedness of a Subsidiary that is not a Credit Party permitted to be Incurred pursuant to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175" w:lineRule="exact"/>
        <w:rPr>
          <w:sz w:val="20"/>
          <w:szCs w:val="20"/>
          <w:color w:val="auto"/>
        </w:rPr>
      </w:pPr>
    </w:p>
    <w:p>
      <w:pPr>
        <w:jc w:val="both"/>
        <w:ind w:left="-460" w:firstLine="644"/>
        <w:spacing w:after="0" w:line="250" w:lineRule="auto"/>
        <w:tabs>
          <w:tab w:leader="none" w:pos="594"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Liens securing any Indebtedness permitted to be Incurred by this Agreement if, as of the date such Indebtedness was Incurred, and after giving </w:t>
      </w:r>
      <w:r>
        <w:rPr>
          <w:rFonts w:ascii="Arial" w:cs="Arial" w:eastAsia="Arial" w:hAnsi="Arial"/>
          <w:sz w:val="22"/>
          <w:szCs w:val="22"/>
          <w:i w:val="1"/>
          <w:iCs w:val="1"/>
          <w:color w:val="auto"/>
        </w:rPr>
        <w:t>pro forma</w:t>
      </w:r>
      <w:r>
        <w:rPr>
          <w:rFonts w:ascii="Arial" w:cs="Arial" w:eastAsia="Arial" w:hAnsi="Arial"/>
          <w:sz w:val="22"/>
          <w:szCs w:val="22"/>
          <w:color w:val="auto"/>
        </w:rPr>
        <w:t xml:space="preserve"> effect thereto and the application of the net proceeds therefrom (but without netting the proceeds thereof), the Consolidated Secured Net Leverage Ratio of Parent Borrower does not exceed 3.00 to 1.00;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8" w:lineRule="exact"/>
        <w:rPr>
          <w:sz w:val="20"/>
          <w:szCs w:val="20"/>
          <w:color w:val="auto"/>
        </w:rPr>
      </w:pPr>
    </w:p>
    <w:p>
      <w:pPr>
        <w:jc w:val="both"/>
        <w:ind w:left="180" w:firstLine="648"/>
        <w:spacing w:after="0" w:line="289" w:lineRule="auto"/>
        <w:rPr>
          <w:sz w:val="20"/>
          <w:szCs w:val="20"/>
          <w:color w:val="auto"/>
        </w:rPr>
      </w:pPr>
      <w:r>
        <w:rPr>
          <w:rFonts w:ascii="Arial" w:cs="Arial" w:eastAsia="Arial" w:hAnsi="Arial"/>
          <w:sz w:val="19"/>
          <w:szCs w:val="19"/>
          <w:color w:val="auto"/>
        </w:rPr>
        <w:t>(I</w:t>
      </w:r>
      <w:r>
        <w:rPr>
          <w:rFonts w:ascii="Arial" w:cs="Arial" w:eastAsia="Arial" w:hAnsi="Arial"/>
          <w:sz w:val="19"/>
          <w:szCs w:val="19"/>
          <w:u w:val="single" w:color="auto"/>
          <w:color w:val="0000FF"/>
        </w:rPr>
        <w:t>) (x</w:t>
      </w:r>
      <w:r>
        <w:rPr>
          <w:rFonts w:ascii="Arial" w:cs="Arial" w:eastAsia="Arial" w:hAnsi="Arial"/>
          <w:sz w:val="19"/>
          <w:szCs w:val="19"/>
          <w:color w:val="auto"/>
        </w:rPr>
        <w:t>) any Lien on the ABL Priority Collateral or the Canadian Collateral in reliance on this clause (6)(B) shall be junior to the Liens on the ABL Priority Collateral or the Canadian Collateral, as applicable, securing the Obligations pursuant to the ABL Intercreditor Agreement and/or a junior lien intercreditor agreement or collateral trust agreement reasonably satisfactory to Agent reflecting the junior-lien status of the Liens securing such Indebtedness as it relates to the ABL Priority Collateral and Canadian Collateral</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and (y) any Lien on the Term</w:t>
      </w:r>
      <w:r>
        <w:rPr>
          <w:rFonts w:ascii="Arial" w:cs="Arial" w:eastAsia="Arial" w:hAnsi="Arial"/>
          <w:sz w:val="19"/>
          <w:szCs w:val="19"/>
          <w:color w:val="auto"/>
        </w:rPr>
        <w:t xml:space="preserve"> </w:t>
      </w:r>
      <w:r>
        <w:rPr>
          <w:rFonts w:ascii="Arial" w:cs="Arial" w:eastAsia="Arial" w:hAnsi="Arial"/>
          <w:sz w:val="19"/>
          <w:szCs w:val="19"/>
          <w:u w:val="single" w:color="auto"/>
          <w:color w:val="0000FF"/>
        </w:rPr>
        <w:t>Priority Collateral in reliance on this clause 6(B) may be senior to, pari passu with or junior to the Liens on the Term Priority Collateral securing the Obligations pursuant to the ABL Intercreditor Agreement as it relates to the Term Loan Priority Collateral; provided that, any such Lien is an “Additional Term Loan Debt Lien” securing “Additional Term Loan Debt” under the terms of, and subject to, the ABL Intercreditor Agreement,</w:t>
      </w:r>
    </w:p>
    <w:p>
      <w:pPr>
        <w:spacing w:after="0" w:line="157" w:lineRule="exact"/>
        <w:rPr>
          <w:sz w:val="20"/>
          <w:szCs w:val="20"/>
          <w:color w:val="auto"/>
        </w:rPr>
      </w:pPr>
    </w:p>
    <w:p>
      <w:pPr>
        <w:ind w:left="180" w:firstLine="652"/>
        <w:spacing w:after="0" w:line="263" w:lineRule="auto"/>
        <w:tabs>
          <w:tab w:leader="none" w:pos="1212"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Indebtedness secured by such Liens shall not be secured by any property or assets of Parent Borrower or any Restricted Subsidiary other than</w:t>
      </w:r>
    </w:p>
    <w:p>
      <w:pPr>
        <w:sectPr>
          <w:pgSz w:w="11900" w:h="16838" w:orient="portrait"/>
          <w:cols w:equalWidth="0" w:num="1">
            <w:col w:w="10120"/>
          </w:cols>
          <w:pgMar w:left="1440" w:top="1428" w:right="339" w:bottom="1440" w:gutter="0" w:footer="0" w:header="0"/>
        </w:sectPr>
      </w:pPr>
    </w:p>
    <w:bookmarkStart w:id="165" w:name="page166"/>
    <w:bookmarkEnd w:id="165"/>
    <w:p>
      <w:pPr>
        <w:ind w:left="180"/>
        <w:spacing w:after="0" w:line="263" w:lineRule="auto"/>
        <w:rPr>
          <w:sz w:val="20"/>
          <w:szCs w:val="20"/>
          <w:color w:val="auto"/>
        </w:rPr>
      </w:pPr>
      <w:r>
        <w:rPr>
          <w:rFonts w:ascii="Arial" w:cs="Arial" w:eastAsia="Arial" w:hAnsi="Arial"/>
          <w:sz w:val="22"/>
          <w:szCs w:val="22"/>
          <w:color w:val="auto"/>
        </w:rPr>
        <w:t xml:space="preserve">Collateral, </w:t>
      </w:r>
      <w:r>
        <w:rPr>
          <w:rFonts w:ascii="Arial" w:cs="Arial" w:eastAsia="Arial" w:hAnsi="Arial"/>
          <w:sz w:val="22"/>
          <w:szCs w:val="22"/>
          <w:color w:val="FF0000"/>
          <w:strike w:val="1"/>
        </w:rPr>
        <w:t>(III) the final maturity date of any such Indebtedness shall be no earlier than the Latest Maturity Date,</w:t>
      </w:r>
      <w:r>
        <w:rPr>
          <w:rFonts w:ascii="Arial" w:cs="Arial" w:eastAsia="Arial" w:hAnsi="Arial"/>
          <w:sz w:val="22"/>
          <w:szCs w:val="22"/>
          <w:color w:val="auto"/>
        </w:rPr>
        <w:t xml:space="preserve"> </w:t>
      </w:r>
      <w:r>
        <w:rPr>
          <w:rFonts w:ascii="Arial" w:cs="Arial" w:eastAsia="Arial" w:hAnsi="Arial"/>
          <w:sz w:val="22"/>
          <w:szCs w:val="22"/>
          <w:color w:val="FF0000"/>
          <w:strike w:val="1"/>
        </w:rPr>
        <w:t>and (IV</w:t>
      </w:r>
      <w:r>
        <w:rPr>
          <w:rFonts w:ascii="Arial" w:cs="Arial" w:eastAsia="Arial" w:hAnsi="Arial"/>
          <w:sz w:val="22"/>
          <w:szCs w:val="22"/>
          <w:u w:val="single" w:color="auto"/>
          <w:color w:val="0000FF"/>
          <w:strike w:val="1"/>
        </w:rPr>
        <w:t>and</w:t>
      </w:r>
    </w:p>
    <w:p>
      <w:pPr>
        <w:spacing w:after="0" w:line="175" w:lineRule="exact"/>
        <w:rPr>
          <w:sz w:val="20"/>
          <w:szCs w:val="20"/>
          <w:color w:val="auto"/>
        </w:rPr>
      </w:pPr>
    </w:p>
    <w:p>
      <w:pPr>
        <w:ind w:left="180" w:right="20" w:firstLine="648"/>
        <w:spacing w:after="0" w:line="263" w:lineRule="auto"/>
        <w:rPr>
          <w:sz w:val="20"/>
          <w:szCs w:val="20"/>
          <w:color w:val="auto"/>
        </w:rPr>
      </w:pPr>
      <w:r>
        <w:rPr>
          <w:rFonts w:ascii="Arial" w:cs="Arial" w:eastAsia="Arial" w:hAnsi="Arial"/>
          <w:sz w:val="22"/>
          <w:szCs w:val="22"/>
          <w:u w:val="single" w:color="auto"/>
          <w:color w:val="0000FF"/>
        </w:rPr>
        <w:t>(III</w:t>
      </w:r>
      <w:r>
        <w:rPr>
          <w:rFonts w:ascii="Arial" w:cs="Arial" w:eastAsia="Arial" w:hAnsi="Arial"/>
          <w:sz w:val="22"/>
          <w:szCs w:val="22"/>
          <w:color w:val="000000"/>
        </w:rPr>
        <w:t>) none of the obligors or guarantors with respect to such Indebtedness shall be a Person that is not a</w:t>
      </w:r>
      <w:r>
        <w:rPr>
          <w:rFonts w:ascii="Arial" w:cs="Arial" w:eastAsia="Arial" w:hAnsi="Arial"/>
          <w:sz w:val="22"/>
          <w:szCs w:val="22"/>
          <w:color w:val="0000FF"/>
        </w:rPr>
        <w:t xml:space="preserve"> </w:t>
      </w:r>
      <w:r>
        <w:rPr>
          <w:rFonts w:ascii="Arial" w:cs="Arial" w:eastAsia="Arial" w:hAnsi="Arial"/>
          <w:sz w:val="22"/>
          <w:szCs w:val="22"/>
          <w:color w:val="000000"/>
        </w:rPr>
        <w:t>Credit Party;</w:t>
      </w:r>
    </w:p>
    <w:p>
      <w:pPr>
        <w:spacing w:after="0" w:line="175" w:lineRule="exact"/>
        <w:rPr>
          <w:sz w:val="20"/>
          <w:szCs w:val="20"/>
          <w:color w:val="auto"/>
        </w:rPr>
      </w:pPr>
    </w:p>
    <w:p>
      <w:pPr>
        <w:jc w:val="both"/>
        <w:ind w:left="-460" w:firstLine="644"/>
        <w:spacing w:after="0" w:line="260" w:lineRule="auto"/>
        <w:tabs>
          <w:tab w:leader="none" w:pos="540" w:val="left"/>
        </w:tabs>
        <w:numPr>
          <w:ilvl w:val="0"/>
          <w:numId w:val="71"/>
        </w:numPr>
        <w:rPr>
          <w:rFonts w:ascii="Arial" w:cs="Arial" w:eastAsia="Arial" w:hAnsi="Arial"/>
          <w:sz w:val="21"/>
          <w:szCs w:val="21"/>
          <w:color w:val="auto"/>
        </w:rPr>
      </w:pPr>
      <w:r>
        <w:rPr>
          <w:rFonts w:ascii="Arial" w:cs="Arial" w:eastAsia="Arial" w:hAnsi="Arial"/>
          <w:sz w:val="21"/>
          <w:szCs w:val="21"/>
          <w:color w:val="auto"/>
        </w:rPr>
        <w:t xml:space="preserve">Liens securing obligations in respect of Indebtedness permitted to be Incurred pursuant to clause (iv) or (xiv) (to the extent such guarantees are issued in respect of any Indebtedness) of </w:t>
      </w:r>
      <w:r>
        <w:rPr>
          <w:rFonts w:ascii="Arial" w:cs="Arial" w:eastAsia="Arial" w:hAnsi="Arial"/>
          <w:sz w:val="21"/>
          <w:szCs w:val="21"/>
          <w:u w:val="single" w:color="auto"/>
          <w:color w:val="auto"/>
        </w:rPr>
        <w:t>Section 7.1(b)</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clause (xiv), any Lien on the ABL Priority Collateral or the Canadian Collateral in reliance on this clause (6)(C) shall be junior to the Liens on the ABL Priority Collateral and the Canadian Collateral securing the Obligations pursuant to the ABL Intercreditor Agreement and/or a junior lien intercreditor agreement or collateral trust agreement reasonably satisfactory to Agent reflecting the junior-lien status of the Liens securing such Indebtedness as it relates to ABL Priority Collateral and Canadian Collateral;</w:t>
      </w:r>
    </w:p>
    <w:p>
      <w:pPr>
        <w:spacing w:after="0" w:line="180" w:lineRule="exact"/>
        <w:rPr>
          <w:rFonts w:ascii="Arial" w:cs="Arial" w:eastAsia="Arial" w:hAnsi="Arial"/>
          <w:sz w:val="21"/>
          <w:szCs w:val="21"/>
          <w:color w:val="auto"/>
        </w:rPr>
      </w:pPr>
    </w:p>
    <w:p>
      <w:pPr>
        <w:ind w:left="-460" w:firstLine="644"/>
        <w:spacing w:after="0" w:line="263" w:lineRule="auto"/>
        <w:tabs>
          <w:tab w:leader="none" w:pos="552"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Liens securing obligations in respect of Indebtedness permitted to be Incurred pursuant to clause (i) or (ii) of </w:t>
      </w:r>
      <w:r>
        <w:rPr>
          <w:rFonts w:ascii="Arial" w:cs="Arial" w:eastAsia="Arial" w:hAnsi="Arial"/>
          <w:sz w:val="22"/>
          <w:szCs w:val="22"/>
          <w:u w:val="single" w:color="auto"/>
          <w:color w:val="auto"/>
        </w:rPr>
        <w:t>Section 7.1(b)</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520" w:hanging="336"/>
        <w:spacing w:after="0"/>
        <w:tabs>
          <w:tab w:leader="none" w:pos="520" w:val="left"/>
        </w:tabs>
        <w:numPr>
          <w:ilvl w:val="0"/>
          <w:numId w:val="71"/>
        </w:numPr>
        <w:rPr>
          <w:rFonts w:ascii="Arial" w:cs="Arial" w:eastAsia="Arial" w:hAnsi="Arial"/>
          <w:sz w:val="22"/>
          <w:szCs w:val="22"/>
          <w:color w:val="auto"/>
        </w:rPr>
      </w:pPr>
      <w:r>
        <w:rPr>
          <w:rFonts w:ascii="Arial" w:cs="Arial" w:eastAsia="Arial" w:hAnsi="Arial"/>
          <w:sz w:val="22"/>
          <w:szCs w:val="22"/>
          <w:color w:val="auto"/>
        </w:rPr>
        <w:t>Liens created pursuant to the Collateral Documents or otherwise securing the Obligations;</w:t>
      </w:r>
    </w:p>
    <w:p>
      <w:pPr>
        <w:spacing w:after="0" w:line="220" w:lineRule="exact"/>
        <w:rPr>
          <w:sz w:val="20"/>
          <w:szCs w:val="20"/>
          <w:color w:val="auto"/>
        </w:rPr>
      </w:pPr>
    </w:p>
    <w:p>
      <w:pPr>
        <w:jc w:val="both"/>
        <w:ind w:left="-460" w:firstLine="644"/>
        <w:spacing w:after="0" w:line="253" w:lineRule="auto"/>
        <w:tabs>
          <w:tab w:leader="none" w:pos="5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Liens existing on the Amendment No. 3 Effective Date (including, for the avoidance of doubt, Liens on assets of Con-way and any Restricted Subsidiary which is a Subsidiary thereof but excluding Liens in favor of the lenders under the Term Credit Agreement);</w:t>
      </w:r>
    </w:p>
    <w:p>
      <w:pPr>
        <w:spacing w:after="0" w:line="185" w:lineRule="exact"/>
        <w:rPr>
          <w:rFonts w:ascii="Arial" w:cs="Arial" w:eastAsia="Arial" w:hAnsi="Arial"/>
          <w:sz w:val="22"/>
          <w:szCs w:val="22"/>
          <w:color w:val="auto"/>
        </w:rPr>
      </w:pPr>
    </w:p>
    <w:p>
      <w:pPr>
        <w:jc w:val="both"/>
        <w:ind w:left="-460" w:firstLine="644"/>
        <w:spacing w:after="0" w:line="261" w:lineRule="auto"/>
        <w:tabs>
          <w:tab w:leader="none" w:pos="537"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Liens on assets, property or shares of stock of a Person at the time such Person becomes a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such Liens are not created or Incurred in connection with, or in contemplation of, such other Person becoming such a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Liens may not extend to any other property owned by Parent Borrower or any Restricted Subsidiary (other than pursuant to after-acquired property clauses in effect with respect to such Lien at the time of acquisition on property of the type that would have been subject to such Lien notwithstanding the occurrence of such acquisition);</w:t>
      </w:r>
    </w:p>
    <w:p>
      <w:pPr>
        <w:spacing w:after="0" w:line="179" w:lineRule="exact"/>
        <w:rPr>
          <w:rFonts w:ascii="Arial" w:cs="Arial" w:eastAsia="Arial" w:hAnsi="Arial"/>
          <w:sz w:val="21"/>
          <w:szCs w:val="21"/>
          <w:color w:val="auto"/>
        </w:rPr>
      </w:pPr>
    </w:p>
    <w:p>
      <w:pPr>
        <w:jc w:val="both"/>
        <w:ind w:left="-460" w:firstLine="644"/>
        <w:spacing w:after="0" w:line="260" w:lineRule="auto"/>
        <w:tabs>
          <w:tab w:leader="none" w:pos="530"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Liens on assets or property at the time Parent Borrower or a Restricted Subsidiary acquired the assets or property, including any acquisition by means of a merger, amalgamation or consolidation with or into Parent Borrower or any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such Liens are not created or Incurred in connection with, or in contemplation of, such acquisition;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Liens may not extend to any other property owned by Parent Borrower or any Restricted Subsidiary (other than pursuant to after-acquired property clauses in effect with respect to such Lien at the time of acquisition on property of the type that would have been subject to such Lien notwithstanding the occurrence of such acquisition);</w:t>
      </w:r>
    </w:p>
    <w:p>
      <w:pPr>
        <w:sectPr>
          <w:pgSz w:w="11900" w:h="16838" w:orient="portrait"/>
          <w:cols w:equalWidth="0" w:num="1">
            <w:col w:w="10120"/>
          </w:cols>
          <w:pgMar w:left="1440" w:top="1428" w:right="339" w:bottom="1440" w:gutter="0" w:footer="0" w:header="0"/>
        </w:sectPr>
      </w:pPr>
    </w:p>
    <w:bookmarkStart w:id="166" w:name="page167"/>
    <w:bookmarkEnd w:id="166"/>
    <w:p>
      <w:pPr>
        <w:ind w:left="1060" w:hanging="416"/>
        <w:spacing w:after="0"/>
        <w:tabs>
          <w:tab w:leader="none" w:pos="10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firstLine="644"/>
        <w:spacing w:after="0" w:line="263" w:lineRule="auto"/>
        <w:tabs>
          <w:tab w:leader="none" w:pos="1089" w:val="left"/>
        </w:tabs>
        <w:numPr>
          <w:ilvl w:val="0"/>
          <w:numId w:val="73"/>
        </w:numPr>
        <w:rPr>
          <w:rFonts w:ascii="Arial" w:cs="Arial" w:eastAsia="Arial" w:hAnsi="Arial"/>
          <w:sz w:val="22"/>
          <w:szCs w:val="22"/>
          <w:color w:val="auto"/>
        </w:rPr>
      </w:pPr>
      <w:r>
        <w:rPr>
          <w:rFonts w:ascii="Arial" w:cs="Arial" w:eastAsia="Arial" w:hAnsi="Arial"/>
          <w:sz w:val="22"/>
          <w:szCs w:val="22"/>
          <w:color w:val="auto"/>
        </w:rPr>
        <w:t>Liens securing Hedging Obligations (and, for the avoidance of doubt, Swap Obligations) not incurred in violation of this Agreement;</w:t>
      </w:r>
    </w:p>
    <w:p>
      <w:pPr>
        <w:spacing w:after="0" w:line="174" w:lineRule="exact"/>
        <w:rPr>
          <w:rFonts w:ascii="Arial" w:cs="Arial" w:eastAsia="Arial" w:hAnsi="Arial"/>
          <w:sz w:val="22"/>
          <w:szCs w:val="22"/>
          <w:color w:val="auto"/>
        </w:rPr>
      </w:pPr>
    </w:p>
    <w:p>
      <w:pPr>
        <w:jc w:val="both"/>
        <w:ind w:firstLine="644"/>
        <w:spacing w:after="0" w:line="271" w:lineRule="auto"/>
        <w:tabs>
          <w:tab w:leader="none" w:pos="1062" w:val="left"/>
        </w:tabs>
        <w:numPr>
          <w:ilvl w:val="0"/>
          <w:numId w:val="73"/>
        </w:numPr>
        <w:rPr>
          <w:rFonts w:ascii="Arial" w:cs="Arial" w:eastAsia="Arial" w:hAnsi="Arial"/>
          <w:sz w:val="21"/>
          <w:szCs w:val="21"/>
          <w:color w:val="auto"/>
        </w:rPr>
      </w:pPr>
      <w:r>
        <w:rPr>
          <w:rFonts w:ascii="Arial" w:cs="Arial" w:eastAsia="Arial" w:hAnsi="Arial"/>
          <w:sz w:val="21"/>
          <w:szCs w:val="21"/>
          <w:color w:val="auto"/>
        </w:rPr>
        <w:t>Liens on inventory or other goods and proceeds of any Person securing such Person’s obligations in respect of documentary letters of credit, bank guarantees or bankers’ acceptances issued or created for the account of such Person to facilitate the purchase, shipment or storage of such inventory or other goods;</w:t>
      </w:r>
    </w:p>
    <w:p>
      <w:pPr>
        <w:spacing w:after="0" w:line="167" w:lineRule="exact"/>
        <w:rPr>
          <w:rFonts w:ascii="Arial" w:cs="Arial" w:eastAsia="Arial" w:hAnsi="Arial"/>
          <w:sz w:val="21"/>
          <w:szCs w:val="21"/>
          <w:color w:val="auto"/>
        </w:rPr>
      </w:pPr>
    </w:p>
    <w:p>
      <w:pPr>
        <w:ind w:right="20" w:firstLine="644"/>
        <w:spacing w:after="0" w:line="263" w:lineRule="auto"/>
        <w:tabs>
          <w:tab w:leader="none" w:pos="1064" w:val="left"/>
        </w:tabs>
        <w:numPr>
          <w:ilvl w:val="0"/>
          <w:numId w:val="73"/>
        </w:numPr>
        <w:rPr>
          <w:rFonts w:ascii="Arial" w:cs="Arial" w:eastAsia="Arial" w:hAnsi="Arial"/>
          <w:sz w:val="22"/>
          <w:szCs w:val="22"/>
          <w:color w:val="auto"/>
        </w:rPr>
      </w:pPr>
      <w:r>
        <w:rPr>
          <w:rFonts w:ascii="Arial" w:cs="Arial" w:eastAsia="Arial" w:hAnsi="Arial"/>
          <w:sz w:val="22"/>
          <w:szCs w:val="22"/>
          <w:color w:val="auto"/>
        </w:rPr>
        <w:t>leases, subleases, licenses and sublicenses of real property which do not materially interfere with the ordinary conduct of the business of Parent Borrower or any of the Restricted Subsidiaries;</w:t>
      </w:r>
    </w:p>
    <w:p>
      <w:pPr>
        <w:spacing w:after="0" w:line="174" w:lineRule="exact"/>
        <w:rPr>
          <w:rFonts w:ascii="Arial" w:cs="Arial" w:eastAsia="Arial" w:hAnsi="Arial"/>
          <w:sz w:val="22"/>
          <w:szCs w:val="22"/>
          <w:color w:val="auto"/>
        </w:rPr>
      </w:pPr>
    </w:p>
    <w:p>
      <w:pPr>
        <w:ind w:right="20" w:firstLine="644"/>
        <w:spacing w:after="0" w:line="263" w:lineRule="auto"/>
        <w:tabs>
          <w:tab w:leader="none" w:pos="1092" w:val="left"/>
        </w:tabs>
        <w:numPr>
          <w:ilvl w:val="0"/>
          <w:numId w:val="73"/>
        </w:numPr>
        <w:rPr>
          <w:rFonts w:ascii="Arial" w:cs="Arial" w:eastAsia="Arial" w:hAnsi="Arial"/>
          <w:sz w:val="22"/>
          <w:szCs w:val="22"/>
          <w:color w:val="auto"/>
        </w:rPr>
      </w:pPr>
      <w:r>
        <w:rPr>
          <w:rFonts w:ascii="Arial" w:cs="Arial" w:eastAsia="Arial" w:hAnsi="Arial"/>
          <w:sz w:val="22"/>
          <w:szCs w:val="22"/>
          <w:color w:val="auto"/>
        </w:rPr>
        <w:t>Liens arising from Uniform Commercial Code financing statement filings (or equivalent filings including under the PPSA) regarding operating leases or other obligations not constituting Indebtedness;</w:t>
      </w:r>
    </w:p>
    <w:p>
      <w:pPr>
        <w:spacing w:after="0" w:line="174" w:lineRule="exact"/>
        <w:rPr>
          <w:rFonts w:ascii="Arial" w:cs="Arial" w:eastAsia="Arial" w:hAnsi="Arial"/>
          <w:sz w:val="22"/>
          <w:szCs w:val="22"/>
          <w:color w:val="auto"/>
        </w:rPr>
      </w:pPr>
    </w:p>
    <w:p>
      <w:pPr>
        <w:ind w:left="1060" w:hanging="416"/>
        <w:spacing w:after="0"/>
        <w:tabs>
          <w:tab w:leader="none" w:pos="10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Liens in favor of Parent Borrower or any Credit Party;</w:t>
      </w:r>
    </w:p>
    <w:p>
      <w:pPr>
        <w:spacing w:after="0" w:line="219" w:lineRule="exact"/>
        <w:rPr>
          <w:rFonts w:ascii="Arial" w:cs="Arial" w:eastAsia="Arial" w:hAnsi="Arial"/>
          <w:sz w:val="22"/>
          <w:szCs w:val="22"/>
          <w:color w:val="auto"/>
        </w:rPr>
      </w:pPr>
    </w:p>
    <w:p>
      <w:pPr>
        <w:ind w:right="20" w:firstLine="644"/>
        <w:spacing w:after="0" w:line="263" w:lineRule="auto"/>
        <w:tabs>
          <w:tab w:leader="none" w:pos="1084" w:val="left"/>
        </w:tabs>
        <w:numPr>
          <w:ilvl w:val="0"/>
          <w:numId w:val="73"/>
        </w:numPr>
        <w:rPr>
          <w:rFonts w:ascii="Arial" w:cs="Arial" w:eastAsia="Arial" w:hAnsi="Arial"/>
          <w:sz w:val="22"/>
          <w:szCs w:val="22"/>
          <w:color w:val="auto"/>
        </w:rPr>
      </w:pPr>
      <w:r>
        <w:rPr>
          <w:rFonts w:ascii="Arial" w:cs="Arial" w:eastAsia="Arial" w:hAnsi="Arial"/>
          <w:sz w:val="22"/>
          <w:szCs w:val="22"/>
          <w:color w:val="auto"/>
        </w:rPr>
        <w:t>Liens on assets of the type specified in the definition of “Securitization Financing” Incurred in connection with a Qualified Securitization Financing;</w:t>
      </w:r>
    </w:p>
    <w:p>
      <w:pPr>
        <w:spacing w:after="0" w:line="174" w:lineRule="exact"/>
        <w:rPr>
          <w:rFonts w:ascii="Arial" w:cs="Arial" w:eastAsia="Arial" w:hAnsi="Arial"/>
          <w:sz w:val="22"/>
          <w:szCs w:val="22"/>
          <w:color w:val="auto"/>
        </w:rPr>
      </w:pPr>
    </w:p>
    <w:p>
      <w:pPr>
        <w:ind w:left="1060" w:hanging="416"/>
        <w:spacing w:after="0"/>
        <w:tabs>
          <w:tab w:leader="none" w:pos="1060" w:val="left"/>
        </w:tabs>
        <w:numPr>
          <w:ilvl w:val="0"/>
          <w:numId w:val="73"/>
        </w:numPr>
        <w:rPr>
          <w:rFonts w:ascii="Arial" w:cs="Arial" w:eastAsia="Arial" w:hAnsi="Arial"/>
          <w:sz w:val="19"/>
          <w:szCs w:val="19"/>
          <w:color w:val="auto"/>
        </w:rPr>
      </w:pPr>
      <w:r>
        <w:rPr>
          <w:rFonts w:ascii="Arial" w:cs="Arial" w:eastAsia="Arial" w:hAnsi="Arial"/>
          <w:sz w:val="19"/>
          <w:szCs w:val="19"/>
          <w:color w:val="auto"/>
        </w:rPr>
        <w:t>pledges and deposits and other Liens made in the ordinary course of business to secure liability to insurance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carriers;</w:t>
      </w:r>
    </w:p>
    <w:p>
      <w:pPr>
        <w:spacing w:after="0" w:line="201" w:lineRule="exact"/>
        <w:rPr>
          <w:rFonts w:ascii="Arial" w:cs="Arial" w:eastAsia="Arial" w:hAnsi="Arial"/>
          <w:sz w:val="19"/>
          <w:szCs w:val="19"/>
          <w:color w:val="auto"/>
        </w:rPr>
      </w:pPr>
    </w:p>
    <w:p>
      <w:pPr>
        <w:ind w:left="1060" w:hanging="416"/>
        <w:spacing w:after="0"/>
        <w:tabs>
          <w:tab w:leader="none" w:pos="1060" w:val="left"/>
        </w:tabs>
        <w:numPr>
          <w:ilvl w:val="0"/>
          <w:numId w:val="73"/>
        </w:numPr>
        <w:rPr>
          <w:rFonts w:ascii="Arial" w:cs="Arial" w:eastAsia="Arial" w:hAnsi="Arial"/>
          <w:sz w:val="22"/>
          <w:szCs w:val="22"/>
          <w:color w:val="auto"/>
        </w:rPr>
      </w:pPr>
      <w:r>
        <w:rPr>
          <w:rFonts w:ascii="Arial" w:cs="Arial" w:eastAsia="Arial" w:hAnsi="Arial"/>
          <w:sz w:val="22"/>
          <w:szCs w:val="22"/>
          <w:color w:val="auto"/>
        </w:rPr>
        <w:t>Liens on the Equity Interests of Unrestricted Subsidiaries;</w:t>
      </w:r>
    </w:p>
    <w:p>
      <w:pPr>
        <w:spacing w:after="0" w:line="219" w:lineRule="exact"/>
        <w:rPr>
          <w:rFonts w:ascii="Arial" w:cs="Arial" w:eastAsia="Arial" w:hAnsi="Arial"/>
          <w:sz w:val="22"/>
          <w:szCs w:val="22"/>
          <w:color w:val="auto"/>
        </w:rPr>
      </w:pPr>
    </w:p>
    <w:p>
      <w:pPr>
        <w:jc w:val="both"/>
        <w:ind w:firstLine="644"/>
        <w:spacing w:after="0" w:line="253" w:lineRule="auto"/>
        <w:tabs>
          <w:tab w:leader="none" w:pos="1089" w:val="left"/>
        </w:tabs>
        <w:numPr>
          <w:ilvl w:val="0"/>
          <w:numId w:val="73"/>
        </w:numPr>
        <w:rPr>
          <w:rFonts w:ascii="Arial" w:cs="Arial" w:eastAsia="Arial" w:hAnsi="Arial"/>
          <w:sz w:val="22"/>
          <w:szCs w:val="22"/>
          <w:color w:val="auto"/>
        </w:rPr>
      </w:pPr>
      <w:r>
        <w:rPr>
          <w:rFonts w:ascii="Arial" w:cs="Arial" w:eastAsia="Arial" w:hAnsi="Arial"/>
          <w:sz w:val="22"/>
          <w:szCs w:val="22"/>
          <w:color w:val="auto"/>
        </w:rPr>
        <w:t>leases or subleases, and licenses or sublicenses (including with respect to intellectual property) granted to others in the ordinary course of business, and Liens on real property which is not owned but is leased or subleased by Parent Borrower or any Restricted Subsidiary;</w:t>
      </w:r>
    </w:p>
    <w:p>
      <w:pPr>
        <w:spacing w:after="0" w:line="185" w:lineRule="exact"/>
        <w:rPr>
          <w:rFonts w:ascii="Arial" w:cs="Arial" w:eastAsia="Arial" w:hAnsi="Arial"/>
          <w:sz w:val="22"/>
          <w:szCs w:val="22"/>
          <w:color w:val="auto"/>
        </w:rPr>
      </w:pPr>
    </w:p>
    <w:p>
      <w:pPr>
        <w:jc w:val="both"/>
        <w:ind w:firstLine="644"/>
        <w:spacing w:after="0" w:line="289" w:lineRule="auto"/>
        <w:tabs>
          <w:tab w:leader="none" w:pos="1088"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Liens to secure any refinancing, refunding, extension, renewal or replacement (or successive refinancings, refundings, extensions, renewals or replacements) as a whole, or in part, of any Indebtedness secured by any Lien referred to in clauses (6), (7), (8), (9), (11), (15) and (25) of this definition;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(x) such new Lien shall be limited to all or part of the same property (including any after acquired property to the extent it would have been subject to the original Lien) that secured the original Lien (plus improvements on and accessions to such property, proceeds and products thereof, customary security deposits and any other assets pursuant to the after-acquired property clauses to the extent such assets secured (or would have secured) the Indebtedness being refinanced, refunded, extended, renewed or replaced), and (y) the Indebtedness secured by such Lien at such time is not increased to any amount greater than the sum of (A) the outstanding principal amount (or accreted value, if applicable) or, if greater, committed amount of the applicable Indebtedness described</w:t>
      </w:r>
    </w:p>
    <w:p>
      <w:pPr>
        <w:sectPr>
          <w:pgSz w:w="11900" w:h="16838" w:orient="portrait"/>
          <w:cols w:equalWidth="0" w:num="1">
            <w:col w:w="10580"/>
          </w:cols>
          <w:pgMar w:left="980" w:top="1428" w:right="339" w:bottom="1440" w:gutter="0" w:footer="0" w:header="0"/>
        </w:sectPr>
      </w:pPr>
    </w:p>
    <w:bookmarkStart w:id="167" w:name="page168"/>
    <w:bookmarkEnd w:id="167"/>
    <w:p>
      <w:pPr>
        <w:jc w:val="both"/>
        <w:spacing w:after="0" w:line="258" w:lineRule="auto"/>
        <w:rPr>
          <w:sz w:val="20"/>
          <w:szCs w:val="20"/>
          <w:color w:val="auto"/>
        </w:rPr>
      </w:pPr>
      <w:r>
        <w:rPr>
          <w:rFonts w:ascii="Arial" w:cs="Arial" w:eastAsia="Arial" w:hAnsi="Arial"/>
          <w:sz w:val="21"/>
          <w:szCs w:val="21"/>
          <w:color w:val="auto"/>
        </w:rPr>
        <w:t xml:space="preserve">under clauses (6), (7), (8), (9), (10), (11), (15) and (25) at the time the original Lien became a Permitted Lien under this Agreement, (B) unpaid accrued interest and premiums (including tender premiums), and (C) an amount necessary to pay any underwriting discounts, defeasance costs, commissions, fees and expenses related to such refinancing, refunding, extension, renewal or replacement;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(X) in the case of any Liens to secure any refinancing, refunding, extension or renewal of Indebtedness secured by a Lien referred to in clause (6)(B), (6)(C) or (25), the principal amount of any Indebtedness Incurred for such refinancing, refunding, extension or renewal shall be deemed secured by a Lien under clause (6)(B), (6)(C) or (25) and not this clause (20) for purposes of determining the principal amount of Indebtedness outstanding under clause (6)(B) or (6)(C) and (Y) in the case of Liens to secure any refinancing, refunding, extension or renewal of Indebtedness secured by a Lien referred to in clause (6)(B), (8), (9), (15) or (25), such new Lien shall have priority equal to or more junior than the Lien securing such refinanced, refunded, extended or renewed Indebtedness;</w:t>
      </w:r>
    </w:p>
    <w:p>
      <w:pPr>
        <w:spacing w:after="0" w:line="182" w:lineRule="exact"/>
        <w:rPr>
          <w:sz w:val="20"/>
          <w:szCs w:val="20"/>
          <w:color w:val="auto"/>
        </w:rPr>
      </w:pPr>
    </w:p>
    <w:p>
      <w:pPr>
        <w:jc w:val="both"/>
        <w:ind w:firstLine="644"/>
        <w:spacing w:after="0" w:line="253" w:lineRule="auto"/>
        <w:tabs>
          <w:tab w:leader="none" w:pos="1075" w:val="left"/>
        </w:tabs>
        <w:numPr>
          <w:ilvl w:val="0"/>
          <w:numId w:val="74"/>
        </w:numPr>
        <w:rPr>
          <w:rFonts w:ascii="Arial" w:cs="Arial" w:eastAsia="Arial" w:hAnsi="Arial"/>
          <w:sz w:val="22"/>
          <w:szCs w:val="22"/>
          <w:color w:val="auto"/>
        </w:rPr>
      </w:pPr>
      <w:r>
        <w:rPr>
          <w:rFonts w:ascii="Arial" w:cs="Arial" w:eastAsia="Arial" w:hAnsi="Arial"/>
          <w:sz w:val="22"/>
          <w:szCs w:val="22"/>
          <w:color w:val="auto"/>
        </w:rPr>
        <w:t>except to the extent the applicable equipment constitutes Borrowing Base Collateral, Liens on equipment of Parent Borrower or any Restricted Subsidiary granted in the ordinary course of business to Parent Borrower’s or such Restricted Subsidiary’s client at which such equipment is located;</w:t>
      </w:r>
    </w:p>
    <w:p>
      <w:pPr>
        <w:spacing w:after="0" w:line="185" w:lineRule="exact"/>
        <w:rPr>
          <w:rFonts w:ascii="Arial" w:cs="Arial" w:eastAsia="Arial" w:hAnsi="Arial"/>
          <w:sz w:val="22"/>
          <w:szCs w:val="22"/>
          <w:color w:val="auto"/>
        </w:rPr>
      </w:pPr>
    </w:p>
    <w:p>
      <w:pPr>
        <w:jc w:val="both"/>
        <w:ind w:firstLine="644"/>
        <w:spacing w:after="0" w:line="253" w:lineRule="auto"/>
        <w:tabs>
          <w:tab w:leader="none" w:pos="1111" w:val="left"/>
        </w:tabs>
        <w:numPr>
          <w:ilvl w:val="0"/>
          <w:numId w:val="74"/>
        </w:numPr>
        <w:rPr>
          <w:rFonts w:ascii="Arial" w:cs="Arial" w:eastAsia="Arial" w:hAnsi="Arial"/>
          <w:sz w:val="22"/>
          <w:szCs w:val="22"/>
          <w:color w:val="auto"/>
        </w:rPr>
      </w:pPr>
      <w:r>
        <w:rPr>
          <w:rFonts w:ascii="Arial" w:cs="Arial" w:eastAsia="Arial" w:hAnsi="Arial"/>
          <w:sz w:val="22"/>
          <w:szCs w:val="22"/>
          <w:color w:val="auto"/>
        </w:rPr>
        <w:t>judgment and attachment Liens not giving rise to an Event of Default and notices of lis pendens and associated rights related to litigation being contested in good faith by appropriate proceedings and for which adequate reserves have been made;</w:t>
      </w:r>
    </w:p>
    <w:p>
      <w:pPr>
        <w:spacing w:after="0" w:line="185" w:lineRule="exact"/>
        <w:rPr>
          <w:rFonts w:ascii="Arial" w:cs="Arial" w:eastAsia="Arial" w:hAnsi="Arial"/>
          <w:sz w:val="22"/>
          <w:szCs w:val="22"/>
          <w:color w:val="auto"/>
        </w:rPr>
      </w:pPr>
    </w:p>
    <w:p>
      <w:pPr>
        <w:ind w:right="20" w:firstLine="644"/>
        <w:spacing w:after="0" w:line="263" w:lineRule="auto"/>
        <w:tabs>
          <w:tab w:leader="none" w:pos="1098" w:val="left"/>
        </w:tabs>
        <w:numPr>
          <w:ilvl w:val="0"/>
          <w:numId w:val="74"/>
        </w:numPr>
        <w:rPr>
          <w:rFonts w:ascii="Arial" w:cs="Arial" w:eastAsia="Arial" w:hAnsi="Arial"/>
          <w:sz w:val="22"/>
          <w:szCs w:val="22"/>
          <w:color w:val="auto"/>
        </w:rPr>
      </w:pPr>
      <w:r>
        <w:rPr>
          <w:rFonts w:ascii="Arial" w:cs="Arial" w:eastAsia="Arial" w:hAnsi="Arial"/>
          <w:sz w:val="22"/>
          <w:szCs w:val="22"/>
          <w:color w:val="auto"/>
        </w:rPr>
        <w:t>Liens arising out of conditional sale, title retention, consignment or similar arrangements for the sale or purchase of goods entered into in the ordinary course of business;</w:t>
      </w:r>
    </w:p>
    <w:p>
      <w:pPr>
        <w:spacing w:after="0" w:line="174" w:lineRule="exact"/>
        <w:rPr>
          <w:rFonts w:ascii="Arial" w:cs="Arial" w:eastAsia="Arial" w:hAnsi="Arial"/>
          <w:sz w:val="22"/>
          <w:szCs w:val="22"/>
          <w:color w:val="auto"/>
        </w:rPr>
      </w:pPr>
    </w:p>
    <w:p>
      <w:pPr>
        <w:ind w:right="20" w:firstLine="644"/>
        <w:spacing w:after="0" w:line="263" w:lineRule="auto"/>
        <w:tabs>
          <w:tab w:leader="none" w:pos="1111" w:val="left"/>
        </w:tabs>
        <w:numPr>
          <w:ilvl w:val="0"/>
          <w:numId w:val="74"/>
        </w:numPr>
        <w:rPr>
          <w:rFonts w:ascii="Arial" w:cs="Arial" w:eastAsia="Arial" w:hAnsi="Arial"/>
          <w:sz w:val="22"/>
          <w:szCs w:val="22"/>
          <w:color w:val="auto"/>
        </w:rPr>
      </w:pPr>
      <w:r>
        <w:rPr>
          <w:rFonts w:ascii="Arial" w:cs="Arial" w:eastAsia="Arial" w:hAnsi="Arial"/>
          <w:sz w:val="22"/>
          <w:szCs w:val="22"/>
          <w:color w:val="auto"/>
        </w:rPr>
        <w:t>Liens incurred to secure cash management services or to implement cash pooling arrangements in the ordinary course of business;</w:t>
      </w:r>
    </w:p>
    <w:p>
      <w:pPr>
        <w:spacing w:after="0" w:line="174" w:lineRule="exact"/>
        <w:rPr>
          <w:rFonts w:ascii="Arial" w:cs="Arial" w:eastAsia="Arial" w:hAnsi="Arial"/>
          <w:sz w:val="22"/>
          <w:szCs w:val="22"/>
          <w:color w:val="auto"/>
        </w:rPr>
      </w:pPr>
    </w:p>
    <w:p>
      <w:pPr>
        <w:jc w:val="both"/>
        <w:ind w:firstLine="644"/>
        <w:spacing w:after="0" w:line="258" w:lineRule="auto"/>
        <w:tabs>
          <w:tab w:leader="none" w:pos="1071"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other Liens securing obligations the outstanding principal amount of which does not, taken together with the principal amount of all other obligations secured by Liens incurred under this clause (25) that are at that time outstanding, exceed the greater of $480 million and 30% of Consolidated EBITDA at the time of incurrence,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(x) any Lien on </w:t>
      </w:r>
      <w:r>
        <w:rPr>
          <w:rFonts w:ascii="Arial" w:cs="Arial" w:eastAsia="Arial" w:hAnsi="Arial"/>
          <w:sz w:val="21"/>
          <w:szCs w:val="21"/>
          <w:u w:val="single" w:color="auto"/>
          <w:color w:val="0000FF"/>
        </w:rPr>
        <w:t>the</w:t>
      </w:r>
      <w:r>
        <w:rPr>
          <w:rFonts w:ascii="Arial" w:cs="Arial" w:eastAsia="Arial" w:hAnsi="Arial"/>
          <w:sz w:val="21"/>
          <w:szCs w:val="21"/>
          <w:color w:val="auto"/>
        </w:rPr>
        <w:t xml:space="preserve"> Term Priority Collateral </w:t>
      </w:r>
      <w:r>
        <w:rPr>
          <w:rFonts w:ascii="Arial" w:cs="Arial" w:eastAsia="Arial" w:hAnsi="Arial"/>
          <w:sz w:val="21"/>
          <w:szCs w:val="21"/>
          <w:u w:val="single" w:color="auto"/>
          <w:color w:val="0000FF"/>
        </w:rPr>
        <w:t>in reliance on this clause 25(x)</w:t>
      </w:r>
      <w:r>
        <w:rPr>
          <w:rFonts w:ascii="Arial" w:cs="Arial" w:eastAsia="Arial" w:hAnsi="Arial"/>
          <w:sz w:val="21"/>
          <w:szCs w:val="21"/>
          <w:color w:val="auto"/>
        </w:rPr>
        <w:t xml:space="preserve"> may be senior to, pari passu with or junior to the </w:t>
      </w:r>
      <w:r>
        <w:rPr>
          <w:rFonts w:ascii="Arial" w:cs="Arial" w:eastAsia="Arial" w:hAnsi="Arial"/>
          <w:sz w:val="21"/>
          <w:szCs w:val="21"/>
          <w:color w:val="FF0000"/>
          <w:strike w:val="1"/>
        </w:rPr>
        <w:t>Lien</w:t>
      </w:r>
      <w:r>
        <w:rPr>
          <w:rFonts w:ascii="Arial" w:cs="Arial" w:eastAsia="Arial" w:hAnsi="Arial"/>
          <w:sz w:val="21"/>
          <w:szCs w:val="21"/>
          <w:color w:val="auto"/>
        </w:rPr>
        <w:t xml:space="preserve"> </w:t>
      </w:r>
      <w:r>
        <w:rPr>
          <w:rFonts w:ascii="Arial" w:cs="Arial" w:eastAsia="Arial" w:hAnsi="Arial"/>
          <w:sz w:val="21"/>
          <w:szCs w:val="21"/>
          <w:color w:val="FF0000"/>
          <w:strike w:val="1"/>
        </w:rPr>
        <w:t>om such</w:t>
      </w:r>
      <w:r>
        <w:rPr>
          <w:rFonts w:ascii="Arial" w:cs="Arial" w:eastAsia="Arial" w:hAnsi="Arial"/>
          <w:sz w:val="21"/>
          <w:szCs w:val="21"/>
          <w:u w:val="single" w:color="auto"/>
          <w:color w:val="0000FF"/>
        </w:rPr>
        <w:t>Liens on the</w:t>
      </w:r>
      <w:r>
        <w:rPr>
          <w:rFonts w:ascii="Arial" w:cs="Arial" w:eastAsia="Arial" w:hAnsi="Arial"/>
          <w:sz w:val="21"/>
          <w:szCs w:val="21"/>
          <w:color w:val="FF0000"/>
        </w:rPr>
        <w:t xml:space="preserve"> </w:t>
      </w:r>
      <w:r>
        <w:rPr>
          <w:rFonts w:ascii="Arial" w:cs="Arial" w:eastAsia="Arial" w:hAnsi="Arial"/>
          <w:sz w:val="21"/>
          <w:szCs w:val="21"/>
          <w:color w:val="000000"/>
        </w:rPr>
        <w:t>Term Priority Collateral securing the Obligations</w:t>
      </w:r>
      <w:r>
        <w:rPr>
          <w:rFonts w:ascii="Arial" w:cs="Arial" w:eastAsia="Arial" w:hAnsi="Arial"/>
          <w:sz w:val="21"/>
          <w:szCs w:val="21"/>
          <w:color w:val="FF0000"/>
        </w:rPr>
        <w:t xml:space="preserve"> </w:t>
      </w:r>
      <w:r>
        <w:rPr>
          <w:rFonts w:ascii="Arial" w:cs="Arial" w:eastAsia="Arial" w:hAnsi="Arial"/>
          <w:sz w:val="21"/>
          <w:szCs w:val="21"/>
          <w:u w:val="single" w:color="auto"/>
          <w:color w:val="0000FF"/>
        </w:rPr>
        <w:t>pursuant to the ABL Intercreditor Agreement as it</w:t>
      </w:r>
      <w:r>
        <w:rPr>
          <w:rFonts w:ascii="Arial" w:cs="Arial" w:eastAsia="Arial" w:hAnsi="Arial"/>
          <w:sz w:val="21"/>
          <w:szCs w:val="21"/>
          <w:color w:val="FF0000"/>
        </w:rPr>
        <w:t xml:space="preserve"> </w:t>
      </w:r>
      <w:r>
        <w:rPr>
          <w:rFonts w:ascii="Arial" w:cs="Arial" w:eastAsia="Arial" w:hAnsi="Arial"/>
          <w:sz w:val="21"/>
          <w:szCs w:val="21"/>
          <w:u w:val="single" w:color="auto"/>
          <w:color w:val="0000FF"/>
        </w:rPr>
        <w:t>relates to the Term Loan Priority Collateral (provided that, any such Lien is an “Additional Term Loan Debt Lien” securing “Additional Term Loan Debt” under the terms of, and subject to, the ABL Intercreditor Agreement)</w:t>
      </w:r>
      <w:r>
        <w:rPr>
          <w:rFonts w:ascii="Arial" w:cs="Arial" w:eastAsia="Arial" w:hAnsi="Arial"/>
          <w:sz w:val="21"/>
          <w:szCs w:val="21"/>
          <w:color w:val="000000"/>
        </w:rPr>
        <w:t>, except to</w:t>
      </w:r>
      <w:r>
        <w:rPr>
          <w:rFonts w:ascii="Arial" w:cs="Arial" w:eastAsia="Arial" w:hAnsi="Arial"/>
          <w:sz w:val="21"/>
          <w:szCs w:val="21"/>
          <w:color w:val="0000FF"/>
        </w:rPr>
        <w:t xml:space="preserve"> </w:t>
      </w:r>
      <w:r>
        <w:rPr>
          <w:rFonts w:ascii="Arial" w:cs="Arial" w:eastAsia="Arial" w:hAnsi="Arial"/>
          <w:sz w:val="21"/>
          <w:szCs w:val="21"/>
          <w:color w:val="000000"/>
        </w:rPr>
        <w:t>the extent such Liens secure any Capitalized Lease Obligation or any purchase money Indebtedness, in which case such Liens may be prior to the Liens securing the Obligations, but only as to the applicable assets securing the Capitalized Lease Obligation or purchase money Indebtedness and (y) any Lien on the ABL Priority Collateral and the Canadian Collateral</w:t>
      </w:r>
    </w:p>
    <w:p>
      <w:pPr>
        <w:sectPr>
          <w:pgSz w:w="11900" w:h="16838" w:orient="portrait"/>
          <w:cols w:equalWidth="0" w:num="1">
            <w:col w:w="10580"/>
          </w:cols>
          <w:pgMar w:left="980" w:top="1428" w:right="339" w:bottom="1440" w:gutter="0" w:footer="0" w:header="0"/>
        </w:sectPr>
      </w:pPr>
    </w:p>
    <w:bookmarkStart w:id="168" w:name="page169"/>
    <w:bookmarkEnd w:id="168"/>
    <w:p>
      <w:pPr>
        <w:jc w:val="both"/>
        <w:spacing w:after="0" w:line="250" w:lineRule="auto"/>
        <w:rPr>
          <w:sz w:val="20"/>
          <w:szCs w:val="20"/>
          <w:color w:val="auto"/>
        </w:rPr>
      </w:pPr>
      <w:r>
        <w:rPr>
          <w:rFonts w:ascii="Arial" w:cs="Arial" w:eastAsia="Arial" w:hAnsi="Arial"/>
          <w:sz w:val="22"/>
          <w:szCs w:val="22"/>
          <w:color w:val="auto"/>
        </w:rPr>
        <w:t>in reliance on this clause (25) shall be junior to the Liens on the ABL Priority Collateral or the Canadian Collateral securing the Obligations pursuant to the ABL Intercreditor Agreement and/or a junior lien intercreditor agreement or collateral trust agreement reasonably satisfactory to Agent reflecting the junior-lien status securing such Indebtedness as it relates to the ABL Priority Collateral and Canadian Collateral.</w:t>
      </w:r>
    </w:p>
    <w:p>
      <w:pPr>
        <w:spacing w:after="0" w:line="188" w:lineRule="exact"/>
        <w:rPr>
          <w:sz w:val="20"/>
          <w:szCs w:val="20"/>
          <w:color w:val="auto"/>
        </w:rPr>
      </w:pPr>
    </w:p>
    <w:p>
      <w:pPr>
        <w:jc w:val="both"/>
        <w:ind w:firstLine="644"/>
        <w:spacing w:after="0" w:line="253" w:lineRule="auto"/>
        <w:tabs>
          <w:tab w:leader="none" w:pos="1086"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encumbrance or restriction (including put and call arrangements) with respect to Capital Stock of any joint venture or similar arrangement securing obligations of such joint venture or pursuant to any joint venture or similar agreement;</w:t>
      </w:r>
    </w:p>
    <w:p>
      <w:pPr>
        <w:spacing w:after="0" w:line="185" w:lineRule="exact"/>
        <w:rPr>
          <w:rFonts w:ascii="Arial" w:cs="Arial" w:eastAsia="Arial" w:hAnsi="Arial"/>
          <w:sz w:val="22"/>
          <w:szCs w:val="22"/>
          <w:color w:val="auto"/>
        </w:rPr>
      </w:pPr>
    </w:p>
    <w:p>
      <w:pPr>
        <w:jc w:val="both"/>
        <w:ind w:firstLine="644"/>
        <w:spacing w:after="0" w:line="253" w:lineRule="auto"/>
        <w:tabs>
          <w:tab w:leader="none" w:pos="1083" w:val="left"/>
        </w:tabs>
        <w:numPr>
          <w:ilvl w:val="0"/>
          <w:numId w:val="75"/>
        </w:numPr>
        <w:rPr>
          <w:rFonts w:ascii="Arial" w:cs="Arial" w:eastAsia="Arial" w:hAnsi="Arial"/>
          <w:sz w:val="22"/>
          <w:szCs w:val="22"/>
          <w:color w:val="auto"/>
        </w:rPr>
      </w:pPr>
      <w:r>
        <w:rPr>
          <w:rFonts w:ascii="Arial" w:cs="Arial" w:eastAsia="Arial" w:hAnsi="Arial"/>
          <w:sz w:val="22"/>
          <w:szCs w:val="22"/>
          <w:color w:val="auto"/>
        </w:rPr>
        <w:t>any amounts held by a trustee in the funds and accounts under any indenture issued in escrow pursuant to customary escrow arrangements pending the release thereof, or under any indenture pursuant to customary discharge, redemption or defeasance provisions;</w:t>
      </w:r>
    </w:p>
    <w:p>
      <w:pPr>
        <w:spacing w:after="0" w:line="185" w:lineRule="exact"/>
        <w:rPr>
          <w:rFonts w:ascii="Arial" w:cs="Arial" w:eastAsia="Arial" w:hAnsi="Arial"/>
          <w:sz w:val="22"/>
          <w:szCs w:val="22"/>
          <w:color w:val="auto"/>
        </w:rPr>
      </w:pPr>
    </w:p>
    <w:p>
      <w:pPr>
        <w:jc w:val="both"/>
        <w:ind w:firstLine="644"/>
        <w:spacing w:after="0" w:line="297" w:lineRule="auto"/>
        <w:tabs>
          <w:tab w:leader="none" w:pos="1065" w:val="left"/>
        </w:tabs>
        <w:numPr>
          <w:ilvl w:val="0"/>
          <w:numId w:val="75"/>
        </w:numPr>
        <w:rPr>
          <w:rFonts w:ascii="Arial" w:cs="Arial" w:eastAsia="Arial" w:hAnsi="Arial"/>
          <w:sz w:val="19"/>
          <w:szCs w:val="19"/>
          <w:color w:val="auto"/>
        </w:rPr>
      </w:pPr>
      <w:r>
        <w:rPr>
          <w:rFonts w:ascii="Arial" w:cs="Arial" w:eastAsia="Arial" w:hAnsi="Arial"/>
          <w:sz w:val="19"/>
          <w:szCs w:val="19"/>
          <w:color w:val="auto"/>
        </w:rPr>
        <w:t>Liens (i) arising by virtue of any statutory or common law provisions relating to banker’s Liens, rights of set-off or similar rights and remedies as to deposit accounts or other funds maintained with a depository or financial institution, (ii) attaching to commodity trading accounts or other commodity brokerage accounts incurred in the ordinary course of business or (iii) encumbering reasonable customary initial deposits and margin deposits and similar Liens attaching to brokerage accounts incurred in the ordinary course of business and not for speculative purposes;</w:t>
      </w:r>
    </w:p>
    <w:p>
      <w:pPr>
        <w:spacing w:after="0" w:line="146" w:lineRule="exact"/>
        <w:rPr>
          <w:rFonts w:ascii="Arial" w:cs="Arial" w:eastAsia="Arial" w:hAnsi="Arial"/>
          <w:sz w:val="19"/>
          <w:szCs w:val="19"/>
          <w:color w:val="auto"/>
        </w:rPr>
      </w:pPr>
    </w:p>
    <w:p>
      <w:pPr>
        <w:ind w:left="1060" w:hanging="416"/>
        <w:spacing w:after="0"/>
        <w:tabs>
          <w:tab w:leader="none" w:pos="10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Liens (i) in favor of credit card companies pursuant to agreements therewith and (ii) in favor of customers;</w:t>
      </w:r>
    </w:p>
    <w:p>
      <w:pPr>
        <w:spacing w:after="0" w:line="254" w:lineRule="exact"/>
        <w:rPr>
          <w:rFonts w:ascii="Arial" w:cs="Arial" w:eastAsia="Arial" w:hAnsi="Arial"/>
          <w:sz w:val="19"/>
          <w:szCs w:val="19"/>
          <w:color w:val="auto"/>
        </w:rPr>
      </w:pPr>
    </w:p>
    <w:p>
      <w:pPr>
        <w:jc w:val="both"/>
        <w:ind w:firstLine="644"/>
        <w:spacing w:after="0" w:line="248" w:lineRule="auto"/>
        <w:tabs>
          <w:tab w:leader="none" w:pos="1069" w:val="left"/>
        </w:tabs>
        <w:numPr>
          <w:ilvl w:val="0"/>
          <w:numId w:val="75"/>
        </w:numPr>
        <w:rPr>
          <w:rFonts w:ascii="Arial" w:cs="Arial" w:eastAsia="Arial" w:hAnsi="Arial"/>
          <w:sz w:val="22"/>
          <w:szCs w:val="22"/>
          <w:color w:val="auto"/>
        </w:rPr>
      </w:pPr>
      <w:r>
        <w:rPr>
          <w:rFonts w:ascii="Arial" w:cs="Arial" w:eastAsia="Arial" w:hAnsi="Arial"/>
          <w:sz w:val="22"/>
          <w:szCs w:val="22"/>
          <w:color w:val="auto"/>
        </w:rPr>
        <w:t xml:space="preserve">Liens disclosed by the title commitments or title insurance policies delivered pursuant to this Agreement and any replacement, extension or renewal of any such Lien;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replacement, extension or renewal Lien shall not cover any property other than the property that was subject to such Lien prior to such replacement, extension or renewal;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the Indebtedness and other obligations secured by such replacement, extension or renewal Lien are permitted under this Agreement;</w:t>
      </w:r>
    </w:p>
    <w:p>
      <w:pPr>
        <w:spacing w:after="0" w:line="191" w:lineRule="exact"/>
        <w:rPr>
          <w:rFonts w:ascii="Arial" w:cs="Arial" w:eastAsia="Arial" w:hAnsi="Arial"/>
          <w:sz w:val="22"/>
          <w:szCs w:val="22"/>
          <w:color w:val="auto"/>
        </w:rPr>
      </w:pPr>
    </w:p>
    <w:p>
      <w:pPr>
        <w:jc w:val="both"/>
        <w:ind w:firstLine="644"/>
        <w:spacing w:after="0" w:line="253" w:lineRule="auto"/>
        <w:tabs>
          <w:tab w:leader="none" w:pos="1071" w:val="left"/>
        </w:tabs>
        <w:numPr>
          <w:ilvl w:val="0"/>
          <w:numId w:val="75"/>
        </w:numPr>
        <w:rPr>
          <w:rFonts w:ascii="Arial" w:cs="Arial" w:eastAsia="Arial" w:hAnsi="Arial"/>
          <w:sz w:val="22"/>
          <w:szCs w:val="22"/>
          <w:color w:val="auto"/>
        </w:rPr>
      </w:pPr>
      <w:r>
        <w:rPr>
          <w:rFonts w:ascii="Arial" w:cs="Arial" w:eastAsia="Arial" w:hAnsi="Arial"/>
          <w:sz w:val="22"/>
          <w:szCs w:val="22"/>
          <w:color w:val="auto"/>
        </w:rPr>
        <w:t>Liens that are contractual rights of set-off relating to purchase orders and other agreements entered into with customers, suppliers or service providers of Parent Borrower or any Restricted Subsidiary in the ordinary course of business;</w:t>
      </w:r>
    </w:p>
    <w:p>
      <w:pPr>
        <w:spacing w:after="0" w:line="185" w:lineRule="exact"/>
        <w:rPr>
          <w:rFonts w:ascii="Arial" w:cs="Arial" w:eastAsia="Arial" w:hAnsi="Arial"/>
          <w:sz w:val="22"/>
          <w:szCs w:val="22"/>
          <w:color w:val="auto"/>
        </w:rPr>
      </w:pPr>
    </w:p>
    <w:p>
      <w:pPr>
        <w:jc w:val="both"/>
        <w:ind w:firstLine="644"/>
        <w:spacing w:after="0" w:line="248" w:lineRule="auto"/>
        <w:tabs>
          <w:tab w:leader="none" w:pos="1068" w:val="left"/>
        </w:tabs>
        <w:numPr>
          <w:ilvl w:val="0"/>
          <w:numId w:val="75"/>
        </w:numPr>
        <w:rPr>
          <w:rFonts w:ascii="Arial" w:cs="Arial" w:eastAsia="Arial" w:hAnsi="Arial"/>
          <w:sz w:val="22"/>
          <w:szCs w:val="22"/>
          <w:color w:val="auto"/>
        </w:rPr>
      </w:pPr>
      <w:r>
        <w:rPr>
          <w:rFonts w:ascii="Arial" w:cs="Arial" w:eastAsia="Arial" w:hAnsi="Arial"/>
          <w:sz w:val="22"/>
          <w:szCs w:val="22"/>
          <w:color w:val="auto"/>
        </w:rPr>
        <w:t>in the case of real property that constitutes a leasehold or subleasehold interest, (x) any Lien to which the fee simple interest (or any superior leasehold interest) is or may become subject and any subordination of such leasehold or subleasehold interest to any such Lien in accordance with the terms and provisions of the applicable leasehold or subleasehold documents, and (y) any right of first refusal, right of first negotiation or right of first offer which is granted to the lessor or sublessor;</w:t>
      </w:r>
    </w:p>
    <w:p>
      <w:pPr>
        <w:sectPr>
          <w:pgSz w:w="11900" w:h="16838" w:orient="portrait"/>
          <w:cols w:equalWidth="0" w:num="1">
            <w:col w:w="10580"/>
          </w:cols>
          <w:pgMar w:left="980" w:top="1428" w:right="339" w:bottom="1440" w:gutter="0" w:footer="0" w:header="0"/>
        </w:sectPr>
      </w:pPr>
    </w:p>
    <w:bookmarkStart w:id="169" w:name="page170"/>
    <w:bookmarkEnd w:id="169"/>
    <w:p>
      <w:pPr>
        <w:jc w:val="both"/>
        <w:ind w:left="660" w:firstLine="644"/>
        <w:spacing w:after="0" w:line="253" w:lineRule="auto"/>
        <w:tabs>
          <w:tab w:leader="none" w:pos="1760" w:val="left"/>
        </w:tabs>
        <w:numPr>
          <w:ilvl w:val="1"/>
          <w:numId w:val="76"/>
        </w:numPr>
        <w:rPr>
          <w:rFonts w:ascii="Arial" w:cs="Arial" w:eastAsia="Arial" w:hAnsi="Arial"/>
          <w:sz w:val="22"/>
          <w:szCs w:val="22"/>
          <w:color w:val="auto"/>
        </w:rPr>
      </w:pPr>
      <w:r>
        <w:rPr>
          <w:rFonts w:ascii="Arial" w:cs="Arial" w:eastAsia="Arial" w:hAnsi="Arial"/>
          <w:sz w:val="22"/>
          <w:szCs w:val="22"/>
          <w:color w:val="auto"/>
        </w:rPr>
        <w:t>agreements to subordinate any interest of Parent Borrower or any Restricted Subsidiary in any accounts receivable or other prices arising from inventory consigned by Parent Borrower or any such Restricted Subsidiary pursuant to an agreement entered into in the ordinary course of business;</w:t>
      </w:r>
    </w:p>
    <w:p>
      <w:pPr>
        <w:spacing w:after="0" w:line="185" w:lineRule="exact"/>
        <w:rPr>
          <w:rFonts w:ascii="Arial" w:cs="Arial" w:eastAsia="Arial" w:hAnsi="Arial"/>
          <w:sz w:val="22"/>
          <w:szCs w:val="22"/>
          <w:color w:val="auto"/>
        </w:rPr>
      </w:pPr>
    </w:p>
    <w:p>
      <w:pPr>
        <w:ind w:left="1740" w:hanging="436"/>
        <w:spacing w:after="0"/>
        <w:tabs>
          <w:tab w:leader="none" w:pos="1740" w:val="left"/>
        </w:tabs>
        <w:numPr>
          <w:ilvl w:val="1"/>
          <w:numId w:val="76"/>
        </w:numPr>
        <w:rPr>
          <w:rFonts w:ascii="Arial" w:cs="Arial" w:eastAsia="Arial" w:hAnsi="Arial"/>
          <w:sz w:val="19"/>
          <w:szCs w:val="19"/>
          <w:color w:val="auto"/>
        </w:rPr>
      </w:pPr>
      <w:r>
        <w:rPr>
          <w:rFonts w:ascii="Arial" w:cs="Arial" w:eastAsia="Arial" w:hAnsi="Arial"/>
          <w:sz w:val="19"/>
          <w:szCs w:val="19"/>
          <w:color w:val="auto"/>
        </w:rPr>
        <w:t>Liens on securities that are the subject of repurchase agreements constituting Cash Equivalents under clause</w:t>
      </w:r>
    </w:p>
    <w:p>
      <w:pPr>
        <w:spacing w:after="0" w:line="55" w:lineRule="exact"/>
        <w:rPr>
          <w:rFonts w:ascii="Arial" w:cs="Arial" w:eastAsia="Arial" w:hAnsi="Arial"/>
          <w:sz w:val="19"/>
          <w:szCs w:val="19"/>
          <w:color w:val="auto"/>
        </w:rPr>
      </w:pPr>
    </w:p>
    <w:p>
      <w:pPr>
        <w:ind w:left="960" w:hanging="304"/>
        <w:spacing w:after="0"/>
        <w:tabs>
          <w:tab w:leader="none" w:pos="9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of the definition thereof;</w:t>
      </w:r>
    </w:p>
    <w:p>
      <w:pPr>
        <w:spacing w:after="0" w:line="201" w:lineRule="exact"/>
        <w:rPr>
          <w:rFonts w:ascii="Arial" w:cs="Arial" w:eastAsia="Arial" w:hAnsi="Arial"/>
          <w:sz w:val="22"/>
          <w:szCs w:val="22"/>
          <w:color w:val="auto"/>
        </w:rPr>
      </w:pPr>
    </w:p>
    <w:p>
      <w:pPr>
        <w:ind w:left="1720" w:hanging="416"/>
        <w:spacing w:after="0"/>
        <w:tabs>
          <w:tab w:leader="none" w:pos="1720" w:val="left"/>
        </w:tabs>
        <w:numPr>
          <w:ilvl w:val="1"/>
          <w:numId w:val="77"/>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660" w:right="20" w:firstLine="644"/>
        <w:spacing w:after="0" w:line="263" w:lineRule="auto"/>
        <w:tabs>
          <w:tab w:leader="none" w:pos="1770" w:val="left"/>
        </w:tabs>
        <w:numPr>
          <w:ilvl w:val="1"/>
          <w:numId w:val="77"/>
        </w:numPr>
        <w:rPr>
          <w:rFonts w:ascii="Arial" w:cs="Arial" w:eastAsia="Arial" w:hAnsi="Arial"/>
          <w:sz w:val="22"/>
          <w:szCs w:val="22"/>
          <w:color w:val="auto"/>
        </w:rPr>
      </w:pPr>
      <w:r>
        <w:rPr>
          <w:rFonts w:ascii="Arial" w:cs="Arial" w:eastAsia="Arial" w:hAnsi="Arial"/>
          <w:sz w:val="22"/>
          <w:szCs w:val="22"/>
          <w:color w:val="auto"/>
        </w:rPr>
        <w:t xml:space="preserve">Liens securing insurance premium financing arrangements;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are limited to the applicable unearned insurance premiums;</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733" w:val="left"/>
        </w:tabs>
        <w:numPr>
          <w:ilvl w:val="1"/>
          <w:numId w:val="77"/>
        </w:numPr>
        <w:rPr>
          <w:rFonts w:ascii="Arial" w:cs="Arial" w:eastAsia="Arial" w:hAnsi="Arial"/>
          <w:sz w:val="22"/>
          <w:szCs w:val="22"/>
          <w:color w:val="auto"/>
        </w:rPr>
      </w:pPr>
      <w:r>
        <w:rPr>
          <w:rFonts w:ascii="Arial" w:cs="Arial" w:eastAsia="Arial" w:hAnsi="Arial"/>
          <w:sz w:val="22"/>
          <w:szCs w:val="22"/>
          <w:color w:val="auto"/>
        </w:rPr>
        <w:t>Liens granted in the ordinary course of business consistent with past practice to lessors of Railcars, Chassis, trucks, trailers or tractors, leased by Parent Borrower or any Restricted Subsidiary thereof pursuant to arrangements which are intended to be true leases;</w:t>
      </w:r>
    </w:p>
    <w:p>
      <w:pPr>
        <w:spacing w:after="0" w:line="185" w:lineRule="exact"/>
        <w:rPr>
          <w:rFonts w:ascii="Arial" w:cs="Arial" w:eastAsia="Arial" w:hAnsi="Arial"/>
          <w:sz w:val="22"/>
          <w:szCs w:val="22"/>
          <w:color w:val="auto"/>
        </w:rPr>
      </w:pPr>
    </w:p>
    <w:p>
      <w:pPr>
        <w:ind w:left="1720" w:hanging="416"/>
        <w:spacing w:after="0"/>
        <w:tabs>
          <w:tab w:leader="none" w:pos="1720" w:val="left"/>
        </w:tabs>
        <w:numPr>
          <w:ilvl w:val="1"/>
          <w:numId w:val="77"/>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left="660" w:firstLine="644"/>
        <w:spacing w:after="0" w:line="250" w:lineRule="auto"/>
        <w:tabs>
          <w:tab w:leader="none" w:pos="1768" w:val="left"/>
        </w:tabs>
        <w:numPr>
          <w:ilvl w:val="1"/>
          <w:numId w:val="77"/>
        </w:numPr>
        <w:rPr>
          <w:rFonts w:ascii="Arial" w:cs="Arial" w:eastAsia="Arial" w:hAnsi="Arial"/>
          <w:sz w:val="22"/>
          <w:szCs w:val="22"/>
          <w:color w:val="auto"/>
        </w:rPr>
      </w:pPr>
      <w:r>
        <w:rPr>
          <w:rFonts w:ascii="Arial" w:cs="Arial" w:eastAsia="Arial" w:hAnsi="Arial"/>
          <w:sz w:val="22"/>
          <w:szCs w:val="22"/>
          <w:color w:val="auto"/>
        </w:rPr>
        <w:t xml:space="preserve">if and for so long as any Capital Stock of Con-way constitutes “margin stock” within the meaning of Regulation U, Liens on such Capital Stock to the extent the value of such Capital Stock, together with the value of all other margin stock held by Parent Borrower and its Subsidiaries, exceeds 25% of the total value of all their assets subject to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and</w:t>
      </w:r>
    </w:p>
    <w:p>
      <w:pPr>
        <w:spacing w:after="0" w:line="187" w:lineRule="exact"/>
        <w:rPr>
          <w:rFonts w:ascii="Arial" w:cs="Arial" w:eastAsia="Arial" w:hAnsi="Arial"/>
          <w:sz w:val="22"/>
          <w:szCs w:val="22"/>
          <w:color w:val="auto"/>
        </w:rPr>
      </w:pPr>
    </w:p>
    <w:p>
      <w:pPr>
        <w:jc w:val="both"/>
        <w:ind w:left="660" w:firstLine="644"/>
        <w:spacing w:after="0" w:line="253" w:lineRule="auto"/>
        <w:tabs>
          <w:tab w:leader="none" w:pos="1755" w:val="left"/>
        </w:tabs>
        <w:numPr>
          <w:ilvl w:val="1"/>
          <w:numId w:val="77"/>
        </w:numPr>
        <w:rPr>
          <w:rFonts w:ascii="Arial" w:cs="Arial" w:eastAsia="Arial" w:hAnsi="Arial"/>
          <w:sz w:val="22"/>
          <w:szCs w:val="22"/>
          <w:color w:val="auto"/>
        </w:rPr>
      </w:pPr>
      <w:r>
        <w:rPr>
          <w:rFonts w:ascii="Arial" w:cs="Arial" w:eastAsia="Arial" w:hAnsi="Arial"/>
          <w:sz w:val="22"/>
          <w:szCs w:val="22"/>
          <w:color w:val="auto"/>
        </w:rPr>
        <w:t>Liens arising from the cash-collateralization of letters of credit and other obligations of Con-way and its Subsidiaries, in each case to the extent such letters of credit or other obligations are in existence on the Amendment No. 3 Effective Date.</w:t>
      </w:r>
    </w:p>
    <w:p>
      <w:pPr>
        <w:spacing w:after="0" w:line="185" w:lineRule="exact"/>
        <w:rPr>
          <w:sz w:val="20"/>
          <w:szCs w:val="20"/>
          <w:color w:val="auto"/>
        </w:rPr>
      </w:pPr>
    </w:p>
    <w:p>
      <w:pPr>
        <w:jc w:val="both"/>
        <w:ind w:firstLine="567"/>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individual, corporation, partnership, limited liability company, joint venture, association, joint-stock company, trust, unincorporated organization, government or any agency or political subdivision thereof or any other entity.</w:t>
      </w:r>
    </w:p>
    <w:p>
      <w:pPr>
        <w:spacing w:after="0" w:line="104"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at any time, an “employee benefit plan”, as defined in Section 3(3) of ERISA (other than a Multiemployer Plan), that any Credit Party or ERISA Affiliate maintains, contributes to or has an obligation to contribute to or has maintained, contributed to or had an obligation to contribute to at any time within the past seven (7) years on behalf of participants who are or were employed by any Credit Party or ERISA Affiliate.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Pounds Sterling</w:t>
      </w:r>
      <w:r>
        <w:rPr>
          <w:rFonts w:ascii="Arial" w:cs="Arial" w:eastAsia="Arial" w:hAnsi="Arial"/>
          <w:sz w:val="22"/>
          <w:szCs w:val="22"/>
          <w:color w:val="auto"/>
        </w:rPr>
        <w:t>” and “</w:t>
      </w:r>
      <w:r>
        <w:rPr>
          <w:rFonts w:ascii="Arial" w:cs="Arial" w:eastAsia="Arial" w:hAnsi="Arial"/>
          <w:sz w:val="22"/>
          <w:szCs w:val="22"/>
          <w:u w:val="single" w:color="auto"/>
          <w:color w:val="auto"/>
        </w:rPr>
        <w:t>£</w:t>
      </w:r>
      <w:r>
        <w:rPr>
          <w:rFonts w:ascii="Arial" w:cs="Arial" w:eastAsia="Arial" w:hAnsi="Arial"/>
          <w:sz w:val="22"/>
          <w:szCs w:val="22"/>
          <w:color w:val="auto"/>
        </w:rPr>
        <w:t>” means the lawful currency of the United Kingdom.</w:t>
      </w:r>
    </w:p>
    <w:p>
      <w:pPr>
        <w:spacing w:after="0" w:line="220" w:lineRule="exact"/>
        <w:rPr>
          <w:sz w:val="20"/>
          <w:szCs w:val="20"/>
          <w:color w:val="auto"/>
        </w:rPr>
      </w:pPr>
    </w:p>
    <w:p>
      <w:pPr>
        <w:jc w:val="both"/>
        <w:ind w:firstLine="49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PPSA</w:t>
      </w:r>
      <w:r>
        <w:rPr>
          <w:rFonts w:ascii="Arial" w:cs="Arial" w:eastAsia="Arial" w:hAnsi="Arial"/>
          <w:sz w:val="22"/>
          <w:szCs w:val="22"/>
          <w:color w:val="auto"/>
        </w:rPr>
        <w:t>” means the Personal Property Security Act (Ontario) (or any successor statute) or similar legislation (including the Civil Code of Quebec) of any other Canadian jurisdiction the laws of which are required by such legislation to be applied in connection with the issue, perfection, effect of perfection, enforcement, enforceability, opposability, validity or effect of security interests or other applicable lien.</w:t>
      </w:r>
    </w:p>
    <w:p>
      <w:pPr>
        <w:sectPr>
          <w:pgSz w:w="11900" w:h="16838" w:orient="portrait"/>
          <w:cols w:equalWidth="0" w:num="1">
            <w:col w:w="11240"/>
          </w:cols>
          <w:pgMar w:left="320" w:top="1428" w:right="339" w:bottom="1440" w:gutter="0" w:footer="0" w:header="0"/>
        </w:sectPr>
      </w:pPr>
    </w:p>
    <w:bookmarkStart w:id="170" w:name="page171"/>
    <w:bookmarkEnd w:id="170"/>
    <w:p>
      <w:pPr>
        <w:ind w:right="20" w:firstLine="432"/>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Preferred Stock</w:t>
      </w:r>
      <w:r>
        <w:rPr>
          <w:rFonts w:ascii="Arial" w:cs="Arial" w:eastAsia="Arial" w:hAnsi="Arial"/>
          <w:sz w:val="22"/>
          <w:szCs w:val="22"/>
          <w:color w:val="auto"/>
        </w:rPr>
        <w:t>” means any Equity Interest with preferential right of payment of dividends or upon liquidation, dissolution, or winding up.</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has the meaning specified in the definition of “Base Rate.”</w:t>
      </w:r>
    </w:p>
    <w:p>
      <w:pPr>
        <w:spacing w:after="0" w:line="220" w:lineRule="exact"/>
        <w:rPr>
          <w:sz w:val="20"/>
          <w:szCs w:val="20"/>
          <w:color w:val="auto"/>
        </w:rPr>
      </w:pPr>
    </w:p>
    <w:p>
      <w:pPr>
        <w:ind w:firstLine="472"/>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Principal Property</w:t>
      </w:r>
      <w:r>
        <w:rPr>
          <w:rFonts w:ascii="Arial" w:cs="Arial" w:eastAsia="Arial" w:hAnsi="Arial"/>
          <w:sz w:val="22"/>
          <w:szCs w:val="22"/>
          <w:color w:val="auto"/>
        </w:rPr>
        <w:t>” means any “Principal Property” (as defined in the Existing Con-way Indenture) owned by Con-way or any of its Restricted Subsidiaries (as defined in the Existing Con-way Indenture).</w:t>
      </w:r>
    </w:p>
    <w:p>
      <w:pPr>
        <w:spacing w:after="0" w:line="175" w:lineRule="exact"/>
        <w:rPr>
          <w:sz w:val="20"/>
          <w:szCs w:val="20"/>
          <w:color w:val="auto"/>
        </w:rPr>
      </w:pPr>
    </w:p>
    <w:p>
      <w:pPr>
        <w:ind w:right="100" w:firstLine="432"/>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Compliance</w:t>
      </w:r>
      <w:r>
        <w:rPr>
          <w:rFonts w:ascii="Arial" w:cs="Arial" w:eastAsia="Arial" w:hAnsi="Arial"/>
          <w:sz w:val="19"/>
          <w:szCs w:val="19"/>
          <w:color w:val="auto"/>
        </w:rPr>
        <w:t>” means, with respect to any determination for any period and any transaction, that such determination shall be made by giving pro forma effect to each such transaction, as if each such transaction had been consummated on the first day of such period, based on, in the case of determinations made in reliance on pro-forma financial statement calculations only, historical results accounted for in accordance with GAAP and, to the extent applicable, reasonable assumptions that are specified in detail in the relevant compliance certificate, financial statement or other document provided to Agent or any Lender in connection herewith (which shall be prepared by Parent Borrower in good faith (subject to the approval of Agent, not to be unreasonably withheld)) and for such purposes historical financial statements shall be recalculated as if such transaction had been consummated at the beginning of the applicable period, and any Indebtedness or other liabilities to be incurred, assumed or repaid had been incurred, assumed or repaid at the beginning of such period (and assuming that such Indebtedness to be incurred bears interest during any portion of the applicable measurement period prior to the relevant acquisition at the weighted average of the interest rates applicable to such Indebtedness incurred during such period) and, to the extent pro forma financial statements are required to be prepared by Parent Borrower under Regulation S-X of the Securities Act of 1933 (“</w:t>
      </w:r>
      <w:r>
        <w:rPr>
          <w:rFonts w:ascii="Arial" w:cs="Arial" w:eastAsia="Arial" w:hAnsi="Arial"/>
          <w:sz w:val="19"/>
          <w:szCs w:val="19"/>
          <w:u w:val="single" w:color="auto"/>
          <w:color w:val="auto"/>
        </w:rPr>
        <w:t>Reg. S-X</w:t>
      </w:r>
      <w:r>
        <w:rPr>
          <w:rFonts w:ascii="Arial" w:cs="Arial" w:eastAsia="Arial" w:hAnsi="Arial"/>
          <w:sz w:val="19"/>
          <w:szCs w:val="19"/>
          <w:color w:val="auto"/>
        </w:rPr>
        <w:t>”) reflecting such transaction for any period, all pro forma calculations made hereunder with respect to such transaction and for such period shall be in conformity with Reg. S-X at all times after such pro-forma financial statements reflecting such transactions are required to be filed by Parent Borrower under Reg. S-X.</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 Rata Extension Offers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2.16(c)</w:t>
      </w:r>
      <w:r>
        <w:rPr>
          <w:rFonts w:ascii="Arial" w:cs="Arial" w:eastAsia="Arial" w:hAnsi="Arial"/>
          <w:sz w:val="22"/>
          <w:szCs w:val="22"/>
          <w:color w:val="auto"/>
        </w:rPr>
        <w:t>.</w:t>
      </w:r>
    </w:p>
    <w:p>
      <w:pPr>
        <w:spacing w:after="0" w:line="220"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 Rata Share</w:t>
      </w:r>
      <w:r>
        <w:rPr>
          <w:rFonts w:ascii="Arial" w:cs="Arial" w:eastAsia="Arial" w:hAnsi="Arial"/>
          <w:sz w:val="21"/>
          <w:szCs w:val="21"/>
          <w:color w:val="auto"/>
        </w:rPr>
        <w:t xml:space="preserve">” means with respect to all matters relating to any Lender, (i) with respect to the Revolving Loans, the percentage obtained by </w:t>
      </w:r>
      <w:r>
        <w:rPr>
          <w:rFonts w:ascii="Arial" w:cs="Arial" w:eastAsia="Arial" w:hAnsi="Arial"/>
          <w:sz w:val="21"/>
          <w:szCs w:val="21"/>
          <w:u w:val="single" w:color="auto"/>
          <w:color w:val="auto"/>
        </w:rPr>
        <w:t>dividing</w:t>
      </w:r>
      <w:r>
        <w:rPr>
          <w:rFonts w:ascii="Arial" w:cs="Arial" w:eastAsia="Arial" w:hAnsi="Arial"/>
          <w:sz w:val="21"/>
          <w:szCs w:val="21"/>
          <w:color w:val="auto"/>
        </w:rPr>
        <w:t xml:space="preserve"> (A) the Commitment of that Lender </w:t>
      </w:r>
      <w:r>
        <w:rPr>
          <w:rFonts w:ascii="Arial" w:cs="Arial" w:eastAsia="Arial" w:hAnsi="Arial"/>
          <w:sz w:val="21"/>
          <w:szCs w:val="21"/>
          <w:u w:val="single" w:color="auto"/>
          <w:color w:val="auto"/>
        </w:rPr>
        <w:t>by</w:t>
      </w:r>
      <w:r>
        <w:rPr>
          <w:rFonts w:ascii="Arial" w:cs="Arial" w:eastAsia="Arial" w:hAnsi="Arial"/>
          <w:sz w:val="21"/>
          <w:szCs w:val="21"/>
          <w:color w:val="auto"/>
        </w:rPr>
        <w:t xml:space="preserve"> (B) the aggregate Commitments of all Lenders, as any such percentages may be adjusted by increases or decreases in Commitments pursuant to the terms and conditions hereof or by assignments permitted pursuant to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(ii) with respect to all Loans, the percentage obtained by </w:t>
      </w:r>
      <w:r>
        <w:rPr>
          <w:rFonts w:ascii="Arial" w:cs="Arial" w:eastAsia="Arial" w:hAnsi="Arial"/>
          <w:sz w:val="21"/>
          <w:szCs w:val="21"/>
          <w:u w:val="single" w:color="auto"/>
          <w:color w:val="auto"/>
        </w:rPr>
        <w:t>dividing</w:t>
      </w:r>
      <w:r>
        <w:rPr>
          <w:rFonts w:ascii="Arial" w:cs="Arial" w:eastAsia="Arial" w:hAnsi="Arial"/>
          <w:sz w:val="21"/>
          <w:szCs w:val="21"/>
          <w:color w:val="auto"/>
        </w:rPr>
        <w:t xml:space="preserve"> (A) the aggregate Commitments of that Lender </w:t>
      </w:r>
      <w:r>
        <w:rPr>
          <w:rFonts w:ascii="Arial" w:cs="Arial" w:eastAsia="Arial" w:hAnsi="Arial"/>
          <w:sz w:val="21"/>
          <w:szCs w:val="21"/>
          <w:u w:val="single" w:color="auto"/>
          <w:color w:val="auto"/>
        </w:rPr>
        <w:t>by</w:t>
      </w:r>
      <w:r>
        <w:rPr>
          <w:rFonts w:ascii="Arial" w:cs="Arial" w:eastAsia="Arial" w:hAnsi="Arial"/>
          <w:sz w:val="21"/>
          <w:szCs w:val="21"/>
          <w:color w:val="auto"/>
        </w:rPr>
        <w:t xml:space="preserve"> (B) the aggregate Commitments of all Lenders, and (iii) with respect to all Loans on and after the Commitment Termination Date, the percentage obtained by </w:t>
      </w:r>
      <w:r>
        <w:rPr>
          <w:rFonts w:ascii="Arial" w:cs="Arial" w:eastAsia="Arial" w:hAnsi="Arial"/>
          <w:sz w:val="21"/>
          <w:szCs w:val="21"/>
          <w:u w:val="single" w:color="auto"/>
          <w:color w:val="auto"/>
        </w:rPr>
        <w:t>dividing</w:t>
      </w:r>
      <w:r>
        <w:rPr>
          <w:rFonts w:ascii="Arial" w:cs="Arial" w:eastAsia="Arial" w:hAnsi="Arial"/>
          <w:sz w:val="21"/>
          <w:szCs w:val="21"/>
          <w:color w:val="auto"/>
        </w:rPr>
        <w:t xml:space="preserve"> (A) the aggregate outstanding principal balance of the Loans held by that Lender, </w:t>
      </w:r>
      <w:r>
        <w:rPr>
          <w:rFonts w:ascii="Arial" w:cs="Arial" w:eastAsia="Arial" w:hAnsi="Arial"/>
          <w:sz w:val="21"/>
          <w:szCs w:val="21"/>
          <w:u w:val="single" w:color="auto"/>
          <w:color w:val="auto"/>
        </w:rPr>
        <w:t>by</w:t>
      </w:r>
      <w:r>
        <w:rPr>
          <w:rFonts w:ascii="Arial" w:cs="Arial" w:eastAsia="Arial" w:hAnsi="Arial"/>
          <w:sz w:val="21"/>
          <w:szCs w:val="21"/>
          <w:color w:val="auto"/>
        </w:rPr>
        <w:t xml:space="preserve"> (B) the outstanding principal balance of the Loans held by all Lenders. For purposes of Canadian Loans and Canadian Letter of Credit Obligations, each use of the term “Commitment” above shall be deemed to refer to the Canadian Commitments.</w:t>
      </w:r>
    </w:p>
    <w:p>
      <w:pPr>
        <w:sectPr>
          <w:pgSz w:w="11900" w:h="16838" w:orient="portrait"/>
          <w:cols w:equalWidth="0" w:num="1">
            <w:col w:w="11240"/>
          </w:cols>
          <w:pgMar w:left="320" w:top="1428" w:right="339" w:bottom="1440" w:gutter="0" w:footer="0" w:header="0"/>
        </w:sectPr>
      </w:pPr>
    </w:p>
    <w:bookmarkStart w:id="171" w:name="page172"/>
    <w:bookmarkEnd w:id="171"/>
    <w:p>
      <w:pPr>
        <w:spacing w:after="0" w:line="15" w:lineRule="exact"/>
        <w:rPr>
          <w:sz w:val="20"/>
          <w:szCs w:val="20"/>
          <w:color w:val="auto"/>
        </w:rPr>
      </w:pPr>
    </w:p>
    <w:p>
      <w:pPr>
        <w:ind w:firstLine="504"/>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10.13(a)</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0000FF"/>
        </w:rPr>
        <w:t>QFC” has the meaning specified in Section 13.13(b).</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0000FF"/>
        </w:rPr>
        <w:t>“QFC Credit Support” has the meaning specified in Section 13.13.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92747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3927475" cy="8255"/>
                    </a:xfrm>
                    <a:prstGeom prst="rect">
                      <a:avLst/>
                    </a:prstGeom>
                    <a:noFill/>
                  </pic:spPr>
                </pic:pic>
              </a:graphicData>
            </a:graphic>
          </wp:anchor>
        </w:drawing>
      </w:r>
    </w:p>
    <w:p>
      <w:pPr>
        <w:spacing w:after="0" w:line="200" w:lineRule="exact"/>
        <w:rPr>
          <w:sz w:val="20"/>
          <w:szCs w:val="20"/>
          <w:color w:val="auto"/>
        </w:rPr>
      </w:pPr>
    </w:p>
    <w:p>
      <w:pPr>
        <w:ind w:left="60"/>
        <w:spacing w:after="0"/>
        <w:rPr>
          <w:sz w:val="20"/>
          <w:szCs w:val="20"/>
          <w:color w:val="auto"/>
        </w:rPr>
      </w:pPr>
      <w:r>
        <w:rPr>
          <w:rFonts w:ascii="Arial" w:cs="Arial" w:eastAsia="Arial" w:hAnsi="Arial"/>
          <w:sz w:val="22"/>
          <w:szCs w:val="22"/>
          <w:color w:val="0000FF"/>
        </w:rPr>
        <w:t>“</w:t>
      </w:r>
      <w:r>
        <w:rPr>
          <w:rFonts w:ascii="Arial" w:cs="Arial" w:eastAsia="Arial" w:hAnsi="Arial"/>
          <w:sz w:val="22"/>
          <w:szCs w:val="22"/>
          <w:u w:val="single" w:color="auto"/>
          <w:color w:val="000000"/>
        </w:rPr>
        <w:t>Qualified Capital Stock</w:t>
      </w:r>
      <w:r>
        <w:rPr>
          <w:rFonts w:ascii="Arial" w:cs="Arial" w:eastAsia="Arial" w:hAnsi="Arial"/>
          <w:sz w:val="22"/>
          <w:szCs w:val="22"/>
          <w:color w:val="000000"/>
        </w:rPr>
        <w:t>” means any Capital Stock other than Disqualified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952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Plan</w:t>
      </w:r>
      <w:r>
        <w:rPr>
          <w:rFonts w:ascii="Arial" w:cs="Arial" w:eastAsia="Arial" w:hAnsi="Arial"/>
          <w:sz w:val="22"/>
          <w:szCs w:val="22"/>
          <w:color w:val="auto"/>
        </w:rPr>
        <w:t>” means a Pension Plan that is intended to be tax-qualified under Section 401(a) of the IRC.</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Securitization Financing</w:t>
      </w:r>
      <w:r>
        <w:rPr>
          <w:rFonts w:ascii="Arial" w:cs="Arial" w:eastAsia="Arial" w:hAnsi="Arial"/>
          <w:sz w:val="22"/>
          <w:szCs w:val="22"/>
          <w:color w:val="auto"/>
        </w:rPr>
        <w:t>” means any Securitization Financing that meets the following conditions:</w:t>
      </w:r>
    </w:p>
    <w:p>
      <w:pPr>
        <w:spacing w:after="0" w:line="220" w:lineRule="exact"/>
        <w:rPr>
          <w:sz w:val="20"/>
          <w:szCs w:val="20"/>
          <w:color w:val="auto"/>
        </w:rPr>
      </w:pPr>
    </w:p>
    <w:p>
      <w:pPr>
        <w:jc w:val="both"/>
        <w:ind w:left="660" w:firstLine="644"/>
        <w:spacing w:after="0" w:line="253" w:lineRule="auto"/>
        <w:tabs>
          <w:tab w:leader="none" w:pos="1678"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Parent Borrower shall have determined in good faith that such Qualified Securitization Financing (including financing terms, covenants, termination events and other provisions) is in the aggregate economically fair and reasonable to Parent Borrower or the applicable Subsidiary, as the case may be;</w:t>
      </w:r>
    </w:p>
    <w:p>
      <w:pPr>
        <w:spacing w:after="0" w:line="185" w:lineRule="exact"/>
        <w:rPr>
          <w:rFonts w:ascii="Arial" w:cs="Arial" w:eastAsia="Arial" w:hAnsi="Arial"/>
          <w:sz w:val="22"/>
          <w:szCs w:val="22"/>
          <w:color w:val="auto"/>
        </w:rPr>
      </w:pPr>
    </w:p>
    <w:p>
      <w:pPr>
        <w:jc w:val="both"/>
        <w:ind w:left="660" w:firstLine="644"/>
        <w:spacing w:after="0" w:line="250" w:lineRule="auto"/>
        <w:tabs>
          <w:tab w:leader="none" w:pos="1616" w:val="left"/>
        </w:tabs>
        <w:numPr>
          <w:ilvl w:val="0"/>
          <w:numId w:val="78"/>
        </w:numPr>
        <w:rPr>
          <w:rFonts w:ascii="Arial" w:cs="Arial" w:eastAsia="Arial" w:hAnsi="Arial"/>
          <w:sz w:val="22"/>
          <w:szCs w:val="22"/>
          <w:color w:val="auto"/>
        </w:rPr>
      </w:pPr>
      <w:r>
        <w:rPr>
          <w:rFonts w:ascii="Arial" w:cs="Arial" w:eastAsia="Arial" w:hAnsi="Arial"/>
          <w:sz w:val="22"/>
          <w:szCs w:val="22"/>
          <w:color w:val="auto"/>
        </w:rPr>
        <w:t>all sales of Securitization Assets and related assets by Parent Borrower or the applicable Subsidiary (other than a Securitization Subsidiary) either to the applicable Securitization Subsidiary or directly to the applicable third-party financing providers (as the case may be) are made at Fair Market Value (as determined in good faith by Parent Borrower); and</w:t>
      </w:r>
    </w:p>
    <w:p>
      <w:pPr>
        <w:spacing w:after="0" w:line="187" w:lineRule="exact"/>
        <w:rPr>
          <w:rFonts w:ascii="Arial" w:cs="Arial" w:eastAsia="Arial" w:hAnsi="Arial"/>
          <w:sz w:val="22"/>
          <w:szCs w:val="22"/>
          <w:color w:val="auto"/>
        </w:rPr>
      </w:pPr>
    </w:p>
    <w:p>
      <w:pPr>
        <w:ind w:left="660" w:firstLine="644"/>
        <w:spacing w:after="0" w:line="287" w:lineRule="auto"/>
        <w:tabs>
          <w:tab w:leader="none" w:pos="1653" w:val="left"/>
        </w:tabs>
        <w:numPr>
          <w:ilvl w:val="0"/>
          <w:numId w:val="78"/>
        </w:numPr>
        <w:rPr>
          <w:rFonts w:ascii="Arial" w:cs="Arial" w:eastAsia="Arial" w:hAnsi="Arial"/>
          <w:sz w:val="21"/>
          <w:szCs w:val="21"/>
          <w:color w:val="auto"/>
        </w:rPr>
      </w:pPr>
      <w:r>
        <w:rPr>
          <w:rFonts w:ascii="Arial" w:cs="Arial" w:eastAsia="Arial" w:hAnsi="Arial"/>
          <w:sz w:val="21"/>
          <w:szCs w:val="21"/>
          <w:color w:val="auto"/>
        </w:rPr>
        <w:t>the financing terms, covenants, termination events and other provisions thereof shall be market terms (as determined in good faith by Parent Borrower) and may include Standard Securitization Undertakings.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the avoidance of doubt, Indebtedness under the Term Credit Agreement, Indebtedness in respect of the 2022 Notes, 2023 Notes, 2024 Notes, Indebtedness hereunder or any Refinancing Indebtedness with respect to the foregoing shall not be deemed a Qualified Securitization Financing.</w:t>
      </w:r>
    </w:p>
    <w:p>
      <w:pPr>
        <w:spacing w:after="0" w:line="18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Average Availability Percentage</w:t>
      </w:r>
      <w:r>
        <w:rPr>
          <w:rFonts w:ascii="Arial" w:cs="Arial" w:eastAsia="Arial" w:hAnsi="Arial"/>
          <w:sz w:val="22"/>
          <w:szCs w:val="22"/>
          <w:color w:val="auto"/>
        </w:rPr>
        <w:t>” means, at any time, the Average Availability Percentage for the three (3) most recently ended months for which a Borrowing Base Certificate was delivered.</w:t>
      </w:r>
    </w:p>
    <w:p>
      <w:pPr>
        <w:spacing w:after="0" w:line="175" w:lineRule="exact"/>
        <w:rPr>
          <w:sz w:val="20"/>
          <w:szCs w:val="20"/>
          <w:color w:val="auto"/>
        </w:rPr>
      </w:pPr>
    </w:p>
    <w:p>
      <w:pPr>
        <w:jc w:val="both"/>
        <w:ind w:firstLine="67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Average Unused Revolving Facility Balance</w:t>
      </w:r>
      <w:r>
        <w:rPr>
          <w:rFonts w:ascii="Arial" w:cs="Arial" w:eastAsia="Arial" w:hAnsi="Arial"/>
          <w:sz w:val="22"/>
          <w:szCs w:val="22"/>
          <w:color w:val="auto"/>
        </w:rPr>
        <w:t>” means, at any time, the Average Unused Revolving Facility Balance for the three (3) most recently ended months for which a Borrowing Base Certificate was delivered.</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Railcar Receivables</w:t>
      </w:r>
      <w:r>
        <w:rPr>
          <w:rFonts w:ascii="Arial" w:cs="Arial" w:eastAsia="Arial" w:hAnsi="Arial"/>
          <w:sz w:val="22"/>
          <w:szCs w:val="22"/>
          <w:color w:val="auto"/>
        </w:rPr>
        <w:t>” means an Account owing to a U.S. Borrower that arises in the ordinary course of business under or in connection with agreements associated with car hire</w:t>
      </w:r>
    </w:p>
    <w:p>
      <w:pPr>
        <w:sectPr>
          <w:pgSz w:w="11900" w:h="16838" w:orient="portrait"/>
          <w:cols w:equalWidth="0" w:num="1">
            <w:col w:w="11240"/>
          </w:cols>
          <w:pgMar w:left="320" w:top="1440" w:right="33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settlements managed by the Railroad Clearinghouse, an entity of the AAR, or any successor thereto.</w:t>
      </w:r>
    </w:p>
    <w:p>
      <w:pPr>
        <w:spacing w:after="0" w:line="220" w:lineRule="exact"/>
        <w:rPr>
          <w:sz w:val="20"/>
          <w:szCs w:val="20"/>
          <w:color w:val="auto"/>
        </w:rPr>
      </w:pPr>
    </w:p>
    <w:p>
      <w:pPr>
        <w:jc w:val="both"/>
        <w:ind w:firstLine="567"/>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Railcars</w:t>
      </w:r>
      <w:r>
        <w:rPr>
          <w:rFonts w:ascii="Arial" w:cs="Arial" w:eastAsia="Arial" w:hAnsi="Arial"/>
          <w:sz w:val="22"/>
          <w:szCs w:val="22"/>
          <w:color w:val="auto"/>
        </w:rPr>
        <w:t>” means the railroad cars, locomotives or other rolling stock (including stacktrain), or accessories used on such railroad cars, locomotives or other rolling stock (including superstructures and racks) owned by Parent Borrower or any Restricted Subsidiary and employed in the conduct of such Person’s business.</w:t>
      </w:r>
    </w:p>
    <w:p>
      <w:pPr>
        <w:spacing w:after="0" w:line="185" w:lineRule="exact"/>
        <w:rPr>
          <w:sz w:val="20"/>
          <w:szCs w:val="20"/>
          <w:color w:val="auto"/>
        </w:rPr>
      </w:pPr>
    </w:p>
    <w:p>
      <w:pPr>
        <w:jc w:val="both"/>
        <w:ind w:firstLine="656"/>
        <w:spacing w:after="0" w:line="263" w:lineRule="auto"/>
        <w:rPr>
          <w:sz w:val="20"/>
          <w:szCs w:val="20"/>
          <w:color w:val="auto"/>
        </w:rPr>
      </w:pPr>
      <w:r>
        <w:rPr>
          <w:rFonts w:ascii="Arial" w:cs="Arial" w:eastAsia="Arial" w:hAnsi="Arial"/>
          <w:sz w:val="22"/>
          <w:szCs w:val="22"/>
          <w:color w:val="0000FF"/>
        </w:rPr>
        <w:t xml:space="preserve">“Ratio Liens Indebtedness” means any Indebtedness secured by a Lien in reliance on clause 6(B) of the definition of </w:t>
      </w:r>
      <w:r>
        <w:rPr>
          <w:rFonts w:ascii="Arial" w:cs="Arial" w:eastAsia="Arial" w:hAnsi="Arial"/>
          <w:sz w:val="22"/>
          <w:szCs w:val="22"/>
          <w:u w:val="single" w:color="auto"/>
          <w:color w:val="0000FF"/>
        </w:rPr>
        <w:t>“Permitted Liens” that matures before the Stated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2787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27875" cy="8890"/>
                    </a:xfrm>
                    <a:prstGeom prst="rect">
                      <a:avLst/>
                    </a:prstGeom>
                    <a:noFill/>
                  </pic:spPr>
                </pic:pic>
              </a:graphicData>
            </a:graphic>
          </wp:anchor>
        </w:drawing>
      </w:r>
    </w:p>
    <w:p>
      <w:pPr>
        <w:spacing w:after="0" w:line="155" w:lineRule="exact"/>
        <w:rPr>
          <w:sz w:val="20"/>
          <w:szCs w:val="20"/>
          <w:color w:val="auto"/>
        </w:rPr>
      </w:pPr>
    </w:p>
    <w:p>
      <w:pPr>
        <w:jc w:val="both"/>
        <w:ind w:firstLine="472"/>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Real Property</w:t>
      </w:r>
      <w:r>
        <w:rPr>
          <w:rFonts w:ascii="Arial" w:cs="Arial" w:eastAsia="Arial" w:hAnsi="Arial"/>
          <w:sz w:val="22"/>
          <w:szCs w:val="22"/>
          <w:color w:val="auto"/>
        </w:rPr>
        <w:t>” means, collectively, all right, title and interest (including any leasehold estate) in and to any and all parcels of or interests in real property owned in fee or leased by any Credit Party,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Recipient</w:t>
      </w:r>
      <w:r>
        <w:rPr>
          <w:rFonts w:ascii="Arial" w:cs="Arial" w:eastAsia="Arial" w:hAnsi="Arial"/>
          <w:sz w:val="22"/>
          <w:szCs w:val="22"/>
          <w:color w:val="auto"/>
        </w:rPr>
        <w:t>” means (a) Agent and (b) any Lender, as applicable.</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Indebtedness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20" w:lineRule="exact"/>
        <w:rPr>
          <w:sz w:val="20"/>
          <w:szCs w:val="20"/>
          <w:color w:val="auto"/>
        </w:rPr>
      </w:pPr>
    </w:p>
    <w:p>
      <w:pPr>
        <w:jc w:val="both"/>
        <w:ind w:firstLine="553"/>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Transactions</w:t>
      </w:r>
      <w:r>
        <w:rPr>
          <w:rFonts w:ascii="Arial" w:cs="Arial" w:eastAsia="Arial" w:hAnsi="Arial"/>
          <w:sz w:val="19"/>
          <w:szCs w:val="19"/>
          <w:color w:val="auto"/>
        </w:rPr>
        <w:t>” means (A) the issuance and sale of the 2023 Notes, (B) the incurrence of indebtedness on or prior to the Amendment No. 3 Effective Date pursuant to the Term Credit Agreement and/or the repricing, refinancing, amendment, restatement or supplement, in whole or in part, of the Term Credit Agreement, (C) the redemption (including any satisfaction and discharge in connection therewith) of all of Parent Borrower’s then outstanding 7.875% Senior Notes due 2019 and 5.75% Senior Notes due 2021, (D) the issuance and sale of the 2024 Notes and the entry into, incurrence of indebtedness pursuant to and prepayment of all amounts outstanding under the Bridge Credit Agreement, (E) the entry into and incurrence of indebtedness pursuant to this Agreement and any repricing, refinancing, amendment, restatement or supplement, in whole or in part, of this Agreement, including Amendment No. 3 and (F) the payment of fees and expenses in connection with the foregoing.</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Refunded Swing Line Loan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2.1(b)(iii)</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Refunding Capital Stock</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7.2</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11.1(a)(i)</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U</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4.10</w:t>
      </w:r>
      <w:r>
        <w:rPr>
          <w:rFonts w:ascii="Arial" w:cs="Arial" w:eastAsia="Arial" w:hAnsi="Arial"/>
          <w:sz w:val="22"/>
          <w:szCs w:val="22"/>
          <w:color w:val="auto"/>
        </w:rPr>
        <w:t>.</w:t>
      </w:r>
    </w:p>
    <w:p>
      <w:pPr>
        <w:spacing w:after="0" w:line="220" w:lineRule="exact"/>
        <w:rPr>
          <w:sz w:val="20"/>
          <w:szCs w:val="20"/>
          <w:color w:val="auto"/>
        </w:rPr>
      </w:pPr>
    </w:p>
    <w:p>
      <w:pPr>
        <w:jc w:val="both"/>
        <w:ind w:firstLine="553"/>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Persons</w:t>
      </w:r>
      <w:r>
        <w:rPr>
          <w:rFonts w:ascii="Arial" w:cs="Arial" w:eastAsia="Arial" w:hAnsi="Arial"/>
          <w:sz w:val="22"/>
          <w:szCs w:val="22"/>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ectPr>
          <w:pgSz w:w="11900" w:h="16838" w:orient="portrait"/>
          <w:cols w:equalWidth="0" w:num="1">
            <w:col w:w="11240"/>
          </w:cols>
          <w:pgMar w:left="320" w:top="1428" w:right="339" w:bottom="1440" w:gutter="0" w:footer="0" w:header="0"/>
        </w:sectPr>
      </w:pPr>
    </w:p>
    <w:bookmarkStart w:id="173" w:name="page174"/>
    <w:bookmarkEnd w:id="173"/>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Relationship Bank</w:t>
      </w:r>
      <w:r>
        <w:rPr>
          <w:rFonts w:ascii="Arial" w:cs="Arial" w:eastAsia="Arial" w:hAnsi="Arial"/>
          <w:sz w:val="22"/>
          <w:szCs w:val="22"/>
          <w:color w:val="auto"/>
        </w:rPr>
        <w:t>” has the meaning specified in Annex A.</w:t>
      </w:r>
    </w:p>
    <w:p>
      <w:pPr>
        <w:spacing w:after="0" w:line="220" w:lineRule="exact"/>
        <w:rPr>
          <w:sz w:val="20"/>
          <w:szCs w:val="20"/>
          <w:color w:val="auto"/>
        </w:rPr>
      </w:pPr>
    </w:p>
    <w:p>
      <w:pPr>
        <w:jc w:val="both"/>
        <w:ind w:firstLine="580"/>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means any release, threatened release, spill, emission, leaking, pumping, pouring, emitting, emptying, escape, injection, deposit, disposal, discharge, dispersal, dumping, leaching or migration of Hazardous Material in the environment, including the migration of Hazardous Material through or in the air, soil, surface water, ground water or property.</w:t>
      </w:r>
    </w:p>
    <w:p>
      <w:pPr>
        <w:spacing w:after="0" w:line="133" w:lineRule="exact"/>
        <w:rPr>
          <w:sz w:val="20"/>
          <w:szCs w:val="20"/>
          <w:color w:val="auto"/>
        </w:rPr>
      </w:pPr>
    </w:p>
    <w:p>
      <w:pPr>
        <w:jc w:val="both"/>
        <w:ind w:firstLine="486"/>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Rent Reserve</w:t>
      </w:r>
      <w:r>
        <w:rPr>
          <w:rFonts w:ascii="Arial" w:cs="Arial" w:eastAsia="Arial" w:hAnsi="Arial"/>
          <w:sz w:val="19"/>
          <w:szCs w:val="19"/>
          <w:color w:val="auto"/>
        </w:rPr>
        <w:t>” means, with respect to any store, warehouse distribution center, regional distribution center or depot where any Eligible Equipment subject to Liens arising by operation of law is located (other than any Eligible Equipment with respect to which Agent has determined that such Liens have been waived or subordinated to Agent’s reasonable satisfaction pursuant to a landlord waiver, bailee letter or comparable agreement), a rent reserve not in excess of three (3) months’ rent (or for such longer time period that is determined by Agent in its Permitted Discretion as reasonably necessary to protect and/or realize upon the Collateral located at any) at such store, warehouse distribution center, regional distribution center or depot.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Replacement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2.14(d)</w:t>
      </w:r>
      <w:r>
        <w:rPr>
          <w:rFonts w:ascii="Arial" w:cs="Arial" w:eastAsia="Arial" w:hAnsi="Arial"/>
          <w:sz w:val="22"/>
          <w:szCs w:val="22"/>
          <w:color w:val="auto"/>
        </w:rPr>
        <w:t>.</w:t>
      </w:r>
    </w:p>
    <w:p>
      <w:pPr>
        <w:spacing w:after="0" w:line="220" w:lineRule="exact"/>
        <w:rPr>
          <w:sz w:val="20"/>
          <w:szCs w:val="20"/>
          <w:color w:val="auto"/>
        </w:rPr>
      </w:pPr>
    </w:p>
    <w:p>
      <w:pPr>
        <w:jc w:val="both"/>
        <w:ind w:firstLine="796"/>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Requisite Lenders</w:t>
      </w:r>
      <w:r>
        <w:rPr>
          <w:rFonts w:ascii="Arial" w:cs="Arial" w:eastAsia="Arial" w:hAnsi="Arial"/>
          <w:sz w:val="22"/>
          <w:szCs w:val="22"/>
          <w:color w:val="auto"/>
        </w:rPr>
        <w:t>” means Lenders having (a) more than 50% of the Commitments of all Lenders, or (b) if the Commitments have been terminated, more than 50% of the aggregate outstanding amount of the Loans, in each case, excluding Non-Funding Lenders.</w:t>
      </w:r>
    </w:p>
    <w:p>
      <w:pPr>
        <w:spacing w:after="0" w:line="185"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Reserves</w:t>
      </w:r>
      <w:r>
        <w:rPr>
          <w:rFonts w:ascii="Arial" w:cs="Arial" w:eastAsia="Arial" w:hAnsi="Arial"/>
          <w:sz w:val="22"/>
          <w:szCs w:val="22"/>
          <w:color w:val="auto"/>
        </w:rPr>
        <w:t xml:space="preserve">” means reserves against the Borrowing Base, including, without limitation, the Dilution Reserve, </w:t>
      </w:r>
      <w:r>
        <w:rPr>
          <w:rFonts w:ascii="Arial" w:cs="Arial" w:eastAsia="Arial" w:hAnsi="Arial"/>
          <w:sz w:val="22"/>
          <w:szCs w:val="22"/>
          <w:u w:val="single" w:color="auto"/>
          <w:color w:val="0000FF"/>
        </w:rPr>
        <w:t>the</w:t>
      </w:r>
      <w:r>
        <w:rPr>
          <w:rFonts w:ascii="Arial" w:cs="Arial" w:eastAsia="Arial" w:hAnsi="Arial"/>
          <w:sz w:val="22"/>
          <w:szCs w:val="22"/>
          <w:color w:val="auto"/>
        </w:rPr>
        <w:t xml:space="preserve"> </w:t>
      </w:r>
      <w:r>
        <w:rPr>
          <w:rFonts w:ascii="Arial" w:cs="Arial" w:eastAsia="Arial" w:hAnsi="Arial"/>
          <w:sz w:val="22"/>
          <w:szCs w:val="22"/>
          <w:u w:val="single" w:color="auto"/>
          <w:color w:val="0000FF"/>
        </w:rPr>
        <w:t>Discretionary FILO Dilution Reserve, if applicable,</w:t>
      </w:r>
      <w:r>
        <w:rPr>
          <w:rFonts w:ascii="Arial" w:cs="Arial" w:eastAsia="Arial" w:hAnsi="Arial"/>
          <w:sz w:val="22"/>
          <w:szCs w:val="22"/>
          <w:color w:val="0000FF"/>
        </w:rPr>
        <w:t xml:space="preserve"> </w:t>
      </w:r>
      <w:r>
        <w:rPr>
          <w:rFonts w:ascii="Arial" w:cs="Arial" w:eastAsia="Arial" w:hAnsi="Arial"/>
          <w:sz w:val="22"/>
          <w:szCs w:val="22"/>
          <w:color w:val="000000"/>
        </w:rPr>
        <w:t>the Rent Reserve, the Canadian Priority Payables Reserve and such</w:t>
      </w:r>
      <w:r>
        <w:rPr>
          <w:rFonts w:ascii="Arial" w:cs="Arial" w:eastAsia="Arial" w:hAnsi="Arial"/>
          <w:sz w:val="22"/>
          <w:szCs w:val="22"/>
          <w:color w:val="0000FF"/>
        </w:rPr>
        <w:t xml:space="preserve"> </w:t>
      </w:r>
      <w:r>
        <w:rPr>
          <w:rFonts w:ascii="Arial" w:cs="Arial" w:eastAsia="Arial" w:hAnsi="Arial"/>
          <w:sz w:val="22"/>
          <w:szCs w:val="22"/>
          <w:color w:val="000000"/>
        </w:rPr>
        <w:t xml:space="preserve">additional other reserves as Co-Collateral Agents may establish from time to time in their Permitted Discretion as provided in </w:t>
      </w:r>
      <w:r>
        <w:rPr>
          <w:rFonts w:ascii="Arial" w:cs="Arial" w:eastAsia="Arial" w:hAnsi="Arial"/>
          <w:sz w:val="22"/>
          <w:szCs w:val="22"/>
          <w:u w:val="single" w:color="auto"/>
          <w:color w:val="000000"/>
        </w:rPr>
        <w:t>Section 2.18</w:t>
      </w:r>
      <w:r>
        <w:rPr>
          <w:rFonts w:ascii="Arial" w:cs="Arial" w:eastAsia="Arial" w:hAnsi="Arial"/>
          <w:sz w:val="22"/>
          <w:szCs w:val="22"/>
          <w:color w:val="000000"/>
        </w:rPr>
        <w:t xml:space="preserve"> hereof, including related to any material downward trend in monthly Railcar Receivables (if included in the Borrowing Base at the time).</w:t>
      </w:r>
    </w:p>
    <w:p>
      <w:pPr>
        <w:spacing w:after="0" w:line="192" w:lineRule="exact"/>
        <w:rPr>
          <w:sz w:val="20"/>
          <w:szCs w:val="20"/>
          <w:color w:val="auto"/>
        </w:rPr>
      </w:pPr>
    </w:p>
    <w:p>
      <w:pPr>
        <w:ind w:right="20" w:firstLine="711"/>
        <w:spacing w:after="0" w:line="263" w:lineRule="auto"/>
        <w:rPr>
          <w:sz w:val="20"/>
          <w:szCs w:val="20"/>
          <w:color w:val="auto"/>
        </w:rPr>
      </w:pPr>
      <w:r>
        <w:rPr>
          <w:rFonts w:ascii="Arial" w:cs="Arial" w:eastAsia="Arial" w:hAnsi="Arial"/>
          <w:sz w:val="22"/>
          <w:szCs w:val="22"/>
          <w:color w:val="0000FF"/>
        </w:rPr>
        <w:t xml:space="preserve">“Resolution Authority” means an EEA Resolution Authority or, with respect to any UK Financial Institution, a UK </w:t>
      </w:r>
      <w:r>
        <w:rPr>
          <w:rFonts w:ascii="Arial" w:cs="Arial" w:eastAsia="Arial" w:hAnsi="Arial"/>
          <w:sz w:val="22"/>
          <w:szCs w:val="22"/>
          <w:u w:val="single" w:color="auto"/>
          <w:color w:val="0000FF"/>
        </w:rPr>
        <w:t>Resolution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240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24065" cy="8890"/>
                    </a:xfrm>
                    <a:prstGeom prst="rect">
                      <a:avLst/>
                    </a:prstGeom>
                    <a:noFill/>
                  </pic:spPr>
                </pic:pic>
              </a:graphicData>
            </a:graphic>
          </wp:anchor>
        </w:drawing>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Restatement Date</w:t>
      </w:r>
      <w:r>
        <w:rPr>
          <w:rFonts w:ascii="Arial" w:cs="Arial" w:eastAsia="Arial" w:hAnsi="Arial"/>
          <w:sz w:val="22"/>
          <w:szCs w:val="22"/>
          <w:color w:val="auto"/>
        </w:rPr>
        <w:t>” means October 30, 2015.</w:t>
      </w:r>
    </w:p>
    <w:p>
      <w:pPr>
        <w:spacing w:after="0" w:line="220" w:lineRule="exact"/>
        <w:rPr>
          <w:sz w:val="20"/>
          <w:szCs w:val="20"/>
          <w:color w:val="auto"/>
        </w:rPr>
      </w:pPr>
    </w:p>
    <w:p>
      <w:pPr>
        <w:jc w:val="both"/>
        <w:ind w:firstLine="553"/>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Cash</w:t>
      </w:r>
      <w:r>
        <w:rPr>
          <w:rFonts w:ascii="Arial" w:cs="Arial" w:eastAsia="Arial" w:hAnsi="Arial"/>
          <w:sz w:val="21"/>
          <w:szCs w:val="21"/>
          <w:color w:val="auto"/>
        </w:rPr>
        <w:t>” means cash and Cash Equivalents held by Parent Borrower and the Restricted Subsidiaries that would appear as “restricted” on a consolidated balance sheet of Parent Borrower or any of the Restricted Subsidiaries.</w:t>
      </w:r>
    </w:p>
    <w:p>
      <w:pPr>
        <w:spacing w:after="0" w:line="151" w:lineRule="exact"/>
        <w:rPr>
          <w:sz w:val="20"/>
          <w:szCs w:val="20"/>
          <w:color w:val="auto"/>
        </w:rPr>
      </w:pPr>
    </w:p>
    <w:p>
      <w:pPr>
        <w:jc w:val="both"/>
        <w:ind w:firstLine="68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Conditions</w:t>
      </w:r>
      <w:r>
        <w:rPr>
          <w:rFonts w:ascii="Arial" w:cs="Arial" w:eastAsia="Arial" w:hAnsi="Arial"/>
          <w:sz w:val="19"/>
          <w:szCs w:val="19"/>
          <w:color w:val="auto"/>
        </w:rPr>
        <w:t xml:space="preserve">” means (a) there is no Default or Event of Default existing immediately before or after such transaction, (b) (i) the 30 Day Availability immediately preceding the proposed transaction and (ii) Availability on the date of the proposed transaction (in each case, calculated on a pro forma basis for such transaction and/or any Advance) is equal to or greater than the greater of (x) 10.0% of Available Credit and (y) $75,000,000, (c) the Fixed Charge Coverage Ratio is at least 1.00 to 1.00 determined as of the end of the most recent Fiscal Quarter for which financial statements were required to have been delivered to Agent for the twelve-month period then ended;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each of 30 Day Availability and Availability</w:t>
      </w:r>
    </w:p>
    <w:p>
      <w:pPr>
        <w:sectPr>
          <w:pgSz w:w="11900" w:h="16838" w:orient="portrait"/>
          <w:cols w:equalWidth="0" w:num="1">
            <w:col w:w="11240"/>
          </w:cols>
          <w:pgMar w:left="320" w:top="1428" w:right="339" w:bottom="1440" w:gutter="0" w:footer="0" w:header="0"/>
        </w:sectPr>
      </w:pPr>
    </w:p>
    <w:bookmarkStart w:id="174" w:name="page175"/>
    <w:bookmarkEnd w:id="174"/>
    <w:p>
      <w:pPr>
        <w:jc w:val="both"/>
        <w:spacing w:after="0" w:line="248" w:lineRule="auto"/>
        <w:rPr>
          <w:sz w:val="20"/>
          <w:szCs w:val="20"/>
          <w:color w:val="auto"/>
        </w:rPr>
      </w:pPr>
      <w:r>
        <w:rPr>
          <w:rFonts w:ascii="Arial" w:cs="Arial" w:eastAsia="Arial" w:hAnsi="Arial"/>
          <w:sz w:val="22"/>
          <w:szCs w:val="22"/>
          <w:color w:val="auto"/>
        </w:rPr>
        <w:t>on the date of the proposed transaction (in each case, calculated on a pro forma basis for such transaction and/or any Advance) is greater than the greater of (x) 15.0% of Available Credit and (y) $95,000,000 at such time, clause (c) shall not apply and (d) for transactions which are consummated in reliance on the Restricted Conditions in an amount in excess of $100,000,000 only, Parent Borrower shall have delivered a customary Officer’s Certificate to Agent certifying as to compliance with the requirements of clauses (a) through (c) (if applicable).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Investment</w:t>
      </w:r>
      <w:r>
        <w:rPr>
          <w:rFonts w:ascii="Arial" w:cs="Arial" w:eastAsia="Arial" w:hAnsi="Arial"/>
          <w:sz w:val="22"/>
          <w:szCs w:val="22"/>
          <w:color w:val="auto"/>
        </w:rPr>
        <w:t>” means an Investment other than a Permitted Investment.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7.2</w:t>
      </w:r>
      <w:r>
        <w:rPr>
          <w:rFonts w:ascii="Arial" w:cs="Arial" w:eastAsia="Arial" w:hAnsi="Arial"/>
          <w:sz w:val="22"/>
          <w:szCs w:val="22"/>
          <w:color w:val="auto"/>
        </w:rPr>
        <w:t>.</w:t>
      </w:r>
    </w:p>
    <w:p>
      <w:pPr>
        <w:spacing w:after="0" w:line="220" w:lineRule="exact"/>
        <w:rPr>
          <w:sz w:val="20"/>
          <w:szCs w:val="20"/>
          <w:color w:val="auto"/>
        </w:rPr>
      </w:pPr>
    </w:p>
    <w:p>
      <w:pPr>
        <w:jc w:val="both"/>
        <w:ind w:firstLine="675"/>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means, with respect to any Person, any Subsidiary of such Person other than an Unrestricted Subsidiary of such Person. Unless the context otherwise requires, the term “Restricted Subsidiary” shall mean a Restricted Subsidiary of Parent Borrower. Each Credit Party shall constitute a Restricted Subsidiary.</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Retired Capital Stock</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7.2(b)(ii)(A)</w:t>
      </w:r>
      <w:r>
        <w:rPr>
          <w:rFonts w:ascii="Arial" w:cs="Arial" w:eastAsia="Arial" w:hAnsi="Arial"/>
          <w:sz w:val="22"/>
          <w:szCs w:val="22"/>
          <w:color w:val="auto"/>
        </w:rPr>
        <w:t>.</w:t>
      </w:r>
    </w:p>
    <w:p>
      <w:pPr>
        <w:spacing w:after="0" w:line="220" w:lineRule="exact"/>
        <w:rPr>
          <w:sz w:val="20"/>
          <w:szCs w:val="20"/>
          <w:color w:val="auto"/>
        </w:rPr>
      </w:pPr>
    </w:p>
    <w:p>
      <w:pPr>
        <w:jc w:val="both"/>
        <w:ind w:firstLine="48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Retiree Welfare Plan</w:t>
      </w:r>
      <w:r>
        <w:rPr>
          <w:rFonts w:ascii="Arial" w:cs="Arial" w:eastAsia="Arial" w:hAnsi="Arial"/>
          <w:sz w:val="22"/>
          <w:szCs w:val="22"/>
          <w:color w:val="auto"/>
        </w:rPr>
        <w:t>” means, at any time, a welfare plan (within the meaning of Section 3(1) of ERISA) that provides for continuing coverage or benefits for any participant or any beneficiary of a participant after such participant’s termination of employment, other than continuation coverage provided pursuant to Section 4980B of the IRC or other similar state law and at the sole expense of the participant or the beneficiary of the participant.</w:t>
      </w:r>
    </w:p>
    <w:p>
      <w:pPr>
        <w:spacing w:after="0" w:line="188" w:lineRule="exact"/>
        <w:rPr>
          <w:sz w:val="20"/>
          <w:szCs w:val="20"/>
          <w:color w:val="auto"/>
        </w:rPr>
      </w:pPr>
    </w:p>
    <w:p>
      <w:pPr>
        <w:jc w:val="both"/>
        <w:ind w:firstLine="432"/>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Revaluation Date</w:t>
      </w:r>
      <w:r>
        <w:rPr>
          <w:rFonts w:ascii="Arial" w:cs="Arial" w:eastAsia="Arial" w:hAnsi="Arial"/>
          <w:sz w:val="21"/>
          <w:szCs w:val="21"/>
          <w:color w:val="auto"/>
        </w:rPr>
        <w:t>” means (a) with respect to any Loan made to a Canadian Borrower, each of the following: (i) each date of an Advance to a Canadian Borrower and (ii) each date of a continuation of a Loan made to a Canadian Borrower and (b) with respect to any Letter of Credit, each of the following: (i) each date of issuance of a Letter of Credit for or on behalf of a Canadian Borrower or for or on behalf of a U.S. Borrower if such Letter of Credit is denominated in an Alternative Currency, (ii) each date of an amendment of any such Letter of Credit having the effect of increasing the amount thereof and (iii) the latest to occur of (1) each date of any payment by any L/C Issuer under any Letter of Credit denominated in Canadian Dollars or an Alternative Currency, (2) each date of reimbursement payment made by a Borrower to any L/C Issuer under any Letter of Credit denominated in Canadian Dollars or an Alternative Currency, or (3) payment over to any L/C Issuer under any Letter of Credit denominated in Canadian Dollars or an Alternative Currency by a Lender of its Pro Rata Share of a participation interest or a Revolving Loan advanced as reimbursement.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Advance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2.1(a)(i)</w:t>
      </w:r>
      <w:r>
        <w:rPr>
          <w:rFonts w:ascii="Arial" w:cs="Arial" w:eastAsia="Arial" w:hAnsi="Arial"/>
          <w:sz w:val="22"/>
          <w:szCs w:val="22"/>
          <w:color w:val="auto"/>
        </w:rPr>
        <w:t>.</w:t>
      </w:r>
    </w:p>
    <w:p>
      <w:pPr>
        <w:spacing w:after="0" w:line="220"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xml:space="preserve">” means, at any time, the sum of (a) the aggregate amount of Revolving Credit Advances outstanding to Borrowers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(b) the aggregate Letter of Credit Obligations incurred on behalf of Borrowers. Unless the context otherwise requires, references to the outstanding principal balance of the Revolving Loan shall include the outstanding balance of Letter of Credit Obligations.</w:t>
      </w:r>
    </w:p>
    <w:p>
      <w:pPr>
        <w:sectPr>
          <w:pgSz w:w="11900" w:h="16838" w:orient="portrait"/>
          <w:cols w:equalWidth="0" w:num="1">
            <w:col w:w="11240"/>
          </w:cols>
          <w:pgMar w:left="320" w:top="1428" w:right="339" w:bottom="1440" w:gutter="0" w:footer="0" w:header="0"/>
        </w:sectPr>
      </w:pPr>
    </w:p>
    <w:bookmarkStart w:id="175" w:name="page176"/>
    <w:bookmarkEnd w:id="175"/>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Note</w:t>
      </w:r>
      <w:r>
        <w:rPr>
          <w:rFonts w:ascii="Arial" w:cs="Arial" w:eastAsia="Arial" w:hAnsi="Arial"/>
          <w:sz w:val="22"/>
          <w:szCs w:val="22"/>
          <w:color w:val="auto"/>
        </w:rPr>
        <w:t>” and “</w:t>
      </w:r>
      <w:r>
        <w:rPr>
          <w:rFonts w:ascii="Arial" w:cs="Arial" w:eastAsia="Arial" w:hAnsi="Arial"/>
          <w:sz w:val="22"/>
          <w:szCs w:val="22"/>
          <w:u w:val="single" w:color="auto"/>
          <w:color w:val="auto"/>
        </w:rPr>
        <w:t>Revolving Notes</w:t>
      </w:r>
      <w:r>
        <w:rPr>
          <w:rFonts w:ascii="Arial" w:cs="Arial" w:eastAsia="Arial" w:hAnsi="Arial"/>
          <w:sz w:val="22"/>
          <w:szCs w:val="22"/>
          <w:color w:val="auto"/>
        </w:rPr>
        <w:t xml:space="preserve">” have the meaning specified in </w:t>
      </w:r>
      <w:r>
        <w:rPr>
          <w:rFonts w:ascii="Arial" w:cs="Arial" w:eastAsia="Arial" w:hAnsi="Arial"/>
          <w:sz w:val="22"/>
          <w:szCs w:val="22"/>
          <w:u w:val="single" w:color="auto"/>
          <w:color w:val="auto"/>
        </w:rPr>
        <w:t>Section 2.1(a)(ii)</w:t>
      </w:r>
      <w:r>
        <w:rPr>
          <w:rFonts w:ascii="Arial" w:cs="Arial" w:eastAsia="Arial" w:hAnsi="Arial"/>
          <w:sz w:val="22"/>
          <w:szCs w:val="22"/>
          <w:color w:val="auto"/>
        </w:rPr>
        <w:t>.</w:t>
      </w:r>
    </w:p>
    <w:p>
      <w:pPr>
        <w:spacing w:after="0" w:line="22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Rolling Stock</w:t>
      </w:r>
      <w:r>
        <w:rPr>
          <w:rFonts w:ascii="Arial" w:cs="Arial" w:eastAsia="Arial" w:hAnsi="Arial"/>
          <w:sz w:val="22"/>
          <w:szCs w:val="22"/>
          <w:color w:val="auto"/>
        </w:rPr>
        <w:t>” means all Railcars, Chassis, trucks, trailers, tractors, wherever located, except for automobiles used by the Credit Parties’ employees.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Rolling Stock Collateral</w:t>
      </w:r>
      <w:r>
        <w:rPr>
          <w:rFonts w:ascii="Arial" w:cs="Arial" w:eastAsia="Arial" w:hAnsi="Arial"/>
          <w:sz w:val="21"/>
          <w:szCs w:val="21"/>
          <w:color w:val="auto"/>
        </w:rPr>
        <w:t>” means all Rolling Stock constituting Collateral that is included in the U.S. Borrowing Base.</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Ratings Group or any successor to the rating agency business thereof.</w:t>
      </w:r>
    </w:p>
    <w:p>
      <w:pPr>
        <w:spacing w:after="0" w:line="220" w:lineRule="exact"/>
        <w:rPr>
          <w:sz w:val="20"/>
          <w:szCs w:val="20"/>
          <w:color w:val="auto"/>
        </w:rPr>
      </w:pPr>
    </w:p>
    <w:p>
      <w:pPr>
        <w:jc w:val="both"/>
        <w:ind w:firstLine="675"/>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Sale/Leaseback Transaction</w:t>
      </w:r>
      <w:r>
        <w:rPr>
          <w:rFonts w:ascii="Arial" w:cs="Arial" w:eastAsia="Arial" w:hAnsi="Arial"/>
          <w:sz w:val="22"/>
          <w:szCs w:val="22"/>
          <w:color w:val="auto"/>
        </w:rPr>
        <w:t>” means an arrangement relating to property now owned or hereafter acquired by Parent Borrower or a Restricted Subsidiary whereby Parent Borrower or such Restricted Subsidiary transfers such property to a Person and Parent Borrower or such Restricted Subsidiary leases it from such Person, other than leases between any of Parent Borrower and a Restricted Subsidiary or between Restricted Subsidiaries.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Scheduled Unavailability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2.15</w:t>
      </w:r>
      <w:r>
        <w:rPr>
          <w:rFonts w:ascii="Arial" w:cs="Arial" w:eastAsia="Arial" w:hAnsi="Arial"/>
          <w:sz w:val="22"/>
          <w:szCs w:val="22"/>
          <w:color w:val="auto"/>
        </w:rPr>
        <w:t>.</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Schedules</w:t>
      </w:r>
      <w:r>
        <w:rPr>
          <w:rFonts w:ascii="Arial" w:cs="Arial" w:eastAsia="Arial" w:hAnsi="Arial"/>
          <w:sz w:val="22"/>
          <w:szCs w:val="22"/>
          <w:color w:val="auto"/>
        </w:rPr>
        <w:t>” means the Schedules prepared by Borrowers and attached to this Agreement.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United States Securities and Exchange Commission.</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Hedge Agreement</w:t>
      </w:r>
      <w:r>
        <w:rPr>
          <w:rFonts w:ascii="Arial" w:cs="Arial" w:eastAsia="Arial" w:hAnsi="Arial"/>
          <w:sz w:val="21"/>
          <w:szCs w:val="21"/>
          <w:color w:val="auto"/>
        </w:rPr>
        <w:t>” means any Swap Contract by and between any Credit Party and any Hedge Bank.</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Hedging Obligations</w:t>
      </w:r>
      <w:r>
        <w:rPr>
          <w:rFonts w:ascii="Arial" w:cs="Arial" w:eastAsia="Arial" w:hAnsi="Arial"/>
          <w:sz w:val="19"/>
          <w:szCs w:val="19"/>
          <w:color w:val="auto"/>
        </w:rPr>
        <w:t>” means the obligations of any Credit Party arising under any Secured Hedge Agreement.</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Indebtedness</w:t>
      </w:r>
      <w:r>
        <w:rPr>
          <w:rFonts w:ascii="Arial" w:cs="Arial" w:eastAsia="Arial" w:hAnsi="Arial"/>
          <w:sz w:val="22"/>
          <w:szCs w:val="22"/>
          <w:color w:val="auto"/>
        </w:rPr>
        <w:t>” means any Consolidated Total Indebtedness secured by a Lien.</w:t>
      </w:r>
    </w:p>
    <w:p>
      <w:pPr>
        <w:spacing w:after="0" w:line="220" w:lineRule="exact"/>
        <w:rPr>
          <w:sz w:val="20"/>
          <w:szCs w:val="20"/>
          <w:color w:val="auto"/>
        </w:rPr>
      </w:pPr>
    </w:p>
    <w:p>
      <w:pPr>
        <w:jc w:val="both"/>
        <w:ind w:right="20" w:firstLine="540"/>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Secured Parties</w:t>
      </w:r>
      <w:r>
        <w:rPr>
          <w:rFonts w:ascii="Arial" w:cs="Arial" w:eastAsia="Arial" w:hAnsi="Arial"/>
          <w:sz w:val="21"/>
          <w:szCs w:val="21"/>
          <w:color w:val="auto"/>
        </w:rPr>
        <w:t>” means, collectively, with respect to the Obligations, Agent, Co-Collateral Agents, the Lenders, the L/C Issuers, the Swing Line Lender, any Lender or Agent (or any Affiliate of a Lender or Agent) that is a party to the Bank Product Documents and any Lender, Agent or any Hedge Bank that is a party to a Secured Hedge Agreement.</w:t>
      </w:r>
    </w:p>
    <w:p>
      <w:pPr>
        <w:spacing w:after="0" w:line="167" w:lineRule="exact"/>
        <w:rPr>
          <w:sz w:val="20"/>
          <w:szCs w:val="20"/>
          <w:color w:val="auto"/>
        </w:rPr>
      </w:pPr>
    </w:p>
    <w:p>
      <w:pPr>
        <w:jc w:val="both"/>
        <w:ind w:firstLine="567"/>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Securitization Assets</w:t>
      </w:r>
      <w:r>
        <w:rPr>
          <w:rFonts w:ascii="Arial" w:cs="Arial" w:eastAsia="Arial" w:hAnsi="Arial"/>
          <w:sz w:val="19"/>
          <w:szCs w:val="19"/>
          <w:color w:val="auto"/>
        </w:rPr>
        <w:t>” means any of the following assets (or interests therein) from time to time originated, acquired or otherwise owned by Parent Borrower or any Restricted Subsidiary or in which Parent Borrower or any Restricted Subsidiary has any rights or interests, in each case, without regard to where such assets or interests are located: (1) receivables, payment obligations, installment contracts, and similar rights, whether currently existing or arising or estimated to arise in the future, and whether in the form of accounts, chattel paper, general intangibles, instruments or otherwise (including any drafts, bills of exchange or similar notes and instruments), (2) royalty and other similar payments made related to the use of trade names and other intellectual property, business support, training and other services, including, without limitation, licensing fees, lease payments and similar revenue streams, (3) revenues related to</w:t>
      </w:r>
    </w:p>
    <w:p>
      <w:pPr>
        <w:sectPr>
          <w:pgSz w:w="11900" w:h="16838" w:orient="portrait"/>
          <w:cols w:equalWidth="0" w:num="1">
            <w:col w:w="11240"/>
          </w:cols>
          <w:pgMar w:left="320" w:top="1428" w:right="339" w:bottom="1440" w:gutter="0" w:footer="0" w:header="0"/>
        </w:sectPr>
      </w:pPr>
    </w:p>
    <w:bookmarkStart w:id="176" w:name="page177"/>
    <w:bookmarkEnd w:id="176"/>
    <w:p>
      <w:pPr>
        <w:jc w:val="both"/>
        <w:spacing w:after="0" w:line="247" w:lineRule="auto"/>
        <w:rPr>
          <w:sz w:val="20"/>
          <w:szCs w:val="20"/>
          <w:color w:val="auto"/>
        </w:rPr>
      </w:pPr>
      <w:r>
        <w:rPr>
          <w:rFonts w:ascii="Arial" w:cs="Arial" w:eastAsia="Arial" w:hAnsi="Arial"/>
          <w:sz w:val="22"/>
          <w:szCs w:val="22"/>
          <w:color w:val="auto"/>
        </w:rPr>
        <w:t>distribution and merchandising of the products of Parent Borrower and its Restricted Subsidiaries, (4) intellectual property rights relating to the generation of any of the foregoing types of assets, (5) parcels of or interests in real property, together with all easements, hereditaments and appurtenances thereto, all improvements and appurtenant fixtures and equipment, incidental to the ownership, lease or operation thereof, and (6) any other assets and property to the extent customarily included in securitization transactions or factoring transactions of the relevant type in the applicable jurisdictions (as determined by Parent Borrower in good faith).</w:t>
      </w:r>
    </w:p>
    <w:p>
      <w:pPr>
        <w:spacing w:after="0" w:line="193" w:lineRule="exact"/>
        <w:rPr>
          <w:sz w:val="20"/>
          <w:szCs w:val="20"/>
          <w:color w:val="auto"/>
        </w:rPr>
      </w:pPr>
    </w:p>
    <w:p>
      <w:pPr>
        <w:jc w:val="both"/>
        <w:ind w:firstLine="742"/>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Securitization Fees</w:t>
      </w:r>
      <w:r>
        <w:rPr>
          <w:rFonts w:ascii="Arial" w:cs="Arial" w:eastAsia="Arial" w:hAnsi="Arial"/>
          <w:sz w:val="22"/>
          <w:szCs w:val="22"/>
          <w:color w:val="auto"/>
        </w:rPr>
        <w:t>” means distributions or payments made directly or by means of discounts with respect to any participation interests issued or sold in connection with, and all other fees paid to a Person that is not a Restricted Subsidiary in connection with, any Securitization Financing.</w:t>
      </w:r>
    </w:p>
    <w:p>
      <w:pPr>
        <w:spacing w:after="0" w:line="185" w:lineRule="exact"/>
        <w:rPr>
          <w:sz w:val="20"/>
          <w:szCs w:val="20"/>
          <w:color w:val="auto"/>
        </w:rPr>
      </w:pPr>
    </w:p>
    <w:p>
      <w:pPr>
        <w:jc w:val="both"/>
        <w:ind w:firstLine="513"/>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Securitization Financing</w:t>
      </w:r>
      <w:r>
        <w:rPr>
          <w:rFonts w:ascii="Arial" w:cs="Arial" w:eastAsia="Arial" w:hAnsi="Arial"/>
          <w:sz w:val="19"/>
          <w:szCs w:val="19"/>
          <w:color w:val="auto"/>
        </w:rPr>
        <w:t>” means any transaction or series of transactions that may be entered into by Parent Borrower or any of its Subsidiaries pursuant to which Parent Borrower or any of its Subsidiaries may sell, assign, convey or otherwise transfer (including, for the avoidance of doubt, any conveyance or transfer effected by means of declaration of a trust over the relevant assets) to any other Person, or may grant a security interest in, any Securitization Assets (whether now existing or arising in the future) of Parent Borrower or any of its Subsidiaries, and any assets related thereto including, without limitation, all collateral securing such Securitization Assets, all contracts and all guarantees or other obligations in respect of such Securitization Assets, proceeds of such Securitization Assets and other assets which are customarily sold, assigned, conveyed, or transferred or in respect of which security interests are customarily granted in connection with asset securitization transactions or factoring transactions involving Securitization Assets and any Hedging Obligations entered into by Parent Borrower or any such Subsidiary in connection with such Securitization Assets.</w:t>
      </w:r>
    </w:p>
    <w:p>
      <w:pPr>
        <w:spacing w:after="0" w:line="159" w:lineRule="exact"/>
        <w:rPr>
          <w:sz w:val="20"/>
          <w:szCs w:val="20"/>
          <w:color w:val="auto"/>
        </w:rPr>
      </w:pPr>
    </w:p>
    <w:p>
      <w:pPr>
        <w:jc w:val="both"/>
        <w:ind w:firstLine="864"/>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Securitization Repurchase Obligation</w:t>
      </w:r>
      <w:r>
        <w:rPr>
          <w:rFonts w:ascii="Arial" w:cs="Arial" w:eastAsia="Arial" w:hAnsi="Arial"/>
          <w:sz w:val="22"/>
          <w:szCs w:val="22"/>
          <w:color w:val="auto"/>
        </w:rPr>
        <w:t>” means any obligation of a seller of Securitization Assets in a Qualified Securitization Financing to repurchase Securitization Assets arising as a result of a breach of a representation, warranty or covenant or otherwise, including as a result of a Securitization Asset or portion thereof becoming subject to any asserted defense, dispute, dilution, off-set or counterclaim of any kind as a result of any action taken by, any failure to take action by or any other event relating to the seller.</w:t>
      </w:r>
    </w:p>
    <w:p>
      <w:pPr>
        <w:spacing w:after="0" w:line="192" w:lineRule="exact"/>
        <w:rPr>
          <w:sz w:val="20"/>
          <w:szCs w:val="20"/>
          <w:color w:val="auto"/>
        </w:rPr>
      </w:pPr>
    </w:p>
    <w:p>
      <w:pPr>
        <w:jc w:val="both"/>
        <w:ind w:firstLine="553"/>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Securitization Subsidiary</w:t>
      </w:r>
      <w:r>
        <w:rPr>
          <w:rFonts w:ascii="Arial" w:cs="Arial" w:eastAsia="Arial" w:hAnsi="Arial"/>
          <w:sz w:val="21"/>
          <w:szCs w:val="21"/>
          <w:color w:val="auto"/>
        </w:rPr>
        <w:t>” means a Wholly Owned Restricted Subsidiary (or another Person formed for the purposes of engaging in a Qualified Securitization Financing with Parent Borrower or any of its Subsidiaries in which Parent Borrower or any of its Subsidiaries makes an Investment and Parent Borrower or any of its Subsidiaries transfers Securitization Assets and related assets) which engages in no activities other than in connection with the financing of Securitization Assets of one or more Subsidiaries that are not Credit Parties, all proceeds thereof and all rights (contractual or other), collateral and other assets relating thereto, and any business or activities incidental or related to such business, and which is designated by the Parent Borrower as a Securitization Subsidiary and:</w:t>
      </w:r>
    </w:p>
    <w:p>
      <w:pPr>
        <w:sectPr>
          <w:pgSz w:w="11900" w:h="16838" w:orient="portrait"/>
          <w:cols w:equalWidth="0" w:num="1">
            <w:col w:w="11240"/>
          </w:cols>
          <w:pgMar w:left="320" w:top="1428" w:right="339" w:bottom="1440" w:gutter="0" w:footer="0" w:header="0"/>
        </w:sectPr>
      </w:pPr>
    </w:p>
    <w:bookmarkStart w:id="177" w:name="page178"/>
    <w:bookmarkEnd w:id="177"/>
    <w:p>
      <w:pPr>
        <w:ind w:right="240" w:firstLine="575"/>
        <w:spacing w:after="0" w:line="294" w:lineRule="auto"/>
        <w:tabs>
          <w:tab w:leader="none" w:pos="861" w:val="left"/>
        </w:tabs>
        <w:numPr>
          <w:ilvl w:val="0"/>
          <w:numId w:val="79"/>
        </w:numPr>
        <w:rPr>
          <w:rFonts w:ascii="Arial" w:cs="Arial" w:eastAsia="Arial" w:hAnsi="Arial"/>
          <w:sz w:val="19"/>
          <w:szCs w:val="19"/>
          <w:color w:val="auto"/>
        </w:rPr>
      </w:pPr>
      <w:r>
        <w:rPr>
          <w:rFonts w:ascii="Arial" w:cs="Arial" w:eastAsia="Arial" w:hAnsi="Arial"/>
          <w:sz w:val="19"/>
          <w:szCs w:val="19"/>
          <w:color w:val="auto"/>
        </w:rPr>
        <w:t>no portion of the Indebtedness or any other obligations (contingent or otherwise) of which (i) is guaranteed by Parent Borrower or any other Restricted Subsidiary (excluding guarantees of obligations (other than the principal of and interest on, Indebtedness) pursuant to Standard Securitization Undertakings), (ii) is recourse to or obligates Parent Borrower or any other Restricted Subsidiary in any way other than pursuant to Standard Securitization Undertakings, or (iii) subjects any property or asset of Parent Borrower or any other Restricted Subsidiary, directly or indirectly, contingently or otherwise, to the satisfaction thereof, other than pursuant to Standard Securitization Undertakings;</w:t>
      </w:r>
    </w:p>
    <w:p>
      <w:pPr>
        <w:spacing w:after="0" w:line="41" w:lineRule="exact"/>
        <w:rPr>
          <w:rFonts w:ascii="Arial" w:cs="Arial" w:eastAsia="Arial" w:hAnsi="Arial"/>
          <w:sz w:val="19"/>
          <w:szCs w:val="19"/>
          <w:color w:val="auto"/>
        </w:rPr>
      </w:pPr>
    </w:p>
    <w:p>
      <w:pPr>
        <w:jc w:val="both"/>
        <w:ind w:right="220" w:firstLine="575"/>
        <w:spacing w:after="0" w:line="265" w:lineRule="auto"/>
        <w:tabs>
          <w:tab w:leader="none" w:pos="873" w:val="left"/>
        </w:tabs>
        <w:numPr>
          <w:ilvl w:val="0"/>
          <w:numId w:val="79"/>
        </w:numPr>
        <w:rPr>
          <w:rFonts w:ascii="Arial" w:cs="Arial" w:eastAsia="Arial" w:hAnsi="Arial"/>
          <w:sz w:val="21"/>
          <w:szCs w:val="21"/>
          <w:color w:val="auto"/>
        </w:rPr>
      </w:pPr>
      <w:r>
        <w:rPr>
          <w:rFonts w:ascii="Arial" w:cs="Arial" w:eastAsia="Arial" w:hAnsi="Arial"/>
          <w:sz w:val="21"/>
          <w:szCs w:val="21"/>
          <w:color w:val="auto"/>
        </w:rPr>
        <w:t>with which neither Parent Borrower nor any Restricted Subsidiary has any material contract, agreement, arrangement or understanding other than on terms which Parent Borrower reasonably believes to be no less favorable to Parent Borrower or such Restricted Subsidiary than those that might be obtained at the time from Persons that are not Affiliates of Parent Borrower (other than pursuant to Standard Securitization Undertakings); and</w:t>
      </w:r>
    </w:p>
    <w:p>
      <w:pPr>
        <w:spacing w:after="0" w:line="67" w:lineRule="exact"/>
        <w:rPr>
          <w:rFonts w:ascii="Arial" w:cs="Arial" w:eastAsia="Arial" w:hAnsi="Arial"/>
          <w:sz w:val="21"/>
          <w:szCs w:val="21"/>
          <w:color w:val="auto"/>
        </w:rPr>
      </w:pPr>
    </w:p>
    <w:p>
      <w:pPr>
        <w:ind w:right="40" w:firstLine="575"/>
        <w:spacing w:after="0" w:line="253" w:lineRule="auto"/>
        <w:tabs>
          <w:tab w:leader="none" w:pos="861" w:val="left"/>
        </w:tabs>
        <w:numPr>
          <w:ilvl w:val="0"/>
          <w:numId w:val="79"/>
        </w:numPr>
        <w:rPr>
          <w:rFonts w:ascii="Arial" w:cs="Arial" w:eastAsia="Arial" w:hAnsi="Arial"/>
          <w:sz w:val="22"/>
          <w:szCs w:val="22"/>
          <w:color w:val="auto"/>
        </w:rPr>
      </w:pPr>
      <w:r>
        <w:rPr>
          <w:rFonts w:ascii="Arial" w:cs="Arial" w:eastAsia="Arial" w:hAnsi="Arial"/>
          <w:sz w:val="22"/>
          <w:szCs w:val="22"/>
          <w:color w:val="auto"/>
        </w:rPr>
        <w:t>to which neither Parent Borrower nor any Restricted Subsidiary has any obligation to maintain or preserve such entity’s financial condition or cause such entity to achieve certain levels of operating results (other than pursuant to Standard Securitization Undertakings).</w:t>
      </w:r>
    </w:p>
    <w:p>
      <w:pPr>
        <w:spacing w:after="0" w:line="77" w:lineRule="exact"/>
        <w:rPr>
          <w:sz w:val="20"/>
          <w:szCs w:val="20"/>
          <w:color w:val="auto"/>
        </w:rPr>
      </w:pPr>
    </w:p>
    <w:p>
      <w:pPr>
        <w:jc w:val="both"/>
        <w:ind w:firstLine="459"/>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Representative</w:t>
      </w:r>
      <w:r>
        <w:rPr>
          <w:rFonts w:ascii="Arial" w:cs="Arial" w:eastAsia="Arial" w:hAnsi="Arial"/>
          <w:sz w:val="22"/>
          <w:szCs w:val="22"/>
          <w:color w:val="auto"/>
        </w:rPr>
        <w:t>” means, with respect to any Indebtedness,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Settlement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10.8(a)(ii)</w:t>
      </w:r>
      <w:r>
        <w:rPr>
          <w:rFonts w:ascii="Arial" w:cs="Arial" w:eastAsia="Arial" w:hAnsi="Arial"/>
          <w:sz w:val="22"/>
          <w:szCs w:val="22"/>
          <w:color w:val="auto"/>
        </w:rPr>
        <w:t>.</w:t>
      </w:r>
    </w:p>
    <w:p>
      <w:pPr>
        <w:spacing w:after="0" w:line="220" w:lineRule="exact"/>
        <w:rPr>
          <w:sz w:val="20"/>
          <w:szCs w:val="20"/>
          <w:color w:val="auto"/>
        </w:rPr>
      </w:pPr>
    </w:p>
    <w:p>
      <w:pPr>
        <w:jc w:val="both"/>
        <w:ind w:right="20" w:firstLine="52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Significant Subsidiary</w:t>
      </w:r>
      <w:r>
        <w:rPr>
          <w:rFonts w:ascii="Arial" w:cs="Arial" w:eastAsia="Arial" w:hAnsi="Arial"/>
          <w:sz w:val="22"/>
          <w:szCs w:val="22"/>
          <w:color w:val="auto"/>
        </w:rPr>
        <w:t>” means any Restricted Subsidiary that would be a “Significant Subsidiary” within the meaning of Rule 1-02 under Regulation S-X promulgated by the SEC (or any successor provisions).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Similar Business</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7.6</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Singapore Dollars</w:t>
      </w:r>
      <w:r>
        <w:rPr>
          <w:rFonts w:ascii="Arial" w:cs="Arial" w:eastAsia="Arial" w:hAnsi="Arial"/>
          <w:sz w:val="22"/>
          <w:szCs w:val="22"/>
          <w:color w:val="auto"/>
        </w:rPr>
        <w:t>” means the lawful currency of Singapore.</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means, with respect to any Person organized under the laws of the United States or any state thereof, on a particular date, that on such date (a) the fair value of the assets of such Person, at a fair valuation, will exceed the debts and liabilities, direct, subordinated, contingent or otherwise, of such Person; (b) the present fair saleable value of the property of such Person will be greater than the amount that will be required to pay the probable liability of such Person on its debts and other liabilities, direct, subordinated, contingent or otherwise, as such debts and other liabilities become absolute and matured; (c) such Person will be able to pay its debts and liabilities, direct, subordinated, contingent or otherwise, as such debts and liabilities become absolute and matured; and (d) such Person will not have unreasonably small capital with which to conduct the businesses in which it is engaged as such businesses are conducted on such date and are proposed to be conducted after such date.</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SPC</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11.1(g)</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bookmarkStart w:id="178" w:name="page179"/>
    <w:bookmarkEnd w:id="178"/>
    <w:p>
      <w:pPr>
        <w:ind w:left="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Entity</w:t>
      </w:r>
      <w:r>
        <w:rPr>
          <w:rFonts w:ascii="Arial" w:cs="Arial" w:eastAsia="Arial" w:hAnsi="Arial"/>
          <w:sz w:val="19"/>
          <w:szCs w:val="19"/>
          <w:color w:val="auto"/>
        </w:rPr>
        <w:t>” means an entity (i) treated as a partnership or disregarded entity for U.S. Federal income tax purposes and</w:t>
      </w:r>
    </w:p>
    <w:p>
      <w:pPr>
        <w:spacing w:after="0" w:line="56" w:lineRule="exact"/>
        <w:rPr>
          <w:sz w:val="20"/>
          <w:szCs w:val="20"/>
          <w:color w:val="auto"/>
        </w:rPr>
      </w:pPr>
    </w:p>
    <w:p>
      <w:pPr>
        <w:ind w:left="440" w:right="280" w:hanging="432"/>
        <w:spacing w:after="0" w:line="439" w:lineRule="auto"/>
        <w:tabs>
          <w:tab w:leader="none" w:pos="326"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equity interests of which are not treated as held, directly or indirectly, by a CFC for purposes of section 956 of the IRC. “</w:t>
      </w:r>
      <w:r>
        <w:rPr>
          <w:rFonts w:ascii="Arial" w:cs="Arial" w:eastAsia="Arial" w:hAnsi="Arial"/>
          <w:sz w:val="22"/>
          <w:szCs w:val="22"/>
          <w:u w:val="single" w:color="auto"/>
          <w:color w:val="auto"/>
        </w:rPr>
        <w:t>Specified Equity Contribution</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9.4</w:t>
      </w:r>
      <w:r>
        <w:rPr>
          <w:rFonts w:ascii="Arial" w:cs="Arial" w:eastAsia="Arial" w:hAnsi="Arial"/>
          <w:sz w:val="22"/>
          <w:szCs w:val="22"/>
          <w:color w:val="auto"/>
        </w:rPr>
        <w:t>.</w:t>
      </w:r>
    </w:p>
    <w:p>
      <w:pPr>
        <w:spacing w:after="0" w:line="2" w:lineRule="exact"/>
        <w:rPr>
          <w:sz w:val="20"/>
          <w:szCs w:val="20"/>
          <w:color w:val="auto"/>
        </w:rPr>
      </w:pPr>
    </w:p>
    <w:p>
      <w:pPr>
        <w:jc w:val="both"/>
        <w:ind w:firstLine="66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Spot Rate</w:t>
      </w:r>
      <w:r>
        <w:rPr>
          <w:rFonts w:ascii="Arial" w:cs="Arial" w:eastAsia="Arial" w:hAnsi="Arial"/>
          <w:sz w:val="22"/>
          <w:szCs w:val="22"/>
          <w:color w:val="auto"/>
        </w:rPr>
        <w:t>” means, on any day, the rate quoted or published by Agent (or a designated Affiliate of Agent) at which Canadian Dollars or any Alternative Currency may be exchanged into Dollars. The applicable L/C Issuer may use such Spot Rate quoted on the date as of which the foreign exchange computation is made in the case of any Letter of Credit denominated in an Alternative Currency.</w:t>
      </w:r>
    </w:p>
    <w:p>
      <w:pPr>
        <w:spacing w:after="0" w:line="188"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Standard Securitization Undertakings</w:t>
      </w:r>
      <w:r>
        <w:rPr>
          <w:rFonts w:ascii="Arial" w:cs="Arial" w:eastAsia="Arial" w:hAnsi="Arial"/>
          <w:sz w:val="22"/>
          <w:szCs w:val="22"/>
          <w:color w:val="auto"/>
        </w:rPr>
        <w:t>” means representations, warranties, covenants, indemnities, reimbursement obligations, performance undertakings, guarantees of performance, and other customary payment obligations entered into by Parent Borrower or any of its Subsidiaries, whether joint and several or otherwise, which Parent Borrower has determined in good faith to be customary in a Securitization Financing including, without limitation, those relating to the servicing of the assets of a Securitization Subsidiary, it being understood that any Securitization Repurchase Obligation shall be deemed to be a Standard Securitization Undertaking.</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Termination Date</w:t>
      </w:r>
      <w:r>
        <w:rPr>
          <w:rFonts w:ascii="Arial" w:cs="Arial" w:eastAsia="Arial" w:hAnsi="Arial"/>
          <w:sz w:val="22"/>
          <w:szCs w:val="22"/>
          <w:color w:val="auto"/>
        </w:rPr>
        <w:t>” means April 30, 2024.</w:t>
      </w:r>
    </w:p>
    <w:p>
      <w:pPr>
        <w:spacing w:after="0" w:line="247"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Subordinated Indebtedness</w:t>
      </w:r>
      <w:r>
        <w:rPr>
          <w:rFonts w:ascii="Arial" w:cs="Arial" w:eastAsia="Arial" w:hAnsi="Arial"/>
          <w:sz w:val="22"/>
          <w:szCs w:val="22"/>
          <w:color w:val="auto"/>
        </w:rPr>
        <w:t>” means (a) with respect to any Borrower, any Indebtedness of such Borrower which is by its terms subordinated in right of payment to the Loans on which it is obligated, and (b) with respect to any Credit Party, any Indebtedness of such Credit Party which is by its terms subordinated in right of payment to its guarantee of Indebtedness under this Agreement.</w:t>
      </w:r>
    </w:p>
    <w:p>
      <w:pPr>
        <w:spacing w:after="0" w:line="188" w:lineRule="exact"/>
        <w:rPr>
          <w:sz w:val="20"/>
          <w:szCs w:val="20"/>
          <w:color w:val="auto"/>
        </w:rPr>
      </w:pPr>
    </w:p>
    <w:p>
      <w:pPr>
        <w:jc w:val="both"/>
        <w:ind w:firstLine="634"/>
        <w:spacing w:after="0" w:line="28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(1) any corporation, association or other business entity (other than a partnership, joint venture or limited liability company)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and (2) any partnership, joint venture or limited liability company of which</w:t>
      </w:r>
    </w:p>
    <w:p>
      <w:pPr>
        <w:spacing w:after="0" w:line="3" w:lineRule="exact"/>
        <w:rPr>
          <w:sz w:val="20"/>
          <w:szCs w:val="20"/>
          <w:color w:val="auto"/>
        </w:rPr>
      </w:pPr>
    </w:p>
    <w:p>
      <w:pPr>
        <w:jc w:val="both"/>
        <w:ind w:firstLine="8"/>
        <w:spacing w:after="0" w:line="292" w:lineRule="auto"/>
        <w:tabs>
          <w:tab w:leader="none" w:pos="314" w:val="left"/>
        </w:tabs>
        <w:numPr>
          <w:ilvl w:val="0"/>
          <w:numId w:val="81"/>
        </w:numPr>
        <w:rPr>
          <w:rFonts w:ascii="Arial" w:cs="Arial" w:eastAsia="Arial" w:hAnsi="Arial"/>
          <w:sz w:val="19"/>
          <w:szCs w:val="19"/>
          <w:color w:val="auto"/>
        </w:rPr>
      </w:pPr>
      <w:r>
        <w:rPr>
          <w:rFonts w:ascii="Arial" w:cs="Arial" w:eastAsia="Arial" w:hAnsi="Arial"/>
          <w:sz w:val="19"/>
          <w:szCs w:val="19"/>
          <w:color w:val="auto"/>
        </w:rPr>
        <w:t>more than 50% of the capital accounts, distribution rights, total equity and voting interests or general and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(y) such Person or any Subsidiary of such Person is a controlling general partner or otherwise controls such entity. Unless the context otherwise requires, the term “Subsidiary” shall mean a Subsidiary of Parent Borrower.</w:t>
      </w:r>
    </w:p>
    <w:p>
      <w:pPr>
        <w:sectPr>
          <w:pgSz w:w="11900" w:h="16838" w:orient="portrait"/>
          <w:cols w:equalWidth="0" w:num="1">
            <w:col w:w="11240"/>
          </w:cols>
          <w:pgMar w:left="320" w:top="1428" w:right="339" w:bottom="1440" w:gutter="0" w:footer="0" w:header="0"/>
        </w:sectPr>
      </w:pPr>
    </w:p>
    <w:bookmarkStart w:id="179" w:name="page180"/>
    <w:bookmarkEnd w:id="179"/>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Guarantors</w:t>
      </w:r>
      <w:r>
        <w:rPr>
          <w:rFonts w:ascii="Arial" w:cs="Arial" w:eastAsia="Arial" w:hAnsi="Arial"/>
          <w:sz w:val="22"/>
          <w:szCs w:val="22"/>
          <w:color w:val="auto"/>
        </w:rPr>
        <w:t>” means each Subsidiary of Parent Borrower</w:t>
      </w:r>
      <w:r>
        <w:rPr>
          <w:rFonts w:ascii="Arial" w:cs="Arial" w:eastAsia="Arial" w:hAnsi="Arial"/>
          <w:sz w:val="22"/>
          <w:szCs w:val="22"/>
          <w:u w:val="single" w:color="auto"/>
          <w:color w:val="0000FF"/>
        </w:rPr>
        <w:t>,</w:t>
      </w:r>
      <w:r>
        <w:rPr>
          <w:rFonts w:ascii="Arial" w:cs="Arial" w:eastAsia="Arial" w:hAnsi="Arial"/>
          <w:sz w:val="22"/>
          <w:szCs w:val="22"/>
          <w:color w:val="auto"/>
        </w:rPr>
        <w:t xml:space="preserve"> other than Excluded Subsidiaries </w:t>
      </w:r>
      <w:r>
        <w:rPr>
          <w:rFonts w:ascii="Arial" w:cs="Arial" w:eastAsia="Arial" w:hAnsi="Arial"/>
          <w:sz w:val="22"/>
          <w:szCs w:val="22"/>
          <w:color w:val="0000FF"/>
        </w:rPr>
        <w:t>and Designated</w:t>
      </w:r>
      <w:r>
        <w:rPr>
          <w:rFonts w:ascii="Arial" w:cs="Arial" w:eastAsia="Arial" w:hAnsi="Arial"/>
          <w:sz w:val="22"/>
          <w:szCs w:val="22"/>
          <w:color w:val="auto"/>
        </w:rPr>
        <w:t xml:space="preserve"> </w:t>
      </w:r>
      <w:r>
        <w:rPr>
          <w:rFonts w:ascii="Arial" w:cs="Arial" w:eastAsia="Arial" w:hAnsi="Arial"/>
          <w:sz w:val="22"/>
          <w:szCs w:val="22"/>
          <w:u w:val="single" w:color="auto"/>
          <w:color w:val="0000FF"/>
        </w:rPr>
        <w:t>Guarantors</w:t>
      </w:r>
      <w:r>
        <w:rPr>
          <w:rFonts w:ascii="Arial" w:cs="Arial" w:eastAsia="Arial" w:hAnsi="Arial"/>
          <w:sz w:val="22"/>
          <w:szCs w:val="22"/>
          <w:color w:val="000000"/>
        </w:rPr>
        <w:t>. As of the Restatement Date, the Subsidiary Guarantors are listed on</w:t>
      </w:r>
      <w:r>
        <w:rPr>
          <w:rFonts w:ascii="Arial" w:cs="Arial" w:eastAsia="Arial" w:hAnsi="Arial"/>
          <w:sz w:val="22"/>
          <w:szCs w:val="22"/>
          <w:color w:val="0000FF"/>
        </w:rPr>
        <w:t xml:space="preserve"> </w:t>
      </w:r>
      <w:r>
        <w:rPr>
          <w:rFonts w:ascii="Arial" w:cs="Arial" w:eastAsia="Arial" w:hAnsi="Arial"/>
          <w:sz w:val="22"/>
          <w:szCs w:val="22"/>
          <w:u w:val="single" w:color="auto"/>
          <w:color w:val="000000"/>
        </w:rPr>
        <w:t>Schedule (A-1)</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6219190</wp:posOffset>
            </wp:positionH>
            <wp:positionV relativeFrom="paragraph">
              <wp:posOffset>-208915</wp:posOffset>
            </wp:positionV>
            <wp:extent cx="9182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918210" cy="8255"/>
                    </a:xfrm>
                    <a:prstGeom prst="rect">
                      <a:avLst/>
                    </a:prstGeom>
                    <a:noFill/>
                  </pic:spPr>
                </pic:pic>
              </a:graphicData>
            </a:graphic>
          </wp:anchor>
        </w:drawing>
      </w:r>
    </w:p>
    <w:p>
      <w:pPr>
        <w:spacing w:after="0" w:line="155" w:lineRule="exact"/>
        <w:rPr>
          <w:sz w:val="20"/>
          <w:szCs w:val="20"/>
          <w:color w:val="auto"/>
        </w:rPr>
      </w:pPr>
    </w:p>
    <w:p>
      <w:pPr>
        <w:jc w:val="both"/>
        <w:ind w:right="20" w:firstLine="634"/>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Supermajority Lenders</w:t>
      </w:r>
      <w:r>
        <w:rPr>
          <w:rFonts w:ascii="Arial" w:cs="Arial" w:eastAsia="Arial" w:hAnsi="Arial"/>
          <w:sz w:val="19"/>
          <w:szCs w:val="19"/>
          <w:color w:val="auto"/>
        </w:rPr>
        <w:t>” means Lenders having (a) 66.67% or more of the Commitments of all Lenders, or (b) if the Commitments have been terminated, 66.67% or more of the aggregate outstanding amount of the Revolving Credit Advances.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0000FF"/>
        </w:rPr>
        <w:t>Supported QFC” has the meaning specified in Section 13.13.</w:t>
      </w:r>
    </w:p>
    <w:p>
      <w:pPr>
        <w:spacing w:after="0" w:line="220" w:lineRule="exact"/>
        <w:rPr>
          <w:sz w:val="20"/>
          <w:szCs w:val="20"/>
          <w:color w:val="auto"/>
        </w:rPr>
      </w:pPr>
    </w:p>
    <w:p>
      <w:pPr>
        <w:jc w:val="both"/>
        <w:ind w:firstLine="634"/>
        <w:spacing w:after="0" w:line="263" w:lineRule="auto"/>
        <w:rPr>
          <w:sz w:val="20"/>
          <w:szCs w:val="20"/>
          <w:color w:val="auto"/>
        </w:rPr>
      </w:pPr>
      <w:r>
        <w:rPr>
          <w:rFonts w:ascii="Arial" w:cs="Arial" w:eastAsia="Arial" w:hAnsi="Arial"/>
          <w:sz w:val="22"/>
          <w:szCs w:val="22"/>
          <w:color w:val="0000FF"/>
        </w:rPr>
        <w:t>“</w:t>
      </w:r>
      <w:r>
        <w:rPr>
          <w:rFonts w:ascii="Arial" w:cs="Arial" w:eastAsia="Arial" w:hAnsi="Arial"/>
          <w:sz w:val="22"/>
          <w:szCs w:val="22"/>
          <w:u w:val="single" w:color="auto"/>
          <w:color w:val="000000"/>
        </w:rPr>
        <w:t>Surface Transportation Board</w:t>
      </w:r>
      <w:r>
        <w:rPr>
          <w:rFonts w:ascii="Arial" w:cs="Arial" w:eastAsia="Arial" w:hAnsi="Arial"/>
          <w:sz w:val="22"/>
          <w:szCs w:val="22"/>
          <w:color w:val="000000"/>
        </w:rPr>
        <w:t>” means the Surface Transportation Board, an agency of the Federal Government of the</w:t>
      </w:r>
      <w:r>
        <w:rPr>
          <w:rFonts w:ascii="Arial" w:cs="Arial" w:eastAsia="Arial" w:hAnsi="Arial"/>
          <w:sz w:val="22"/>
          <w:szCs w:val="22"/>
          <w:color w:val="0000FF"/>
        </w:rPr>
        <w:t xml:space="preserve"> </w:t>
      </w:r>
      <w:r>
        <w:rPr>
          <w:rFonts w:ascii="Arial" w:cs="Arial" w:eastAsia="Arial" w:hAnsi="Arial"/>
          <w:sz w:val="22"/>
          <w:szCs w:val="22"/>
          <w:color w:val="000000"/>
        </w:rPr>
        <w:t>United States, and any successor agency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4635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463550" cy="8255"/>
                    </a:xfrm>
                    <a:prstGeom prst="rect">
                      <a:avLst/>
                    </a:prstGeom>
                    <a:noFill/>
                  </pic:spPr>
                </pic:pic>
              </a:graphicData>
            </a:graphic>
          </wp:anchor>
        </w:drawing>
      </w:r>
    </w:p>
    <w:p>
      <w:pPr>
        <w:spacing w:after="0" w:line="155" w:lineRule="exact"/>
        <w:rPr>
          <w:sz w:val="20"/>
          <w:szCs w:val="20"/>
          <w:color w:val="auto"/>
        </w:rPr>
      </w:pPr>
    </w:p>
    <w:p>
      <w:pPr>
        <w:jc w:val="both"/>
        <w:ind w:firstLine="513"/>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Contract</w:t>
      </w:r>
      <w:r>
        <w:rPr>
          <w:rFonts w:ascii="Arial" w:cs="Arial" w:eastAsia="Arial" w:hAnsi="Arial"/>
          <w:sz w:val="19"/>
          <w:szCs w:val="19"/>
          <w:color w:val="auto"/>
        </w:rPr>
        <w:t xml:space="preserve">” means (a) any agreement with respect to any swap, forward, future or derivative transaction or option or similar agreement involving, or settled by reference to, one or more rates, currencies, cross-currency hedges,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phantom stock or similar plan providing for payments only on account of services provided by current or former directors, officers, employees or consultants of Borrowers or any of their respective Subsidiaries shall be a “Swap Agreement” and (b) any agreement with respect to any transactions (together with any related confirmations) which are subject to the terms and conditions of, or are governed by, any master agreement published by the International Swaps and Derivatives Association, Inc., any International Foreign Exchange Master Agreement or any other similar master agreement.</w:t>
      </w:r>
    </w:p>
    <w:p>
      <w:pPr>
        <w:spacing w:after="0" w:line="157" w:lineRule="exact"/>
        <w:rPr>
          <w:sz w:val="20"/>
          <w:szCs w:val="20"/>
          <w:color w:val="auto"/>
        </w:rPr>
      </w:pPr>
    </w:p>
    <w:p>
      <w:pPr>
        <w:jc w:val="both"/>
        <w:ind w:right="20" w:firstLine="459"/>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Swap Obligation</w:t>
      </w:r>
      <w:r>
        <w:rPr>
          <w:rFonts w:ascii="Arial" w:cs="Arial" w:eastAsia="Arial" w:hAnsi="Arial"/>
          <w:sz w:val="21"/>
          <w:szCs w:val="21"/>
          <w:color w:val="auto"/>
        </w:rPr>
        <w:t>” means, with respect to any Credit Party, any obligation to pay or perform under any agreement, contract or transaction that constitutes a “swap” within the meaning of section 1(a)(47) of the Commodity Exchange Act.</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Advance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2.1(b)(i)</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Availability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2.1(b)(i)</w:t>
      </w:r>
      <w:r>
        <w:rPr>
          <w:rFonts w:ascii="Arial" w:cs="Arial" w:eastAsia="Arial" w:hAnsi="Arial"/>
          <w:sz w:val="22"/>
          <w:szCs w:val="22"/>
          <w:color w:val="auto"/>
        </w:rPr>
        <w:t>.</w:t>
      </w:r>
    </w:p>
    <w:p>
      <w:pPr>
        <w:spacing w:after="0" w:line="220" w:lineRule="exact"/>
        <w:rPr>
          <w:sz w:val="20"/>
          <w:szCs w:val="20"/>
          <w:color w:val="auto"/>
        </w:rPr>
      </w:pPr>
    </w:p>
    <w:p>
      <w:pPr>
        <w:jc w:val="both"/>
        <w:ind w:firstLine="52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Commitment</w:t>
      </w:r>
      <w:r>
        <w:rPr>
          <w:rFonts w:ascii="Arial" w:cs="Arial" w:eastAsia="Arial" w:hAnsi="Arial"/>
          <w:sz w:val="22"/>
          <w:szCs w:val="22"/>
          <w:color w:val="auto"/>
        </w:rPr>
        <w:t xml:space="preserve">” means, as to Swing Line Lender, the commitment of Swing Line Lender to make Swing Line Advances as set forth on </w:t>
      </w:r>
      <w:r>
        <w:rPr>
          <w:rFonts w:ascii="Arial" w:cs="Arial" w:eastAsia="Arial" w:hAnsi="Arial"/>
          <w:sz w:val="22"/>
          <w:szCs w:val="22"/>
          <w:u w:val="single" w:color="auto"/>
          <w:color w:val="auto"/>
        </w:rPr>
        <w:t>Annex C</w:t>
      </w:r>
      <w:r>
        <w:rPr>
          <w:rFonts w:ascii="Arial" w:cs="Arial" w:eastAsia="Arial" w:hAnsi="Arial"/>
          <w:sz w:val="22"/>
          <w:szCs w:val="22"/>
          <w:color w:val="auto"/>
        </w:rPr>
        <w:t>, which commitment constitutes a subfacility of the Commitment of Swing Line Lender. The aggregate Swing Line Commitment on the Amendment No. 3 Effective Date is fifty million Dollars ($50,000,000), which commitment constitutes a subfacility of the aggregate Commitments.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Lender</w:t>
      </w:r>
      <w:r>
        <w:rPr>
          <w:rFonts w:ascii="Arial" w:cs="Arial" w:eastAsia="Arial" w:hAnsi="Arial"/>
          <w:sz w:val="22"/>
          <w:szCs w:val="22"/>
          <w:color w:val="auto"/>
        </w:rPr>
        <w:t>” means MSSF.</w:t>
      </w:r>
    </w:p>
    <w:p>
      <w:pPr>
        <w:spacing w:after="0" w:line="220" w:lineRule="exact"/>
        <w:rPr>
          <w:sz w:val="20"/>
          <w:szCs w:val="20"/>
          <w:color w:val="auto"/>
        </w:rPr>
      </w:pPr>
    </w:p>
    <w:p>
      <w:pPr>
        <w:jc w:val="both"/>
        <w:ind w:firstLine="702"/>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Loan</w:t>
      </w:r>
      <w:r>
        <w:rPr>
          <w:rFonts w:ascii="Arial" w:cs="Arial" w:eastAsia="Arial" w:hAnsi="Arial"/>
          <w:sz w:val="22"/>
          <w:szCs w:val="22"/>
          <w:color w:val="auto"/>
        </w:rPr>
        <w:t>” means, as the context may require, at any time, the aggregate amount of Swing Line Advances outstanding to any Borrower or to all Borrowers.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 Line Note</w:t>
      </w:r>
      <w:r>
        <w:rPr>
          <w:rFonts w:ascii="Arial" w:cs="Arial" w:eastAsia="Arial" w:hAnsi="Arial"/>
          <w:sz w:val="22"/>
          <w:szCs w:val="22"/>
          <w:color w:val="auto"/>
        </w:rPr>
        <w:t>” and “</w:t>
      </w:r>
      <w:r>
        <w:rPr>
          <w:rFonts w:ascii="Arial" w:cs="Arial" w:eastAsia="Arial" w:hAnsi="Arial"/>
          <w:sz w:val="22"/>
          <w:szCs w:val="22"/>
          <w:u w:val="single" w:color="auto"/>
          <w:color w:val="auto"/>
        </w:rPr>
        <w:t>Swing Line Notes</w:t>
      </w:r>
      <w:r>
        <w:rPr>
          <w:rFonts w:ascii="Arial" w:cs="Arial" w:eastAsia="Arial" w:hAnsi="Arial"/>
          <w:sz w:val="22"/>
          <w:szCs w:val="22"/>
          <w:color w:val="auto"/>
        </w:rPr>
        <w:t xml:space="preserve">” have the meanings specified in </w:t>
      </w:r>
      <w:r>
        <w:rPr>
          <w:rFonts w:ascii="Arial" w:cs="Arial" w:eastAsia="Arial" w:hAnsi="Arial"/>
          <w:sz w:val="22"/>
          <w:szCs w:val="22"/>
          <w:u w:val="single" w:color="auto"/>
          <w:color w:val="auto"/>
        </w:rPr>
        <w:t>Section 2.1(b)(ii)</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bookmarkStart w:id="180" w:name="page181"/>
    <w:bookmarkEnd w:id="180"/>
    <w:p>
      <w:pPr>
        <w:jc w:val="both"/>
        <w:ind w:right="20" w:firstLine="580"/>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TARGET Day</w:t>
      </w:r>
      <w:r>
        <w:rPr>
          <w:rFonts w:ascii="Arial" w:cs="Arial" w:eastAsia="Arial" w:hAnsi="Arial"/>
          <w:sz w:val="21"/>
          <w:szCs w:val="21"/>
          <w:color w:val="auto"/>
        </w:rPr>
        <w:t>” means any day on which the Trans-European Automated Real-time Gross Settlement Express Transfer (TARGET) payment system (or, if such payment system ceases to be operative, such other payment system (if any) reasonably determined by Agent to be a suitable replacement) is open for the settlement of payments in Euro.</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Compliance Certificate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2.13(d)</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Distributions</w:t>
      </w:r>
      <w:r>
        <w:rPr>
          <w:rFonts w:ascii="Arial" w:cs="Arial" w:eastAsia="Arial" w:hAnsi="Arial"/>
          <w:sz w:val="22"/>
          <w:szCs w:val="22"/>
          <w:color w:val="auto"/>
        </w:rPr>
        <w:t xml:space="preserve">” means any distributions described in </w:t>
      </w:r>
      <w:r>
        <w:rPr>
          <w:rFonts w:ascii="Arial" w:cs="Arial" w:eastAsia="Arial" w:hAnsi="Arial"/>
          <w:sz w:val="22"/>
          <w:szCs w:val="22"/>
          <w:u w:val="single" w:color="auto"/>
          <w:color w:val="auto"/>
        </w:rPr>
        <w:t>Section 7.2(b)(xi)</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Group</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7.2</w:t>
      </w:r>
      <w:r>
        <w:rPr>
          <w:rFonts w:ascii="Arial" w:cs="Arial" w:eastAsia="Arial" w:hAnsi="Arial"/>
          <w:sz w:val="22"/>
          <w:szCs w:val="22"/>
          <w:color w:val="auto"/>
        </w:rPr>
        <w: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 Structure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12.8</w:t>
      </w:r>
      <w:r>
        <w:rPr>
          <w:rFonts w:ascii="Arial" w:cs="Arial" w:eastAsia="Arial" w:hAnsi="Arial"/>
          <w:sz w:val="22"/>
          <w:szCs w:val="22"/>
          <w:color w:val="auto"/>
        </w:rPr>
        <w:t>.</w:t>
      </w:r>
    </w:p>
    <w:p>
      <w:pPr>
        <w:spacing w:after="0" w:line="220" w:lineRule="exact"/>
        <w:rPr>
          <w:sz w:val="20"/>
          <w:szCs w:val="20"/>
          <w:color w:val="auto"/>
        </w:rPr>
      </w:pPr>
    </w:p>
    <w:p>
      <w:pPr>
        <w:jc w:val="both"/>
        <w:ind w:firstLine="66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present and future taxes (including, but not limited to, income, corporate, capital, excise, property, ad valorem, sales, use, payroll, value added and franchise taxes, deductions, withholdings and custom duties), charges, fees, imposts, levies, deductions or withholdings (including backup withholding) and all liabilities (including interest, additions to tax and penalties) with respect thereto, imposed by any Governmental Authority.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22"/>
          <w:szCs w:val="22"/>
          <w:color w:val="0000FF"/>
        </w:rPr>
        <w:t>“Temporary U.S. Borrowing Base Adjustment” has the meaning specified in Section 6.13(b).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53879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5387975" cy="8255"/>
                    </a:xfrm>
                    <a:prstGeom prst="rect">
                      <a:avLst/>
                    </a:prstGeom>
                    <a:noFill/>
                  </pic:spPr>
                </pic:pic>
              </a:graphicData>
            </a:graphic>
          </wp:anchor>
        </w:drawing>
      </w:r>
    </w:p>
    <w:p>
      <w:pPr>
        <w:spacing w:after="0" w:line="200" w:lineRule="exact"/>
        <w:rPr>
          <w:sz w:val="20"/>
          <w:szCs w:val="20"/>
          <w:color w:val="auto"/>
        </w:rPr>
      </w:pPr>
    </w:p>
    <w:p>
      <w:pPr>
        <w:jc w:val="both"/>
        <w:ind w:firstLine="60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Administrative Agent</w:t>
      </w:r>
      <w:r>
        <w:rPr>
          <w:rFonts w:ascii="Arial" w:cs="Arial" w:eastAsia="Arial" w:hAnsi="Arial"/>
          <w:sz w:val="22"/>
          <w:szCs w:val="22"/>
          <w:color w:val="auto"/>
        </w:rPr>
        <w:t>” means MSSF, in its capacity as administrative agent and collateral agent under the Term Credit Agreement.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Collateral Account</w:t>
      </w:r>
      <w:r>
        <w:rPr>
          <w:rFonts w:ascii="Arial" w:cs="Arial" w:eastAsia="Arial" w:hAnsi="Arial"/>
          <w:sz w:val="22"/>
          <w:szCs w:val="22"/>
          <w:color w:val="auto"/>
        </w:rPr>
        <w:t>” has the meaning specified in Annex A.</w:t>
      </w:r>
    </w:p>
    <w:p>
      <w:pPr>
        <w:spacing w:after="0" w:line="220" w:lineRule="exact"/>
        <w:rPr>
          <w:sz w:val="20"/>
          <w:szCs w:val="20"/>
          <w:color w:val="auto"/>
        </w:rPr>
      </w:pPr>
    </w:p>
    <w:p>
      <w:pPr>
        <w:jc w:val="both"/>
        <w:ind w:firstLine="540"/>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Credit Agreement</w:t>
      </w:r>
      <w:r>
        <w:rPr>
          <w:rFonts w:ascii="Arial" w:cs="Arial" w:eastAsia="Arial" w:hAnsi="Arial"/>
          <w:sz w:val="21"/>
          <w:szCs w:val="21"/>
          <w:color w:val="auto"/>
        </w:rPr>
        <w:t>” means the Senior Secured Term Loan Credit Agreement, dated as of October 30, 2015, by and among Parent Borrower, certain subsidiaries of Parent Borrower, MSSF, as administrative agent and collateral agent, and the other parties thereto, including all exhibits, annexes and schedules thereto, as such agreement may be amended, restated, amended and restated, supplemented or otherwise modified by the Incremental and Refinancing Amendment (Amendment No. 1 to Credit Agreement), dated as of August 25, 2016, the Refinancing Amendment (Amendment No. 2 to Credit Agreement), dated as of March 10, 2017, the Refinancing Amendment (Amendment No. 3 to Credit Agreement), dated as of February 23, 2018, the Amendment No. 4 to Credit Agreement, dated as of March 7, 2019, and the Incremental Amendment (Amendment No. 5 to Credit Agreement), dated as of March 18, 2019.</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Priority Collateral</w:t>
      </w:r>
      <w:r>
        <w:rPr>
          <w:rFonts w:ascii="Arial" w:cs="Arial" w:eastAsia="Arial" w:hAnsi="Arial"/>
          <w:sz w:val="22"/>
          <w:szCs w:val="22"/>
          <w:color w:val="auto"/>
        </w:rPr>
        <w:t>” has the meaning specified in the ABL Intercreditor Agreement.</w:t>
      </w:r>
    </w:p>
    <w:p>
      <w:pPr>
        <w:spacing w:after="0" w:line="220" w:lineRule="exact"/>
        <w:rPr>
          <w:sz w:val="20"/>
          <w:szCs w:val="20"/>
          <w:color w:val="auto"/>
        </w:rPr>
      </w:pPr>
    </w:p>
    <w:p>
      <w:pPr>
        <w:jc w:val="both"/>
        <w:ind w:firstLine="486"/>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Termination Date</w:t>
      </w:r>
      <w:r>
        <w:rPr>
          <w:rFonts w:ascii="Arial" w:cs="Arial" w:eastAsia="Arial" w:hAnsi="Arial"/>
          <w:sz w:val="21"/>
          <w:szCs w:val="21"/>
          <w:color w:val="auto"/>
        </w:rPr>
        <w:t>” means the date on which (a) the Loans have been repaid in full in cash, (b) all other Obligations under this Agreement and the other Loan Documents have been completely discharged or paid (other than contingent indemnification obligations for which no claim has been asserted, Bank Products Obligations and Secured Hedging Obligations), (c) all Letter of Credit Obligations have been cash collateralized, canceled or backed by standby letters</w:t>
      </w:r>
    </w:p>
    <w:p>
      <w:pPr>
        <w:sectPr>
          <w:pgSz w:w="11900" w:h="16838" w:orient="portrait"/>
          <w:cols w:equalWidth="0" w:num="1">
            <w:col w:w="11240"/>
          </w:cols>
          <w:pgMar w:left="320" w:top="1428" w:right="339" w:bottom="1440" w:gutter="0" w:footer="0" w:header="0"/>
        </w:sectPr>
      </w:pPr>
    </w:p>
    <w:bookmarkStart w:id="181" w:name="page182"/>
    <w:bookmarkEnd w:id="181"/>
    <w:p>
      <w:pPr>
        <w:jc w:val="both"/>
        <w:ind w:right="20"/>
        <w:spacing w:after="0" w:line="263" w:lineRule="auto"/>
        <w:rPr>
          <w:sz w:val="20"/>
          <w:szCs w:val="20"/>
          <w:color w:val="auto"/>
        </w:rPr>
      </w:pPr>
      <w:r>
        <w:rPr>
          <w:rFonts w:ascii="Arial" w:cs="Arial" w:eastAsia="Arial" w:hAnsi="Arial"/>
          <w:sz w:val="22"/>
          <w:szCs w:val="22"/>
          <w:color w:val="auto"/>
        </w:rPr>
        <w:t xml:space="preserve">of credit in accordance with </w:t>
      </w:r>
      <w:r>
        <w:rPr>
          <w:rFonts w:ascii="Arial" w:cs="Arial" w:eastAsia="Arial" w:hAnsi="Arial"/>
          <w:sz w:val="22"/>
          <w:szCs w:val="22"/>
          <w:u w:val="single" w:color="auto"/>
          <w:color w:val="auto"/>
        </w:rPr>
        <w:t>Section 2.2</w:t>
      </w:r>
      <w:r>
        <w:rPr>
          <w:rFonts w:ascii="Arial" w:cs="Arial" w:eastAsia="Arial" w:hAnsi="Arial"/>
          <w:sz w:val="22"/>
          <w:szCs w:val="22"/>
          <w:color w:val="auto"/>
        </w:rPr>
        <w:t>, and (d) none of Borrowers shall have any further right to borrow any monies under this Agreement.</w:t>
      </w:r>
    </w:p>
    <w:p>
      <w:pPr>
        <w:spacing w:after="0" w:line="17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Title IV Plan</w:t>
      </w:r>
      <w:r>
        <w:rPr>
          <w:rFonts w:ascii="Arial" w:cs="Arial" w:eastAsia="Arial" w:hAnsi="Arial"/>
          <w:sz w:val="22"/>
          <w:szCs w:val="22"/>
          <w:color w:val="auto"/>
        </w:rPr>
        <w:t>” means a Pension Plan (other than a Multiemployer Plan) that is covered by Title IV of ERISA or Section 412 of the IRC, and that any Credit Party or ERISA Affiliate maintains, contributes to or has an obligation to contribute to on behalf of participants who are or were employed by any of them.</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Trademarks</w:t>
      </w:r>
      <w:r>
        <w:rPr>
          <w:rFonts w:ascii="Arial" w:cs="Arial" w:eastAsia="Arial" w:hAnsi="Arial"/>
          <w:sz w:val="22"/>
          <w:szCs w:val="22"/>
          <w:color w:val="auto"/>
        </w:rPr>
        <w:t>” has the meaning to it in the U.S. Security Agreement.</w:t>
      </w:r>
    </w:p>
    <w:p>
      <w:pPr>
        <w:spacing w:after="0" w:line="247" w:lineRule="exact"/>
        <w:rPr>
          <w:sz w:val="20"/>
          <w:szCs w:val="20"/>
          <w:color w:val="auto"/>
        </w:rPr>
      </w:pPr>
    </w:p>
    <w:p>
      <w:pPr>
        <w:jc w:val="both"/>
        <w:ind w:firstLine="621"/>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xml:space="preserve">” means (a) the consummation of the Con-way Acquisition and transactions contemplated thereby and in connection therewith, (b) the execution, delivery and performance of this Agreement, </w:t>
      </w:r>
      <w:r>
        <w:rPr>
          <w:rFonts w:ascii="Arial" w:cs="Arial" w:eastAsia="Arial" w:hAnsi="Arial"/>
          <w:sz w:val="17"/>
          <w:szCs w:val="17"/>
          <w:color w:val="auto"/>
        </w:rPr>
        <w:t>the Term Credit Agreement,</w:t>
      </w:r>
      <w:r>
        <w:rPr>
          <w:rFonts w:ascii="Arial" w:cs="Arial" w:eastAsia="Arial" w:hAnsi="Arial"/>
          <w:sz w:val="19"/>
          <w:szCs w:val="19"/>
          <w:color w:val="auto"/>
        </w:rPr>
        <w:t xml:space="preserve"> the Bridge Credit Agreement and any documentation relating to Indebtedness incurred in lieu thereof or to refinance the foregoing, and the incurrence of Indebtedness thereunder and Liens in connection therewith, (c) Parent Borrower’s or any of its Subsidiaries’ incurrence, replacement, redemption, repayment, defeasance, discharge or refinancing of indebtedness or liens in connection with the Con-way Acquisition, including the assumption of the Con-way Existing Indebtedness and other existing Indebtedness of Con-way and its Subsidiaries, (d) the entry by Parent Borrower into </w:t>
      </w:r>
      <w:r>
        <w:rPr>
          <w:rFonts w:ascii="Arial" w:cs="Arial" w:eastAsia="Arial" w:hAnsi="Arial"/>
          <w:sz w:val="17"/>
          <w:szCs w:val="17"/>
          <w:color w:val="auto"/>
        </w:rPr>
        <w:t>this</w:t>
      </w:r>
      <w:r>
        <w:rPr>
          <w:rFonts w:ascii="Arial" w:cs="Arial" w:eastAsia="Arial" w:hAnsi="Arial"/>
          <w:sz w:val="19"/>
          <w:szCs w:val="19"/>
          <w:color w:val="auto"/>
        </w:rPr>
        <w:t xml:space="preserve"> Agreement and the borrowing of loans </w:t>
      </w:r>
      <w:r>
        <w:rPr>
          <w:rFonts w:ascii="Arial" w:cs="Arial" w:eastAsia="Arial" w:hAnsi="Arial"/>
          <w:sz w:val="17"/>
          <w:szCs w:val="17"/>
          <w:color w:val="auto"/>
        </w:rPr>
        <w:t>hereunder</w:t>
      </w:r>
      <w:r>
        <w:rPr>
          <w:rFonts w:ascii="Arial" w:cs="Arial" w:eastAsia="Arial" w:hAnsi="Arial"/>
          <w:sz w:val="19"/>
          <w:szCs w:val="19"/>
          <w:color w:val="auto"/>
        </w:rPr>
        <w:t xml:space="preserve"> in connection with the Con-way Acquisition and (e) the payment of fees and expenses in connection the foregoing.</w:t>
      </w:r>
    </w:p>
    <w:p>
      <w:pPr>
        <w:spacing w:after="0" w:line="156" w:lineRule="exact"/>
        <w:rPr>
          <w:sz w:val="20"/>
          <w:szCs w:val="20"/>
          <w:color w:val="auto"/>
        </w:rPr>
      </w:pPr>
    </w:p>
    <w:p>
      <w:pPr>
        <w:ind w:right="20" w:firstLine="432"/>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UIIA</w:t>
      </w:r>
      <w:r>
        <w:rPr>
          <w:rFonts w:ascii="Arial" w:cs="Arial" w:eastAsia="Arial" w:hAnsi="Arial"/>
          <w:sz w:val="21"/>
          <w:szCs w:val="21"/>
          <w:color w:val="auto"/>
        </w:rPr>
        <w:t>” means that Uniform Intermodal Interchange and Facilities Access Agreement, effective as of April 20, 2009, administered by The Intermodal Association of North America, together with each addendum thereto executed by Pacer Stacktrain, Inc. or Union Pacific Railroad Company and each Motor Carrier (as defined in the UIIA) party thereto, each in the form delivered to Agent prior to April 1, 2014, pursuant to which Pacer Stacktrain, Inc. or Union Pacific Railroad Company and each Motor Carrier have agreed additional terms and conditions applicable to the interchange of Chassis to such Motor Carrier by Pacer Stacktrain, Inc. or Union Pacific Railroad Company.</w:t>
      </w:r>
    </w:p>
    <w:p>
      <w:pPr>
        <w:spacing w:after="0" w:line="206" w:lineRule="exact"/>
        <w:rPr>
          <w:sz w:val="20"/>
          <w:szCs w:val="20"/>
          <w:color w:val="auto"/>
        </w:rPr>
      </w:pPr>
    </w:p>
    <w:p>
      <w:pPr>
        <w:jc w:val="both"/>
        <w:ind w:firstLine="513"/>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0000FF"/>
        </w:rPr>
        <w:t>UK Financial Institution” means any BRRD Undertaking (as such term is defined under the PRA Rulebook (as amended</w:t>
      </w:r>
      <w:r>
        <w:rPr>
          <w:rFonts w:ascii="Arial" w:cs="Arial" w:eastAsia="Arial" w:hAnsi="Arial"/>
          <w:sz w:val="22"/>
          <w:szCs w:val="22"/>
          <w:color w:val="auto"/>
        </w:rPr>
        <w:t xml:space="preserve"> </w:t>
      </w:r>
      <w:r>
        <w:rPr>
          <w:rFonts w:ascii="Arial" w:cs="Arial" w:eastAsia="Arial" w:hAnsi="Arial"/>
          <w:sz w:val="22"/>
          <w:szCs w:val="22"/>
          <w:u w:val="single" w:color="auto"/>
          <w:color w:val="0000FF"/>
        </w:rPr>
        <w:t>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2" w:lineRule="exact"/>
        <w:rPr>
          <w:sz w:val="20"/>
          <w:szCs w:val="20"/>
          <w:color w:val="auto"/>
        </w:rPr>
      </w:pPr>
    </w:p>
    <w:p>
      <w:pPr>
        <w:jc w:val="both"/>
        <w:ind w:firstLine="531"/>
        <w:spacing w:after="0" w:line="263" w:lineRule="auto"/>
        <w:rPr>
          <w:sz w:val="20"/>
          <w:szCs w:val="20"/>
          <w:color w:val="auto"/>
        </w:rPr>
      </w:pPr>
      <w:r>
        <w:rPr>
          <w:rFonts w:ascii="Arial" w:cs="Arial" w:eastAsia="Arial" w:hAnsi="Arial"/>
          <w:sz w:val="22"/>
          <w:szCs w:val="22"/>
          <w:color w:val="0000FF"/>
        </w:rPr>
        <w:t xml:space="preserve">“UK Resolution Authority” means the Bank of England or any other public administrative authority having responsibility </w:t>
      </w:r>
      <w:r>
        <w:rPr>
          <w:rFonts w:ascii="Arial" w:cs="Arial" w:eastAsia="Arial" w:hAnsi="Arial"/>
          <w:sz w:val="22"/>
          <w:szCs w:val="22"/>
          <w:u w:val="single" w:color="auto"/>
          <w:color w:val="0000FF"/>
        </w:rPr>
        <w:t>for the resolution of any UK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16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1685" cy="8255"/>
                    </a:xfrm>
                    <a:prstGeom prst="rect">
                      <a:avLst/>
                    </a:prstGeom>
                    <a:noFill/>
                  </pic:spPr>
                </pic:pic>
              </a:graphicData>
            </a:graphic>
          </wp:anchor>
        </w:drawing>
      </w:r>
    </w:p>
    <w:p>
      <w:pPr>
        <w:spacing w:after="0" w:line="47" w:lineRule="exact"/>
        <w:rPr>
          <w:sz w:val="20"/>
          <w:szCs w:val="20"/>
          <w:color w:val="auto"/>
        </w:rPr>
      </w:pPr>
    </w:p>
    <w:p>
      <w:pPr>
        <w:jc w:val="both"/>
        <w:ind w:firstLine="661"/>
        <w:spacing w:after="0" w:line="302" w:lineRule="auto"/>
        <w:rPr>
          <w:sz w:val="20"/>
          <w:szCs w:val="20"/>
          <w:color w:val="auto"/>
        </w:rPr>
      </w:pPr>
      <w:r>
        <w:rPr>
          <w:rFonts w:ascii="Arial" w:cs="Arial" w:eastAsia="Arial" w:hAnsi="Arial"/>
          <w:sz w:val="19"/>
          <w:szCs w:val="19"/>
          <w:color w:val="0000FF"/>
        </w:rPr>
        <w:t>“</w:t>
      </w:r>
      <w:r>
        <w:rPr>
          <w:rFonts w:ascii="Arial" w:cs="Arial" w:eastAsia="Arial" w:hAnsi="Arial"/>
          <w:sz w:val="19"/>
          <w:szCs w:val="19"/>
          <w:u w:val="single" w:color="auto"/>
          <w:color w:val="000000"/>
        </w:rPr>
        <w:t>Unfinanced Capital Expenditures</w:t>
      </w:r>
      <w:r>
        <w:rPr>
          <w:rFonts w:ascii="Arial" w:cs="Arial" w:eastAsia="Arial" w:hAnsi="Arial"/>
          <w:sz w:val="19"/>
          <w:szCs w:val="19"/>
          <w:color w:val="000000"/>
        </w:rPr>
        <w:t>” means for any period, Capital Expenditures of Parent Borrower and its Restricted</w:t>
      </w:r>
      <w:r>
        <w:rPr>
          <w:rFonts w:ascii="Arial" w:cs="Arial" w:eastAsia="Arial" w:hAnsi="Arial"/>
          <w:sz w:val="19"/>
          <w:szCs w:val="19"/>
          <w:color w:val="0000FF"/>
        </w:rPr>
        <w:t xml:space="preserve"> </w:t>
      </w:r>
      <w:r>
        <w:rPr>
          <w:rFonts w:ascii="Arial" w:cs="Arial" w:eastAsia="Arial" w:hAnsi="Arial"/>
          <w:sz w:val="19"/>
          <w:szCs w:val="19"/>
          <w:color w:val="000000"/>
        </w:rPr>
        <w:t>Subsidiaries made in cash during such period, except to the extent financed with the proceeds of Capitalized Lease Obligations or other Indebtedness (other than Loans incurred hereunder), common Capital Stock or Qualified Capital Stock, casualty proceeds, condemnation proceeds or other proceeds that would not be included in EBITDA, less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4806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480695"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82" w:name="page183"/>
    <w:bookmarkEnd w:id="182"/>
    <w:p>
      <w:pPr>
        <w:jc w:val="both"/>
        <w:spacing w:after="0" w:line="253" w:lineRule="auto"/>
        <w:rPr>
          <w:sz w:val="20"/>
          <w:szCs w:val="20"/>
          <w:color w:val="auto"/>
        </w:rPr>
      </w:pPr>
      <w:r>
        <w:rPr>
          <w:rFonts w:ascii="Arial" w:cs="Arial" w:eastAsia="Arial" w:hAnsi="Arial"/>
          <w:sz w:val="22"/>
          <w:szCs w:val="22"/>
          <w:color w:val="auto"/>
        </w:rPr>
        <w:t xml:space="preserve">received from the sale of any fixed assets of Parent Borrower and its Restricted Subsidiaries (including, without limitation, assets of the type that may constitute Equipment hereunder) during such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amount of Unfinanced Capital Expenditures during such period may not be less than zero.</w:t>
      </w:r>
    </w:p>
    <w:p>
      <w:pPr>
        <w:spacing w:after="0" w:line="185" w:lineRule="exact"/>
        <w:rPr>
          <w:sz w:val="20"/>
          <w:szCs w:val="20"/>
          <w:color w:val="auto"/>
        </w:rPr>
      </w:pPr>
    </w:p>
    <w:p>
      <w:pPr>
        <w:jc w:val="both"/>
        <w:ind w:firstLine="580"/>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Unfunded Pension Liability</w:t>
      </w:r>
      <w:r>
        <w:rPr>
          <w:rFonts w:ascii="Arial" w:cs="Arial" w:eastAsia="Arial" w:hAnsi="Arial"/>
          <w:sz w:val="21"/>
          <w:szCs w:val="21"/>
          <w:color w:val="auto"/>
        </w:rPr>
        <w:t>” means, at any time, the aggregate amount, if any, of the sum of the amount by which the present value of all accrued benefits under each Title IV Plan exceeds the fair market value of all assets of such Title IV Plan, allocable to such benefits in accordance with Title IV of ERISA, all determined as of the most recent valuation date for each such Title IV Plan using the actuarial assumptions for funding purposes in effect under such Title IV Plan.</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United States</w:t>
      </w:r>
      <w:r>
        <w:rPr>
          <w:rFonts w:ascii="Arial" w:cs="Arial" w:eastAsia="Arial" w:hAnsi="Arial"/>
          <w:sz w:val="22"/>
          <w:szCs w:val="22"/>
          <w:color w:val="auto"/>
        </w:rPr>
        <w:t>” and “</w:t>
      </w:r>
      <w:r>
        <w:rPr>
          <w:rFonts w:ascii="Arial" w:cs="Arial" w:eastAsia="Arial" w:hAnsi="Arial"/>
          <w:sz w:val="22"/>
          <w:szCs w:val="22"/>
          <w:u w:val="single" w:color="auto"/>
          <w:color w:val="auto"/>
        </w:rPr>
        <w:t>U.S.</w:t>
      </w:r>
      <w:r>
        <w:rPr>
          <w:rFonts w:ascii="Arial" w:cs="Arial" w:eastAsia="Arial" w:hAnsi="Arial"/>
          <w:sz w:val="22"/>
          <w:szCs w:val="22"/>
          <w:color w:val="auto"/>
        </w:rPr>
        <w:t>” mean the United States of America.</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means:</w:t>
      </w:r>
    </w:p>
    <w:p>
      <w:pPr>
        <w:spacing w:after="0" w:line="220" w:lineRule="exact"/>
        <w:rPr>
          <w:sz w:val="20"/>
          <w:szCs w:val="20"/>
          <w:color w:val="auto"/>
        </w:rPr>
      </w:pPr>
    </w:p>
    <w:p>
      <w:pPr>
        <w:ind w:left="660" w:firstLine="644"/>
        <w:spacing w:after="0" w:line="263" w:lineRule="auto"/>
        <w:tabs>
          <w:tab w:leader="none" w:pos="1658"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Subsidiary of Parent Borrower that at the time of determination shall be designated an Unrestricted Subsidiary by the Board of Directors of Parent Borrower in the manner provided below; and</w:t>
      </w:r>
    </w:p>
    <w:p>
      <w:pPr>
        <w:spacing w:after="0" w:line="174" w:lineRule="exact"/>
        <w:rPr>
          <w:rFonts w:ascii="Arial" w:cs="Arial" w:eastAsia="Arial" w:hAnsi="Arial"/>
          <w:sz w:val="22"/>
          <w:szCs w:val="22"/>
          <w:color w:val="auto"/>
        </w:rPr>
      </w:pPr>
    </w:p>
    <w:p>
      <w:pPr>
        <w:ind w:left="1600" w:hanging="296"/>
        <w:spacing w:after="0"/>
        <w:tabs>
          <w:tab w:leader="none" w:pos="16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Subsidiary of an Unrestricted Subsidiary.</w:t>
      </w:r>
    </w:p>
    <w:p>
      <w:pPr>
        <w:spacing w:after="0" w:line="22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Parent Borrower may designate any Subsidiary of Parent Borrower (including any newly acquired or newly formed Subsidiary of Parent Borrower) to be an Unrestricted Subsidiary unless at the time of such designation such Subsidiary or any of its Subsidiaries owns any Equity Interests or Indebtedness of, or owns or holds any Lien on any property of, Parent Borrower or any other Restricted Subsidiary that is not a Subsidiary of the Subsidiary to be so designated, in each case at the time of such designation; provided, however, that the Subsidiary to be so designated and its Subsidiaries do not at the time of designation have and do not thereafter Incur any Indebtedness pursuant to which the lender has recourse to any of the assets of Parent Borrower or any of the Restricted Subsidiaries unless otherwise permitted under </w:t>
      </w:r>
      <w:r>
        <w:rPr>
          <w:rFonts w:ascii="Arial" w:cs="Arial" w:eastAsia="Arial" w:hAnsi="Arial"/>
          <w:sz w:val="19"/>
          <w:szCs w:val="19"/>
          <w:u w:val="single" w:color="auto"/>
          <w:color w:val="auto"/>
        </w:rPr>
        <w:t>Section 7.2</w:t>
      </w:r>
      <w:r>
        <w:rPr>
          <w:rFonts w:ascii="Arial" w:cs="Arial" w:eastAsia="Arial" w:hAnsi="Arial"/>
          <w:sz w:val="19"/>
          <w:szCs w:val="19"/>
          <w:color w:val="auto"/>
        </w:rPr>
        <w:t>; provided, further, however, that either:</w:t>
      </w:r>
    </w:p>
    <w:p>
      <w:pPr>
        <w:spacing w:after="0" w:line="151" w:lineRule="exact"/>
        <w:rPr>
          <w:sz w:val="20"/>
          <w:szCs w:val="20"/>
          <w:color w:val="auto"/>
        </w:rPr>
      </w:pPr>
    </w:p>
    <w:p>
      <w:pPr>
        <w:ind w:left="1600" w:hanging="296"/>
        <w:spacing w:after="0"/>
        <w:tabs>
          <w:tab w:leader="none" w:pos="16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Subsidiary to be so designated has total consolidated assets of $1,000 or less; or</w:t>
      </w:r>
    </w:p>
    <w:p>
      <w:pPr>
        <w:spacing w:after="0" w:line="219" w:lineRule="exact"/>
        <w:rPr>
          <w:rFonts w:ascii="Arial" w:cs="Arial" w:eastAsia="Arial" w:hAnsi="Arial"/>
          <w:sz w:val="22"/>
          <w:szCs w:val="22"/>
          <w:color w:val="auto"/>
        </w:rPr>
      </w:pPr>
    </w:p>
    <w:p>
      <w:pPr>
        <w:ind w:left="660" w:right="20" w:firstLine="644"/>
        <w:spacing w:after="0" w:line="263" w:lineRule="auto"/>
        <w:tabs>
          <w:tab w:leader="none" w:pos="1616"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if such Subsidiary has consolidated assets greater than $1,000, then such designation would be permitted under </w:t>
      </w:r>
      <w:r>
        <w:rPr>
          <w:rFonts w:ascii="Arial" w:cs="Arial" w:eastAsia="Arial" w:hAnsi="Arial"/>
          <w:sz w:val="22"/>
          <w:szCs w:val="22"/>
          <w:u w:val="single" w:color="auto"/>
          <w:color w:val="auto"/>
        </w:rPr>
        <w:t>Section 7.2</w:t>
      </w:r>
      <w:r>
        <w:rPr>
          <w:rFonts w:ascii="Arial" w:cs="Arial" w:eastAsia="Arial" w:hAnsi="Arial"/>
          <w:sz w:val="22"/>
          <w:szCs w:val="22"/>
          <w:color w:val="auto"/>
        </w:rPr>
        <w:t>.</w:t>
      </w:r>
    </w:p>
    <w:p>
      <w:pPr>
        <w:spacing w:after="0" w:line="175" w:lineRule="exact"/>
        <w:rPr>
          <w:sz w:val="20"/>
          <w:szCs w:val="20"/>
          <w:color w:val="auto"/>
        </w:rPr>
      </w:pPr>
    </w:p>
    <w:p>
      <w:pPr>
        <w:ind w:right="20"/>
        <w:spacing w:after="0" w:line="343" w:lineRule="auto"/>
        <w:rPr>
          <w:sz w:val="20"/>
          <w:szCs w:val="20"/>
          <w:color w:val="auto"/>
        </w:rPr>
      </w:pPr>
      <w:r>
        <w:rPr>
          <w:rFonts w:ascii="Arial" w:cs="Arial" w:eastAsia="Arial" w:hAnsi="Arial"/>
          <w:sz w:val="19"/>
          <w:szCs w:val="19"/>
          <w:color w:val="auto"/>
        </w:rPr>
        <w:t xml:space="preserve">Parent Borrower may designate any Unrestricted Subsidiary to be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immediately after giving effect to such designation, Borrowers are in Pro Forma Compliance with the Restricted Conditions.</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In no event may Parent Borrower be an Unrestricted Subsidiary. Notwithstanding anything to the contrary herein, on the Amendment No. 3 Effective Date, XPO Escrow Sub, LLC shall be automatically deemed an Unrestricted Subsidiary.</w:t>
      </w:r>
    </w:p>
    <w:p>
      <w:pPr>
        <w:sectPr>
          <w:pgSz w:w="11900" w:h="16838" w:orient="portrait"/>
          <w:cols w:equalWidth="0" w:num="1">
            <w:col w:w="11240"/>
          </w:cols>
          <w:pgMar w:left="320" w:top="1428" w:right="33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 xml:space="preserve">As of the Restatement Date, each entity listed on </w:t>
      </w:r>
      <w:r>
        <w:rPr>
          <w:rFonts w:ascii="Arial" w:cs="Arial" w:eastAsia="Arial" w:hAnsi="Arial"/>
          <w:sz w:val="22"/>
          <w:szCs w:val="22"/>
          <w:u w:val="single" w:color="auto"/>
          <w:color w:val="auto"/>
        </w:rPr>
        <w:t>Schedule 6.13</w:t>
      </w:r>
      <w:r>
        <w:rPr>
          <w:rFonts w:ascii="Arial" w:cs="Arial" w:eastAsia="Arial" w:hAnsi="Arial"/>
          <w:sz w:val="22"/>
          <w:szCs w:val="22"/>
          <w:color w:val="auto"/>
        </w:rPr>
        <w:t xml:space="preserve"> is an Unrestricted Subsidiary.</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ABL Priority Collateral</w:t>
      </w:r>
      <w:r>
        <w:rPr>
          <w:rFonts w:ascii="Arial" w:cs="Arial" w:eastAsia="Arial" w:hAnsi="Arial"/>
          <w:sz w:val="22"/>
          <w:szCs w:val="22"/>
          <w:color w:val="auto"/>
        </w:rPr>
        <w:t>” means all U.S. Collateral that is ABL Priority Collateral.</w:t>
      </w:r>
    </w:p>
    <w:p>
      <w:pPr>
        <w:spacing w:after="0" w:line="22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Availability</w:t>
      </w:r>
      <w:r>
        <w:rPr>
          <w:rFonts w:ascii="Arial" w:cs="Arial" w:eastAsia="Arial" w:hAnsi="Arial"/>
          <w:sz w:val="19"/>
          <w:szCs w:val="19"/>
          <w:color w:val="auto"/>
        </w:rPr>
        <w:t>” means, as of any date of determination, the amount (if any) by which (a) U.S. Available Credit, exceeds</w:t>
      </w:r>
    </w:p>
    <w:p>
      <w:pPr>
        <w:spacing w:after="0" w:line="56" w:lineRule="exact"/>
        <w:rPr>
          <w:sz w:val="20"/>
          <w:szCs w:val="20"/>
          <w:color w:val="auto"/>
        </w:rPr>
      </w:pPr>
    </w:p>
    <w:p>
      <w:pPr>
        <w:ind w:firstLine="8"/>
        <w:spacing w:after="0" w:line="246" w:lineRule="auto"/>
        <w:tabs>
          <w:tab w:leader="none" w:pos="316"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the sum of (i) Revolving Credit Advances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Letter of Credit Obligations (other than Letter of Credit Obligations cash collateralized in accordance with the terms of the Loan Documents)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(iii) Swing Line Loans.</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U.S. Available Credit</w:t>
      </w:r>
      <w:r>
        <w:rPr>
          <w:rFonts w:ascii="Arial" w:cs="Arial" w:eastAsia="Arial" w:hAnsi="Arial"/>
          <w:sz w:val="21"/>
          <w:szCs w:val="21"/>
          <w:color w:val="auto"/>
        </w:rPr>
        <w:t>” means, as of any date of determination, the lesser of (a) the Commitment and (b) the U.S.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Borrowing Base as most recently reported by the Credit Parties on or prior to such date of determination.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Borrower</w:t>
      </w:r>
      <w:r>
        <w:rPr>
          <w:rFonts w:ascii="Arial" w:cs="Arial" w:eastAsia="Arial" w:hAnsi="Arial"/>
          <w:sz w:val="22"/>
          <w:szCs w:val="22"/>
          <w:color w:val="auto"/>
        </w:rPr>
        <w:t>” and “</w:t>
      </w:r>
      <w:r>
        <w:rPr>
          <w:rFonts w:ascii="Arial" w:cs="Arial" w:eastAsia="Arial" w:hAnsi="Arial"/>
          <w:sz w:val="22"/>
          <w:szCs w:val="22"/>
          <w:u w:val="single" w:color="auto"/>
          <w:color w:val="auto"/>
        </w:rPr>
        <w:t>U.S. Borrowers</w:t>
      </w:r>
      <w:r>
        <w:rPr>
          <w:rFonts w:ascii="Arial" w:cs="Arial" w:eastAsia="Arial" w:hAnsi="Arial"/>
          <w:sz w:val="22"/>
          <w:szCs w:val="22"/>
          <w:color w:val="auto"/>
        </w:rPr>
        <w:t>” have the meanings specified in the preamble to this Agreement.</w:t>
      </w:r>
    </w:p>
    <w:p>
      <w:pPr>
        <w:spacing w:after="0" w:line="220" w:lineRule="exact"/>
        <w:rPr>
          <w:sz w:val="20"/>
          <w:szCs w:val="20"/>
          <w:color w:val="auto"/>
        </w:rPr>
      </w:pPr>
    </w:p>
    <w:p>
      <w:pPr>
        <w:ind w:firstLine="48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Borrowing Base</w:t>
      </w:r>
      <w:r>
        <w:rPr>
          <w:rFonts w:ascii="Arial" w:cs="Arial" w:eastAsia="Arial" w:hAnsi="Arial"/>
          <w:sz w:val="22"/>
          <w:szCs w:val="22"/>
          <w:color w:val="auto"/>
        </w:rPr>
        <w:t>” means, as of any date of determination, from time to time, as to the U.S. Credit Parties, an amount equal to the sum at such time of:</w:t>
      </w:r>
    </w:p>
    <w:p>
      <w:pPr>
        <w:spacing w:after="0" w:line="175"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 xml:space="preserve">the product of (i) 85%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(ii) the U.S. Credit Parties’ Eligible Accounts; </w:t>
      </w:r>
      <w:r>
        <w:rPr>
          <w:rFonts w:ascii="Arial" w:cs="Arial" w:eastAsia="Arial" w:hAnsi="Arial"/>
          <w:sz w:val="22"/>
          <w:szCs w:val="22"/>
          <w:u w:val="single" w:color="auto"/>
          <w:color w:val="auto"/>
        </w:rPr>
        <w:t>plus</w:t>
      </w:r>
    </w:p>
    <w:p>
      <w:pPr>
        <w:spacing w:after="0" w:line="219" w:lineRule="exact"/>
        <w:rPr>
          <w:rFonts w:ascii="Arial" w:cs="Arial" w:eastAsia="Arial" w:hAnsi="Arial"/>
          <w:sz w:val="22"/>
          <w:szCs w:val="22"/>
          <w:color w:val="auto"/>
        </w:rPr>
      </w:pPr>
    </w:p>
    <w:p>
      <w:pPr>
        <w:jc w:val="both"/>
        <w:ind w:firstLine="656"/>
        <w:spacing w:after="0" w:line="260" w:lineRule="auto"/>
        <w:tabs>
          <w:tab w:leader="none" w:pos="1291" w:val="left"/>
        </w:tabs>
        <w:numPr>
          <w:ilvl w:val="0"/>
          <w:numId w:val="85"/>
        </w:numPr>
        <w:rPr>
          <w:rFonts w:ascii="Arial" w:cs="Arial" w:eastAsia="Arial" w:hAnsi="Arial"/>
          <w:sz w:val="21"/>
          <w:szCs w:val="21"/>
          <w:color w:val="auto"/>
        </w:rPr>
      </w:pPr>
      <w:r>
        <w:rPr>
          <w:rFonts w:ascii="Arial" w:cs="Arial" w:eastAsia="Arial" w:hAnsi="Arial"/>
          <w:sz w:val="21"/>
          <w:szCs w:val="21"/>
          <w:color w:val="auto"/>
        </w:rPr>
        <w:t xml:space="preserve">the product of (i) 20% </w:t>
      </w:r>
      <w:r>
        <w:rPr>
          <w:rFonts w:ascii="Arial" w:cs="Arial" w:eastAsia="Arial" w:hAnsi="Arial"/>
          <w:sz w:val="21"/>
          <w:szCs w:val="21"/>
          <w:u w:val="single" w:color="auto"/>
          <w:color w:val="auto"/>
        </w:rPr>
        <w:t>multiplied by</w:t>
      </w:r>
      <w:r>
        <w:rPr>
          <w:rFonts w:ascii="Arial" w:cs="Arial" w:eastAsia="Arial" w:hAnsi="Arial"/>
          <w:sz w:val="21"/>
          <w:szCs w:val="21"/>
          <w:color w:val="auto"/>
        </w:rPr>
        <w:t xml:space="preserve"> (ii) the U.S. Credit Parties’ Eligible 90-Day Accounts;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amount contributed to the U.S. Borrowing Base at any time pursuant to this clause (b), taken together with the amount contributed to the Canadian Borrowing Base at such time pursuant to sub-clause (C) of clause (i) of the definition of “Canadian Borrowing Base”, shall not in any event exceed the Eligible 90-Day Accounts Cap (it being understood that, unless otherwise elected by Parent Borrower in its sole discretion from time-to-time (which election shall be revocable in its sole discretion), Eligible 90-Day Accounts shall be applied to the Eligible 90-Day Accounts Cap first for the benefit of the U.S. Borrowing Base, and thereafter for the benefit of the Canadian Borrowing Base); </w:t>
      </w:r>
      <w:r>
        <w:rPr>
          <w:rFonts w:ascii="Arial" w:cs="Arial" w:eastAsia="Arial" w:hAnsi="Arial"/>
          <w:sz w:val="21"/>
          <w:szCs w:val="21"/>
          <w:u w:val="single" w:color="auto"/>
          <w:color w:val="auto"/>
        </w:rPr>
        <w:t>plus</w:t>
      </w:r>
    </w:p>
    <w:p>
      <w:pPr>
        <w:spacing w:after="0" w:line="180" w:lineRule="exact"/>
        <w:rPr>
          <w:rFonts w:ascii="Arial" w:cs="Arial" w:eastAsia="Arial" w:hAnsi="Arial"/>
          <w:sz w:val="21"/>
          <w:szCs w:val="21"/>
          <w:color w:val="auto"/>
        </w:rPr>
      </w:pPr>
    </w:p>
    <w:p>
      <w:pPr>
        <w:ind w:left="1300" w:hanging="644"/>
        <w:spacing w:after="0"/>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lesser of:</w:t>
      </w:r>
    </w:p>
    <w:p>
      <w:pPr>
        <w:spacing w:after="0" w:line="219" w:lineRule="exact"/>
        <w:rPr>
          <w:rFonts w:ascii="Arial" w:cs="Arial" w:eastAsia="Arial" w:hAnsi="Arial"/>
          <w:sz w:val="22"/>
          <w:szCs w:val="22"/>
          <w:color w:val="auto"/>
        </w:rPr>
      </w:pPr>
    </w:p>
    <w:p>
      <w:pPr>
        <w:ind w:left="660" w:firstLine="764"/>
        <w:spacing w:after="0" w:line="263" w:lineRule="auto"/>
        <w:tabs>
          <w:tab w:leader="none" w:pos="1956" w:val="left"/>
        </w:tabs>
        <w:numPr>
          <w:ilvl w:val="1"/>
          <w:numId w:val="85"/>
        </w:numPr>
        <w:rPr>
          <w:rFonts w:ascii="Arial" w:cs="Arial" w:eastAsia="Arial" w:hAnsi="Arial"/>
          <w:sz w:val="22"/>
          <w:szCs w:val="22"/>
          <w:color w:val="auto"/>
        </w:rPr>
      </w:pPr>
      <w:r>
        <w:rPr>
          <w:rFonts w:ascii="Arial" w:cs="Arial" w:eastAsia="Arial" w:hAnsi="Arial"/>
          <w:sz w:val="22"/>
          <w:szCs w:val="22"/>
          <w:color w:val="auto"/>
        </w:rPr>
        <w:t xml:space="preserve">the product of (A) 65%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(B) the cost of the U.S. Credit Parties’ Eligible Equipment (but net of delivery charges, sales tax and other costs incidental to the purchase thereof); and</w:t>
      </w:r>
    </w:p>
    <w:p>
      <w:pPr>
        <w:spacing w:after="0" w:line="174" w:lineRule="exact"/>
        <w:rPr>
          <w:rFonts w:ascii="Arial" w:cs="Arial" w:eastAsia="Arial" w:hAnsi="Arial"/>
          <w:sz w:val="22"/>
          <w:szCs w:val="22"/>
          <w:color w:val="auto"/>
        </w:rPr>
      </w:pPr>
    </w:p>
    <w:p>
      <w:pPr>
        <w:jc w:val="both"/>
        <w:ind w:left="660" w:firstLine="704"/>
        <w:spacing w:after="0" w:line="312" w:lineRule="auto"/>
        <w:tabs>
          <w:tab w:leader="none" w:pos="1956" w:val="left"/>
        </w:tabs>
        <w:numPr>
          <w:ilvl w:val="1"/>
          <w:numId w:val="85"/>
        </w:numPr>
        <w:rPr>
          <w:rFonts w:ascii="Arial" w:cs="Arial" w:eastAsia="Arial" w:hAnsi="Arial"/>
          <w:sz w:val="19"/>
          <w:szCs w:val="19"/>
          <w:color w:val="auto"/>
        </w:rPr>
      </w:pPr>
      <w:r>
        <w:rPr>
          <w:rFonts w:ascii="Arial" w:cs="Arial" w:eastAsia="Arial" w:hAnsi="Arial"/>
          <w:sz w:val="19"/>
          <w:szCs w:val="19"/>
          <w:color w:val="auto"/>
        </w:rPr>
        <w:t xml:space="preserve">the product of (A) 85%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the cost of the U.S. Credit Parties’ Eligible Equipment (but net of delivery charges, sales tax and other costs incidental to the purchase thereof)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the Net Orderly Liquidation Value percentage identified in the most recent Equipment appraisal obtained by Agent, at such time; </w:t>
      </w:r>
      <w:r>
        <w:rPr>
          <w:rFonts w:ascii="Arial" w:cs="Arial" w:eastAsia="Arial" w:hAnsi="Arial"/>
          <w:sz w:val="19"/>
          <w:szCs w:val="19"/>
          <w:u w:val="single" w:color="auto"/>
          <w:color w:val="auto"/>
        </w:rPr>
        <w:t>plus</w:t>
      </w:r>
    </w:p>
    <w:p>
      <w:pPr>
        <w:spacing w:after="0" w:line="133" w:lineRule="exact"/>
        <w:rPr>
          <w:rFonts w:ascii="Arial" w:cs="Arial" w:eastAsia="Arial" w:hAnsi="Arial"/>
          <w:sz w:val="19"/>
          <w:szCs w:val="19"/>
          <w:color w:val="auto"/>
        </w:rPr>
      </w:pPr>
    </w:p>
    <w:p>
      <w:pPr>
        <w:ind w:left="1300" w:hanging="644"/>
        <w:spacing w:after="0"/>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FF0000"/>
          <w:strike w:val="1"/>
        </w:rPr>
        <w:t>[Reserved];</w:t>
      </w:r>
      <w:r>
        <w:rPr>
          <w:rFonts w:ascii="Arial" w:cs="Arial" w:eastAsia="Arial" w:hAnsi="Arial"/>
          <w:sz w:val="22"/>
          <w:szCs w:val="22"/>
          <w:u w:val="single" w:color="auto"/>
          <w:color w:val="0000FF"/>
          <w:strike w:val="1"/>
        </w:rPr>
        <w:t>the Temporary U.S. Borrowing Base Adjustment; plus</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lesser of</w:t>
      </w:r>
    </w:p>
    <w:p>
      <w:pPr>
        <w:sectPr>
          <w:pgSz w:w="11900" w:h="16838" w:orient="portrait"/>
          <w:cols w:equalWidth="0" w:num="1">
            <w:col w:w="11240"/>
          </w:cols>
          <w:pgMar w:left="320" w:top="1428" w:right="339" w:bottom="1440" w:gutter="0" w:footer="0" w:header="0"/>
        </w:sectPr>
      </w:pPr>
    </w:p>
    <w:bookmarkStart w:id="184" w:name="page185"/>
    <w:bookmarkEnd w:id="184"/>
    <w:p>
      <w:pPr>
        <w:ind w:left="1560" w:hanging="256"/>
        <w:spacing w:after="0"/>
        <w:tabs>
          <w:tab w:leader="none" w:pos="1560" w:val="left"/>
        </w:tabs>
        <w:numPr>
          <w:ilvl w:val="1"/>
          <w:numId w:val="86"/>
        </w:numPr>
        <w:rPr>
          <w:rFonts w:ascii="Arial" w:cs="Arial" w:eastAsia="Arial" w:hAnsi="Arial"/>
          <w:sz w:val="22"/>
          <w:szCs w:val="22"/>
          <w:color w:val="auto"/>
        </w:rPr>
      </w:pPr>
      <w:r>
        <w:rPr>
          <w:rFonts w:ascii="Arial" w:cs="Arial" w:eastAsia="Arial" w:hAnsi="Arial"/>
          <w:sz w:val="22"/>
          <w:szCs w:val="22"/>
          <w:color w:val="auto"/>
        </w:rPr>
        <w:t>85% of the net book value of aggregate Eligible Rolling Stock; and</w:t>
      </w:r>
    </w:p>
    <w:p>
      <w:pPr>
        <w:spacing w:after="0" w:line="219" w:lineRule="exact"/>
        <w:rPr>
          <w:rFonts w:ascii="Arial" w:cs="Arial" w:eastAsia="Arial" w:hAnsi="Arial"/>
          <w:sz w:val="22"/>
          <w:szCs w:val="22"/>
          <w:color w:val="auto"/>
        </w:rPr>
      </w:pPr>
    </w:p>
    <w:p>
      <w:pPr>
        <w:ind w:firstLine="1304"/>
        <w:spacing w:after="0" w:line="263" w:lineRule="auto"/>
        <w:tabs>
          <w:tab w:leader="none" w:pos="1654" w:val="left"/>
        </w:tabs>
        <w:numPr>
          <w:ilvl w:val="1"/>
          <w:numId w:val="86"/>
        </w:numPr>
        <w:rPr>
          <w:rFonts w:ascii="Arial" w:cs="Arial" w:eastAsia="Arial" w:hAnsi="Arial"/>
          <w:sz w:val="22"/>
          <w:szCs w:val="22"/>
          <w:color w:val="auto"/>
        </w:rPr>
      </w:pPr>
      <w:r>
        <w:rPr>
          <w:rFonts w:ascii="Arial" w:cs="Arial" w:eastAsia="Arial" w:hAnsi="Arial"/>
          <w:sz w:val="22"/>
          <w:szCs w:val="22"/>
          <w:color w:val="auto"/>
        </w:rPr>
        <w:t xml:space="preserve">the product of (A) 75% </w:t>
      </w:r>
      <w:r>
        <w:rPr>
          <w:rFonts w:ascii="Arial" w:cs="Arial" w:eastAsia="Arial" w:hAnsi="Arial"/>
          <w:sz w:val="22"/>
          <w:szCs w:val="22"/>
          <w:u w:val="single" w:color="auto"/>
          <w:color w:val="auto"/>
        </w:rPr>
        <w:t>multiplied by</w:t>
      </w:r>
      <w:r>
        <w:rPr>
          <w:rFonts w:ascii="Arial" w:cs="Arial" w:eastAsia="Arial" w:hAnsi="Arial"/>
          <w:sz w:val="22"/>
          <w:szCs w:val="22"/>
          <w:color w:val="auto"/>
        </w:rPr>
        <w:t xml:space="preserve"> (B) the Net Orderly Liquidation Value of the U.S. Credit Parties’ Eligible Rolling Stock; </w:t>
      </w:r>
      <w:r>
        <w:rPr>
          <w:rFonts w:ascii="Arial" w:cs="Arial" w:eastAsia="Arial" w:hAnsi="Arial"/>
          <w:sz w:val="22"/>
          <w:szCs w:val="22"/>
          <w:u w:val="single" w:color="auto"/>
          <w:color w:val="auto"/>
        </w:rPr>
        <w:t>minus</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96"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the Dilution Reserve, </w:t>
      </w:r>
      <w:r>
        <w:rPr>
          <w:rFonts w:ascii="Arial" w:cs="Arial" w:eastAsia="Arial" w:hAnsi="Arial"/>
          <w:sz w:val="22"/>
          <w:szCs w:val="22"/>
          <w:u w:val="single" w:color="auto"/>
          <w:color w:val="0000FF"/>
        </w:rPr>
        <w:t>the Discretionary FILO Dilution Reserve, if applicable,</w:t>
      </w:r>
      <w:r>
        <w:rPr>
          <w:rFonts w:ascii="Arial" w:cs="Arial" w:eastAsia="Arial" w:hAnsi="Arial"/>
          <w:sz w:val="22"/>
          <w:szCs w:val="22"/>
          <w:color w:val="auto"/>
        </w:rPr>
        <w:t xml:space="preserve"> the Rent Reserve, the Canadian Priority Payables Reserve and such other Reserves established by Co-Collateral Agents in their Permitted Discretion in conformity with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 maximum of 25% of the U.S. Borrowing Base shall be attributable to the U.S. Credit Parties’ Eligible Equipment and the U.S. Credit Parties’ Eligible Rolling Stock in the aggregate.</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The U.S. Borrowing Base shall at any time be determined by reference to the most recent Borrowing Base Certificate delivered to Co-Collateral Agents pursuant to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Notwithstanding anything to the contrary contained herein, determinations as to Reserves, adjustments and similar matters related to the U.S. Borrowing Base shall be made by Co-Collateral Agents in their Permitted Discretion in accordance with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188" w:lineRule="exact"/>
        <w:rPr>
          <w:sz w:val="20"/>
          <w:szCs w:val="20"/>
          <w:color w:val="auto"/>
        </w:rPr>
      </w:pPr>
    </w:p>
    <w:p>
      <w:pPr>
        <w:jc w:val="both"/>
        <w:ind w:right="20" w:firstLine="553"/>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Collateral</w:t>
      </w:r>
      <w:r>
        <w:rPr>
          <w:rFonts w:ascii="Arial" w:cs="Arial" w:eastAsia="Arial" w:hAnsi="Arial"/>
          <w:sz w:val="22"/>
          <w:szCs w:val="22"/>
          <w:color w:val="auto"/>
        </w:rPr>
        <w:t>” means the Collateral owned by (or, in the event such Collateral has been foreclosed upon, immediately prior to such foreclosure that was owned by) a U.S. Credit Party.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Credit Party</w:t>
      </w:r>
      <w:r>
        <w:rPr>
          <w:rFonts w:ascii="Arial" w:cs="Arial" w:eastAsia="Arial" w:hAnsi="Arial"/>
          <w:sz w:val="22"/>
          <w:szCs w:val="22"/>
          <w:color w:val="auto"/>
        </w:rPr>
        <w:t>” means each U.S. Borrower and each U.S. Guarantor.</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Guarantor</w:t>
      </w:r>
      <w:r>
        <w:rPr>
          <w:rFonts w:ascii="Arial" w:cs="Arial" w:eastAsia="Arial" w:hAnsi="Arial"/>
          <w:sz w:val="22"/>
          <w:szCs w:val="22"/>
          <w:color w:val="auto"/>
        </w:rPr>
        <w:t>” means each Guarantor that is a Domestic Subsidiary.</w:t>
      </w:r>
    </w:p>
    <w:p>
      <w:pPr>
        <w:spacing w:after="0" w:line="220" w:lineRule="exact"/>
        <w:rPr>
          <w:sz w:val="20"/>
          <w:szCs w:val="20"/>
          <w:color w:val="auto"/>
        </w:rPr>
      </w:pPr>
    </w:p>
    <w:p>
      <w:pPr>
        <w:jc w:val="both"/>
        <w:ind w:right="20" w:firstLine="459"/>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Guaranty</w:t>
      </w:r>
      <w:r>
        <w:rPr>
          <w:rFonts w:ascii="Arial" w:cs="Arial" w:eastAsia="Arial" w:hAnsi="Arial"/>
          <w:sz w:val="22"/>
          <w:szCs w:val="22"/>
          <w:color w:val="auto"/>
        </w:rPr>
        <w:t xml:space="preserve">” means the guarantee of the Obligations of each Credit Party hereunder by the U.S. Credit Parties in Article 13 hereunder or in a supplemental guarantee in accordance with </w:t>
      </w:r>
      <w:r>
        <w:rPr>
          <w:rFonts w:ascii="Arial" w:cs="Arial" w:eastAsia="Arial" w:hAnsi="Arial"/>
          <w:sz w:val="22"/>
          <w:szCs w:val="22"/>
          <w:u w:val="single" w:color="auto"/>
          <w:color w:val="auto"/>
        </w:rPr>
        <w:t>Section 6.12</w:t>
      </w:r>
      <w:r>
        <w:rPr>
          <w:rFonts w:ascii="Arial" w:cs="Arial" w:eastAsia="Arial" w:hAnsi="Arial"/>
          <w:sz w:val="22"/>
          <w:szCs w:val="22"/>
          <w:color w:val="auto"/>
        </w:rPr>
        <w:t xml:space="preserve"> of this Agreement.</w:t>
      </w:r>
    </w:p>
    <w:p>
      <w:pPr>
        <w:spacing w:after="0" w:line="175" w:lineRule="exact"/>
        <w:rPr>
          <w:sz w:val="20"/>
          <w:szCs w:val="20"/>
          <w:color w:val="auto"/>
        </w:rPr>
      </w:pPr>
    </w:p>
    <w:p>
      <w:pPr>
        <w:jc w:val="both"/>
        <w:ind w:firstLine="445"/>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Loans</w:t>
      </w:r>
      <w:r>
        <w:rPr>
          <w:rFonts w:ascii="Arial" w:cs="Arial" w:eastAsia="Arial" w:hAnsi="Arial"/>
          <w:sz w:val="19"/>
          <w:szCs w:val="19"/>
          <w:color w:val="auto"/>
        </w:rPr>
        <w:t>” means, at any time, the sum of (a) the aggregate amount of Revolving Credit Advances and Swing Line Loans outstanding to the U.S. Borrowers plus (b) the aggregate Dollar Equivalent of the U.S. Borrowers’ Letter of Credit Obligations. Unless the context otherwise requires, references to the outstanding principal balance of the U.S. Loans shall include the aggregate Dollar Equivalent of the outstanding balance of the U.S. Borrowers’ Letter of Credit Obligations.</w:t>
      </w:r>
    </w:p>
    <w:p>
      <w:pPr>
        <w:spacing w:after="0" w:line="142" w:lineRule="exact"/>
        <w:rPr>
          <w:sz w:val="20"/>
          <w:szCs w:val="20"/>
          <w:color w:val="auto"/>
        </w:rPr>
      </w:pPr>
    </w:p>
    <w:p>
      <w:pPr>
        <w:jc w:val="both"/>
        <w:ind w:firstLine="540"/>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Overadvance</w:t>
      </w:r>
      <w:r>
        <w:rPr>
          <w:rFonts w:ascii="Arial" w:cs="Arial" w:eastAsia="Arial" w:hAnsi="Arial"/>
          <w:sz w:val="22"/>
          <w:szCs w:val="22"/>
          <w:color w:val="auto"/>
        </w:rPr>
        <w:t xml:space="preserve">” means, as of any date of determination, the sum of (i) Loans then outstanding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(ii) the Available Credit.</w:t>
      </w:r>
    </w:p>
    <w:p>
      <w:pPr>
        <w:spacing w:after="0" w:line="175" w:lineRule="exact"/>
        <w:rPr>
          <w:sz w:val="20"/>
          <w:szCs w:val="20"/>
          <w:color w:val="auto"/>
        </w:rPr>
      </w:pPr>
    </w:p>
    <w:p>
      <w:pPr>
        <w:jc w:val="both"/>
        <w:ind w:firstLine="742"/>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Security Agreement</w:t>
      </w:r>
      <w:r>
        <w:rPr>
          <w:rFonts w:ascii="Arial" w:cs="Arial" w:eastAsia="Arial" w:hAnsi="Arial"/>
          <w:sz w:val="22"/>
          <w:szCs w:val="22"/>
          <w:color w:val="auto"/>
        </w:rPr>
        <w:t>” means that certain Second Amended and Restated Security Agreement, dated as of the Restatement Date, made by the Credit Parties party thereto in favor of Agent, on behalf of Agent, Co-Collateral Agents and Lenders, as amended, restated, supplemented or otherwise modified from time to time.</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0000FF"/>
        </w:rPr>
        <w:t>U.S. Special Resolution Regimes” has the meaning specified in Section 13.13.</w:t>
      </w:r>
    </w:p>
    <w:p>
      <w:pPr>
        <w:sectPr>
          <w:pgSz w:w="11900" w:h="16838" w:orient="portrait"/>
          <w:cols w:equalWidth="0" w:num="1">
            <w:col w:w="11240"/>
          </w:cols>
          <w:pgMar w:left="320" w:top="1428" w:right="339" w:bottom="1440" w:gutter="0" w:footer="0" w:header="0"/>
        </w:sectPr>
      </w:pPr>
    </w:p>
    <w:bookmarkStart w:id="185" w:name="page186"/>
    <w:bookmarkEnd w:id="185"/>
    <w:p>
      <w:pPr>
        <w:ind w:left="440"/>
        <w:spacing w:after="0"/>
        <w:rPr>
          <w:sz w:val="20"/>
          <w:szCs w:val="20"/>
          <w:color w:val="auto"/>
        </w:rPr>
      </w:pPr>
      <w:r>
        <w:rPr>
          <w:rFonts w:ascii="Arial" w:cs="Arial" w:eastAsia="Arial" w:hAnsi="Arial"/>
          <w:sz w:val="22"/>
          <w:szCs w:val="22"/>
          <w:color w:val="0000FF"/>
        </w:rPr>
        <w:t>“</w:t>
      </w:r>
      <w:r>
        <w:rPr>
          <w:rFonts w:ascii="Arial" w:cs="Arial" w:eastAsia="Arial" w:hAnsi="Arial"/>
          <w:sz w:val="22"/>
          <w:szCs w:val="22"/>
          <w:u w:val="single" w:color="auto"/>
          <w:color w:val="000000"/>
        </w:rPr>
        <w:t>U.S. Term Priority Collateral</w:t>
      </w:r>
      <w:r>
        <w:rPr>
          <w:rFonts w:ascii="Arial" w:cs="Arial" w:eastAsia="Arial" w:hAnsi="Arial"/>
          <w:sz w:val="22"/>
          <w:szCs w:val="22"/>
          <w:color w:val="000000"/>
        </w:rPr>
        <w:t>” means all U.S. Collateral that is Term Priority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52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35280" cy="8890"/>
                    </a:xfrm>
                    <a:prstGeom prst="rect">
                      <a:avLst/>
                    </a:prstGeom>
                    <a:noFill/>
                  </pic:spPr>
                </pic:pic>
              </a:graphicData>
            </a:graphic>
          </wp:anchor>
        </w:drawing>
      </w:r>
    </w:p>
    <w:p>
      <w:pPr>
        <w:spacing w:after="0" w:line="200"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Value</w:t>
      </w:r>
      <w:r>
        <w:rPr>
          <w:rFonts w:ascii="Arial" w:cs="Arial" w:eastAsia="Arial" w:hAnsi="Arial"/>
          <w:sz w:val="22"/>
          <w:szCs w:val="22"/>
          <w:color w:val="auto"/>
        </w:rPr>
        <w:t xml:space="preserve">” means, with respect to Eligible Rolling Stock, net book value as reported by Borrowers to Co-Collateral Agents in accordance with GAAP;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purposes of the calculation of the U.S. Borrowing Base, the Value of the Eligible Rolling Stock shall not include (a) the portion of the value Eligible Rolling Stock equal to the profit earned by any Affiliate of Parent Borrower on the sale thereof to any Borrower or (b) write-ups or write-downs in value with respect to currency exchange rates.</w:t>
      </w:r>
    </w:p>
    <w:p>
      <w:pPr>
        <w:spacing w:after="0" w:line="192" w:lineRule="exact"/>
        <w:rPr>
          <w:sz w:val="20"/>
          <w:szCs w:val="20"/>
          <w:color w:val="auto"/>
        </w:rPr>
      </w:pPr>
    </w:p>
    <w:p>
      <w:pPr>
        <w:jc w:val="both"/>
        <w:ind w:firstLine="513"/>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Weighted Average Life to Maturity</w:t>
      </w:r>
      <w:r>
        <w:rPr>
          <w:rFonts w:ascii="Arial" w:cs="Arial" w:eastAsia="Arial" w:hAnsi="Arial"/>
          <w:sz w:val="22"/>
          <w:szCs w:val="22"/>
          <w:color w:val="auto"/>
        </w:rPr>
        <w:t>” means, when applied to any Indebtedness or Disqualified Capital Stock or Preferred Stock, as the case may be, at any date, the quotient obtained by dividing (1) the sum of the products of the number of years from the date of determination to the date of each successive scheduled principal payment of such Indebtedness or redemption or similar payment with respect to such Disqualified Capital Stock or Preferred Stock multiplied by the amount of such payment, by (2) the sum of all such payments.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Wholly Owned Restricted Subsidiary</w:t>
      </w:r>
      <w:r>
        <w:rPr>
          <w:rFonts w:ascii="Arial" w:cs="Arial" w:eastAsia="Arial" w:hAnsi="Arial"/>
          <w:sz w:val="22"/>
          <w:szCs w:val="22"/>
          <w:color w:val="auto"/>
        </w:rPr>
        <w:t>” means any Wholly Owned Subsidiary that is a Restricted Subsidiary.</w:t>
      </w:r>
    </w:p>
    <w:p>
      <w:pPr>
        <w:spacing w:after="0" w:line="220" w:lineRule="exact"/>
        <w:rPr>
          <w:sz w:val="20"/>
          <w:szCs w:val="20"/>
          <w:color w:val="auto"/>
        </w:rPr>
      </w:pPr>
    </w:p>
    <w:p>
      <w:pPr>
        <w:jc w:val="both"/>
        <w:ind w:firstLine="540"/>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Subsidiary</w:t>
      </w:r>
      <w:r>
        <w:rPr>
          <w:rFonts w:ascii="Arial" w:cs="Arial" w:eastAsia="Arial" w:hAnsi="Arial"/>
          <w:sz w:val="19"/>
          <w:szCs w:val="19"/>
          <w:color w:val="auto"/>
        </w:rPr>
        <w:t>” of any Person means a Subsidiary of such Person 100% of the outstanding Capital Stock or other ownership interests of which (other than directors’ qualifying shares or shares required pursuant to applicable law) shall at the time be owned by such Person or by one or more Wholly Owned Subsidiaries of such Person.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Withholding Agent</w:t>
      </w:r>
      <w:r>
        <w:rPr>
          <w:rFonts w:ascii="Arial" w:cs="Arial" w:eastAsia="Arial" w:hAnsi="Arial"/>
          <w:sz w:val="22"/>
          <w:szCs w:val="22"/>
          <w:color w:val="auto"/>
        </w:rPr>
        <w:t>” means any Credit Party and Agent.</w:t>
      </w:r>
    </w:p>
    <w:p>
      <w:pPr>
        <w:spacing w:after="0" w:line="22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WRA</w:t>
      </w:r>
      <w:r>
        <w:rPr>
          <w:rFonts w:ascii="Arial" w:cs="Arial" w:eastAsia="Arial" w:hAnsi="Arial"/>
          <w:sz w:val="22"/>
          <w:szCs w:val="22"/>
          <w:color w:val="auto"/>
        </w:rPr>
        <w:t>” means the Winding-Up and Restructuring Act (Canada).</w:t>
      </w:r>
    </w:p>
    <w:p>
      <w:pPr>
        <w:spacing w:after="0" w:line="22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xml:space="preserve">” means, </w:t>
      </w:r>
      <w:r>
        <w:rPr>
          <w:rFonts w:ascii="Arial" w:cs="Arial" w:eastAsia="Arial" w:hAnsi="Arial"/>
          <w:sz w:val="22"/>
          <w:szCs w:val="22"/>
          <w:u w:val="single" w:color="auto"/>
          <w:color w:val="0000FF"/>
        </w:rPr>
        <w:t>(a)</w:t>
      </w:r>
      <w:r>
        <w:rPr>
          <w:rFonts w:ascii="Arial" w:cs="Arial" w:eastAsia="Arial" w:hAnsi="Arial"/>
          <w:sz w:val="22"/>
          <w:szCs w:val="22"/>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Arial" w:cs="Arial" w:eastAsia="Arial" w:hAnsi="Arial"/>
          <w:sz w:val="22"/>
          <w:szCs w:val="22"/>
          <w:u w:val="single" w:color="auto"/>
          <w:color w:val="0000FF"/>
        </w:rPr>
        <w:t>, and (b) with</w:t>
      </w:r>
      <w:r>
        <w:rPr>
          <w:rFonts w:ascii="Arial" w:cs="Arial" w:eastAsia="Arial" w:hAnsi="Arial"/>
          <w:sz w:val="22"/>
          <w:szCs w:val="22"/>
          <w:color w:val="auto"/>
        </w:rPr>
        <w:t xml:space="preserve"> </w:t>
      </w:r>
      <w:r>
        <w:rPr>
          <w:rFonts w:ascii="Arial" w:cs="Arial" w:eastAsia="Arial" w:hAnsi="Arial"/>
          <w:sz w:val="22"/>
          <w:szCs w:val="22"/>
          <w:u w:val="single" w:color="auto"/>
          <w:color w:val="0000FF"/>
        </w:rPr>
        <w:t>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r>
        <w:rPr>
          <w:rFonts w:ascii="Arial" w:cs="Arial" w:eastAsia="Arial" w:hAnsi="Arial"/>
          <w:sz w:val="22"/>
          <w:szCs w:val="22"/>
          <w:color w:val="000000"/>
        </w:rPr>
        <w:t>.</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XPO Intermodal</w:t>
      </w:r>
      <w:r>
        <w:rPr>
          <w:rFonts w:ascii="Arial" w:cs="Arial" w:eastAsia="Arial" w:hAnsi="Arial"/>
          <w:sz w:val="22"/>
          <w:szCs w:val="22"/>
          <w:color w:val="auto"/>
        </w:rPr>
        <w:t>” means XPO Intermodal, Inc. (f/k/a Pacer International, Inc.), a Tennessee corporation.</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Rules of Construction</w:t>
      </w:r>
      <w:r>
        <w:rPr>
          <w:rFonts w:ascii="Arial" w:cs="Arial" w:eastAsia="Arial" w:hAnsi="Arial"/>
          <w:sz w:val="22"/>
          <w:szCs w:val="22"/>
          <w:color w:val="auto"/>
        </w:rPr>
        <w:t>. All other undefined terms contained in any of the Loan Documents shall, unless the context indicates otherwise, have the meanings provided for by the Code to the extent the same are used or defined therein; in the event that any term is defined</w:t>
      </w:r>
    </w:p>
    <w:p>
      <w:pPr>
        <w:sectPr>
          <w:pgSz w:w="11900" w:h="16838" w:orient="portrait"/>
          <w:cols w:equalWidth="0" w:num="1">
            <w:col w:w="11240"/>
          </w:cols>
          <w:pgMar w:left="320" w:top="1428" w:right="339" w:bottom="1440" w:gutter="0" w:footer="0" w:header="0"/>
        </w:sectPr>
      </w:pPr>
    </w:p>
    <w:bookmarkStart w:id="186" w:name="page187"/>
    <w:bookmarkEnd w:id="186"/>
    <w:p>
      <w:pPr>
        <w:jc w:val="both"/>
        <w:spacing w:after="0" w:line="247" w:lineRule="auto"/>
        <w:rPr>
          <w:sz w:val="20"/>
          <w:szCs w:val="20"/>
          <w:color w:val="auto"/>
        </w:rPr>
      </w:pPr>
      <w:r>
        <w:rPr>
          <w:rFonts w:ascii="Arial" w:cs="Arial" w:eastAsia="Arial" w:hAnsi="Arial"/>
          <w:sz w:val="22"/>
          <w:szCs w:val="22"/>
          <w:color w:val="auto"/>
        </w:rPr>
        <w:t>differently in different Articles or Divisions of the Code, the definition in Article or Division 9 shall control. Unless otherwise specified, references in this Agreement or any of the Appendices to a Section, subsection or clause refer to such Section, subsection or clause as contained in this Agreement. The words “herein”, “hereof” and “hereunder”, and other words of similar import refer to this Agreement as a whole, including all Annexes, Exhibits and Schedules, as the same may from time to time be amended, restated, modified or supplemented, and not to any particular section, subsection or clause contained in this Agreement or any such Annex, Exhibit or Schedule.</w:t>
      </w:r>
    </w:p>
    <w:p>
      <w:pPr>
        <w:spacing w:after="0" w:line="193"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 xml:space="preserve">1.3 </w:t>
      </w:r>
      <w:r>
        <w:rPr>
          <w:rFonts w:ascii="Arial" w:cs="Arial" w:eastAsia="Arial" w:hAnsi="Arial"/>
          <w:sz w:val="19"/>
          <w:szCs w:val="19"/>
          <w:u w:val="single" w:color="auto"/>
          <w:color w:val="auto"/>
        </w:rPr>
        <w:t>Interpretive Matters</w:t>
      </w:r>
      <w:r>
        <w:rPr>
          <w:rFonts w:ascii="Arial" w:cs="Arial" w:eastAsia="Arial" w:hAnsi="Arial"/>
          <w:sz w:val="19"/>
          <w:szCs w:val="19"/>
          <w:color w:val="auto"/>
        </w:rPr>
        <w:t>. Wherever from the context it appears appropriate, each term stated in either the singular or plural shall include the singular and the plural, and pronouns stated in the masculine, feminine or neuter gender shall include the masculine, feminine and neuter genders. The words “including”, “includes” and “include” shall be deemed to be followed by the words “without limitation”; the word “or” is not exclusive; references to Persons include their respective successors and assigns (to the extent and only to the extent permitted by the Loan Documents) or, in the case of governmental Persons, Persons succeeding to the relevant functions of such Persons; and all references to agreements and instruments, statutes and related regulations shall include any amendments of the same and any successor statutes and regulations. Whenever any provision in any Loan Document refers to the knowledge (or an analogous phrase) of any Credit Party, such words are intended to signify that such Credit Party has actual knowledge or awareness of a particular fact or circumstance or that such Credit Party, if it had exercised reasonable diligence, would have known or been aware of such fact or circumstance. In addition, for purposes hereof,</w:t>
      </w:r>
    </w:p>
    <w:p>
      <w:pPr>
        <w:spacing w:after="0" w:line="7" w:lineRule="exact"/>
        <w:rPr>
          <w:sz w:val="20"/>
          <w:szCs w:val="20"/>
          <w:color w:val="auto"/>
        </w:rPr>
      </w:pPr>
    </w:p>
    <w:p>
      <w:pPr>
        <w:jc w:val="both"/>
        <w:ind w:firstLine="8"/>
        <w:spacing w:after="0" w:line="284" w:lineRule="auto"/>
        <w:tabs>
          <w:tab w:leader="none" w:pos="354"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an accounting term not otherwise defined has the meaning assigned to it in accordance with GAAP; (b) unsecured Indebtedness shall not be deemed to be subordinate or junior to secured Indebtedness merely by virtue of its nature as unsecured Indebtedness; (c) the principal amount of any non-interest bearing or other discount security at any date shall be the principal amount thereof that would be shown on a balance sheet of a Person dated such date prepared in accordance with GAAP; (d) the principal amount of any Preferred Stock shall be (i) the maximum liquidation value of such Preferred Stock or (ii) the maximum mandatory redemption or mandatory repurchase price with respect to such Preferred Stock, whichever is greater; and (e) unless otherwise specified herein, all accounting terms used herein shall be interpreted, all accounting determinations hereunder shall be made, and all financial statements required to be delivered hereunder shall be prepared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that, if Borrower Representative notifies Agent that Borrower Representative requests an amendment to any provision hereof to eliminate the effect of any change occurring after the Amendment No. 3 Effective Date in GAAP or in the application thereof on the operation of such provision (or if Agent notifies Borrower Representative that the Requisite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200" w:lineRule="exact"/>
        <w:rPr>
          <w:sz w:val="20"/>
          <w:szCs w:val="20"/>
          <w:color w:val="auto"/>
        </w:rPr>
      </w:pPr>
    </w:p>
    <w:p>
      <w:pPr>
        <w:spacing w:after="0" w:line="2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Additional Alternative Currencies</w:t>
      </w:r>
      <w:r>
        <w:rPr>
          <w:rFonts w:ascii="Arial" w:cs="Arial" w:eastAsia="Arial" w:hAnsi="Arial"/>
          <w:sz w:val="19"/>
          <w:szCs w:val="19"/>
          <w:color w:val="auto"/>
        </w:rPr>
        <w:t>.</w:t>
      </w:r>
    </w:p>
    <w:p>
      <w:pPr>
        <w:sectPr>
          <w:pgSz w:w="11900" w:h="16838" w:orient="portrait"/>
          <w:cols w:equalWidth="0" w:num="1">
            <w:col w:w="11240"/>
          </w:cols>
          <w:pgMar w:left="320" w:top="1428" w:right="339" w:bottom="1440" w:gutter="0" w:footer="0" w:header="0"/>
        </w:sectPr>
      </w:pPr>
    </w:p>
    <w:bookmarkStart w:id="187" w:name="page188"/>
    <w:bookmarkEnd w:id="187"/>
    <w:p>
      <w:pPr>
        <w:jc w:val="both"/>
        <w:ind w:left="340" w:firstLine="1288"/>
        <w:spacing w:after="0" w:line="302" w:lineRule="auto"/>
        <w:tabs>
          <w:tab w:leader="none" w:pos="1957"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Parent Borrower may from time to time request that Letters of Credit be issued in a currency other than Dollars or those specifically listed in the definition of “Alternative Currency” for the account of a U.S.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requested currency is a lawful currency that is freely transferable and readily convertible into Dollars in the London interbank market. Such request shall be subject to the approval of Agent and the applicable L/C Issuer(s).</w:t>
      </w:r>
    </w:p>
    <w:p>
      <w:pPr>
        <w:spacing w:after="0" w:line="142" w:lineRule="exact"/>
        <w:rPr>
          <w:rFonts w:ascii="Arial" w:cs="Arial" w:eastAsia="Arial" w:hAnsi="Arial"/>
          <w:sz w:val="19"/>
          <w:szCs w:val="19"/>
          <w:color w:val="auto"/>
        </w:rPr>
      </w:pPr>
    </w:p>
    <w:p>
      <w:pPr>
        <w:jc w:val="both"/>
        <w:ind w:left="340" w:firstLine="1288"/>
        <w:spacing w:after="0" w:line="261" w:lineRule="auto"/>
        <w:tabs>
          <w:tab w:leader="none" w:pos="1955" w:val="left"/>
        </w:tabs>
        <w:numPr>
          <w:ilvl w:val="0"/>
          <w:numId w:val="89"/>
        </w:numPr>
        <w:rPr>
          <w:rFonts w:ascii="Arial" w:cs="Arial" w:eastAsia="Arial" w:hAnsi="Arial"/>
          <w:sz w:val="21"/>
          <w:szCs w:val="21"/>
          <w:color w:val="auto"/>
        </w:rPr>
      </w:pPr>
      <w:r>
        <w:rPr>
          <w:rFonts w:ascii="Arial" w:cs="Arial" w:eastAsia="Arial" w:hAnsi="Arial"/>
          <w:sz w:val="21"/>
          <w:szCs w:val="21"/>
          <w:color w:val="auto"/>
        </w:rPr>
        <w:t>Any such request shall be made to Agent not later than 11:00 a.m. (New York, New York time), ten Business Days prior to the date of the desired issuance of a Letter of Credit in such other currency (or such other time or date as may be agreed by Agent and the applicable L/C Issuer, in its or their sole discretion). In the case of any such request, Agent shall also promptly notify the applicable L/C Issuer thereof. The applicable L/C Issuer shall notify Agent, not later than 11:00 a.m. (New York, New York time), five Business Days after receipt of such request whether it consents, in its sole discretion, to the issuance of Letters of Credit in such requested currency.</w:t>
      </w:r>
    </w:p>
    <w:p>
      <w:pPr>
        <w:spacing w:after="0" w:line="179" w:lineRule="exact"/>
        <w:rPr>
          <w:rFonts w:ascii="Arial" w:cs="Arial" w:eastAsia="Arial" w:hAnsi="Arial"/>
          <w:sz w:val="21"/>
          <w:szCs w:val="21"/>
          <w:color w:val="auto"/>
        </w:rPr>
      </w:pPr>
    </w:p>
    <w:p>
      <w:pPr>
        <w:jc w:val="both"/>
        <w:ind w:left="340" w:firstLine="1288"/>
        <w:spacing w:after="0" w:line="247" w:lineRule="auto"/>
        <w:tabs>
          <w:tab w:leader="none" w:pos="1957" w:val="left"/>
        </w:tabs>
        <w:numPr>
          <w:ilvl w:val="0"/>
          <w:numId w:val="89"/>
        </w:numPr>
        <w:rPr>
          <w:rFonts w:ascii="Arial" w:cs="Arial" w:eastAsia="Arial" w:hAnsi="Arial"/>
          <w:sz w:val="22"/>
          <w:szCs w:val="22"/>
          <w:color w:val="auto"/>
        </w:rPr>
      </w:pPr>
      <w:r>
        <w:rPr>
          <w:rFonts w:ascii="Arial" w:cs="Arial" w:eastAsia="Arial" w:hAnsi="Arial"/>
          <w:sz w:val="22"/>
          <w:szCs w:val="22"/>
          <w:color w:val="auto"/>
        </w:rPr>
        <w:t>Any failure by an L/C Issuer to respond to such request within the time period specified in the preceding sentence shall be deemed to be a refusal by such L/C Issuer to issue a Letters of Credit in such requested currency. If Agent and the applicable L/C Issuer consent to the issuance of Letters of Credit in such requested currency, Agent shall so notify Parent Borrower and such currency shall thereupon be deemed for all purposes herein to be an Alternative Currency hereunder. If Agent shall fail to obtain consent to any request for an additional currency under this Section 1.4, Agent shall promptly so notify Parent Borrower.</w:t>
      </w:r>
    </w:p>
    <w:p>
      <w:pPr>
        <w:spacing w:after="0" w:line="192" w:lineRule="exact"/>
        <w:rPr>
          <w:rFonts w:ascii="Arial" w:cs="Arial" w:eastAsia="Arial" w:hAnsi="Arial"/>
          <w:sz w:val="22"/>
          <w:szCs w:val="22"/>
          <w:color w:val="auto"/>
        </w:rPr>
      </w:pPr>
    </w:p>
    <w:p>
      <w:pPr>
        <w:ind w:left="340" w:right="20" w:firstLine="1288"/>
        <w:spacing w:after="0" w:line="263" w:lineRule="auto"/>
        <w:tabs>
          <w:tab w:leader="none" w:pos="1955" w:val="left"/>
        </w:tabs>
        <w:numPr>
          <w:ilvl w:val="0"/>
          <w:numId w:val="89"/>
        </w:numPr>
        <w:rPr>
          <w:rFonts w:ascii="Arial" w:cs="Arial" w:eastAsia="Arial" w:hAnsi="Arial"/>
          <w:sz w:val="22"/>
          <w:szCs w:val="22"/>
          <w:color w:val="auto"/>
        </w:rPr>
      </w:pPr>
      <w:r>
        <w:rPr>
          <w:rFonts w:ascii="Arial" w:cs="Arial" w:eastAsia="Arial" w:hAnsi="Arial"/>
          <w:sz w:val="22"/>
          <w:szCs w:val="22"/>
          <w:color w:val="auto"/>
        </w:rPr>
        <w:t>As of the Amendment No. 3 Effective Date, each L/C Issuer has agreed to issue Letters of Credit in the currencies specified on Exhibit B to Amendment No. 3.</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Timing of Payment or Performance</w:t>
      </w:r>
      <w:r>
        <w:rPr>
          <w:rFonts w:ascii="Arial" w:cs="Arial" w:eastAsia="Arial" w:hAnsi="Arial"/>
          <w:sz w:val="22"/>
          <w:szCs w:val="22"/>
          <w:color w:val="auto"/>
        </w:rPr>
        <w:t>. When the payment of any obligation or the performance of any covenant, duty or obligation is stated to be due or performance required on a day which is not a Business Day, the date of such payment (other than as described in the definition of LIBOR Period) or performance shall extend to the immediately succeeding Business Day.</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1.6 </w:t>
      </w:r>
      <w:r>
        <w:rPr>
          <w:rFonts w:ascii="Arial" w:cs="Arial" w:eastAsia="Arial" w:hAnsi="Arial"/>
          <w:sz w:val="19"/>
          <w:szCs w:val="19"/>
          <w:u w:val="single" w:color="auto"/>
          <w:color w:val="auto"/>
        </w:rPr>
        <w:t>Quebec Matters</w:t>
      </w:r>
      <w:r>
        <w:rPr>
          <w:rFonts w:ascii="Arial" w:cs="Arial" w:eastAsia="Arial" w:hAnsi="Arial"/>
          <w:sz w:val="19"/>
          <w:szCs w:val="19"/>
          <w:color w:val="auto"/>
        </w:rPr>
        <w:t>. For purposes of any assets, liabilities or entities located in the Province of Quebec and for all other purposes pursuant to which the interpretation or construction of this Agreement or any other Loan Document may be subject to the laws of the Province of Quebec or a court or tribunal exercising jurisdiction in the Province of Quebec, (a) “personal property” shall include “movable property”; (b) “real property” or “real estate” shall include “immovable property”; (c) “tangible property” shall include “corporeal property”; (d) “intangible property” shall include “incorporeal property”; (e) “security interest”, “mortgage” and “lien” shall include a “hypothec”, “right of retention”, “prior claim” and a resolutory clause;</w:t>
      </w:r>
    </w:p>
    <w:p>
      <w:pPr>
        <w:jc w:val="both"/>
        <w:ind w:right="20" w:firstLine="8"/>
        <w:spacing w:after="0" w:line="302" w:lineRule="auto"/>
        <w:tabs>
          <w:tab w:leader="none" w:pos="315" w:val="left"/>
        </w:tabs>
        <w:numPr>
          <w:ilvl w:val="0"/>
          <w:numId w:val="90"/>
        </w:numPr>
        <w:rPr>
          <w:rFonts w:ascii="Arial" w:cs="Arial" w:eastAsia="Arial" w:hAnsi="Arial"/>
          <w:sz w:val="19"/>
          <w:szCs w:val="19"/>
          <w:color w:val="auto"/>
        </w:rPr>
      </w:pPr>
      <w:r>
        <w:rPr>
          <w:rFonts w:ascii="Arial" w:cs="Arial" w:eastAsia="Arial" w:hAnsi="Arial"/>
          <w:sz w:val="19"/>
          <w:szCs w:val="19"/>
          <w:color w:val="auto"/>
        </w:rPr>
        <w:t>all references to filing, perfection, priority, remedies, registering or recording under the Code or a PPSA shall include publication under the Civil Code of Quebec; (g) all references to “perfection” of or “perfected” liens or security interest shall include a reference to an “opposable” or “set up” hypothec, lien or security interest as against third parties; (h) any “right</w:t>
      </w:r>
    </w:p>
    <w:p>
      <w:pPr>
        <w:sectPr>
          <w:pgSz w:w="11900" w:h="16838" w:orient="portrait"/>
          <w:cols w:equalWidth="0" w:num="1">
            <w:col w:w="11240"/>
          </w:cols>
          <w:pgMar w:left="320" w:top="1428" w:right="339" w:bottom="1440" w:gutter="0" w:footer="0" w:header="0"/>
        </w:sectPr>
      </w:pPr>
    </w:p>
    <w:bookmarkStart w:id="188" w:name="page189"/>
    <w:bookmarkEnd w:id="188"/>
    <w:p>
      <w:pPr>
        <w:jc w:val="both"/>
        <w:spacing w:after="0" w:line="287" w:lineRule="auto"/>
        <w:rPr>
          <w:sz w:val="20"/>
          <w:szCs w:val="20"/>
          <w:color w:val="auto"/>
        </w:rPr>
      </w:pPr>
      <w:r>
        <w:rPr>
          <w:rFonts w:ascii="Arial" w:cs="Arial" w:eastAsia="Arial" w:hAnsi="Arial"/>
          <w:sz w:val="19"/>
          <w:szCs w:val="19"/>
          <w:color w:val="auto"/>
        </w:rPr>
        <w:t>of offset”, “right of setoff” or similar expression shall include a “right of compensation”; (i) “goods” shall include “corporeal movable property” other than chattel paper, documents of title, instruments, money and securities; (j) an “agent” shall include a “mandatary”; (k) “construction liens” shall include “legal hypothecs”; (l) “joint and several” shall include “solidary”; (m) “gross negligence or willful misconduct” shall be deemed to be “intentional or gross fault”; (n) “beneficial ownership” shall include “ownership on behalf of another as mandatary”; (o) “easement” shall include “servitude”; (p) “priority” shall include “prior claim”; (q) “survey” shall include “certificate of location and plan”; (r) “state” shall include “province”; (s) “fee simple title” shall include “absolute ownership”; (t) “accounts” shall include “claims”. The parties hereto confirm that it is their wish that this Agreement and any other document executed in connection with the transactions contemplated herein be drawn up in the English language only and that all other documents contemplated thereunder or relating thereto, including notices, may also be drawn up in the English language only. Les parties aux présentes confirment que c'est leur volonté que cette convention et les autres documents de crédit soient rédigés en langue anglaise seulement et que tous les documents, y compris tous avis, envisagés par cette convention et les autres documents peuvent être rédigés en langue anglaise seulement.</w:t>
      </w:r>
    </w:p>
    <w:p>
      <w:pPr>
        <w:spacing w:after="0" w:line="1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1.7 </w:t>
      </w:r>
      <w:r>
        <w:rPr>
          <w:rFonts w:ascii="Arial" w:cs="Arial" w:eastAsia="Arial" w:hAnsi="Arial"/>
          <w:sz w:val="22"/>
          <w:szCs w:val="22"/>
          <w:u w:val="single" w:color="auto"/>
          <w:color w:val="auto"/>
        </w:rPr>
        <w:t>Borrowers</w:t>
      </w:r>
      <w:r>
        <w:rPr>
          <w:rFonts w:ascii="Arial" w:cs="Arial" w:eastAsia="Arial" w:hAnsi="Arial"/>
          <w:sz w:val="22"/>
          <w:szCs w:val="22"/>
          <w:color w:val="auto"/>
        </w:rPr>
        <w:t>. Notwithstanding anything herein or in any Loan Document to the contrary, including any generic use of the term “Borrowers” as being liable for any payment or obligation, in no event shall any Canadian Borrower or Canadian Guarantor be liable for any Obligation of a U.S. Borrower or U.S. Guarantor.</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1.8 </w:t>
      </w:r>
      <w:r>
        <w:rPr>
          <w:rFonts w:ascii="Arial" w:cs="Arial" w:eastAsia="Arial" w:hAnsi="Arial"/>
          <w:sz w:val="19"/>
          <w:szCs w:val="19"/>
          <w:u w:val="single" w:color="auto"/>
          <w:color w:val="auto"/>
        </w:rPr>
        <w:t>Quebec Security</w:t>
      </w:r>
      <w:r>
        <w:rPr>
          <w:rFonts w:ascii="Arial" w:cs="Arial" w:eastAsia="Arial" w:hAnsi="Arial"/>
          <w:sz w:val="19"/>
          <w:szCs w:val="19"/>
          <w:color w:val="auto"/>
        </w:rPr>
        <w:t>. For greater certainty, and without limiting the powers of Agent, each of the Secured Parties hereby irrevocably appoints Agent as hypothecary representative of the Secured Parties as contemplated under Article 2692 of the Civil Code of Quebec in order to hold hypothecs and security granted by any Credit Party on property pursuant to the laws of the Province of Quebec and to exercise such powers and duties which are conferred upon the Secured Parties thereunder. The execution by Agent as hypothecary representative prior to the Credit Agreement of any deeds of hypothec or other security documents is hereby ratified and confirmed. The appointment of Agent as hypothecary representative shall be deemed to have been ratified and confirmed by each Person accepting an assignment of, a participation in or an arrangement in respect of, all or any portion of any Secured Parties’ rights and obligations under the Credit Agreement by the execution of an assignment, including an Assignment Agreement or a joinder or other agreement pursuant to which it becomes such assignee or participant, and by each successor Agent by the execution of an Assignment Agreement or other agreement, or by the compliance with other formalities, as the case may be, pursuant to which it becomes a successor Agent under the Credit Agreement.</w:t>
      </w:r>
    </w:p>
    <w:p>
      <w:pPr>
        <w:spacing w:after="0" w:line="163"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 xml:space="preserve">1.9 </w:t>
      </w:r>
      <w:r>
        <w:rPr>
          <w:rFonts w:ascii="Arial" w:cs="Arial" w:eastAsia="Arial" w:hAnsi="Arial"/>
          <w:sz w:val="22"/>
          <w:szCs w:val="22"/>
          <w:u w:val="single" w:color="auto"/>
          <w:color w:val="auto"/>
        </w:rPr>
        <w:t>Permitted Liens</w:t>
      </w:r>
      <w:r>
        <w:rPr>
          <w:rFonts w:ascii="Arial" w:cs="Arial" w:eastAsia="Arial" w:hAnsi="Arial"/>
          <w:sz w:val="22"/>
          <w:szCs w:val="22"/>
          <w:color w:val="auto"/>
        </w:rPr>
        <w:t>. Any references in this Agreement or any other Loan Document to “Permitted Liens” is not intended to subordinate or postpone, and shall not be interpreted as subordination or postponing, or as any agreement to subordinate or postpone, any Lien created by any of the Loan Documents to any Permitted Lien.</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1.10 </w:t>
      </w:r>
      <w:r>
        <w:rPr>
          <w:rFonts w:ascii="Arial" w:cs="Arial" w:eastAsia="Arial" w:hAnsi="Arial"/>
          <w:sz w:val="22"/>
          <w:szCs w:val="22"/>
          <w:u w:val="single" w:color="auto"/>
          <w:color w:val="auto"/>
        </w:rPr>
        <w:t>Interest Act (Canada)</w:t>
      </w:r>
      <w:r>
        <w:rPr>
          <w:rFonts w:ascii="Arial" w:cs="Arial" w:eastAsia="Arial" w:hAnsi="Arial"/>
          <w:sz w:val="22"/>
          <w:szCs w:val="22"/>
          <w:color w:val="auto"/>
        </w:rPr>
        <w:t>. For the purposes of the Interest Act (Canada) and disclosure thereunder, whenever any interest or any fee to be paid hereunder or in connection</w:t>
      </w:r>
    </w:p>
    <w:p>
      <w:pPr>
        <w:sectPr>
          <w:pgSz w:w="11900" w:h="16838" w:orient="portrait"/>
          <w:cols w:equalWidth="0" w:num="1">
            <w:col w:w="11240"/>
          </w:cols>
          <w:pgMar w:left="320" w:top="1428" w:right="339" w:bottom="1440" w:gutter="0" w:footer="0" w:header="0"/>
        </w:sectPr>
      </w:pPr>
    </w:p>
    <w:bookmarkStart w:id="189" w:name="page190"/>
    <w:bookmarkEnd w:id="189"/>
    <w:p>
      <w:pPr>
        <w:jc w:val="both"/>
        <w:spacing w:after="0" w:line="248" w:lineRule="auto"/>
        <w:rPr>
          <w:sz w:val="20"/>
          <w:szCs w:val="20"/>
          <w:color w:val="auto"/>
        </w:rPr>
      </w:pPr>
      <w:r>
        <w:rPr>
          <w:rFonts w:ascii="Arial" w:cs="Arial" w:eastAsia="Arial" w:hAnsi="Arial"/>
          <w:sz w:val="22"/>
          <w:szCs w:val="22"/>
          <w:color w:val="auto"/>
        </w:rPr>
        <w:t>herewith by a Canadian Borrower is to be calculated on the basis of a 360-day or 365-day year, the yearly rate of interest to which the rate used in such calculation is equivalent is the rate so used multiplied by the actual number of days in the calendar year in which the same is to be ascertained and divided by 360 or 365, as applicable. The rates of interest under this Agreement are nominal rates, and not effective rates or yields. The principle of deemed reinvestment of interest does not apply to any interest calculation under this Agreement.</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u w:val="single" w:color="auto"/>
          <w:color w:val="auto"/>
        </w:rPr>
        <w:t>Criminal Code (Canada)</w:t>
      </w:r>
      <w:r>
        <w:rPr>
          <w:rFonts w:ascii="Arial" w:cs="Arial" w:eastAsia="Arial" w:hAnsi="Arial"/>
          <w:sz w:val="21"/>
          <w:szCs w:val="21"/>
          <w:color w:val="auto"/>
        </w:rPr>
        <w:t>. If any provision of this Agreement would oblige a Canadian Borrower to make any payment of interest or other amount payable to any Secured Party in an amount or calculated at a rate which would be prohibited by law or would result in a receipt by that Secured Party of “interest” at a “criminal rate” (as such terms are construed under the Criminal Code (Canada)), then, notwithstanding such provision, such amount or rate shall be deemed to have been adjusted with retroactive effect to the maximum amount or rate of interest, as the case may be, as would not be so prohibited by applicable law or so result in a receipt by that Secured Party of “interest” at a “criminal rate”, such adjustment to be effected, to the extent necessary (but only to the extent necessary), as follows:</w:t>
      </w:r>
    </w:p>
    <w:p>
      <w:pPr>
        <w:spacing w:after="0" w:line="180" w:lineRule="exact"/>
        <w:rPr>
          <w:sz w:val="20"/>
          <w:szCs w:val="20"/>
          <w:color w:val="auto"/>
        </w:rPr>
      </w:pPr>
    </w:p>
    <w:p>
      <w:pPr>
        <w:ind w:left="1940" w:hanging="312"/>
        <w:spacing w:after="0"/>
        <w:tabs>
          <w:tab w:leader="none" w:pos="1940" w:val="left"/>
        </w:tabs>
        <w:numPr>
          <w:ilvl w:val="0"/>
          <w:numId w:val="91"/>
        </w:numPr>
        <w:rPr>
          <w:rFonts w:ascii="Arial" w:cs="Arial" w:eastAsia="Arial" w:hAnsi="Arial"/>
          <w:sz w:val="22"/>
          <w:szCs w:val="22"/>
          <w:color w:val="auto"/>
        </w:rPr>
      </w:pPr>
      <w:r>
        <w:rPr>
          <w:rFonts w:ascii="Arial" w:cs="Arial" w:eastAsia="Arial" w:hAnsi="Arial"/>
          <w:sz w:val="22"/>
          <w:szCs w:val="22"/>
          <w:color w:val="auto"/>
        </w:rPr>
        <w:t>first, by reducing the amount or rate of interest; and</w:t>
      </w:r>
    </w:p>
    <w:p>
      <w:pPr>
        <w:spacing w:after="0" w:line="219" w:lineRule="exact"/>
        <w:rPr>
          <w:rFonts w:ascii="Arial" w:cs="Arial" w:eastAsia="Arial" w:hAnsi="Arial"/>
          <w:sz w:val="22"/>
          <w:szCs w:val="22"/>
          <w:color w:val="auto"/>
        </w:rPr>
      </w:pPr>
    </w:p>
    <w:p>
      <w:pPr>
        <w:ind w:left="340" w:firstLine="1288"/>
        <w:spacing w:after="0" w:line="263" w:lineRule="auto"/>
        <w:tabs>
          <w:tab w:leader="none" w:pos="1955"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thereafter, by reducing any fees, commissions, costs, expenses, premiums and other amounts required to be paid which would constitute interest for purposes of section 347 of the Criminal Code (Canada).</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1.12 </w:t>
      </w:r>
      <w:r>
        <w:rPr>
          <w:rFonts w:ascii="Arial" w:cs="Arial" w:eastAsia="Arial" w:hAnsi="Arial"/>
          <w:sz w:val="19"/>
          <w:szCs w:val="19"/>
          <w:u w:val="single" w:color="auto"/>
          <w:color w:val="auto"/>
        </w:rPr>
        <w:t>Anti-Money Laundering (Canada)</w:t>
      </w:r>
      <w:r>
        <w:rPr>
          <w:rFonts w:ascii="Arial" w:cs="Arial" w:eastAsia="Arial" w:hAnsi="Arial"/>
          <w:sz w:val="19"/>
          <w:szCs w:val="19"/>
          <w:color w:val="auto"/>
        </w:rPr>
        <w:t xml:space="preserve">. The Canadian Borrowers acknowledge that, pursuant to the </w:t>
      </w:r>
      <w:r>
        <w:rPr>
          <w:rFonts w:ascii="Arial" w:cs="Arial" w:eastAsia="Arial" w:hAnsi="Arial"/>
          <w:sz w:val="19"/>
          <w:szCs w:val="19"/>
          <w:i w:val="1"/>
          <w:iCs w:val="1"/>
          <w:color w:val="auto"/>
        </w:rPr>
        <w:t>Proceeds of Crime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(Money Laundering) and Terrorist Financing Act </w:t>
      </w:r>
      <w:r>
        <w:rPr>
          <w:rFonts w:ascii="Arial" w:cs="Arial" w:eastAsia="Arial" w:hAnsi="Arial"/>
          <w:sz w:val="19"/>
          <w:szCs w:val="19"/>
          <w:color w:val="auto"/>
        </w:rPr>
        <w:t>(Canada) and other applicable anti-money laundering, anti-terrorist financing,</w:t>
      </w:r>
      <w:r>
        <w:rPr>
          <w:rFonts w:ascii="Arial" w:cs="Arial" w:eastAsia="Arial" w:hAnsi="Arial"/>
          <w:sz w:val="19"/>
          <w:szCs w:val="19"/>
          <w:i w:val="1"/>
          <w:iCs w:val="1"/>
          <w:color w:val="auto"/>
        </w:rPr>
        <w:t xml:space="preserve"> </w:t>
      </w:r>
      <w:r>
        <w:rPr>
          <w:rFonts w:ascii="Arial" w:cs="Arial" w:eastAsia="Arial" w:hAnsi="Arial"/>
          <w:sz w:val="19"/>
          <w:szCs w:val="19"/>
          <w:color w:val="auto"/>
        </w:rPr>
        <w:t>government sanction and “know your client” laws, whether within Canada or elsewhere (collectively, including any guidelines or orders thereunder, “AML Legislation”), the Canadian Lenders and Agent may be required to obtain, verify and record information regarding the Canadian Borrowers, their directors, authorized signing officers, direct or indirect shareholders or other Persons in control of the Canadian Borrowers, and the transactions contemplated hereby. Canadian Borrowers shall promptly provide all such information, including supporting documentation and other evidence, as may be reasonably requested by any Canadian Lender or Agent, or any prospective assign or participant of a Canadian Lender or Agent, in order to comply with any applicable AML Legislation, whether now or hereafter in existence. Notwithstanding the foregoing and except as may otherwise be agreed in writing, each of the Canadian Lenders agrees that Agent has no obligation to ascertain the identity of any Canadian Borrower or any authorized signatories of any Canadian Borrower on behalf of any Canadian Lender, or to confirm the completeness or accuracy of any information it obtains from a Canadian Borrower or any such authorized signatory in doing so.</w:t>
      </w:r>
    </w:p>
    <w:p>
      <w:pPr>
        <w:spacing w:after="0" w:line="159" w:lineRule="exact"/>
        <w:rPr>
          <w:sz w:val="20"/>
          <w:szCs w:val="20"/>
          <w:color w:val="auto"/>
        </w:rPr>
      </w:pPr>
    </w:p>
    <w:p>
      <w:pPr>
        <w:ind w:left="660" w:right="7300" w:hanging="328"/>
        <w:spacing w:after="0" w:line="448" w:lineRule="auto"/>
        <w:tabs>
          <w:tab w:leader="none" w:pos="540"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AMOUNT AND TERMS OF CREDIT 2.1 </w:t>
      </w:r>
      <w:r>
        <w:rPr>
          <w:rFonts w:ascii="Arial" w:cs="Arial" w:eastAsia="Arial" w:hAnsi="Arial"/>
          <w:sz w:val="22"/>
          <w:szCs w:val="22"/>
          <w:u w:val="single" w:color="auto"/>
          <w:color w:val="auto"/>
        </w:rPr>
        <w:t>Credit Facilities</w:t>
      </w:r>
      <w:r>
        <w:rPr>
          <w:rFonts w:ascii="Arial" w:cs="Arial" w:eastAsia="Arial" w:hAnsi="Arial"/>
          <w:sz w:val="22"/>
          <w:szCs w:val="22"/>
          <w:color w:val="auto"/>
        </w:rPr>
        <w:t>.</w:t>
      </w:r>
    </w:p>
    <w:p>
      <w:pPr>
        <w:ind w:left="1940" w:hanging="312"/>
        <w:spacing w:after="0"/>
        <w:tabs>
          <w:tab w:leader="none" w:pos="1940"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Revolving Credit Facility</w:t>
      </w:r>
      <w:r>
        <w:rPr>
          <w:rFonts w:ascii="Arial" w:cs="Arial" w:eastAsia="Arial" w:hAnsi="Arial"/>
          <w:sz w:val="22"/>
          <w:szCs w:val="22"/>
          <w:color w:val="auto"/>
        </w:rPr>
        <w:t>.</w:t>
      </w:r>
    </w:p>
    <w:p>
      <w:pPr>
        <w:sectPr>
          <w:pgSz w:w="11900" w:h="16838" w:orient="portrait"/>
          <w:cols w:equalWidth="0" w:num="1">
            <w:col w:w="11240"/>
          </w:cols>
          <w:pgMar w:left="320" w:top="1428" w:right="339" w:bottom="1440" w:gutter="0" w:footer="0" w:header="0"/>
        </w:sectPr>
      </w:pPr>
    </w:p>
    <w:bookmarkStart w:id="190" w:name="page191"/>
    <w:bookmarkEnd w:id="190"/>
    <w:p>
      <w:pPr>
        <w:jc w:val="both"/>
        <w:ind w:left="-780" w:firstLine="1732"/>
        <w:spacing w:after="0" w:line="284" w:lineRule="auto"/>
        <w:tabs>
          <w:tab w:leader="none" w:pos="1488" w:val="left"/>
        </w:tabs>
        <w:numPr>
          <w:ilvl w:val="1"/>
          <w:numId w:val="93"/>
        </w:numPr>
        <w:rPr>
          <w:rFonts w:ascii="Arial" w:cs="Arial" w:eastAsia="Arial" w:hAnsi="Arial"/>
          <w:sz w:val="19"/>
          <w:szCs w:val="19"/>
          <w:color w:val="auto"/>
        </w:rPr>
      </w:pPr>
      <w:r>
        <w:rPr>
          <w:rFonts w:ascii="Arial" w:cs="Arial" w:eastAsia="Arial" w:hAnsi="Arial"/>
          <w:sz w:val="19"/>
          <w:szCs w:val="19"/>
          <w:color w:val="auto"/>
        </w:rPr>
        <w:t>Subject to the terms and conditions hereof, each Lender severally agrees to make available to Borrowers from time to time until the Commitment Termination Date its Pro Rata Share of advances (each, a “</w:t>
      </w:r>
      <w:r>
        <w:rPr>
          <w:rFonts w:ascii="Arial" w:cs="Arial" w:eastAsia="Arial" w:hAnsi="Arial"/>
          <w:sz w:val="19"/>
          <w:szCs w:val="19"/>
          <w:u w:val="single" w:color="auto"/>
          <w:color w:val="auto"/>
        </w:rPr>
        <w:t>Revolving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Advance</w:t>
      </w:r>
      <w:r>
        <w:rPr>
          <w:rFonts w:ascii="Arial" w:cs="Arial" w:eastAsia="Arial" w:hAnsi="Arial"/>
          <w:sz w:val="19"/>
          <w:szCs w:val="19"/>
          <w:color w:val="auto"/>
        </w:rPr>
        <w:t xml:space="preserve">”). The Pro Rata Share of any Lender of (A) the Aggregate Revolving Credit Exposure shall not at any time exceed its separate Commitment at such time and (B) the Canadian Loans shall not at any time exceed its separate Canadian Commitment at such time. The obligations of each Lender hereunder shall be several and not joint. Until the Commitment Termination Date, Borrowers may borrow, repay and reborrow under this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Aggregate Revolving Credit Exposure at any time shall not exceed Availability at such time, (y) the amount of U.S. Loans at any time shall not exceed the U.S. Availability at such time and (z) the Canadian Loans at any time shall not exceed the Canadian Availability at such time. Each Revolving Credit Advance shall be made on notice by Borrower Representative to one of the representatives of Agent identified in </w:t>
      </w:r>
      <w:r>
        <w:rPr>
          <w:rFonts w:ascii="Arial" w:cs="Arial" w:eastAsia="Arial" w:hAnsi="Arial"/>
          <w:sz w:val="19"/>
          <w:szCs w:val="19"/>
          <w:u w:val="single" w:color="auto"/>
          <w:color w:val="auto"/>
        </w:rPr>
        <w:t>Schedule 2.1</w:t>
      </w:r>
      <w:r>
        <w:rPr>
          <w:rFonts w:ascii="Arial" w:cs="Arial" w:eastAsia="Arial" w:hAnsi="Arial"/>
          <w:sz w:val="19"/>
          <w:szCs w:val="19"/>
          <w:color w:val="auto"/>
        </w:rPr>
        <w:t xml:space="preserve"> at the address specified therein. Any such notice must be given no later than (1) 12 noon (New York, New York time) on the date of the proposed Revolving Credit Advance, in the case of a Base Rate Loan, or (2) 12 noon (New York, New York time) on the date which is three (3) Business Days prior to the proposed Revolving Credit Advance, in the case of a LIBOR Loan. Each such notice (a “</w:t>
      </w:r>
      <w:r>
        <w:rPr>
          <w:rFonts w:ascii="Arial" w:cs="Arial" w:eastAsia="Arial" w:hAnsi="Arial"/>
          <w:sz w:val="19"/>
          <w:szCs w:val="19"/>
          <w:u w:val="single" w:color="auto"/>
          <w:color w:val="auto"/>
        </w:rPr>
        <w:t>Notice of Revolving Credit Advance</w:t>
      </w:r>
      <w:r>
        <w:rPr>
          <w:rFonts w:ascii="Arial" w:cs="Arial" w:eastAsia="Arial" w:hAnsi="Arial"/>
          <w:sz w:val="19"/>
          <w:szCs w:val="19"/>
          <w:color w:val="auto"/>
        </w:rPr>
        <w:t xml:space="preserve">”) may be given verbally by telephone but must be immediately confirmed in writing (by fax, electronic mail or overnight courier) substantially in the form of </w:t>
      </w:r>
      <w:r>
        <w:rPr>
          <w:rFonts w:ascii="Arial" w:cs="Arial" w:eastAsia="Arial" w:hAnsi="Arial"/>
          <w:sz w:val="19"/>
          <w:szCs w:val="19"/>
          <w:u w:val="single" w:color="auto"/>
          <w:color w:val="auto"/>
        </w:rPr>
        <w:t>Exhibit 2.1(a)(i)</w:t>
      </w:r>
      <w:r>
        <w:rPr>
          <w:rFonts w:ascii="Arial" w:cs="Arial" w:eastAsia="Arial" w:hAnsi="Arial"/>
          <w:sz w:val="19"/>
          <w:szCs w:val="19"/>
          <w:color w:val="auto"/>
        </w:rPr>
        <w:t xml:space="preserve">, and shall include the information required in such Exhibit. If any Borrower desires to have the Revolving Credit Advances bear interest by reference to a LIBOR Rate, with respect to LIBOR Loans denominated in Dollars, and BA Rate, with respect to LIBOR Loans denominated in Canadian Dollars, Borrower Representative must comply with </w:t>
      </w:r>
      <w:r>
        <w:rPr>
          <w:rFonts w:ascii="Arial" w:cs="Arial" w:eastAsia="Arial" w:hAnsi="Arial"/>
          <w:sz w:val="19"/>
          <w:szCs w:val="19"/>
          <w:u w:val="single" w:color="auto"/>
          <w:color w:val="auto"/>
        </w:rPr>
        <w:t>Section 2.5(e)</w:t>
      </w:r>
      <w:r>
        <w:rPr>
          <w:rFonts w:ascii="Arial" w:cs="Arial" w:eastAsia="Arial" w:hAnsi="Arial"/>
          <w:sz w:val="19"/>
          <w:szCs w:val="19"/>
          <w:color w:val="auto"/>
        </w:rPr>
        <w:t>. All Revolving Credit Advances (x) made to a U.S. Borrower shall be denominated in Dollars and (y) made to a Canadian Borrower shall be denominated in Dollars or Canadian Dollars but shall be deemed to have been made (in the case of Canadian Dollar Revolving Credit Advances) in the Dollar Equivalent of such Revolving Credit Advance.</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780" w:firstLine="1672"/>
        <w:spacing w:after="0" w:line="288" w:lineRule="auto"/>
        <w:tabs>
          <w:tab w:leader="none" w:pos="1488" w:val="left"/>
        </w:tabs>
        <w:numPr>
          <w:ilvl w:val="1"/>
          <w:numId w:val="93"/>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if requested by Lenders, (x) the U.S. Borrowers, jointly and severally, shall execute and deliver to each Lender a note to evidence the Commitment of that Lender and (y) the Canadian Borrowers, jointly and severally, shall execute and deliver to each Lender a note to evidence the Canadian Commitment of that Lender. Each note shall be in the principal amount of the Commitment (or the Canadian Commitment) of the applicable Lender, and substantially in the form of </w:t>
      </w:r>
      <w:r>
        <w:rPr>
          <w:rFonts w:ascii="Arial" w:cs="Arial" w:eastAsia="Arial" w:hAnsi="Arial"/>
          <w:sz w:val="19"/>
          <w:szCs w:val="19"/>
          <w:u w:val="single" w:color="auto"/>
          <w:color w:val="auto"/>
        </w:rPr>
        <w:t>Exhibit 2.1(a)(ii)</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Revolving Note</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Revolving Notes</w:t>
      </w:r>
      <w:r>
        <w:rPr>
          <w:rFonts w:ascii="Arial" w:cs="Arial" w:eastAsia="Arial" w:hAnsi="Arial"/>
          <w:sz w:val="19"/>
          <w:szCs w:val="19"/>
          <w:color w:val="auto"/>
        </w:rPr>
        <w:t xml:space="preserve">”). Each Revolving Note (or, if a Revolving Note is not requested, this Agreement) shall represent the joint and several obligation of the appropriate Borrowers to pay the amount of the applicable Lender’s Pro Rata Share of the aggregate unpaid principal amount of all Revolving Loans to such Borrower together with interest thereon as prescribed in </w:t>
      </w:r>
      <w:r>
        <w:rPr>
          <w:rFonts w:ascii="Arial" w:cs="Arial" w:eastAsia="Arial" w:hAnsi="Arial"/>
          <w:sz w:val="19"/>
          <w:szCs w:val="19"/>
          <w:u w:val="single" w:color="auto"/>
          <w:color w:val="auto"/>
        </w:rPr>
        <w:t>Section 2.5</w:t>
      </w:r>
      <w:r>
        <w:rPr>
          <w:rFonts w:ascii="Arial" w:cs="Arial" w:eastAsia="Arial" w:hAnsi="Arial"/>
          <w:sz w:val="19"/>
          <w:szCs w:val="19"/>
          <w:color w:val="auto"/>
        </w:rPr>
        <w:t>. The entire unpaid balance of the aggregate Loan and all other non-contingent Obligations shall be immediately due and payable in full in immediately available funds on the Commitment Termination Date (and the Commitment, for purposes of this Agreement, shall thereafter be zero).</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820" w:hanging="312"/>
        <w:spacing w:after="0"/>
        <w:tabs>
          <w:tab w:leader="none" w:pos="82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Swing Line Facility</w:t>
      </w:r>
      <w:r>
        <w:rPr>
          <w:rFonts w:ascii="Arial" w:cs="Arial" w:eastAsia="Arial" w:hAnsi="Arial"/>
          <w:sz w:val="22"/>
          <w:szCs w:val="22"/>
          <w:color w:val="auto"/>
        </w:rPr>
        <w:t>.</w:t>
      </w:r>
    </w:p>
    <w:p>
      <w:pPr>
        <w:sectPr>
          <w:pgSz w:w="11900" w:h="16838" w:orient="portrait"/>
          <w:cols w:equalWidth="0" w:num="1">
            <w:col w:w="10120"/>
          </w:cols>
          <w:pgMar w:left="1440" w:top="1428" w:right="339" w:bottom="1440" w:gutter="0" w:footer="0" w:header="0"/>
        </w:sectPr>
      </w:pPr>
    </w:p>
    <w:bookmarkStart w:id="191" w:name="page192"/>
    <w:bookmarkEnd w:id="191"/>
    <w:p>
      <w:pPr>
        <w:jc w:val="both"/>
        <w:ind w:left="-780" w:firstLine="1732"/>
        <w:spacing w:after="0" w:line="285" w:lineRule="auto"/>
        <w:tabs>
          <w:tab w:leader="none" w:pos="1488" w:val="left"/>
        </w:tabs>
        <w:numPr>
          <w:ilvl w:val="0"/>
          <w:numId w:val="95"/>
        </w:numPr>
        <w:rPr>
          <w:rFonts w:ascii="Arial" w:cs="Arial" w:eastAsia="Arial" w:hAnsi="Arial"/>
          <w:sz w:val="19"/>
          <w:szCs w:val="19"/>
          <w:color w:val="auto"/>
        </w:rPr>
      </w:pPr>
      <w:r>
        <w:rPr>
          <w:rFonts w:ascii="Arial" w:cs="Arial" w:eastAsia="Arial" w:hAnsi="Arial"/>
          <w:sz w:val="19"/>
          <w:szCs w:val="19"/>
          <w:color w:val="auto"/>
        </w:rPr>
        <w:t>Agent shall notify Swing Line Lender upon Agent’s receipt of any Notice of Revolving Credit Advance from a U.S. Borrower which requests Base Rate Loans. Subject to the terms and conditions hereof, Swing Line Lender may, in its discretion, make available from time to time until the Commitment Termination Date advances to a U.S. Borrower (each, a “</w:t>
      </w:r>
      <w:r>
        <w:rPr>
          <w:rFonts w:ascii="Arial" w:cs="Arial" w:eastAsia="Arial" w:hAnsi="Arial"/>
          <w:sz w:val="19"/>
          <w:szCs w:val="19"/>
          <w:u w:val="single" w:color="auto"/>
          <w:color w:val="auto"/>
        </w:rPr>
        <w:t>Swing Line Advance</w:t>
      </w:r>
      <w:r>
        <w:rPr>
          <w:rFonts w:ascii="Arial" w:cs="Arial" w:eastAsia="Arial" w:hAnsi="Arial"/>
          <w:sz w:val="19"/>
          <w:szCs w:val="19"/>
          <w:color w:val="auto"/>
        </w:rPr>
        <w:t xml:space="preserve">”) in accordance with any such notice. The provisions of this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shall not relieve Lenders of their obligations to make Revolving Credit Advances under </w:t>
      </w:r>
      <w:r>
        <w:rPr>
          <w:rFonts w:ascii="Arial" w:cs="Arial" w:eastAsia="Arial" w:hAnsi="Arial"/>
          <w:sz w:val="19"/>
          <w:szCs w:val="19"/>
          <w:u w:val="single" w:color="auto"/>
          <w:color w:val="auto"/>
        </w:rPr>
        <w:t>Section 2.1(a)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if Swing Line Lender makes a Swing Line Advance pursuant to any such notice, such Swing Line Advance shall be in lieu of any Revolving Credit Advance that otherwise may be made by Lenders pursuant to such notice. The aggregate amount of Swing Line Advances outstanding shall not exceed at any time the lesser of (A) the Swing Line Commitment and (B) U.S. Available Credit, in each case, less the outstanding balance of the U.S. Revolving Loans at such time (“</w:t>
      </w:r>
      <w:r>
        <w:rPr>
          <w:rFonts w:ascii="Arial" w:cs="Arial" w:eastAsia="Arial" w:hAnsi="Arial"/>
          <w:sz w:val="19"/>
          <w:szCs w:val="19"/>
          <w:u w:val="single" w:color="auto"/>
          <w:color w:val="auto"/>
        </w:rPr>
        <w:t>Swing Line Availability</w:t>
      </w:r>
      <w:r>
        <w:rPr>
          <w:rFonts w:ascii="Arial" w:cs="Arial" w:eastAsia="Arial" w:hAnsi="Arial"/>
          <w:sz w:val="19"/>
          <w:szCs w:val="19"/>
          <w:color w:val="auto"/>
        </w:rPr>
        <w:t xml:space="preserve">”). Only the U.S. Borrowers may receive a Swing Line Advance. Until the Commitment Termination Date, the U.S. Borrowers may from time to time borrow, repay and reborrow under this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Each Swing Line Advance shall be made pursuant to a Notice of Revolving Credit Advance delivered to Agent by Borrower Representative in accordance with </w:t>
      </w:r>
      <w:r>
        <w:rPr>
          <w:rFonts w:ascii="Arial" w:cs="Arial" w:eastAsia="Arial" w:hAnsi="Arial"/>
          <w:sz w:val="19"/>
          <w:szCs w:val="19"/>
          <w:u w:val="single" w:color="auto"/>
          <w:color w:val="auto"/>
        </w:rPr>
        <w:t>Section 2.1(a)(i)</w:t>
      </w:r>
      <w:r>
        <w:rPr>
          <w:rFonts w:ascii="Arial" w:cs="Arial" w:eastAsia="Arial" w:hAnsi="Arial"/>
          <w:sz w:val="19"/>
          <w:szCs w:val="19"/>
          <w:color w:val="auto"/>
        </w:rPr>
        <w:t xml:space="preserve">. Any such notice must be given no later than 2:00 p.m. (New York time) on the Business Day of the proposed Swing Line Advance. Unless Swing Line Lender has received at least one Business Day’s prior written notice from Requisite Lenders instructing it not to make any Swing Line Advance, Swing Line Lender shall, notwithstanding the failure of any condition precedent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be entitled to fund any requested Swing Line Advance, and to have each Lender make Revolving Credit Advances in accordance with </w:t>
      </w:r>
      <w:r>
        <w:rPr>
          <w:rFonts w:ascii="Arial" w:cs="Arial" w:eastAsia="Arial" w:hAnsi="Arial"/>
          <w:sz w:val="19"/>
          <w:szCs w:val="19"/>
          <w:u w:val="single" w:color="auto"/>
          <w:color w:val="auto"/>
        </w:rPr>
        <w:t>Section 2.1(b)(iii)</w:t>
      </w:r>
      <w:r>
        <w:rPr>
          <w:rFonts w:ascii="Arial" w:cs="Arial" w:eastAsia="Arial" w:hAnsi="Arial"/>
          <w:sz w:val="19"/>
          <w:szCs w:val="19"/>
          <w:color w:val="auto"/>
        </w:rPr>
        <w:t xml:space="preserve"> or purchase participating interests in accordance with </w:t>
      </w:r>
      <w:r>
        <w:rPr>
          <w:rFonts w:ascii="Arial" w:cs="Arial" w:eastAsia="Arial" w:hAnsi="Arial"/>
          <w:sz w:val="19"/>
          <w:szCs w:val="19"/>
          <w:u w:val="single" w:color="auto"/>
          <w:color w:val="auto"/>
        </w:rPr>
        <w:t>Section 2.1(b)(iv)</w:t>
      </w:r>
      <w:r>
        <w:rPr>
          <w:rFonts w:ascii="Arial" w:cs="Arial" w:eastAsia="Arial" w:hAnsi="Arial"/>
          <w:sz w:val="19"/>
          <w:szCs w:val="19"/>
          <w:color w:val="auto"/>
        </w:rPr>
        <w:t>. Notwithstanding any other provision of this Agreement or the other Loan Documents, the Swing Line Loan shall constitute a Base Rate Loan and shall be denominated in Dollars. The U.S. Borrowers shall repay the Swing Line Loan upon written demand therefor by Agent.</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left="-780" w:firstLine="1672"/>
        <w:spacing w:after="0" w:line="290" w:lineRule="auto"/>
        <w:tabs>
          <w:tab w:leader="none" w:pos="1488"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Upon request by Swing Line Lender, the U.S. Borrowers shall execute and deliver to Swing Line Lender a promissory note to evidence the Swing Line Commitment. Such note shall be in the principal amount of the Swing Line Commitment of Swing Line Lender and substantially in the form of </w:t>
      </w:r>
      <w:r>
        <w:rPr>
          <w:rFonts w:ascii="Arial" w:cs="Arial" w:eastAsia="Arial" w:hAnsi="Arial"/>
          <w:sz w:val="19"/>
          <w:szCs w:val="19"/>
          <w:u w:val="single" w:color="auto"/>
          <w:color w:val="auto"/>
        </w:rPr>
        <w:t>Exhibit 2.1(b)(ii)</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Swing Line Note</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Swing Line Notes</w:t>
      </w:r>
      <w:r>
        <w:rPr>
          <w:rFonts w:ascii="Arial" w:cs="Arial" w:eastAsia="Arial" w:hAnsi="Arial"/>
          <w:sz w:val="19"/>
          <w:szCs w:val="19"/>
          <w:color w:val="auto"/>
        </w:rPr>
        <w:t xml:space="preserve">”). Each Swing Line Note (or, if Swing Line Notes are not requested, this Agreement) shall represent the obligation of each U.S. Borrower to pay the amount of the aggregate unpaid principal amount of all Swing Line Advances made to such Borrower together with interest thereon as prescribed in </w:t>
      </w:r>
      <w:r>
        <w:rPr>
          <w:rFonts w:ascii="Arial" w:cs="Arial" w:eastAsia="Arial" w:hAnsi="Arial"/>
          <w:sz w:val="19"/>
          <w:szCs w:val="19"/>
          <w:u w:val="single" w:color="auto"/>
          <w:color w:val="auto"/>
        </w:rPr>
        <w:t>Section 2.5</w:t>
      </w:r>
      <w:r>
        <w:rPr>
          <w:rFonts w:ascii="Arial" w:cs="Arial" w:eastAsia="Arial" w:hAnsi="Arial"/>
          <w:sz w:val="19"/>
          <w:szCs w:val="19"/>
          <w:color w:val="auto"/>
        </w:rPr>
        <w:t>. The entire unpaid balance of the Swing Line Loan and all other non-contingent Obligations shall be immediately due and payable in full in immediately available funds on the Commitment Termination Date, if not sooner paid in full.</w:t>
      </w:r>
    </w:p>
    <w:p>
      <w:pPr>
        <w:spacing w:after="0" w:line="155" w:lineRule="exact"/>
        <w:rPr>
          <w:rFonts w:ascii="Arial" w:cs="Arial" w:eastAsia="Arial" w:hAnsi="Arial"/>
          <w:sz w:val="19"/>
          <w:szCs w:val="19"/>
          <w:color w:val="auto"/>
        </w:rPr>
      </w:pPr>
    </w:p>
    <w:p>
      <w:pPr>
        <w:jc w:val="both"/>
        <w:ind w:left="-780" w:firstLine="1612"/>
        <w:spacing w:after="0" w:line="265" w:lineRule="auto"/>
        <w:tabs>
          <w:tab w:leader="none" w:pos="1488" w:val="left"/>
        </w:tabs>
        <w:numPr>
          <w:ilvl w:val="0"/>
          <w:numId w:val="95"/>
        </w:numPr>
        <w:rPr>
          <w:rFonts w:ascii="Arial" w:cs="Arial" w:eastAsia="Arial" w:hAnsi="Arial"/>
          <w:sz w:val="21"/>
          <w:szCs w:val="21"/>
          <w:color w:val="auto"/>
        </w:rPr>
      </w:pPr>
      <w:r>
        <w:rPr>
          <w:rFonts w:ascii="Arial" w:cs="Arial" w:eastAsia="Arial" w:hAnsi="Arial"/>
          <w:sz w:val="21"/>
          <w:szCs w:val="21"/>
          <w:color w:val="auto"/>
        </w:rPr>
        <w:t>The Swing Line Lender, at any time, and from time to time in its sole and absolute discretion, but not less frequently than weekly, shall on behalf of the U.S. Borrowers (and each U.S. Borrower hereby irrevocably authorizes the Swing Line Lender to so act on its behalf) request each Lender (including the Swing Line Lender) to make a Revolving Credit Advance for the account of the U.S. Borrowers (which shall be a Base Rate</w:t>
      </w:r>
    </w:p>
    <w:p>
      <w:pPr>
        <w:sectPr>
          <w:pgSz w:w="11900" w:h="16838" w:orient="portrait"/>
          <w:cols w:equalWidth="0" w:num="1">
            <w:col w:w="10120"/>
          </w:cols>
          <w:pgMar w:left="1440" w:top="1428" w:right="339" w:bottom="1440" w:gutter="0" w:footer="0" w:header="0"/>
        </w:sectPr>
      </w:pPr>
    </w:p>
    <w:bookmarkStart w:id="192" w:name="page193"/>
    <w:bookmarkEnd w:id="192"/>
    <w:p>
      <w:pPr>
        <w:jc w:val="both"/>
        <w:ind w:left="8"/>
        <w:spacing w:after="0" w:line="285" w:lineRule="auto"/>
        <w:rPr>
          <w:sz w:val="20"/>
          <w:szCs w:val="20"/>
          <w:color w:val="auto"/>
        </w:rPr>
      </w:pPr>
      <w:r>
        <w:rPr>
          <w:rFonts w:ascii="Arial" w:cs="Arial" w:eastAsia="Arial" w:hAnsi="Arial"/>
          <w:sz w:val="19"/>
          <w:szCs w:val="19"/>
          <w:color w:val="auto"/>
        </w:rPr>
        <w:t>Loan) in an amount equal to that Lender’s Pro Rata Share of the principal amount of the U.S. Borrowers’ Swing Line Loan (the “</w:t>
      </w:r>
      <w:r>
        <w:rPr>
          <w:rFonts w:ascii="Arial" w:cs="Arial" w:eastAsia="Arial" w:hAnsi="Arial"/>
          <w:sz w:val="19"/>
          <w:szCs w:val="19"/>
          <w:u w:val="single" w:color="auto"/>
          <w:color w:val="auto"/>
        </w:rPr>
        <w:t>Refunded Swing Line Loan</w:t>
      </w:r>
      <w:r>
        <w:rPr>
          <w:rFonts w:ascii="Arial" w:cs="Arial" w:eastAsia="Arial" w:hAnsi="Arial"/>
          <w:sz w:val="19"/>
          <w:szCs w:val="19"/>
          <w:color w:val="auto"/>
        </w:rPr>
        <w:t xml:space="preserve">”) outstanding on the date such notice is given. If any Lender is a Non-Funding Lender, and the conditions precedent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are satisfied at such time, that Non-Funding Lender’s reimbursement obligations with respect to the Swing Line Loans shall be reallocated to and assumed by the other Lenders in accordance with their Pro Rata Share of the Revolving Loans (calculated as if the Non-Funding Lender’s Pro Rata Share was reduced to zero and each other Lender’s Pro Rata Share had been increased proportionately);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reallocated any such reimbursement obligations to the extent such reallocation shall cause its Pro Rata Share of the Aggregate Revolving Credit Exposure to exceed its Commitment. If any Lender is a Non-Funding Lender, upon receipt of the demand described above, each Lender that is not a Non-Funding Lender will be obligated to pay to Agent for the account of the Swing Line Lender its Pro Rata Share of the outstanding Swing Line Loans (increased as described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required to fund any amount to the extent such funding shall cause its Pro Rata Share of the Aggregate Revolving Credit Exposure to exceed its Commitment. Unless any of the events described in </w:t>
      </w:r>
      <w:r>
        <w:rPr>
          <w:rFonts w:ascii="Arial" w:cs="Arial" w:eastAsia="Arial" w:hAnsi="Arial"/>
          <w:sz w:val="19"/>
          <w:szCs w:val="19"/>
          <w:u w:val="single" w:color="auto"/>
          <w:color w:val="auto"/>
        </w:rPr>
        <w:t>Sections 9.1(j)</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(k)</w:t>
      </w:r>
      <w:r>
        <w:rPr>
          <w:rFonts w:ascii="Arial" w:cs="Arial" w:eastAsia="Arial" w:hAnsi="Arial"/>
          <w:sz w:val="19"/>
          <w:szCs w:val="19"/>
          <w:color w:val="auto"/>
        </w:rPr>
        <w:t xml:space="preserve"> has occurred (in which event the procedures of </w:t>
      </w:r>
      <w:r>
        <w:rPr>
          <w:rFonts w:ascii="Arial" w:cs="Arial" w:eastAsia="Arial" w:hAnsi="Arial"/>
          <w:sz w:val="19"/>
          <w:szCs w:val="19"/>
          <w:u w:val="single" w:color="auto"/>
          <w:color w:val="auto"/>
        </w:rPr>
        <w:t>Section 2.1(b)(iv)</w:t>
      </w:r>
      <w:r>
        <w:rPr>
          <w:rFonts w:ascii="Arial" w:cs="Arial" w:eastAsia="Arial" w:hAnsi="Arial"/>
          <w:sz w:val="19"/>
          <w:szCs w:val="19"/>
          <w:color w:val="auto"/>
        </w:rPr>
        <w:t xml:space="preserve"> shall apply), and regardless of whether the conditions precedent set forth in this Agreement to the making of a Revolving Credit Advance are then satisfied, each Lender shall disburse directly to Agent, its Pro Rata Share of a Revolving Credit Advance on behalf of the Swing Line Lender prior to 3:00 p.m. (New York time) in immediately available funds on the Business Day next succeeding the date that notice is given. The proceeds of those Revolving Credit Advances shall be immediately paid to the Swing Line Lender and applied to repay the Refunded Swing Line Loan of the U.S. Borrowers.</w:t>
      </w:r>
    </w:p>
    <w:p>
      <w:pPr>
        <w:spacing w:after="0" w:line="200" w:lineRule="exact"/>
        <w:rPr>
          <w:sz w:val="20"/>
          <w:szCs w:val="20"/>
          <w:color w:val="auto"/>
        </w:rPr>
      </w:pPr>
    </w:p>
    <w:p>
      <w:pPr>
        <w:spacing w:after="0" w:line="222" w:lineRule="exact"/>
        <w:rPr>
          <w:sz w:val="20"/>
          <w:szCs w:val="20"/>
          <w:color w:val="auto"/>
        </w:rPr>
      </w:pPr>
    </w:p>
    <w:p>
      <w:pPr>
        <w:jc w:val="both"/>
        <w:ind w:left="8" w:firstLine="1624"/>
        <w:spacing w:after="0" w:line="291" w:lineRule="auto"/>
        <w:tabs>
          <w:tab w:leader="none" w:pos="2276" w:val="left"/>
        </w:tabs>
        <w:numPr>
          <w:ilvl w:val="1"/>
          <w:numId w:val="96"/>
        </w:numPr>
        <w:rPr>
          <w:rFonts w:ascii="Arial" w:cs="Arial" w:eastAsia="Arial" w:hAnsi="Arial"/>
          <w:sz w:val="19"/>
          <w:szCs w:val="19"/>
          <w:color w:val="auto"/>
        </w:rPr>
      </w:pPr>
      <w:r>
        <w:rPr>
          <w:rFonts w:ascii="Arial" w:cs="Arial" w:eastAsia="Arial" w:hAnsi="Arial"/>
          <w:sz w:val="19"/>
          <w:szCs w:val="19"/>
          <w:color w:val="auto"/>
        </w:rPr>
        <w:t xml:space="preserve">If, prior to refunding a Swing Line Loan with a Revolving Credit Advance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2.1(b)(iii)</w:t>
      </w:r>
      <w:r>
        <w:rPr>
          <w:rFonts w:ascii="Arial" w:cs="Arial" w:eastAsia="Arial" w:hAnsi="Arial"/>
          <w:sz w:val="19"/>
          <w:szCs w:val="19"/>
          <w:color w:val="auto"/>
        </w:rPr>
        <w:t xml:space="preserve">, one of the events described in </w:t>
      </w:r>
      <w:r>
        <w:rPr>
          <w:rFonts w:ascii="Arial" w:cs="Arial" w:eastAsia="Arial" w:hAnsi="Arial"/>
          <w:sz w:val="19"/>
          <w:szCs w:val="19"/>
          <w:u w:val="single" w:color="auto"/>
          <w:color w:val="auto"/>
        </w:rPr>
        <w:t>Sections 9.1(j)</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9.1(k)</w:t>
      </w:r>
      <w:r>
        <w:rPr>
          <w:rFonts w:ascii="Arial" w:cs="Arial" w:eastAsia="Arial" w:hAnsi="Arial"/>
          <w:sz w:val="19"/>
          <w:szCs w:val="19"/>
          <w:color w:val="auto"/>
        </w:rPr>
        <w:t xml:space="preserve"> has occurred, then, subject to the provisions of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jc w:val="both"/>
        <w:ind w:left="8"/>
        <w:spacing w:after="0" w:line="259" w:lineRule="auto"/>
        <w:rPr>
          <w:rFonts w:ascii="Arial" w:cs="Arial" w:eastAsia="Arial" w:hAnsi="Arial"/>
          <w:sz w:val="19"/>
          <w:szCs w:val="19"/>
          <w:color w:val="auto"/>
        </w:rPr>
      </w:pPr>
      <w:r>
        <w:rPr>
          <w:rFonts w:ascii="Arial" w:cs="Arial" w:eastAsia="Arial" w:hAnsi="Arial"/>
          <w:sz w:val="21"/>
          <w:szCs w:val="21"/>
          <w:u w:val="single" w:color="auto"/>
          <w:color w:val="auto"/>
        </w:rPr>
        <w:t>2.1(b)(v)</w:t>
      </w:r>
      <w:r>
        <w:rPr>
          <w:rFonts w:ascii="Arial" w:cs="Arial" w:eastAsia="Arial" w:hAnsi="Arial"/>
          <w:sz w:val="21"/>
          <w:szCs w:val="21"/>
          <w:color w:val="auto"/>
        </w:rPr>
        <w:t xml:space="preserve"> below, each Lender shall, on the date such Revolving Credit Advance was to have been made, purchase, or be deemed to have purchased, from the Swing Line Lender an undivided participation interest in the Swing Line Loan in an amount equal to its Pro Rata Share of such Swing Line Loan. Upon request, each Lender shall promptly transfer to the Swing Line Lender, in immediately available funds, the amount of its participation interest.</w:t>
      </w:r>
    </w:p>
    <w:p>
      <w:pPr>
        <w:spacing w:after="0" w:line="181" w:lineRule="exact"/>
        <w:rPr>
          <w:rFonts w:ascii="Arial" w:cs="Arial" w:eastAsia="Arial" w:hAnsi="Arial"/>
          <w:sz w:val="19"/>
          <w:szCs w:val="19"/>
          <w:color w:val="auto"/>
        </w:rPr>
      </w:pPr>
    </w:p>
    <w:p>
      <w:pPr>
        <w:ind w:left="2268" w:hanging="576"/>
        <w:spacing w:after="0"/>
        <w:tabs>
          <w:tab w:leader="none" w:pos="2268" w:val="left"/>
        </w:tabs>
        <w:numPr>
          <w:ilvl w:val="1"/>
          <w:numId w:val="96"/>
        </w:numPr>
        <w:rPr>
          <w:rFonts w:ascii="Arial" w:cs="Arial" w:eastAsia="Arial" w:hAnsi="Arial"/>
          <w:sz w:val="19"/>
          <w:szCs w:val="19"/>
          <w:color w:val="auto"/>
        </w:rPr>
      </w:pPr>
      <w:r>
        <w:rPr>
          <w:rFonts w:ascii="Arial" w:cs="Arial" w:eastAsia="Arial" w:hAnsi="Arial"/>
          <w:sz w:val="19"/>
          <w:szCs w:val="19"/>
          <w:color w:val="auto"/>
        </w:rPr>
        <w:t xml:space="preserve">Each Lender’s obligation to make Revolving Credit Advances in accordance with </w:t>
      </w:r>
      <w:r>
        <w:rPr>
          <w:rFonts w:ascii="Arial" w:cs="Arial" w:eastAsia="Arial" w:hAnsi="Arial"/>
          <w:sz w:val="19"/>
          <w:szCs w:val="19"/>
          <w:u w:val="single" w:color="auto"/>
          <w:color w:val="auto"/>
        </w:rPr>
        <w:t>Section 2.1(b)</w:t>
      </w:r>
    </w:p>
    <w:p>
      <w:pPr>
        <w:spacing w:after="0" w:line="55" w:lineRule="exact"/>
        <w:rPr>
          <w:rFonts w:ascii="Arial" w:cs="Arial" w:eastAsia="Arial" w:hAnsi="Arial"/>
          <w:sz w:val="19"/>
          <w:szCs w:val="19"/>
          <w:color w:val="auto"/>
        </w:rPr>
      </w:pPr>
    </w:p>
    <w:p>
      <w:pPr>
        <w:jc w:val="both"/>
        <w:ind w:left="8" w:hanging="8"/>
        <w:spacing w:after="0" w:line="243" w:lineRule="auto"/>
        <w:tabs>
          <w:tab w:leader="none" w:pos="389" w:val="left"/>
        </w:tabs>
        <w:numPr>
          <w:ilvl w:val="0"/>
          <w:numId w:val="97"/>
        </w:numPr>
        <w:rPr>
          <w:rFonts w:ascii="Arial" w:cs="Arial" w:eastAsia="Arial" w:hAnsi="Arial"/>
          <w:sz w:val="22"/>
          <w:szCs w:val="22"/>
          <w:u w:val="single" w:color="auto"/>
          <w:color w:val="auto"/>
        </w:rPr>
      </w:pPr>
      <w:r>
        <w:rPr>
          <w:rFonts w:ascii="Arial" w:cs="Arial" w:eastAsia="Arial" w:hAnsi="Arial"/>
          <w:sz w:val="22"/>
          <w:szCs w:val="22"/>
          <w:color w:val="auto"/>
        </w:rPr>
        <w:t xml:space="preserve">and to purchase participation interests in accordance with </w:t>
      </w:r>
      <w:r>
        <w:rPr>
          <w:rFonts w:ascii="Arial" w:cs="Arial" w:eastAsia="Arial" w:hAnsi="Arial"/>
          <w:sz w:val="22"/>
          <w:szCs w:val="22"/>
          <w:u w:val="single" w:color="auto"/>
          <w:color w:val="auto"/>
        </w:rPr>
        <w:t>Section 2.1(b)(iv)</w:t>
      </w:r>
      <w:r>
        <w:rPr>
          <w:rFonts w:ascii="Arial" w:cs="Arial" w:eastAsia="Arial" w:hAnsi="Arial"/>
          <w:sz w:val="22"/>
          <w:szCs w:val="22"/>
          <w:color w:val="auto"/>
        </w:rPr>
        <w:t xml:space="preserve"> shall be absolute and unconditional and shall not be affected by any circumstance, including (A) any setoff, counterclaim, recoupment, defense or other right that such Lender may have against Swing Line Lender, any U.S. Borrower or any other Person for any reason whatsoever; (B) the occurrence or continuance of any Default or Event of Default; (C) any inability of any Borrower to satisfy the conditions precedent to borrowing set forth in this Agreement at any time; or (D) any other circumstance, happening or event whatsoever, whether or not similar to any of the foregoing. If any Lender does not make available to Agent or Swing Line Lender, as applicable, the amount required pursuant to </w:t>
      </w:r>
      <w:r>
        <w:rPr>
          <w:rFonts w:ascii="Arial" w:cs="Arial" w:eastAsia="Arial" w:hAnsi="Arial"/>
          <w:sz w:val="22"/>
          <w:szCs w:val="22"/>
          <w:u w:val="single" w:color="auto"/>
          <w:color w:val="auto"/>
        </w:rPr>
        <w:t>Sections 2.1(b)(iii)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2.1(b)(iv)</w:t>
      </w:r>
      <w:r>
        <w:rPr>
          <w:rFonts w:ascii="Arial" w:cs="Arial" w:eastAsia="Arial" w:hAnsi="Arial"/>
          <w:sz w:val="22"/>
          <w:szCs w:val="22"/>
          <w:color w:val="auto"/>
        </w:rPr>
        <w:t>, as the case may be, Swing Line Lender shall be entitled to</w:t>
      </w:r>
    </w:p>
    <w:p>
      <w:pPr>
        <w:sectPr>
          <w:pgSz w:w="11900" w:h="16838" w:orient="portrait"/>
          <w:cols w:equalWidth="0" w:num="1">
            <w:col w:w="10908"/>
          </w:cols>
          <w:pgMar w:left="652" w:top="1428" w:right="339" w:bottom="1440" w:gutter="0" w:footer="0" w:header="0"/>
        </w:sectPr>
      </w:pPr>
    </w:p>
    <w:bookmarkStart w:id="193" w:name="page194"/>
    <w:bookmarkEnd w:id="193"/>
    <w:p>
      <w:pPr>
        <w:ind w:right="20"/>
        <w:spacing w:after="0" w:line="343" w:lineRule="auto"/>
        <w:rPr>
          <w:sz w:val="20"/>
          <w:szCs w:val="20"/>
          <w:color w:val="auto"/>
        </w:rPr>
      </w:pPr>
      <w:r>
        <w:rPr>
          <w:rFonts w:ascii="Arial" w:cs="Arial" w:eastAsia="Arial" w:hAnsi="Arial"/>
          <w:sz w:val="19"/>
          <w:szCs w:val="19"/>
          <w:color w:val="auto"/>
        </w:rPr>
        <w:t>recover such amount on demand from such Lender, together with interest thereon for each day from the date of non-payment until such amount is paid in full at the Federal Funds Rate for the first two Business Days and at the Base Rate thereafter.</w:t>
      </w:r>
    </w:p>
    <w:p>
      <w:pPr>
        <w:spacing w:after="0" w:line="104" w:lineRule="exact"/>
        <w:rPr>
          <w:sz w:val="20"/>
          <w:szCs w:val="20"/>
          <w:color w:val="auto"/>
        </w:rPr>
      </w:pPr>
    </w:p>
    <w:p>
      <w:pPr>
        <w:jc w:val="both"/>
        <w:ind w:firstLine="1288"/>
        <w:spacing w:after="0" w:line="285" w:lineRule="auto"/>
        <w:tabs>
          <w:tab w:leader="none" w:pos="1617"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Reliance on Notices; Appointment of Borrower Representative</w:t>
      </w:r>
      <w:r>
        <w:rPr>
          <w:rFonts w:ascii="Arial" w:cs="Arial" w:eastAsia="Arial" w:hAnsi="Arial"/>
          <w:sz w:val="19"/>
          <w:szCs w:val="19"/>
          <w:color w:val="auto"/>
        </w:rPr>
        <w:t>. Agent shall be entitled to rely upon, and shall be fully protected in relying upon, any Notice of Revolving Credit Advance, Notice of Conversion/Continuation, or similar notice reasonably believed by Agent to be genuine. Agent may assume that each Person executing and delivering any notice in accordance herewith was duly authorized, unless the responsible individual acting thereon for Agent has actual knowledge to the contrary. Each Borrower hereby designates Parent Borrower or any of its authorized representatives as its representative and agent on its behalf for the purposes of issuing Notices of Revolving Credit Advances and Notices of Conversion/Continuation, giving instructions with respect to the disbursement of the proceeds of the Loans, selecting interest rate options, requesting Letters of Credit, giving and receiving all other notices and consents hereunder or under any of the other Loan Documents, and taking all other actions (including in respect of providing notices in respect of compliance with covenants) on behalf of any Borrower or Borrowers under the Loan Documents. Borrower Representative hereby accepts such appointment. Agent and each Lender may regard any notice or other communication pursuant to any Loan Document from Borrower Representative as a notice or communication from all U.S. Borrowers or Canadian Borrowers, as the case may be, and may give any notice or communication required or permitted to be given to any Borrower or Borrowers hereunder to Borrower Representative on behalf of such Borrower or Borrowers. Each Borrower agrees that each notice, election, representation and warranty, covenant, agreement, and undertaking made on its behalf by Borrower Representative shall be deemed for all purposes to have been made by such Borrower, and shall be binding upon and enforceable against such Borrower to the same extent as if the same had been made directly by such Borrower.</w:t>
      </w:r>
    </w:p>
    <w:p>
      <w:pPr>
        <w:spacing w:after="0" w:line="166"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Letters of Credit</w:t>
      </w:r>
      <w:r>
        <w:rPr>
          <w:rFonts w:ascii="Arial" w:cs="Arial" w:eastAsia="Arial" w:hAnsi="Arial"/>
          <w:sz w:val="19"/>
          <w:szCs w:val="19"/>
          <w:color w:val="auto"/>
        </w:rPr>
        <w:t>.</w:t>
      </w:r>
    </w:p>
    <w:p>
      <w:pPr>
        <w:spacing w:after="0" w:line="220" w:lineRule="exact"/>
        <w:rPr>
          <w:sz w:val="20"/>
          <w:szCs w:val="20"/>
          <w:color w:val="auto"/>
        </w:rPr>
      </w:pPr>
    </w:p>
    <w:p>
      <w:pPr>
        <w:jc w:val="both"/>
        <w:ind w:firstLine="1288"/>
        <w:spacing w:after="0" w:line="287" w:lineRule="auto"/>
        <w:tabs>
          <w:tab w:leader="none" w:pos="1617"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Issuance</w:t>
      </w:r>
      <w:r>
        <w:rPr>
          <w:rFonts w:ascii="Arial" w:cs="Arial" w:eastAsia="Arial" w:hAnsi="Arial"/>
          <w:sz w:val="19"/>
          <w:szCs w:val="19"/>
          <w:color w:val="auto"/>
        </w:rPr>
        <w:t xml:space="preserve">. Subject to the terms and conditions of this Agreement, Lenders agree to incur, from time to time prior to the Commitment Termination Date, upon the request of Borrower Representative on behalf of the U.S. Borrowers or the Canadian Borrowers, as the case may be, and for such Borrowers’ account (or, in the case of a U.S. Borrower, for the account of any of such U.S. Borrower’s Restricted Subsidiaries designated thereby,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U.S. Borrower shall be liable hereunder for all Letter of Credit Obligations incurred by its Restricted Subsidiaries), Letter of Credit Obligations with respect to Letters of Credit to be issued by an L/C Issuer for such Borrowers’ account (or, in the case of a U.S. Borrower, for the account of any of such U.S. Borrower’s Restricted Subsidiaries,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U.S. Borrower shall be liable hereunder for all Letter of Credit Obligations incurred by its Restricted Subsidiaries). For the avoidance of doubt, no Letter of Credit shall be issued for the account of any Unrestricted Subsidiary. Each Lender shall, subject to the terms and conditions hereinafter set forth, purchase (or be deemed to have purchased) risk participations in all such Letters of Credit as more fully described in </w:t>
      </w:r>
      <w:r>
        <w:rPr>
          <w:rFonts w:ascii="Arial" w:cs="Arial" w:eastAsia="Arial" w:hAnsi="Arial"/>
          <w:sz w:val="19"/>
          <w:szCs w:val="19"/>
          <w:u w:val="single" w:color="auto"/>
          <w:color w:val="auto"/>
        </w:rPr>
        <w:t>Section 2.2(b)(ii)</w:t>
      </w:r>
      <w:r>
        <w:rPr>
          <w:rFonts w:ascii="Arial" w:cs="Arial" w:eastAsia="Arial" w:hAnsi="Arial"/>
          <w:sz w:val="19"/>
          <w:szCs w:val="19"/>
          <w:color w:val="auto"/>
        </w:rPr>
        <w:t>. The Parent Borrower shall be a co-obligor on any Letter of Credit issued on</w:t>
      </w:r>
    </w:p>
    <w:p>
      <w:pPr>
        <w:sectPr>
          <w:pgSz w:w="11900" w:h="16838" w:orient="portrait"/>
          <w:cols w:equalWidth="0" w:num="1">
            <w:col w:w="10900"/>
          </w:cols>
          <w:pgMar w:left="660" w:top="1428" w:right="339" w:bottom="1440" w:gutter="0" w:footer="0" w:header="0"/>
        </w:sectPr>
      </w:pPr>
    </w:p>
    <w:bookmarkStart w:id="194" w:name="page195"/>
    <w:bookmarkEnd w:id="194"/>
    <w:p>
      <w:pPr>
        <w:ind w:left="8"/>
        <w:spacing w:after="0"/>
        <w:rPr>
          <w:sz w:val="20"/>
          <w:szCs w:val="20"/>
          <w:color w:val="auto"/>
        </w:rPr>
      </w:pPr>
      <w:r>
        <w:rPr>
          <w:rFonts w:ascii="Arial" w:cs="Arial" w:eastAsia="Arial" w:hAnsi="Arial"/>
          <w:sz w:val="19"/>
          <w:szCs w:val="19"/>
          <w:color w:val="auto"/>
        </w:rPr>
        <w:t xml:space="preserve">account of any U.S. Borrower. The aggregate amount of all such Letter of Credit Obligations shall, subject to </w:t>
      </w:r>
      <w:r>
        <w:rPr>
          <w:rFonts w:ascii="Arial" w:cs="Arial" w:eastAsia="Arial" w:hAnsi="Arial"/>
          <w:sz w:val="19"/>
          <w:szCs w:val="19"/>
          <w:u w:val="single" w:color="auto"/>
          <w:color w:val="auto"/>
        </w:rPr>
        <w:t>Section 2.3(b)</w:t>
      </w:r>
    </w:p>
    <w:p>
      <w:pPr>
        <w:spacing w:after="0" w:line="56" w:lineRule="exact"/>
        <w:rPr>
          <w:sz w:val="20"/>
          <w:szCs w:val="20"/>
          <w:color w:val="auto"/>
        </w:rPr>
      </w:pPr>
    </w:p>
    <w:p>
      <w:pPr>
        <w:jc w:val="both"/>
        <w:ind w:left="8" w:hanging="8"/>
        <w:spacing w:after="0" w:line="283" w:lineRule="auto"/>
        <w:tabs>
          <w:tab w:leader="none" w:pos="326" w:val="left"/>
        </w:tabs>
        <w:numPr>
          <w:ilvl w:val="0"/>
          <w:numId w:val="100"/>
        </w:numPr>
        <w:rPr>
          <w:rFonts w:ascii="Arial" w:cs="Arial" w:eastAsia="Arial" w:hAnsi="Arial"/>
          <w:sz w:val="19"/>
          <w:szCs w:val="19"/>
          <w:u w:val="single" w:color="auto"/>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Section 2.3(b)(iii)</w:t>
      </w:r>
      <w:r>
        <w:rPr>
          <w:rFonts w:ascii="Arial" w:cs="Arial" w:eastAsia="Arial" w:hAnsi="Arial"/>
          <w:sz w:val="19"/>
          <w:szCs w:val="19"/>
          <w:color w:val="auto"/>
        </w:rPr>
        <w:t>, as applicable, not at any time exceed the Dollar Equivalent of $350,000,000 (the “</w:t>
      </w:r>
      <w:r>
        <w:rPr>
          <w:rFonts w:ascii="Arial" w:cs="Arial" w:eastAsia="Arial" w:hAnsi="Arial"/>
          <w:sz w:val="19"/>
          <w:szCs w:val="19"/>
          <w:u w:val="single" w:color="auto"/>
          <w:color w:val="auto"/>
        </w:rPr>
        <w:t>L/C Sublimit</w:t>
      </w:r>
      <w:r>
        <w:rPr>
          <w:rFonts w:ascii="Arial" w:cs="Arial" w:eastAsia="Arial" w:hAnsi="Arial"/>
          <w:sz w:val="19"/>
          <w:szCs w:val="19"/>
          <w:color w:val="auto"/>
        </w:rPr>
        <w:t xml:space="preserve">”). No such Letter of Credit shall have an expiry date that is more than one year following the date of issuance thereof, but may contain provisions for automatic renewal thereof for periods not in excess of one (1) year, unless otherwise reasonably determined by Agent and the applicable L/C Issuer, in their respective sole discretion, and no Lender shall be under any obligation to incur Letter of Credit Obligations in respect of, or purchase risk participations in, any Letter of Credit having an expiry date that is later than the fifth (5th) Business Day prior to the Stated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 Letter of Credit may, upon the request of the applicable Borrower, be issued or renewed for a period beyond the date that is five (5) Business Days prior to the maturity date thereof if such Letter of Credit becomes subject to cash collateralization on such fifth (5th) Business Day prior to the Stated Termination Date (at 103% of the face value of such Letter of Credit) or other arrangements, in each case reasonably satisfactory to Agent and the applicable L/C Issuer, have been provided, and the applicable L/C Issuer has released the Lenders in writing from their participation obligations with respect to such Letter of Credit on the Stated Termination Date. Notwithstanding anything to the contrary contained herein, any L/C Issuer may only issue Letters of Credit to the extent permitted by applicable law. If (i) any Lender is a Non-Funding Lender or Agent determines that any of the Lenders is an Impacted Lender, and (ii) the reallocation of that Non-Funding Lender’s or Impacted Lender’s Letter of Credit Obligations to the other Lenders would reasonably be expected to cause the Letter of Credit Obligations and Loans of any Lender to exceed its Commitment (an “</w:t>
      </w:r>
      <w:r>
        <w:rPr>
          <w:rFonts w:ascii="Arial" w:cs="Arial" w:eastAsia="Arial" w:hAnsi="Arial"/>
          <w:sz w:val="19"/>
          <w:szCs w:val="19"/>
          <w:u w:val="single" w:color="auto"/>
          <w:color w:val="auto"/>
        </w:rPr>
        <w:t>Affected L/C Issuer</w:t>
      </w:r>
      <w:r>
        <w:rPr>
          <w:rFonts w:ascii="Arial" w:cs="Arial" w:eastAsia="Arial" w:hAnsi="Arial"/>
          <w:sz w:val="19"/>
          <w:szCs w:val="19"/>
          <w:color w:val="auto"/>
        </w:rPr>
        <w:t xml:space="preserve">”), taking into account the amount of outstanding Aggregate Revolving Credit Exposure, then no Affected L/C Issuer shall be obligated to issue or renew any Letters of Credit unless the Non-Funding Lender or Impacted Lender has been replaced, the Letter of Credit Obligations have been cash collateralized to the extent of any shortfall in Commitments, or the Commitment of the other Lenders has been increased in accordance with </w:t>
      </w:r>
      <w:r>
        <w:rPr>
          <w:rFonts w:ascii="Arial" w:cs="Arial" w:eastAsia="Arial" w:hAnsi="Arial"/>
          <w:sz w:val="19"/>
          <w:szCs w:val="19"/>
          <w:u w:val="single" w:color="auto"/>
          <w:color w:val="auto"/>
        </w:rPr>
        <w:t>Section 12.2(c)</w:t>
      </w:r>
      <w:r>
        <w:rPr>
          <w:rFonts w:ascii="Arial" w:cs="Arial" w:eastAsia="Arial" w:hAnsi="Arial"/>
          <w:sz w:val="19"/>
          <w:szCs w:val="19"/>
          <w:color w:val="auto"/>
        </w:rPr>
        <w:t xml:space="preserve"> by an amount sufficient to satisfy Agent that all additional Letter of Credit Obligations will be covered by all Lenders who are not Non-Funding Lenders or Impacted Lenders. Notwithstanding anything to the contrary contained herein, no L/C Issuer shall be obligated to issue or renew any Letter of Credit if, after giving effect to the issuance or renewal thereof, the aggregate amount of all Letter of Credit Obligations in respect of Letters of Credit issued by such L/C Issuer would exceed the Dollar Equivalent of such L/C Issuer’s L/C Issuer Fronting Sublimit Amount. Each Letter of Credit will be denominated in Dollars, Canadian Dollars, or (in the case of a Letter of Credit requested for the account of a U.S. Borrower or any of its Restricted Subsidiaries) any Alternative Currency, as specified by the Borrower Representative.</w:t>
      </w:r>
    </w:p>
    <w:p>
      <w:pPr>
        <w:spacing w:after="0" w:line="200" w:lineRule="exact"/>
        <w:rPr>
          <w:rFonts w:ascii="Arial" w:cs="Arial" w:eastAsia="Arial" w:hAnsi="Arial"/>
          <w:sz w:val="19"/>
          <w:szCs w:val="19"/>
          <w:u w:val="single" w:color="auto"/>
          <w:color w:val="auto"/>
        </w:rPr>
      </w:pPr>
    </w:p>
    <w:p>
      <w:pPr>
        <w:spacing w:after="0" w:line="225" w:lineRule="exact"/>
        <w:rPr>
          <w:rFonts w:ascii="Arial" w:cs="Arial" w:eastAsia="Arial" w:hAnsi="Arial"/>
          <w:sz w:val="19"/>
          <w:szCs w:val="19"/>
          <w:u w:val="single" w:color="auto"/>
          <w:color w:val="auto"/>
        </w:rPr>
      </w:pPr>
    </w:p>
    <w:p>
      <w:pPr>
        <w:ind w:left="1608" w:hanging="312"/>
        <w:spacing w:after="0"/>
        <w:tabs>
          <w:tab w:leader="none" w:pos="1608" w:val="left"/>
        </w:tabs>
        <w:numPr>
          <w:ilvl w:val="1"/>
          <w:numId w:val="100"/>
        </w:numPr>
        <w:rPr>
          <w:rFonts w:ascii="Arial" w:cs="Arial" w:eastAsia="Arial" w:hAnsi="Arial"/>
          <w:sz w:val="22"/>
          <w:szCs w:val="22"/>
          <w:color w:val="auto"/>
        </w:rPr>
      </w:pPr>
      <w:r>
        <w:rPr>
          <w:rFonts w:ascii="Arial" w:cs="Arial" w:eastAsia="Arial" w:hAnsi="Arial"/>
          <w:sz w:val="22"/>
          <w:szCs w:val="22"/>
          <w:u w:val="single" w:color="auto"/>
          <w:color w:val="auto"/>
        </w:rPr>
        <w:t>Advances Automatic; Participations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8" w:firstLine="1732"/>
        <w:spacing w:after="0" w:line="265" w:lineRule="auto"/>
        <w:tabs>
          <w:tab w:leader="none" w:pos="2276" w:val="left"/>
        </w:tabs>
        <w:numPr>
          <w:ilvl w:val="2"/>
          <w:numId w:val="100"/>
        </w:numPr>
        <w:rPr>
          <w:rFonts w:ascii="Arial" w:cs="Arial" w:eastAsia="Arial" w:hAnsi="Arial"/>
          <w:sz w:val="21"/>
          <w:szCs w:val="21"/>
          <w:color w:val="auto"/>
        </w:rPr>
      </w:pPr>
      <w:r>
        <w:rPr>
          <w:rFonts w:ascii="Arial" w:cs="Arial" w:eastAsia="Arial" w:hAnsi="Arial"/>
          <w:sz w:val="21"/>
          <w:szCs w:val="21"/>
          <w:color w:val="auto"/>
        </w:rPr>
        <w:t xml:space="preserve">If no Lender is a Non-Funding Lender, in the event that any L/C Issuer shall make any payment on or pursuant to any Letter of Credit Obligation, such payment shall then be deemed automatically to constitute a Revolving Loan under </w:t>
      </w:r>
      <w:r>
        <w:rPr>
          <w:rFonts w:ascii="Arial" w:cs="Arial" w:eastAsia="Arial" w:hAnsi="Arial"/>
          <w:sz w:val="21"/>
          <w:szCs w:val="21"/>
          <w:u w:val="single" w:color="auto"/>
          <w:color w:val="auto"/>
        </w:rPr>
        <w:t>Section 2.1(a)</w:t>
      </w:r>
      <w:r>
        <w:rPr>
          <w:rFonts w:ascii="Arial" w:cs="Arial" w:eastAsia="Arial" w:hAnsi="Arial"/>
          <w:sz w:val="21"/>
          <w:szCs w:val="21"/>
          <w:color w:val="auto"/>
        </w:rPr>
        <w:t xml:space="preserve"> regardless of whether a Default or Event of Default has occurred and is continuing, and notwithstanding any Borrowers’ failure to satisfy the conditions precedent set forth in</w:t>
      </w:r>
    </w:p>
    <w:p>
      <w:pPr>
        <w:sectPr>
          <w:pgSz w:w="11900" w:h="16838" w:orient="portrait"/>
          <w:cols w:equalWidth="0" w:num="1">
            <w:col w:w="10908"/>
          </w:cols>
          <w:pgMar w:left="652" w:top="1428" w:right="339" w:bottom="1440" w:gutter="0" w:footer="0" w:header="0"/>
        </w:sectPr>
      </w:pPr>
    </w:p>
    <w:bookmarkStart w:id="195" w:name="page196"/>
    <w:bookmarkEnd w:id="195"/>
    <w:p>
      <w:pPr>
        <w:jc w:val="both"/>
        <w:spacing w:after="0" w:line="285" w:lineRule="auto"/>
        <w:rPr>
          <w:sz w:val="20"/>
          <w:szCs w:val="20"/>
          <w:color w:val="auto"/>
        </w:rPr>
      </w:pP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and, if no Lender is a Non-Funding Lender (or if the only Non-Funding Lender is the L/C Issuer that issued such Letter of Credit), each Lender shall be obligated to pay its Pro Rata Share of the Dollar Equivalent thereof in accordance with this Agreement. If any Lender is a Non-Funding Lender, in the event that any L/C Issuer shall make any payment on or pursuant to any Letter of Credit Obligation and the conditions precedent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are satisfied at such time, such payment shall then be deemed automatically to constitute a Revolving Loan and that Non-Funding Lender’s Letter of Credit Obligations shall be reallocated to and assumed by the other Lenders pro rata in accordance with their Pro Rata Share of the Dollar Equivalent of the Revolving Loan (calculated as if the Non-Funding Lender’s Pro Rata Share was reduced to zero and each other Lender’s Pro Rata Share had been increased proportionately);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reallocated any Letter of Credit Obligations to the extent such reallocation shall cause its Pro Rata Share of the Dollar Equivalent of the Aggregate Revolving Credit Exposure to exceed its Commitment. If any Lender is a Non-Funding Lender, each Lender that is not a Non-Funding Lender shall pay to Agent for the account of such L/C Issuer its Pro Rata Share (increased as described above) of the Dollar Equivalent of the Letter of Credit Obligations that from time to time remain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be required to fund any amount to the extent such funding shall cause its Pro Rata Share of the Aggregate Revolving Credit Exposure to exceed its Commitment. The failure of any Lender to make available to Agent for the applicable L/C Issuer’s account its Pro Rata Share of the Dollar Equivalent of any such Revolving Loan or payment by Agent to the applicable L/C Issuer shall not relieve any other Lender of its obligation hereunder to make available to Agent its Pro Rata Share thereof.</w:t>
      </w:r>
    </w:p>
    <w:p>
      <w:pPr>
        <w:spacing w:after="0" w:line="200" w:lineRule="exact"/>
        <w:rPr>
          <w:sz w:val="20"/>
          <w:szCs w:val="20"/>
          <w:color w:val="auto"/>
        </w:rPr>
      </w:pPr>
    </w:p>
    <w:p>
      <w:pPr>
        <w:spacing w:after="0" w:line="225" w:lineRule="exact"/>
        <w:rPr>
          <w:sz w:val="20"/>
          <w:szCs w:val="20"/>
          <w:color w:val="auto"/>
        </w:rPr>
      </w:pPr>
    </w:p>
    <w:p>
      <w:pPr>
        <w:jc w:val="both"/>
        <w:ind w:firstLine="1672"/>
        <w:spacing w:after="0" w:line="287" w:lineRule="auto"/>
        <w:tabs>
          <w:tab w:leader="none" w:pos="22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If it shall be illegal or unlawful for Borrowers to incur Revolving Loans as contemplated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2.2(b)(i)</w:t>
      </w:r>
      <w:r>
        <w:rPr>
          <w:rFonts w:ascii="Arial" w:cs="Arial" w:eastAsia="Arial" w:hAnsi="Arial"/>
          <w:sz w:val="19"/>
          <w:szCs w:val="19"/>
          <w:color w:val="auto"/>
        </w:rPr>
        <w:t xml:space="preserve"> above, or if it shall be illegal or unlawful for any Lender to be deemed to have assumed a ratable share of the reimbursement obligations owed to any L/C Issuer, then (A) immediately and without further action whatsoever, each Lender shall be deemed to have irrevocably and unconditionally purchased from such L/C Issuer an undivided interest and participation equal to such Lender’s Pro Rata Share (based on its Commitment) of the Dollar Equivalent of the Letter of Credit Obligations in respect of all Letters of Credit then outstanding, and (B) thereafter, immediately upon issuance of any Letter of Credit, each Lender shall be deemed to have irrevocably and unconditionally purchased from such L/C Issuer an undivided interest and participation in such Lender’s Pro Rata Share (based on its Commitment) of the Dollar Equivalent of the Letter of Credit Obligations with respect to such Letter of Credit on the date of such issuance. Each Lender shall fund its participation in all payments or disbursements made under the Letters of Credit in the same manner as provided in this Agreement with respect to Revolving Loans, it being understood that each Lender’s obligation to fund its participation in all payments or disbursements made under Letters of Credit denominated in an Alternative Currency shall be funded in Dollars as provided in </w:t>
      </w:r>
      <w:r>
        <w:rPr>
          <w:rFonts w:ascii="Arial" w:cs="Arial" w:eastAsia="Arial" w:hAnsi="Arial"/>
          <w:sz w:val="19"/>
          <w:szCs w:val="19"/>
          <w:u w:val="single" w:color="auto"/>
          <w:color w:val="auto"/>
        </w:rPr>
        <w:t>Section 2.2(b)(i)</w:t>
      </w:r>
      <w:r>
        <w:rPr>
          <w:rFonts w:ascii="Arial" w:cs="Arial" w:eastAsia="Arial" w:hAnsi="Arial"/>
          <w:sz w:val="19"/>
          <w:szCs w:val="19"/>
          <w:color w:val="auto"/>
        </w:rPr>
        <w:t xml:space="preserve"> above.</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612"/>
        <w:spacing w:after="0" w:line="312" w:lineRule="auto"/>
        <w:tabs>
          <w:tab w:leader="none" w:pos="22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In determining whether to pay under any Letter of Credit, no L/C Issuer shall have any obligation relative to the other Lenders other than to confirm that any documents required to be delivered under such Letter of Credit appear to have been delivered and that they appear to substantially comply on their face with the requirements of such</w:t>
      </w:r>
    </w:p>
    <w:p>
      <w:pPr>
        <w:sectPr>
          <w:pgSz w:w="11900" w:h="16838" w:orient="portrait"/>
          <w:cols w:equalWidth="0" w:num="1">
            <w:col w:w="10900"/>
          </w:cols>
          <w:pgMar w:left="660" w:top="1428" w:right="339" w:bottom="1440" w:gutter="0" w:footer="0" w:header="0"/>
        </w:sectPr>
      </w:pPr>
    </w:p>
    <w:bookmarkStart w:id="196" w:name="page197"/>
    <w:bookmarkEnd w:id="196"/>
    <w:p>
      <w:pPr>
        <w:jc w:val="both"/>
        <w:spacing w:after="0" w:line="302" w:lineRule="auto"/>
        <w:rPr>
          <w:sz w:val="20"/>
          <w:szCs w:val="20"/>
          <w:color w:val="auto"/>
        </w:rPr>
      </w:pPr>
      <w:r>
        <w:rPr>
          <w:rFonts w:ascii="Arial" w:cs="Arial" w:eastAsia="Arial" w:hAnsi="Arial"/>
          <w:sz w:val="19"/>
          <w:szCs w:val="19"/>
          <w:color w:val="auto"/>
        </w:rPr>
        <w:t>Letter of Credit. Any action taken or omitted to be taken by an L/C Issuer under or in connection with any Letter of Credit issued by it shall not create for such L/C Issuer any resulting liability to Borrowers, any other Credit Party, any Lender or any other Person unless such action is taken or omitted to be taken with gross negligence, or willful misconduct on the part of such L/C Issuer (as determined by a court of competent jurisdiction in a final and non-appealable decision).</w:t>
      </w:r>
    </w:p>
    <w:p>
      <w:pPr>
        <w:spacing w:after="0" w:line="142" w:lineRule="exact"/>
        <w:rPr>
          <w:sz w:val="20"/>
          <w:szCs w:val="20"/>
          <w:color w:val="auto"/>
        </w:rPr>
      </w:pPr>
    </w:p>
    <w:p>
      <w:pPr>
        <w:ind w:left="1600" w:hanging="312"/>
        <w:spacing w:after="0"/>
        <w:tabs>
          <w:tab w:leader="none" w:pos="160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Cash Collateral</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732"/>
        <w:spacing w:after="0" w:line="287" w:lineRule="auto"/>
        <w:tabs>
          <w:tab w:leader="none" w:pos="2268" w:val="left"/>
        </w:tabs>
        <w:numPr>
          <w:ilvl w:val="1"/>
          <w:numId w:val="102"/>
        </w:numPr>
        <w:rPr>
          <w:rFonts w:ascii="Arial" w:cs="Arial" w:eastAsia="Arial" w:hAnsi="Arial"/>
          <w:sz w:val="19"/>
          <w:szCs w:val="19"/>
          <w:color w:val="auto"/>
        </w:rPr>
      </w:pPr>
      <w:r>
        <w:rPr>
          <w:rFonts w:ascii="Arial" w:cs="Arial" w:eastAsia="Arial" w:hAnsi="Arial"/>
          <w:sz w:val="19"/>
          <w:szCs w:val="19"/>
          <w:color w:val="auto"/>
        </w:rPr>
        <w:t>If Borrowers are required to provide cash collateral for any Letter of Credit Obligations pursuant to this Agreement prior to the Stated Termination Date, Parent Borrower will pay to Agent for the ratable benefit of itself, the L/C Issuers and applicable Lenders cash or Cash Equivalents (“</w:t>
      </w:r>
      <w:r>
        <w:rPr>
          <w:rFonts w:ascii="Arial" w:cs="Arial" w:eastAsia="Arial" w:hAnsi="Arial"/>
          <w:sz w:val="19"/>
          <w:szCs w:val="19"/>
          <w:u w:val="single" w:color="auto"/>
          <w:color w:val="auto"/>
        </w:rPr>
        <w:t>Cash Collateral</w:t>
      </w:r>
      <w:r>
        <w:rPr>
          <w:rFonts w:ascii="Arial" w:cs="Arial" w:eastAsia="Arial" w:hAnsi="Arial"/>
          <w:sz w:val="19"/>
          <w:szCs w:val="19"/>
          <w:color w:val="auto"/>
        </w:rPr>
        <w:t>”) in an amount in Dollars equal to 103% of the maximum amount then available to be drawn under each applicable Letter of Credit outstanding in the applicable currency of the Letter of Credit. Such funds or Cash Equivalents shall be held by Agent in a cash collateral account (the “</w:t>
      </w:r>
      <w:r>
        <w:rPr>
          <w:rFonts w:ascii="Arial" w:cs="Arial" w:eastAsia="Arial" w:hAnsi="Arial"/>
          <w:sz w:val="19"/>
          <w:szCs w:val="19"/>
          <w:u w:val="single" w:color="auto"/>
          <w:color w:val="auto"/>
        </w:rPr>
        <w:t>Cash Collateral Account</w:t>
      </w:r>
      <w:r>
        <w:rPr>
          <w:rFonts w:ascii="Arial" w:cs="Arial" w:eastAsia="Arial" w:hAnsi="Arial"/>
          <w:sz w:val="19"/>
          <w:szCs w:val="19"/>
          <w:color w:val="auto"/>
        </w:rPr>
        <w:t>”) maintained at a bank or financial institution acceptable to Agent, and Agent shall use its commercially reasonable efforts to make such Cash Collateral Account an interest bearing account. The Cash Collateral Account shall be in the name of Parent Borrower and shall be pledged to, and subject to the control of, Agent, for the benefit of Agent, Co-Collateral Agents, applicable Lenders and applicable L/C Issuers, in a manner satisfactory to Agent. Parent Borrower hereby pledges and grants to Agent, on behalf of itself and Lenders, a security interest in all such funds and Cash Equivalents held in the Cash Collateral Account from time to time and all proceeds thereof, as security for the payment of all amounts due in respect of the Letter of Credit Obligations and other Obligations, whether or not then due. This Agreement shall constitute a security agreement under applicable law.</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firstLine="1672"/>
        <w:spacing w:after="0" w:line="290" w:lineRule="auto"/>
        <w:tabs>
          <w:tab w:leader="none" w:pos="2268" w:val="left"/>
        </w:tabs>
        <w:numPr>
          <w:ilvl w:val="1"/>
          <w:numId w:val="102"/>
        </w:numPr>
        <w:rPr>
          <w:rFonts w:ascii="Arial" w:cs="Arial" w:eastAsia="Arial" w:hAnsi="Arial"/>
          <w:sz w:val="19"/>
          <w:szCs w:val="19"/>
          <w:color w:val="auto"/>
        </w:rPr>
      </w:pPr>
      <w:r>
        <w:rPr>
          <w:rFonts w:ascii="Arial" w:cs="Arial" w:eastAsia="Arial" w:hAnsi="Arial"/>
          <w:sz w:val="19"/>
          <w:szCs w:val="19"/>
          <w:color w:val="auto"/>
        </w:rPr>
        <w:t>If any Letter of Credit Obligations, whether or not then due and payable, shall for any reason be outstanding on the Commitment Termination Date, Credit Parties shall either (A) provide Cash Collateral therefor in the manner described above, or (B) cause all such Letters of Credit to be canceled and returned, or (C) deliver a stand-by letter (or letters) of credit in guaranty of such Letter of Credit Obligations, which stand-by letter (or letters) of credit shall be of like tenor and duration and currency (plus thirty (30) additional days) as, and in an amount equal to 103% of, the aggregate maximum amount then available to be drawn under, the Letters of Credit to which such outstanding Letter of Credit Obligations relate, and in any case shall be issued by a banking institution, and shall be subject to such terms and conditions, as are reasonably satisfactory to Agent and the applicable L/C Issuer in its reasonable sole discretion.</w:t>
      </w:r>
    </w:p>
    <w:p>
      <w:pPr>
        <w:spacing w:after="0" w:line="155" w:lineRule="exact"/>
        <w:rPr>
          <w:rFonts w:ascii="Arial" w:cs="Arial" w:eastAsia="Arial" w:hAnsi="Arial"/>
          <w:sz w:val="19"/>
          <w:szCs w:val="19"/>
          <w:color w:val="auto"/>
        </w:rPr>
      </w:pPr>
    </w:p>
    <w:p>
      <w:pPr>
        <w:jc w:val="both"/>
        <w:ind w:firstLine="1612"/>
        <w:spacing w:after="0" w:line="248" w:lineRule="auto"/>
        <w:tabs>
          <w:tab w:leader="none" w:pos="2268" w:val="left"/>
        </w:tabs>
        <w:numPr>
          <w:ilvl w:val="1"/>
          <w:numId w:val="102"/>
        </w:numPr>
        <w:rPr>
          <w:rFonts w:ascii="Arial" w:cs="Arial" w:eastAsia="Arial" w:hAnsi="Arial"/>
          <w:sz w:val="22"/>
          <w:szCs w:val="22"/>
          <w:color w:val="auto"/>
        </w:rPr>
      </w:pPr>
      <w:r>
        <w:rPr>
          <w:rFonts w:ascii="Arial" w:cs="Arial" w:eastAsia="Arial" w:hAnsi="Arial"/>
          <w:sz w:val="22"/>
          <w:szCs w:val="22"/>
          <w:color w:val="auto"/>
        </w:rPr>
        <w:t>From time to time after funds are deposited in the Cash Collateral Account by Parent Borrower, whether before or after the Commitment Termination Date, Agent may apply such funds or Cash Equivalents then held in the Cash Collateral Account to the payment of any amounts, and in such order as Agent may elect, as shall be or shall become due and payable by any Borrowers to Agent, L/C Issuers and Lenders with respect to such Letter of Credit Obligations, and, upon the satisfaction in full of all Letter of Credit</w:t>
      </w:r>
    </w:p>
    <w:p>
      <w:pPr>
        <w:sectPr>
          <w:pgSz w:w="11900" w:h="16838" w:orient="portrait"/>
          <w:cols w:equalWidth="0" w:num="1">
            <w:col w:w="10900"/>
          </w:cols>
          <w:pgMar w:left="660" w:top="1428" w:right="339" w:bottom="1440" w:gutter="0" w:footer="0" w:header="0"/>
        </w:sectPr>
      </w:pPr>
    </w:p>
    <w:bookmarkStart w:id="197" w:name="page198"/>
    <w:bookmarkEnd w:id="197"/>
    <w:p>
      <w:pPr>
        <w:spacing w:after="0"/>
        <w:rPr>
          <w:sz w:val="20"/>
          <w:szCs w:val="20"/>
          <w:color w:val="auto"/>
        </w:rPr>
      </w:pPr>
      <w:r>
        <w:rPr>
          <w:rFonts w:ascii="Arial" w:cs="Arial" w:eastAsia="Arial" w:hAnsi="Arial"/>
          <w:sz w:val="19"/>
          <w:szCs w:val="19"/>
          <w:color w:val="auto"/>
        </w:rPr>
        <w:t>Obligations, and after the Commitment Termination Date, to any other Obligations of any Borrower then due and payable.</w:t>
      </w:r>
    </w:p>
    <w:p>
      <w:pPr>
        <w:spacing w:after="0" w:line="254" w:lineRule="exact"/>
        <w:rPr>
          <w:sz w:val="20"/>
          <w:szCs w:val="20"/>
          <w:color w:val="auto"/>
        </w:rPr>
      </w:pPr>
    </w:p>
    <w:p>
      <w:pPr>
        <w:jc w:val="both"/>
        <w:ind w:firstLine="1624"/>
        <w:spacing w:after="0" w:line="294" w:lineRule="auto"/>
        <w:tabs>
          <w:tab w:leader="none" w:pos="2268" w:val="left"/>
        </w:tabs>
        <w:numPr>
          <w:ilvl w:val="1"/>
          <w:numId w:val="103"/>
        </w:numPr>
        <w:rPr>
          <w:rFonts w:ascii="Arial" w:cs="Arial" w:eastAsia="Arial" w:hAnsi="Arial"/>
          <w:sz w:val="19"/>
          <w:szCs w:val="19"/>
          <w:color w:val="auto"/>
        </w:rPr>
      </w:pPr>
      <w:r>
        <w:rPr>
          <w:rFonts w:ascii="Arial" w:cs="Arial" w:eastAsia="Arial" w:hAnsi="Arial"/>
          <w:sz w:val="19"/>
          <w:szCs w:val="19"/>
          <w:color w:val="auto"/>
        </w:rPr>
        <w:t>No Borrower nor any Person claiming on behalf of or through any Borrower shall have any right to withdraw any of the funds or Cash Equivalents held in the Cash Collateral Account, except that upon the termination of all Letter of Credit Obligations and the payment of all amounts payable by Credit Parties to Agent, L/C Issuers and Lenders in respect thereof, any funds remaining in the Cash Collateral Account shall be applied to other Obligations then due and owing and upon payment in full of such Obligations, any remaining amount shall be paid to Parent Borrower or as otherwise required by law. Interest, if any, earned on deposits in the Cash Collateral Account shall be held as additional collateral.</w:t>
      </w:r>
    </w:p>
    <w:p>
      <w:pPr>
        <w:spacing w:after="0" w:line="149" w:lineRule="exact"/>
        <w:rPr>
          <w:rFonts w:ascii="Arial" w:cs="Arial" w:eastAsia="Arial" w:hAnsi="Arial"/>
          <w:sz w:val="19"/>
          <w:szCs w:val="19"/>
          <w:color w:val="auto"/>
        </w:rPr>
      </w:pPr>
    </w:p>
    <w:p>
      <w:pPr>
        <w:jc w:val="both"/>
        <w:ind w:firstLine="1288"/>
        <w:spacing w:after="0" w:line="285" w:lineRule="auto"/>
        <w:tabs>
          <w:tab w:leader="none" w:pos="1615"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Fees and Expenses</w:t>
      </w:r>
      <w:r>
        <w:rPr>
          <w:rFonts w:ascii="Arial" w:cs="Arial" w:eastAsia="Arial" w:hAnsi="Arial"/>
          <w:sz w:val="19"/>
          <w:szCs w:val="19"/>
          <w:color w:val="auto"/>
        </w:rPr>
        <w:t>. Borrowers agree to pay to Agent for the benefit of applicable Lenders and L/C Issuers, as compensation to such Lenders and L/C Issuers for Letter of Credit Obligations incurred hereunder, (i) all reasonable documented out-of-pocket costs and expenses incurred by Agent, any L/C Issuer or any Lender on account of such Letter of Credit Obligations, and (ii) to each applicable Lender, for each Fiscal Quarter during which any Letter of Credit Obligation shall remain outstanding, a fee (the “</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xml:space="preserve">”) in an amount equal to LIBOR Margin then in effect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the Dollar Equivalent of the aggregate face amount of each outstanding Letter of Credit, calculated on the basis of a 360-day year and for the actual number of days such Letter of Credit Obligations was outstanding during such Fiscal Quarter. Such Letter of Credit Fee shall be paid to Agent for the benefit of the Lenders in arrears, on the last Business Day of each Fiscal Quarter and on the Commitment Termination Date. In addition, Borrowers shall pay in Dollars to each L/C Issuer, (i) for each Fiscal Quarter during which any Letter of Credit shall remain outstanding, a fee in an amount equal to 0.125% </w:t>
      </w:r>
      <w:r>
        <w:rPr>
          <w:rFonts w:ascii="Arial" w:cs="Arial" w:eastAsia="Arial" w:hAnsi="Arial"/>
          <w:sz w:val="19"/>
          <w:szCs w:val="19"/>
          <w:u w:val="single" w:color="auto"/>
          <w:color w:val="auto"/>
        </w:rPr>
        <w:t>multiplied</w:t>
      </w:r>
      <w:r>
        <w:rPr>
          <w:rFonts w:ascii="Arial" w:cs="Arial" w:eastAsia="Arial" w:hAnsi="Arial"/>
          <w:sz w:val="19"/>
          <w:szCs w:val="19"/>
          <w:color w:val="auto"/>
        </w:rPr>
        <w:t xml:space="preserve"> by the Dollar Equivalent of the aggregate face amount of each such outstanding Letter of Credit issued by such L/C Issuer, calculated on the basis of a 360-day year and for the actual number of days such Letter of Credit was outstanding during such Fiscal Quarter, and (ii) on demand, such reasonable fees, reasonable documented out-of-pocket charges and expenses of each L/C Issuer in respect of the issuance, negotiation, acceptance, amendment, transfer and payment of any Letter of Credit issued by such L/C Issuer or otherwise payable pursuant to the application and related documentation under which such Letter of Credit is issued; provided, that any such fees, charges or expenses payable in respect of Letters of Credit denominated in an Alternative Currency may be paid in the applicable Alternative Currency if the Parent Borrower and the applicable L/C Issuer so agree (in each case, in its respective sole discretion). The Obligations of the Canadian Borrowers hereunder are subject to the provisions of </w:t>
      </w:r>
      <w:r>
        <w:rPr>
          <w:rFonts w:ascii="Arial" w:cs="Arial" w:eastAsia="Arial" w:hAnsi="Arial"/>
          <w:sz w:val="19"/>
          <w:szCs w:val="19"/>
          <w:u w:val="single" w:color="auto"/>
          <w:color w:val="auto"/>
        </w:rPr>
        <w:t>Section 13.9</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firstLine="1288"/>
        <w:spacing w:after="0" w:line="265" w:lineRule="auto"/>
        <w:tabs>
          <w:tab w:leader="none" w:pos="1617" w:val="left"/>
        </w:tabs>
        <w:numPr>
          <w:ilvl w:val="0"/>
          <w:numId w:val="104"/>
        </w:numPr>
        <w:rPr>
          <w:rFonts w:ascii="Arial" w:cs="Arial" w:eastAsia="Arial" w:hAnsi="Arial"/>
          <w:sz w:val="21"/>
          <w:szCs w:val="21"/>
          <w:color w:val="auto"/>
        </w:rPr>
      </w:pPr>
      <w:r>
        <w:rPr>
          <w:rFonts w:ascii="Arial" w:cs="Arial" w:eastAsia="Arial" w:hAnsi="Arial"/>
          <w:sz w:val="21"/>
          <w:szCs w:val="21"/>
          <w:u w:val="single" w:color="auto"/>
          <w:color w:val="auto"/>
        </w:rPr>
        <w:t>Request for Incurrence of Letter of Credit Obligations</w:t>
      </w:r>
      <w:r>
        <w:rPr>
          <w:rFonts w:ascii="Arial" w:cs="Arial" w:eastAsia="Arial" w:hAnsi="Arial"/>
          <w:sz w:val="21"/>
          <w:szCs w:val="21"/>
          <w:color w:val="auto"/>
        </w:rPr>
        <w:t>. Borrower Representative shall give Agent and the applicable L/C Issuer at least five (5) Business Days’ prior written notice requesting the incurrence of any Letter of Credit Obligation and identifying whether such Letter of Credit is to be issued on behalf of the U.S. Borrowers (or for the account of any Restricted Subsidiary of any U.S. Borrower) or the Canadian</w:t>
      </w:r>
    </w:p>
    <w:p>
      <w:pPr>
        <w:sectPr>
          <w:pgSz w:w="11900" w:h="16838" w:orient="portrait"/>
          <w:cols w:equalWidth="0" w:num="1">
            <w:col w:w="10900"/>
          </w:cols>
          <w:pgMar w:left="660" w:top="1428" w:right="339" w:bottom="1440" w:gutter="0" w:footer="0" w:header="0"/>
        </w:sectPr>
      </w:pPr>
    </w:p>
    <w:bookmarkStart w:id="198" w:name="page199"/>
    <w:bookmarkEnd w:id="198"/>
    <w:p>
      <w:pPr>
        <w:jc w:val="both"/>
        <w:spacing w:after="0" w:line="248" w:lineRule="auto"/>
        <w:rPr>
          <w:sz w:val="20"/>
          <w:szCs w:val="20"/>
          <w:color w:val="auto"/>
        </w:rPr>
      </w:pPr>
      <w:r>
        <w:rPr>
          <w:rFonts w:ascii="Arial" w:cs="Arial" w:eastAsia="Arial" w:hAnsi="Arial"/>
          <w:sz w:val="22"/>
          <w:szCs w:val="22"/>
          <w:color w:val="auto"/>
        </w:rPr>
        <w:t>Borrowers. Each such request for a Letter of Credit, and any Letter of Credit issued pursuant thereto, shall be on the applicable L/C Issuer’s standard form documents. Notwithstanding anything contained herein to the contrary, Letter of Credit applications by Borrower Representative and approvals by Agent and the applicable L/C Issuer may be made and transmitted pursuant to communication methods mutually agreed upon and established by and among Borrower Representative, Agent and the applicable L/C Issuer.</w:t>
      </w:r>
    </w:p>
    <w:p>
      <w:pPr>
        <w:spacing w:after="0" w:line="192" w:lineRule="exact"/>
        <w:rPr>
          <w:sz w:val="20"/>
          <w:szCs w:val="20"/>
          <w:color w:val="auto"/>
        </w:rPr>
      </w:pPr>
    </w:p>
    <w:p>
      <w:pPr>
        <w:jc w:val="both"/>
        <w:ind w:firstLine="1288"/>
        <w:spacing w:after="0" w:line="247" w:lineRule="auto"/>
        <w:tabs>
          <w:tab w:leader="none" w:pos="1620" w:val="left"/>
        </w:tabs>
        <w:numPr>
          <w:ilvl w:val="0"/>
          <w:numId w:val="105"/>
        </w:numPr>
        <w:rPr>
          <w:rFonts w:ascii="Arial" w:cs="Arial" w:eastAsia="Arial" w:hAnsi="Arial"/>
          <w:sz w:val="22"/>
          <w:szCs w:val="22"/>
          <w:color w:val="auto"/>
        </w:rPr>
      </w:pPr>
      <w:r>
        <w:rPr>
          <w:rFonts w:ascii="Arial" w:cs="Arial" w:eastAsia="Arial" w:hAnsi="Arial"/>
          <w:sz w:val="22"/>
          <w:szCs w:val="22"/>
          <w:u w:val="single" w:color="auto"/>
          <w:color w:val="auto"/>
        </w:rPr>
        <w:t>Obligation Absolute</w:t>
      </w:r>
      <w:r>
        <w:rPr>
          <w:rFonts w:ascii="Arial" w:cs="Arial" w:eastAsia="Arial" w:hAnsi="Arial"/>
          <w:sz w:val="22"/>
          <w:szCs w:val="22"/>
          <w:color w:val="auto"/>
        </w:rPr>
        <w:t>. The joint and several obligations of Borrowers to reimburse Agent, L/C Issuers and Lenders for payments made with respect to any Letter of Credit Obligation shall be absolute, unconditional and irrevocable, without necessity of presentment, demand, protest, or other formalities, and the obligations of each Lender to make payments to Agent and L/C Issuers with respect to Letters of Credit shall be unconditional and irrevocable. Such obligations of Borrowers and Lenders shall be paid strictly in accordance with the terms hereof under all circumstances including the following:</w:t>
      </w:r>
    </w:p>
    <w:p>
      <w:pPr>
        <w:spacing w:after="0" w:line="192" w:lineRule="exact"/>
        <w:rPr>
          <w:rFonts w:ascii="Arial" w:cs="Arial" w:eastAsia="Arial" w:hAnsi="Arial"/>
          <w:sz w:val="22"/>
          <w:szCs w:val="22"/>
          <w:color w:val="auto"/>
        </w:rPr>
      </w:pPr>
    </w:p>
    <w:p>
      <w:pPr>
        <w:ind w:right="20" w:firstLine="1732"/>
        <w:spacing w:after="0" w:line="263" w:lineRule="auto"/>
        <w:tabs>
          <w:tab w:leader="none" w:pos="2268"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any lack of validity or enforceability of any Letter of Credit or this Agreement or the other Loan Documents or any other agreement;</w:t>
      </w:r>
    </w:p>
    <w:p>
      <w:pPr>
        <w:spacing w:after="0" w:line="174" w:lineRule="exact"/>
        <w:rPr>
          <w:rFonts w:ascii="Arial" w:cs="Arial" w:eastAsia="Arial" w:hAnsi="Arial"/>
          <w:sz w:val="22"/>
          <w:szCs w:val="22"/>
          <w:color w:val="auto"/>
        </w:rPr>
      </w:pPr>
    </w:p>
    <w:p>
      <w:pPr>
        <w:jc w:val="both"/>
        <w:ind w:firstLine="1672"/>
        <w:spacing w:after="0" w:line="261" w:lineRule="auto"/>
        <w:tabs>
          <w:tab w:leader="none" w:pos="2268" w:val="left"/>
        </w:tabs>
        <w:numPr>
          <w:ilvl w:val="1"/>
          <w:numId w:val="105"/>
        </w:numPr>
        <w:rPr>
          <w:rFonts w:ascii="Arial" w:cs="Arial" w:eastAsia="Arial" w:hAnsi="Arial"/>
          <w:sz w:val="21"/>
          <w:szCs w:val="21"/>
          <w:color w:val="auto"/>
        </w:rPr>
      </w:pPr>
      <w:r>
        <w:rPr>
          <w:rFonts w:ascii="Arial" w:cs="Arial" w:eastAsia="Arial" w:hAnsi="Arial"/>
          <w:sz w:val="21"/>
          <w:szCs w:val="21"/>
          <w:color w:val="auto"/>
        </w:rPr>
        <w:t>the existence of any claim, setoff, defense, or other right that any Borrower or any of their respective Affiliates or any Lender may at any time have against a beneficiary or any transferee of any Letter of Credit (or any Persons or entities for whom any such transferee may be acting), Agent, any Lender, any L/C Issuer or any other Person, whether in connection with this Agreement, the Letter of Credit, the transactions contemplated herein or therein or any unrelated transaction (including any underlying transaction between any Borrower or any of their respective Affiliates and the beneficiary for which the Letter of Credit was procured);</w:t>
      </w:r>
    </w:p>
    <w:p>
      <w:pPr>
        <w:spacing w:after="0" w:line="179" w:lineRule="exact"/>
        <w:rPr>
          <w:rFonts w:ascii="Arial" w:cs="Arial" w:eastAsia="Arial" w:hAnsi="Arial"/>
          <w:sz w:val="21"/>
          <w:szCs w:val="21"/>
          <w:color w:val="auto"/>
        </w:rPr>
      </w:pPr>
    </w:p>
    <w:p>
      <w:pPr>
        <w:jc w:val="both"/>
        <w:ind w:firstLine="1612"/>
        <w:spacing w:after="0" w:line="253" w:lineRule="auto"/>
        <w:tabs>
          <w:tab w:leader="none" w:pos="2268"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any draft, demand, certificate, or any other document presented under any Letter of Credit proving to be forged, fraudulent, invalid, or insufficient in any respect or any statement therein being untrue or inaccurate in any respect;</w:t>
      </w:r>
    </w:p>
    <w:p>
      <w:pPr>
        <w:spacing w:after="0" w:line="185" w:lineRule="exact"/>
        <w:rPr>
          <w:rFonts w:ascii="Arial" w:cs="Arial" w:eastAsia="Arial" w:hAnsi="Arial"/>
          <w:sz w:val="22"/>
          <w:szCs w:val="22"/>
          <w:color w:val="auto"/>
        </w:rPr>
      </w:pPr>
    </w:p>
    <w:p>
      <w:pPr>
        <w:jc w:val="both"/>
        <w:ind w:firstLine="1624"/>
        <w:spacing w:after="0" w:line="253" w:lineRule="auto"/>
        <w:tabs>
          <w:tab w:leader="none" w:pos="2268" w:val="left"/>
        </w:tabs>
        <w:numPr>
          <w:ilvl w:val="1"/>
          <w:numId w:val="105"/>
        </w:numPr>
        <w:rPr>
          <w:rFonts w:ascii="Arial" w:cs="Arial" w:eastAsia="Arial" w:hAnsi="Arial"/>
          <w:sz w:val="22"/>
          <w:szCs w:val="22"/>
          <w:color w:val="auto"/>
        </w:rPr>
      </w:pPr>
      <w:r>
        <w:rPr>
          <w:rFonts w:ascii="Arial" w:cs="Arial" w:eastAsia="Arial" w:hAnsi="Arial"/>
          <w:sz w:val="22"/>
          <w:szCs w:val="22"/>
          <w:color w:val="auto"/>
        </w:rPr>
        <w:t xml:space="preserve">payment by Agent (except as otherwise expressly provided in </w:t>
      </w:r>
      <w:r>
        <w:rPr>
          <w:rFonts w:ascii="Arial" w:cs="Arial" w:eastAsia="Arial" w:hAnsi="Arial"/>
          <w:sz w:val="22"/>
          <w:szCs w:val="22"/>
          <w:u w:val="single" w:color="auto"/>
          <w:color w:val="auto"/>
        </w:rPr>
        <w:t>Section 2.2(g)(ii)(C)</w:t>
      </w:r>
      <w:r>
        <w:rPr>
          <w:rFonts w:ascii="Arial" w:cs="Arial" w:eastAsia="Arial" w:hAnsi="Arial"/>
          <w:sz w:val="22"/>
          <w:szCs w:val="22"/>
          <w:color w:val="auto"/>
        </w:rPr>
        <w:t xml:space="preserve"> below) or the applicable L/C Issuer under any Letter of Credit against presentation of a demand, draft, or certificate or other document that does not comply with the terms of such Letter of Credit;</w:t>
      </w:r>
    </w:p>
    <w:p>
      <w:pPr>
        <w:spacing w:after="0" w:line="185" w:lineRule="exact"/>
        <w:rPr>
          <w:rFonts w:ascii="Arial" w:cs="Arial" w:eastAsia="Arial" w:hAnsi="Arial"/>
          <w:sz w:val="22"/>
          <w:szCs w:val="22"/>
          <w:color w:val="auto"/>
        </w:rPr>
      </w:pPr>
    </w:p>
    <w:p>
      <w:pPr>
        <w:ind w:right="20" w:firstLine="1684"/>
        <w:spacing w:after="0" w:line="263" w:lineRule="auto"/>
        <w:tabs>
          <w:tab w:leader="none" w:pos="2268"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any adverse change in the relevant exchange rates or in the availability of the relevant Alternative Currency to Borrowers or any Restricted Subsidiary or in the relevant currency markets generally;</w:t>
      </w:r>
    </w:p>
    <w:p>
      <w:pPr>
        <w:spacing w:after="0" w:line="174" w:lineRule="exact"/>
        <w:rPr>
          <w:rFonts w:ascii="Arial" w:cs="Arial" w:eastAsia="Arial" w:hAnsi="Arial"/>
          <w:sz w:val="22"/>
          <w:szCs w:val="22"/>
          <w:color w:val="auto"/>
        </w:rPr>
      </w:pPr>
    </w:p>
    <w:p>
      <w:pPr>
        <w:ind w:left="2260" w:hanging="636"/>
        <w:spacing w:after="0"/>
        <w:tabs>
          <w:tab w:leader="none" w:pos="226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any other circumstance or event whatsoever, that is similar to any of the foregoing; or</w:t>
      </w:r>
    </w:p>
    <w:p>
      <w:pPr>
        <w:spacing w:after="0" w:line="219" w:lineRule="exact"/>
        <w:rPr>
          <w:rFonts w:ascii="Arial" w:cs="Arial" w:eastAsia="Arial" w:hAnsi="Arial"/>
          <w:sz w:val="22"/>
          <w:szCs w:val="22"/>
          <w:color w:val="auto"/>
        </w:rPr>
      </w:pPr>
    </w:p>
    <w:p>
      <w:pPr>
        <w:ind w:left="2260" w:hanging="696"/>
        <w:spacing w:after="0"/>
        <w:tabs>
          <w:tab w:leader="none" w:pos="226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the fact that a Default or an Event of Default has occurred and is continuing;</w:t>
      </w:r>
    </w:p>
    <w:p>
      <w:pPr>
        <w:sectPr>
          <w:pgSz w:w="11900" w:h="16838" w:orient="portrait"/>
          <w:cols w:equalWidth="0" w:num="1">
            <w:col w:w="10900"/>
          </w:cols>
          <w:pgMar w:left="660" w:top="1428" w:right="339" w:bottom="1440" w:gutter="0" w:footer="0" w:header="0"/>
        </w:sectPr>
      </w:pPr>
    </w:p>
    <w:bookmarkStart w:id="199" w:name="page200"/>
    <w:bookmarkEnd w:id="199"/>
    <w:p>
      <w:pPr>
        <w:jc w:val="both"/>
        <w:spacing w:after="0" w:line="31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Canadian Borrowers shall be liable only for Letter of Credit Obligations under Letters of Credit (x) for which a Canadian Borrower is the co-applicant of such Letter of Credit, (y) that are issued for the account of such the Canadian Borrower or any of its Subsidiaries or (z) issued on account of the Canadian Commitment (“</w:t>
      </w:r>
      <w:r>
        <w:rPr>
          <w:rFonts w:ascii="Arial" w:cs="Arial" w:eastAsia="Arial" w:hAnsi="Arial"/>
          <w:sz w:val="19"/>
          <w:szCs w:val="19"/>
          <w:u w:val="single" w:color="auto"/>
          <w:color w:val="auto"/>
        </w:rPr>
        <w:t>Canadian Letters of Credit</w:t>
      </w:r>
      <w:r>
        <w:rPr>
          <w:rFonts w:ascii="Arial" w:cs="Arial" w:eastAsia="Arial" w:hAnsi="Arial"/>
          <w:sz w:val="19"/>
          <w:szCs w:val="19"/>
          <w:color w:val="auto"/>
        </w:rPr>
        <w:t>”).</w:t>
      </w:r>
    </w:p>
    <w:p>
      <w:pPr>
        <w:spacing w:after="0" w:line="133"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 xml:space="preserve">Neither Agent, the Lenders nor the L/C Issuers, nor any of their Related Person,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L/C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any L/C Issuer from liability to Borrowers to the extent of any direct damages (as opposed to special, indirect, consequential or punitive damages, claims in respect of which are hereby waived by Borrowers to the extent permitted by applicable law) suffered by Borrowers that are caused by such L/C Issuer's failure to exercise care when determining whether drafts and other documents presented under a Letter of Credit comply with the terms thereof. The parties hereto expressly agree that, in the absence of gross negligence or willful misconduct, or breach of its obligations hereunder, on the part of any L/C Issuer (as finally determined by a court of competent jurisdiction), such L/C Issuer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L/C Issuer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93" w:lineRule="exact"/>
        <w:rPr>
          <w:sz w:val="20"/>
          <w:szCs w:val="20"/>
          <w:color w:val="auto"/>
        </w:rPr>
      </w:pPr>
    </w:p>
    <w:p>
      <w:pPr>
        <w:ind w:left="1940" w:hanging="312"/>
        <w:spacing w:after="0"/>
        <w:tabs>
          <w:tab w:leader="none" w:pos="194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Indemnification; Nature of Lenders’ Duties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340" w:firstLine="1732"/>
        <w:spacing w:after="0" w:line="258" w:lineRule="auto"/>
        <w:tabs>
          <w:tab w:leader="none" w:pos="2608" w:val="left"/>
        </w:tabs>
        <w:numPr>
          <w:ilvl w:val="1"/>
          <w:numId w:val="106"/>
        </w:numPr>
        <w:rPr>
          <w:rFonts w:ascii="Arial" w:cs="Arial" w:eastAsia="Arial" w:hAnsi="Arial"/>
          <w:sz w:val="21"/>
          <w:szCs w:val="21"/>
          <w:color w:val="auto"/>
        </w:rPr>
      </w:pPr>
      <w:r>
        <w:rPr>
          <w:rFonts w:ascii="Arial" w:cs="Arial" w:eastAsia="Arial" w:hAnsi="Arial"/>
          <w:sz w:val="21"/>
          <w:szCs w:val="21"/>
          <w:color w:val="auto"/>
        </w:rPr>
        <w:t>In addition to amounts payable as elsewhere provided in this Agreement, the U.S. Borrowers or the Canadian Borrowers, as the case may be, jointly and severally, hereby agree to pay and to protect, indemnify, and save harmless Agent, each Co-Collateral Agent, each L/C Issuer and each Lender from and against any and all claims, demands, liabilities, damages, losses, costs, charges, and expenses (including reasonable documented attorneys’ fees of one counsel in each relevant jurisdiction) that Agent, any Collateral Agent, any L/C Issuer or any Lender may incur or be subject to as a consequence, direct or indirect, of (A) the issuance of any Letter of Credit (or, the case of the Canadian Borrowers, Canadian Letters of Credit), or (B) the failure of Agent, any Co-Collateral Agent, any L/C Issuer or any Lender seeking indemnification or of any L/C Issuer to honor a demand for payment under any Letter of Credit (or, the case of the Canadian Borrowers, Canadian Letters of Credit) as a result of any act or omission, whether rightful or wrongful, of any present or future de jure or de facto government or Governmental Authority, in each case other than to the extent such failure is a result of the gross negligence, bad faith, or</w:t>
      </w:r>
    </w:p>
    <w:p>
      <w:pPr>
        <w:sectPr>
          <w:pgSz w:w="11900" w:h="16838" w:orient="portrait"/>
          <w:cols w:equalWidth="0" w:num="1">
            <w:col w:w="11240"/>
          </w:cols>
          <w:pgMar w:left="320" w:top="1428" w:right="339" w:bottom="1440" w:gutter="0" w:footer="0" w:header="0"/>
        </w:sectPr>
      </w:pPr>
    </w:p>
    <w:bookmarkStart w:id="200" w:name="page201"/>
    <w:bookmarkEnd w:id="200"/>
    <w:p>
      <w:pPr>
        <w:spacing w:after="0" w:line="343" w:lineRule="auto"/>
        <w:rPr>
          <w:sz w:val="20"/>
          <w:szCs w:val="20"/>
          <w:color w:val="auto"/>
        </w:rPr>
      </w:pPr>
      <w:r>
        <w:rPr>
          <w:rFonts w:ascii="Arial" w:cs="Arial" w:eastAsia="Arial" w:hAnsi="Arial"/>
          <w:sz w:val="19"/>
          <w:szCs w:val="19"/>
          <w:color w:val="auto"/>
        </w:rPr>
        <w:t xml:space="preserve">willful misconduct of Agent, such Co-Collateral Agent, such L/C Issuer or such Lender (as finally determined by a court of competent jurisdiction). The Obligations of the Canadian Borrowers hereunder are subject to the provisions of </w:t>
      </w:r>
      <w:r>
        <w:rPr>
          <w:rFonts w:ascii="Arial" w:cs="Arial" w:eastAsia="Arial" w:hAnsi="Arial"/>
          <w:sz w:val="19"/>
          <w:szCs w:val="19"/>
          <w:u w:val="single" w:color="auto"/>
          <w:color w:val="auto"/>
        </w:rPr>
        <w:t>Section 13.9</w:t>
      </w:r>
      <w:r>
        <w:rPr>
          <w:rFonts w:ascii="Arial" w:cs="Arial" w:eastAsia="Arial" w:hAnsi="Arial"/>
          <w:sz w:val="19"/>
          <w:szCs w:val="19"/>
          <w:color w:val="auto"/>
        </w:rPr>
        <w:t>.</w:t>
      </w:r>
    </w:p>
    <w:p>
      <w:pPr>
        <w:spacing w:after="0" w:line="104" w:lineRule="exact"/>
        <w:rPr>
          <w:sz w:val="20"/>
          <w:szCs w:val="20"/>
          <w:color w:val="auto"/>
        </w:rPr>
      </w:pPr>
    </w:p>
    <w:p>
      <w:pPr>
        <w:jc w:val="both"/>
        <w:ind w:firstLine="1672"/>
        <w:spacing w:after="0" w:line="285" w:lineRule="auto"/>
        <w:tabs>
          <w:tab w:leader="none" w:pos="2268" w:val="left"/>
        </w:tabs>
        <w:numPr>
          <w:ilvl w:val="1"/>
          <w:numId w:val="107"/>
        </w:numPr>
        <w:rPr>
          <w:rFonts w:ascii="Arial" w:cs="Arial" w:eastAsia="Arial" w:hAnsi="Arial"/>
          <w:sz w:val="19"/>
          <w:szCs w:val="19"/>
          <w:color w:val="auto"/>
        </w:rPr>
      </w:pPr>
      <w:r>
        <w:rPr>
          <w:rFonts w:ascii="Arial" w:cs="Arial" w:eastAsia="Arial" w:hAnsi="Arial"/>
          <w:sz w:val="19"/>
          <w:szCs w:val="19"/>
          <w:color w:val="auto"/>
        </w:rPr>
        <w:t xml:space="preserve">As between Agent, any L/C Issuer and any Lender and Borrowers, Borrowers assume all risks of the acts and omissions of, or misuse of, any Letter of Credit by beneficiaries, of any Letter of Credit. In furtherance and not in limitation of the foregoing, to the fullest extent permitted by law, neither Agent nor any L/C Issuer or Lender shall be responsible for: (A) the form, validity, sufficiency, accuracy, genuineness, or legal effect of any document issued by any party in connection with the application for and issuance of any Letter of Credit, even if it should in fact prove to be in any or all respects invalid, insufficient, inaccurate, fraudulent, or forged; (B) the validity or sufficiency of any instrument transferring or assigning or purporting to transfer or assign any Letter of Credit or the rights or benefits thereunder or proceeds thereof, in whole or in part, that may prove to be invalid or ineffective for any reason; (C) failure of the beneficiary of any Letter of Credit to comply fully with conditions required in order to demand payment under such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(A), (B), or (C) of this </w:t>
      </w:r>
      <w:r>
        <w:rPr>
          <w:rFonts w:ascii="Arial" w:cs="Arial" w:eastAsia="Arial" w:hAnsi="Arial"/>
          <w:sz w:val="19"/>
          <w:szCs w:val="19"/>
          <w:u w:val="single" w:color="auto"/>
          <w:color w:val="auto"/>
        </w:rPr>
        <w:t>Section 2.2(g)(ii)</w:t>
      </w:r>
      <w:r>
        <w:rPr>
          <w:rFonts w:ascii="Arial" w:cs="Arial" w:eastAsia="Arial" w:hAnsi="Arial"/>
          <w:sz w:val="19"/>
          <w:szCs w:val="19"/>
          <w:color w:val="auto"/>
        </w:rPr>
        <w:t>, in the case of any payment by any L/C Issuer under any Letter of Credit, such L/C Issuer shall be liable to the extent such payment was made solely as a result of its gross negligence, bad faith, or willful misconduct (as finally determined by a court of competent jurisdiction) in determining that the demand for payment under such Letter of Credit complies on its face with any applicable requirements for a demand for payment under such Letter of Credit; (D) errors, omissions, interruptions or delays in transmission or delivery of any messages, by mail, cable, telegraph, telex, or otherwise, whether or not they may be in cipher; (E) errors in interpretation of technical terms; (F) any loss or delay in the transmission or otherwise of any document required in order to make a payment under any Letter of Credit or of the proceeds thereof; (G) the credit of the proceeds of any drawing under any Letter of Credit; and (H) any consequences arising from causes beyond the control of Agent, any L/C Issuer or any Lender. None of the above shall affect, impair, or prevent the vesting of any of Agent’s, any L/C Issuer’s or any Lender’s rights or powers hereunder or under this Agreement.</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1612"/>
        <w:spacing w:after="0" w:line="253" w:lineRule="auto"/>
        <w:tabs>
          <w:tab w:leader="none" w:pos="2268" w:val="left"/>
        </w:tabs>
        <w:numPr>
          <w:ilvl w:val="1"/>
          <w:numId w:val="107"/>
        </w:numPr>
        <w:rPr>
          <w:rFonts w:ascii="Arial" w:cs="Arial" w:eastAsia="Arial" w:hAnsi="Arial"/>
          <w:sz w:val="22"/>
          <w:szCs w:val="22"/>
          <w:color w:val="auto"/>
        </w:rPr>
      </w:pPr>
      <w:r>
        <w:rPr>
          <w:rFonts w:ascii="Arial" w:cs="Arial" w:eastAsia="Arial" w:hAnsi="Arial"/>
          <w:sz w:val="22"/>
          <w:szCs w:val="22"/>
          <w:color w:val="auto"/>
        </w:rPr>
        <w:t>In the event of any conflict between the terms of this Agreement and the terms of any letter of credit application, reimbursement agreement, or similar document, instrument or agreement between or among Borrowers and any L/C Issuer, the terms of this Agreement shall control.</w:t>
      </w:r>
    </w:p>
    <w:p>
      <w:pPr>
        <w:spacing w:after="0" w:line="185" w:lineRule="exact"/>
        <w:rPr>
          <w:rFonts w:ascii="Arial" w:cs="Arial" w:eastAsia="Arial" w:hAnsi="Arial"/>
          <w:sz w:val="22"/>
          <w:szCs w:val="22"/>
          <w:color w:val="auto"/>
        </w:rPr>
      </w:pPr>
    </w:p>
    <w:p>
      <w:pPr>
        <w:jc w:val="both"/>
        <w:ind w:firstLine="1288"/>
        <w:spacing w:after="0" w:line="260" w:lineRule="auto"/>
        <w:tabs>
          <w:tab w:leader="none" w:pos="1615" w:val="left"/>
        </w:tabs>
        <w:numPr>
          <w:ilvl w:val="0"/>
          <w:numId w:val="108"/>
        </w:numPr>
        <w:rPr>
          <w:rFonts w:ascii="Arial" w:cs="Arial" w:eastAsia="Arial" w:hAnsi="Arial"/>
          <w:sz w:val="21"/>
          <w:szCs w:val="21"/>
          <w:color w:val="auto"/>
        </w:rPr>
      </w:pPr>
      <w:r>
        <w:rPr>
          <w:rFonts w:ascii="Arial" w:cs="Arial" w:eastAsia="Arial" w:hAnsi="Arial"/>
          <w:sz w:val="21"/>
          <w:szCs w:val="21"/>
          <w:u w:val="single" w:color="auto"/>
          <w:color w:val="auto"/>
        </w:rPr>
        <w:t>Reporting Obligations of L/C Issuers</w:t>
      </w:r>
      <w:r>
        <w:rPr>
          <w:rFonts w:ascii="Arial" w:cs="Arial" w:eastAsia="Arial" w:hAnsi="Arial"/>
          <w:sz w:val="21"/>
          <w:szCs w:val="21"/>
          <w:color w:val="auto"/>
        </w:rPr>
        <w:t>. Each L/C Issuer agrees to provide Agent, in form and substance satisfactory to Agent, each of the following on the following dates: (i) (A) on or prior to any issuance of any Letter of Credit by such L/C Issuer, (B) immediately after any drawing under any such Letter of Credit or (C) immediately after payment (or failure to pay when due) by Borrowers of any related Letter of Credit Obligation, notice thereof, which shall contain a reasonably detailed description of such issuance, drawing or payment, and Agent shall provide copies of such notices to each Lender reasonably promptly after receipt thereof; (ii) upon the request of Agent (or any Lender through Agent), copies of any Letter of Credit issued by such L/C Issuer and any related</w:t>
      </w:r>
    </w:p>
    <w:p>
      <w:pPr>
        <w:sectPr>
          <w:pgSz w:w="11900" w:h="16838" w:orient="portrait"/>
          <w:cols w:equalWidth="0" w:num="1">
            <w:col w:w="10900"/>
          </w:cols>
          <w:pgMar w:left="660" w:top="1428" w:right="339" w:bottom="1440" w:gutter="0" w:footer="0" w:header="0"/>
        </w:sectPr>
      </w:pPr>
    </w:p>
    <w:bookmarkStart w:id="201" w:name="page202"/>
    <w:bookmarkEnd w:id="201"/>
    <w:p>
      <w:pPr>
        <w:jc w:val="both"/>
        <w:spacing w:after="0" w:line="265" w:lineRule="auto"/>
        <w:rPr>
          <w:sz w:val="20"/>
          <w:szCs w:val="20"/>
          <w:color w:val="auto"/>
        </w:rPr>
      </w:pPr>
      <w:r>
        <w:rPr>
          <w:rFonts w:ascii="Arial" w:cs="Arial" w:eastAsia="Arial" w:hAnsi="Arial"/>
          <w:sz w:val="21"/>
          <w:szCs w:val="21"/>
          <w:color w:val="auto"/>
        </w:rPr>
        <w:t>Letter of Credit reimbursement agreement and such other documents and information as may be reasonably requested by Agent; and (iii) on the first Business Day of each calendar month, a schedule of the Letters of Credit issued by such L/C Issuer, in form and substance reasonably satisfactory to Agent, setting forth the Letter of Credit Obligations for such Letters of Credit outstanding on the last Business Day of the previous calendar month.</w:t>
      </w:r>
    </w:p>
    <w:p>
      <w:pPr>
        <w:spacing w:after="0" w:line="175" w:lineRule="exact"/>
        <w:rPr>
          <w:sz w:val="20"/>
          <w:szCs w:val="20"/>
          <w:color w:val="auto"/>
        </w:rPr>
      </w:pPr>
    </w:p>
    <w:p>
      <w:pPr>
        <w:jc w:val="both"/>
        <w:ind w:firstLine="1288"/>
        <w:spacing w:after="0" w:line="258" w:lineRule="auto"/>
        <w:tabs>
          <w:tab w:leader="none" w:pos="1608" w:val="left"/>
        </w:tabs>
        <w:numPr>
          <w:ilvl w:val="1"/>
          <w:numId w:val="109"/>
        </w:numPr>
        <w:rPr>
          <w:rFonts w:ascii="Arial" w:cs="Arial" w:eastAsia="Arial" w:hAnsi="Arial"/>
          <w:sz w:val="21"/>
          <w:szCs w:val="21"/>
          <w:color w:val="auto"/>
        </w:rPr>
      </w:pPr>
      <w:r>
        <w:rPr>
          <w:rFonts w:ascii="Arial" w:cs="Arial" w:eastAsia="Arial" w:hAnsi="Arial"/>
          <w:sz w:val="21"/>
          <w:szCs w:val="21"/>
          <w:u w:val="single" w:color="auto"/>
          <w:color w:val="auto"/>
        </w:rPr>
        <w:t>Replacement of L/C Issuer</w:t>
      </w:r>
      <w:r>
        <w:rPr>
          <w:rFonts w:ascii="Arial" w:cs="Arial" w:eastAsia="Arial" w:hAnsi="Arial"/>
          <w:sz w:val="21"/>
          <w:szCs w:val="21"/>
          <w:color w:val="auto"/>
        </w:rPr>
        <w:t>. Any L/C Issuer may be replaced with another Lender (or an Affiliate of a Lender) at any time by written agreement among Borrower Representative, Agent, the Requisite Lenders, and the successor L/C Issuer. Agent shall notify the Lenders of any such replacement of such L/C Issuer. At the time any such replacement shall become effective, Borrowers shall pay all unpaid fees accrued for the account of the replaced L/C Issuer. From and after the effective date of any such replacement, (i) the successor L/C Issuer shall have all the rights and obligations of the applicable L/C Issuer under this Agreement with respect to Letters of Credit to be issued thereafter, and (ii) references herein to the term “L/C Issuer” shall be deemed to refer to such successor or to any previous L/C Issuer, or to such successor L/C Issuer and all previous L/C Issuers,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81" w:lineRule="exact"/>
        <w:rPr>
          <w:rFonts w:ascii="Arial" w:cs="Arial" w:eastAsia="Arial" w:hAnsi="Arial"/>
          <w:sz w:val="21"/>
          <w:szCs w:val="21"/>
          <w:color w:val="auto"/>
        </w:rPr>
      </w:pPr>
    </w:p>
    <w:p>
      <w:pPr>
        <w:jc w:val="both"/>
        <w:ind w:left="-160" w:firstLine="1286"/>
        <w:spacing w:after="0" w:line="250" w:lineRule="auto"/>
        <w:tabs>
          <w:tab w:leader="none" w:pos="1620" w:val="left"/>
        </w:tabs>
        <w:numPr>
          <w:ilvl w:val="0"/>
          <w:numId w:val="110"/>
        </w:numPr>
        <w:rPr>
          <w:rFonts w:ascii="Arial" w:cs="Arial" w:eastAsia="Arial" w:hAnsi="Arial"/>
          <w:sz w:val="20"/>
          <w:szCs w:val="20"/>
          <w:color w:val="auto"/>
        </w:rPr>
      </w:pP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xml:space="preserve"> On the Restatement Date, each letter of credit listed on </w:t>
      </w:r>
      <w:r>
        <w:rPr>
          <w:rFonts w:ascii="Arial" w:cs="Arial" w:eastAsia="Arial" w:hAnsi="Arial"/>
          <w:sz w:val="22"/>
          <w:szCs w:val="22"/>
          <w:u w:val="single" w:color="auto"/>
          <w:color w:val="auto"/>
        </w:rPr>
        <w:t>Schedule 2.2</w:t>
      </w:r>
      <w:r>
        <w:rPr>
          <w:rFonts w:ascii="Arial" w:cs="Arial" w:eastAsia="Arial" w:hAnsi="Arial"/>
          <w:sz w:val="22"/>
          <w:szCs w:val="22"/>
          <w:color w:val="auto"/>
        </w:rPr>
        <w:t xml:space="preserve">, to the extent outstanding, shall be automatically and without further action by the parties thereto (and without payment of any fees otherwise due upon the issuance of a Letter of Credit) deemed converted into Letters of Credit issued pursuant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w:t>
      </w:r>
      <w:r>
        <w:rPr>
          <w:rFonts w:ascii="Arial" w:cs="Arial" w:eastAsia="Arial" w:hAnsi="Arial"/>
          <w:sz w:val="22"/>
          <w:szCs w:val="22"/>
          <w:color w:val="auto"/>
        </w:rPr>
        <w:t xml:space="preserve"> and subject to the provisions hereof.</w:t>
      </w:r>
    </w:p>
    <w:p>
      <w:pPr>
        <w:spacing w:after="0" w:line="188"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Prepayments</w:t>
      </w:r>
      <w:r>
        <w:rPr>
          <w:rFonts w:ascii="Arial" w:cs="Arial" w:eastAsia="Arial" w:hAnsi="Arial"/>
          <w:sz w:val="19"/>
          <w:szCs w:val="19"/>
          <w:color w:val="auto"/>
        </w:rPr>
        <w:t>.</w:t>
      </w:r>
    </w:p>
    <w:p>
      <w:pPr>
        <w:spacing w:after="0" w:line="220" w:lineRule="exact"/>
        <w:rPr>
          <w:sz w:val="20"/>
          <w:szCs w:val="20"/>
          <w:color w:val="auto"/>
        </w:rPr>
      </w:pPr>
    </w:p>
    <w:p>
      <w:pPr>
        <w:jc w:val="both"/>
        <w:ind w:firstLine="1288"/>
        <w:spacing w:after="0" w:line="287" w:lineRule="auto"/>
        <w:tabs>
          <w:tab w:leader="none" w:pos="1617" w:val="left"/>
        </w:tabs>
        <w:numPr>
          <w:ilvl w:val="0"/>
          <w:numId w:val="111"/>
        </w:numPr>
        <w:rPr>
          <w:rFonts w:ascii="Arial" w:cs="Arial" w:eastAsia="Arial" w:hAnsi="Arial"/>
          <w:sz w:val="19"/>
          <w:szCs w:val="19"/>
          <w:color w:val="auto"/>
        </w:rPr>
      </w:pPr>
      <w:r>
        <w:rPr>
          <w:rFonts w:ascii="Arial" w:cs="Arial" w:eastAsia="Arial" w:hAnsi="Arial"/>
          <w:sz w:val="19"/>
          <w:szCs w:val="19"/>
          <w:u w:val="single" w:color="auto"/>
          <w:color w:val="auto"/>
        </w:rPr>
        <w:t>Voluntary Prepayments; Reductions in Commitments</w:t>
      </w:r>
      <w:r>
        <w:rPr>
          <w:rFonts w:ascii="Arial" w:cs="Arial" w:eastAsia="Arial" w:hAnsi="Arial"/>
          <w:sz w:val="19"/>
          <w:szCs w:val="19"/>
          <w:color w:val="auto"/>
        </w:rPr>
        <w:t xml:space="preserve">. Borrowers may prepay the Loans at any time and from time to time without prior notice, and Borrowers may at any time on at least three (3) Business Days’ prior written notice by Borrower Representative to Agent permanently reduce or terminate the Commitment (or the Canadian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prepayments or reductions (not providing for the repayment of the Revolving Loans in full) shall be in a minimum principal amount of $1,000,000 or C$1,000,000, as applicable, or a whole multiple thereof, (ii) the Commitment shall not be reduced to an amount that is less than the amount of the Aggregate Revolving Credit Exposure then outstanding unless such Commitment reduction is accompanied by a prepayment of Loans (and, to the extent necessary, the cash collateralization of Letters of Credit outstanding) necessary to ensure that the Aggregate Revolving Credit Exposure does not exceed the Commitment (as so reduced), (iii) the Canadian Commitment shall not be reduced to an amount that is less than the amount of Canadian Loans then outstanding unless such Canadian Commitment reduction is accompanied by a prepayment of Canadian Loans (and, to the extent necessary, the cash collateralization of Letter of Credit Obligations with respect to Canadian Letters of Credit) necessary to ensure that the Canadian Loans do not</w:t>
      </w:r>
    </w:p>
    <w:p>
      <w:pPr>
        <w:sectPr>
          <w:pgSz w:w="11900" w:h="16838" w:orient="portrait"/>
          <w:cols w:equalWidth="0" w:num="1">
            <w:col w:w="10900"/>
          </w:cols>
          <w:pgMar w:left="660" w:top="1428" w:right="339" w:bottom="1440" w:gutter="0" w:footer="0" w:header="0"/>
        </w:sectPr>
      </w:pPr>
    </w:p>
    <w:bookmarkStart w:id="202" w:name="page203"/>
    <w:bookmarkEnd w:id="202"/>
    <w:p>
      <w:pPr>
        <w:jc w:val="both"/>
        <w:spacing w:after="0" w:line="287" w:lineRule="auto"/>
        <w:rPr>
          <w:sz w:val="20"/>
          <w:szCs w:val="20"/>
          <w:color w:val="auto"/>
        </w:rPr>
      </w:pPr>
      <w:r>
        <w:rPr>
          <w:rFonts w:ascii="Arial" w:cs="Arial" w:eastAsia="Arial" w:hAnsi="Arial"/>
          <w:sz w:val="19"/>
          <w:szCs w:val="19"/>
          <w:color w:val="auto"/>
        </w:rPr>
        <w:t xml:space="preserve">exceed the Canadian Commitment (as so reduced), and (iv) after giving effect to such reductions, Borrowers shall comply with </w:t>
      </w:r>
      <w:r>
        <w:rPr>
          <w:rFonts w:ascii="Arial" w:cs="Arial" w:eastAsia="Arial" w:hAnsi="Arial"/>
          <w:sz w:val="19"/>
          <w:szCs w:val="19"/>
          <w:u w:val="single" w:color="auto"/>
          <w:color w:val="auto"/>
        </w:rPr>
        <w:t>Section 2.3(b)(i)</w:t>
      </w:r>
      <w:r>
        <w:rPr>
          <w:rFonts w:ascii="Arial" w:cs="Arial" w:eastAsia="Arial" w:hAnsi="Arial"/>
          <w:sz w:val="19"/>
          <w:szCs w:val="19"/>
          <w:color w:val="auto"/>
        </w:rPr>
        <w:t xml:space="preserve">. In addition, if Borrowers terminate the Commitment, all Loans and other Obligations shall be immediately due and payable in full and all Letter of Credit Obligations shall be cash collateralized or otherwise satisfied in accordance with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hereto upon the effectiveness of such termination. Any voluntary prepayments applied to a particular Loan shall be applied ratably to the portion thereof held by each Lender as determined by its Pro Rata Share. Any voluntary prepayment and any reduction or termination of the Commitment must be accompanied by the payment of any LIBOR funding breakage costs in accordance with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Upon any such reduction or termination of the Commitment, each Borrower’s right to request Revolving Credit Advances, or request that Letter of Credit Obligations be incurred on its behalf or request Swing Line Advances, shall simultaneously be permanently reduced or terminated, as the case may be. Each notice of partial prepayment shall designate the Loans or other Obligations to which such prepayment is to be applied, and any notice delivered pursuant to this </w:t>
      </w:r>
      <w:r>
        <w:rPr>
          <w:rFonts w:ascii="Arial" w:cs="Arial" w:eastAsia="Arial" w:hAnsi="Arial"/>
          <w:sz w:val="19"/>
          <w:szCs w:val="19"/>
          <w:u w:val="single" w:color="auto"/>
          <w:color w:val="auto"/>
        </w:rPr>
        <w:t>Section 2.3(a)</w:t>
      </w:r>
      <w:r>
        <w:rPr>
          <w:rFonts w:ascii="Arial" w:cs="Arial" w:eastAsia="Arial" w:hAnsi="Arial"/>
          <w:sz w:val="19"/>
          <w:szCs w:val="19"/>
          <w:color w:val="auto"/>
        </w:rPr>
        <w:t xml:space="preserve"> may be conditioned on the occurrence of one or more events described in the applicable notice.</w:t>
      </w:r>
    </w:p>
    <w:p>
      <w:pPr>
        <w:spacing w:after="0" w:line="200" w:lineRule="exact"/>
        <w:rPr>
          <w:sz w:val="20"/>
          <w:szCs w:val="20"/>
          <w:color w:val="auto"/>
        </w:rPr>
      </w:pPr>
    </w:p>
    <w:p>
      <w:pPr>
        <w:spacing w:after="0" w:line="220" w:lineRule="exact"/>
        <w:rPr>
          <w:sz w:val="20"/>
          <w:szCs w:val="20"/>
          <w:color w:val="auto"/>
        </w:rPr>
      </w:pPr>
    </w:p>
    <w:p>
      <w:pPr>
        <w:ind w:left="1600" w:hanging="312"/>
        <w:spacing w:after="0"/>
        <w:tabs>
          <w:tab w:leader="none" w:pos="1600"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Mandatory Prepayments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732"/>
        <w:spacing w:after="0" w:line="263" w:lineRule="auto"/>
        <w:tabs>
          <w:tab w:leader="none" w:pos="2268" w:val="left"/>
        </w:tabs>
        <w:numPr>
          <w:ilvl w:val="1"/>
          <w:numId w:val="112"/>
        </w:numPr>
        <w:rPr>
          <w:rFonts w:ascii="Arial" w:cs="Arial" w:eastAsia="Arial" w:hAnsi="Arial"/>
          <w:sz w:val="21"/>
          <w:szCs w:val="21"/>
          <w:color w:val="auto"/>
        </w:rPr>
      </w:pPr>
      <w:r>
        <w:rPr>
          <w:rFonts w:ascii="Arial" w:cs="Arial" w:eastAsia="Arial" w:hAnsi="Arial"/>
          <w:sz w:val="21"/>
          <w:szCs w:val="21"/>
          <w:color w:val="auto"/>
        </w:rPr>
        <w:t xml:space="preserve">If at any time the outstanding amount of the Aggregate Revolving Credit Exposure exceeds the Available Credit, subject to </w:t>
      </w:r>
      <w:r>
        <w:rPr>
          <w:rFonts w:ascii="Arial" w:cs="Arial" w:eastAsia="Arial" w:hAnsi="Arial"/>
          <w:sz w:val="21"/>
          <w:szCs w:val="21"/>
          <w:u w:val="single" w:color="auto"/>
          <w:color w:val="auto"/>
        </w:rPr>
        <w:t>Section 13.9</w:t>
      </w:r>
      <w:r>
        <w:rPr>
          <w:rFonts w:ascii="Arial" w:cs="Arial" w:eastAsia="Arial" w:hAnsi="Arial"/>
          <w:sz w:val="21"/>
          <w:szCs w:val="21"/>
          <w:color w:val="auto"/>
        </w:rPr>
        <w:t xml:space="preserve">, Borrowers shall immediately repay outstanding Loans to the extent required to eliminate such excess. If any such excess remains after repayment in full of all outstanding Revolving Credit Advances, subject to </w:t>
      </w:r>
      <w:r>
        <w:rPr>
          <w:rFonts w:ascii="Arial" w:cs="Arial" w:eastAsia="Arial" w:hAnsi="Arial"/>
          <w:sz w:val="21"/>
          <w:szCs w:val="21"/>
          <w:u w:val="single" w:color="auto"/>
          <w:color w:val="auto"/>
        </w:rPr>
        <w:t>Section 13.9</w:t>
      </w:r>
      <w:r>
        <w:rPr>
          <w:rFonts w:ascii="Arial" w:cs="Arial" w:eastAsia="Arial" w:hAnsi="Arial"/>
          <w:sz w:val="21"/>
          <w:szCs w:val="21"/>
          <w:color w:val="auto"/>
        </w:rPr>
        <w:t xml:space="preserve">, Borrowers shall provide cash collateral for the Letter of Credit Obligations in the manner set forth in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to the extent required to eliminate such excess.</w:t>
      </w:r>
    </w:p>
    <w:p>
      <w:pPr>
        <w:spacing w:after="0" w:line="175" w:lineRule="exact"/>
        <w:rPr>
          <w:rFonts w:ascii="Arial" w:cs="Arial" w:eastAsia="Arial" w:hAnsi="Arial"/>
          <w:sz w:val="21"/>
          <w:szCs w:val="21"/>
          <w:color w:val="auto"/>
        </w:rPr>
      </w:pPr>
    </w:p>
    <w:p>
      <w:pPr>
        <w:jc w:val="both"/>
        <w:ind w:firstLine="1672"/>
        <w:spacing w:after="0" w:line="247" w:lineRule="auto"/>
        <w:tabs>
          <w:tab w:leader="none" w:pos="2268" w:val="left"/>
        </w:tabs>
        <w:numPr>
          <w:ilvl w:val="1"/>
          <w:numId w:val="112"/>
        </w:numPr>
        <w:rPr>
          <w:rFonts w:ascii="Arial" w:cs="Arial" w:eastAsia="Arial" w:hAnsi="Arial"/>
          <w:sz w:val="22"/>
          <w:szCs w:val="22"/>
          <w:color w:val="auto"/>
        </w:rPr>
      </w:pPr>
      <w:r>
        <w:rPr>
          <w:rFonts w:ascii="Arial" w:cs="Arial" w:eastAsia="Arial" w:hAnsi="Arial"/>
          <w:sz w:val="22"/>
          <w:szCs w:val="22"/>
          <w:color w:val="auto"/>
        </w:rPr>
        <w:t xml:space="preserve">If at any time the outstanding amount of the U.S. Loans exceeds the U.S. Available Credit, U.S. Borrowers shall immediately repay outstanding Revolving Credit Advances and Swing Line Loans made to the U.S. Borrowers to the extent required to eliminate such excess. If any such excess remains after repayment in full of all outstanding Revolving Credit Advances and Swing Line Loans made to the U.S. Borrowers, U.S. Borrowers shall provide cash collateral for the Letter of Credit Obligations in the manner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to the extent required to eliminate such excess.</w:t>
      </w:r>
    </w:p>
    <w:p>
      <w:pPr>
        <w:spacing w:after="0" w:line="192" w:lineRule="exact"/>
        <w:rPr>
          <w:rFonts w:ascii="Arial" w:cs="Arial" w:eastAsia="Arial" w:hAnsi="Arial"/>
          <w:sz w:val="22"/>
          <w:szCs w:val="22"/>
          <w:color w:val="auto"/>
        </w:rPr>
      </w:pPr>
    </w:p>
    <w:p>
      <w:pPr>
        <w:jc w:val="both"/>
        <w:ind w:firstLine="1612"/>
        <w:spacing w:after="0" w:line="297" w:lineRule="auto"/>
        <w:tabs>
          <w:tab w:leader="none" w:pos="2268" w:val="left"/>
        </w:tabs>
        <w:numPr>
          <w:ilvl w:val="1"/>
          <w:numId w:val="112"/>
        </w:numPr>
        <w:rPr>
          <w:rFonts w:ascii="Arial" w:cs="Arial" w:eastAsia="Arial" w:hAnsi="Arial"/>
          <w:sz w:val="19"/>
          <w:szCs w:val="19"/>
          <w:color w:val="auto"/>
        </w:rPr>
      </w:pPr>
      <w:r>
        <w:rPr>
          <w:rFonts w:ascii="Arial" w:cs="Arial" w:eastAsia="Arial" w:hAnsi="Arial"/>
          <w:sz w:val="19"/>
          <w:szCs w:val="19"/>
          <w:color w:val="auto"/>
        </w:rPr>
        <w:t xml:space="preserve">If any time the outstanding amount of the Canadian Loans exceeds the Canadian Available Credit, Borrowers shall immediately repay outstanding Revolving Credit Advances made to the Canadian Borrowers to the extent required to eliminate such excess. If any such excess remains after repayment in full of all outstanding Revolving Credit Advances made to the Canadian Borrowers, Borrower shall provide cash collateral for the Canadian Borrowers’ Letter of Credit Obligations in the manner set forth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to the extent required to eliminate such excess.</w:t>
      </w:r>
    </w:p>
    <w:p>
      <w:pPr>
        <w:spacing w:after="0" w:line="146" w:lineRule="exact"/>
        <w:rPr>
          <w:rFonts w:ascii="Arial" w:cs="Arial" w:eastAsia="Arial" w:hAnsi="Arial"/>
          <w:sz w:val="19"/>
          <w:szCs w:val="19"/>
          <w:color w:val="auto"/>
        </w:rPr>
      </w:pPr>
    </w:p>
    <w:p>
      <w:pPr>
        <w:jc w:val="both"/>
        <w:ind w:right="20" w:firstLine="1624"/>
        <w:spacing w:after="0" w:line="253" w:lineRule="auto"/>
        <w:tabs>
          <w:tab w:leader="none" w:pos="2268" w:val="left"/>
        </w:tabs>
        <w:numPr>
          <w:ilvl w:val="1"/>
          <w:numId w:val="112"/>
        </w:numPr>
        <w:rPr>
          <w:rFonts w:ascii="Arial" w:cs="Arial" w:eastAsia="Arial" w:hAnsi="Arial"/>
          <w:sz w:val="22"/>
          <w:szCs w:val="22"/>
          <w:color w:val="auto"/>
        </w:rPr>
      </w:pPr>
      <w:r>
        <w:rPr>
          <w:rFonts w:ascii="Arial" w:cs="Arial" w:eastAsia="Arial" w:hAnsi="Arial"/>
          <w:sz w:val="22"/>
          <w:szCs w:val="22"/>
          <w:color w:val="auto"/>
        </w:rPr>
        <w:t>Upon the occurrence of a Cash Dominion Period, and on each Business Day (or on such other dates and with such frequency as Agent and the related Relationship Bank may agree in the related deposit account control agreement between them)</w:t>
      </w:r>
    </w:p>
    <w:p>
      <w:pPr>
        <w:sectPr>
          <w:pgSz w:w="11900" w:h="16838" w:orient="portrait"/>
          <w:cols w:equalWidth="0" w:num="1">
            <w:col w:w="10900"/>
          </w:cols>
          <w:pgMar w:left="660" w:top="1428" w:right="339" w:bottom="1440" w:gutter="0" w:footer="0" w:header="0"/>
        </w:sectPr>
      </w:pPr>
    </w:p>
    <w:bookmarkStart w:id="203" w:name="page204"/>
    <w:bookmarkEnd w:id="203"/>
    <w:p>
      <w:pPr>
        <w:jc w:val="both"/>
        <w:spacing w:after="0" w:line="253" w:lineRule="auto"/>
        <w:rPr>
          <w:sz w:val="20"/>
          <w:szCs w:val="20"/>
          <w:color w:val="auto"/>
        </w:rPr>
      </w:pPr>
      <w:r>
        <w:rPr>
          <w:rFonts w:ascii="Arial" w:cs="Arial" w:eastAsia="Arial" w:hAnsi="Arial"/>
          <w:sz w:val="22"/>
          <w:szCs w:val="22"/>
          <w:color w:val="auto"/>
        </w:rPr>
        <w:t>during the continuation of a Cash Dominion Period, all amounts on deposit in any Blocked Account shall be delivered to Agent to prepay the outstanding Loans and to cash collateralize all Letters of Credit in an amount equal to all such amounts on deposit.</w:t>
      </w:r>
    </w:p>
    <w:p>
      <w:pPr>
        <w:spacing w:after="0" w:line="185" w:lineRule="exact"/>
        <w:rPr>
          <w:sz w:val="20"/>
          <w:szCs w:val="20"/>
          <w:color w:val="auto"/>
        </w:rPr>
      </w:pPr>
    </w:p>
    <w:p>
      <w:pPr>
        <w:jc w:val="both"/>
        <w:ind w:firstLine="1288"/>
        <w:spacing w:after="0" w:line="287" w:lineRule="auto"/>
        <w:tabs>
          <w:tab w:leader="none" w:pos="1617"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Application of Certain Mandatory Prepayments</w:t>
      </w:r>
      <w:r>
        <w:rPr>
          <w:rFonts w:ascii="Arial" w:cs="Arial" w:eastAsia="Arial" w:hAnsi="Arial"/>
          <w:sz w:val="19"/>
          <w:szCs w:val="19"/>
          <w:color w:val="auto"/>
        </w:rPr>
        <w:t xml:space="preserve">. Any prepayments made by any Borrower pursuant to </w:t>
      </w:r>
      <w:r>
        <w:rPr>
          <w:rFonts w:ascii="Arial" w:cs="Arial" w:eastAsia="Arial" w:hAnsi="Arial"/>
          <w:sz w:val="19"/>
          <w:szCs w:val="19"/>
          <w:u w:val="single" w:color="auto"/>
          <w:color w:val="auto"/>
        </w:rPr>
        <w:t>Section 2.3(b)</w:t>
      </w:r>
      <w:r>
        <w:rPr>
          <w:rFonts w:ascii="Arial" w:cs="Arial" w:eastAsia="Arial" w:hAnsi="Arial"/>
          <w:sz w:val="19"/>
          <w:szCs w:val="19"/>
          <w:color w:val="auto"/>
        </w:rPr>
        <w:t xml:space="preserve"> above shall be applied as follows: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reasonable fees and reimbursable expenses of Agent and Co-Collateral Agents then due and payable pursuant to any of the Loan Documents;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prepayment of the Swing Line Advances until paid in full;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prepayment of the Revolving Credit Advances until paid in full;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if any Event of Default has occurred and is continuing, at Agent’s election, to cash collateralize outstanding Letter of Credit Obligations pursuant to </w:t>
      </w:r>
      <w:r>
        <w:rPr>
          <w:rFonts w:ascii="Arial" w:cs="Arial" w:eastAsia="Arial" w:hAnsi="Arial"/>
          <w:sz w:val="19"/>
          <w:szCs w:val="19"/>
          <w:u w:val="single" w:color="auto"/>
          <w:color w:val="auto"/>
        </w:rPr>
        <w:t>Section 2.2(c)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fifth</w:t>
      </w:r>
      <w:r>
        <w:rPr>
          <w:rFonts w:ascii="Arial" w:cs="Arial" w:eastAsia="Arial" w:hAnsi="Arial"/>
          <w:sz w:val="19"/>
          <w:szCs w:val="19"/>
          <w:color w:val="auto"/>
        </w:rPr>
        <w:t xml:space="preserve">, if no Event of Default has occurred and is continuing, as Borrower Representative may direct. The Commitment and the Swing Line Commitment shall not be permanently reduced by the amount of any prepayments made by Borrowers to the extent applied pursuant to clauses second or third above. The application of any such prepayment to the Revolving Credit Advances shall be made, first, to Base Rate Loans and, second, to LIBOR Loans. Each prepayment of Loans under </w:t>
      </w:r>
      <w:r>
        <w:rPr>
          <w:rFonts w:ascii="Arial" w:cs="Arial" w:eastAsia="Arial" w:hAnsi="Arial"/>
          <w:sz w:val="19"/>
          <w:szCs w:val="19"/>
          <w:u w:val="single" w:color="auto"/>
          <w:color w:val="auto"/>
        </w:rPr>
        <w:t>Section 2.3(b)(iv)</w:t>
      </w:r>
      <w:r>
        <w:rPr>
          <w:rFonts w:ascii="Arial" w:cs="Arial" w:eastAsia="Arial" w:hAnsi="Arial"/>
          <w:sz w:val="19"/>
          <w:szCs w:val="19"/>
          <w:color w:val="auto"/>
        </w:rPr>
        <w:t xml:space="preserve"> when an Event of Default has occurred and is continuing shall be accompanied by accrued and unpaid interest to the date of such prepayment on the amount prepaid.</w:t>
      </w:r>
    </w:p>
    <w:p>
      <w:pPr>
        <w:spacing w:after="0" w:line="163" w:lineRule="exact"/>
        <w:rPr>
          <w:rFonts w:ascii="Arial" w:cs="Arial" w:eastAsia="Arial" w:hAnsi="Arial"/>
          <w:sz w:val="19"/>
          <w:szCs w:val="19"/>
          <w:color w:val="auto"/>
        </w:rPr>
      </w:pPr>
    </w:p>
    <w:p>
      <w:pPr>
        <w:ind w:firstLine="1288"/>
        <w:spacing w:after="0" w:line="343" w:lineRule="auto"/>
        <w:tabs>
          <w:tab w:leader="none" w:pos="1615"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No Implied Consent</w:t>
      </w:r>
      <w:r>
        <w:rPr>
          <w:rFonts w:ascii="Arial" w:cs="Arial" w:eastAsia="Arial" w:hAnsi="Arial"/>
          <w:sz w:val="19"/>
          <w:szCs w:val="19"/>
          <w:color w:val="auto"/>
        </w:rPr>
        <w:t xml:space="preserve">. Nothing in this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shall be construed to constitute Agent’s or any Lender’s consent to any transaction that is not permitted by other provisions of this Agreement or the other Loan Documents.</w:t>
      </w:r>
    </w:p>
    <w:p>
      <w:pPr>
        <w:spacing w:after="0" w:line="104" w:lineRule="exact"/>
        <w:rPr>
          <w:rFonts w:ascii="Arial" w:cs="Arial" w:eastAsia="Arial" w:hAnsi="Arial"/>
          <w:sz w:val="19"/>
          <w:szCs w:val="19"/>
          <w:color w:val="auto"/>
        </w:rPr>
      </w:pPr>
    </w:p>
    <w:p>
      <w:pPr>
        <w:jc w:val="both"/>
        <w:ind w:firstLine="1288"/>
        <w:spacing w:after="0" w:line="286" w:lineRule="auto"/>
        <w:tabs>
          <w:tab w:leader="none" w:pos="1617"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L/C Reimbursement</w:t>
      </w:r>
      <w:r>
        <w:rPr>
          <w:rFonts w:ascii="Arial" w:cs="Arial" w:eastAsia="Arial" w:hAnsi="Arial"/>
          <w:sz w:val="19"/>
          <w:szCs w:val="19"/>
          <w:color w:val="auto"/>
        </w:rPr>
        <w:t xml:space="preserve">. If any L/C Issuer shall make any payments made in respect of a Letter of Credit, Borrowers shall reimburse such payments by paying to Agent an amount equal to such payment not later than 2:00 p.m., New York City time, on the date that such payment is made, if Parent Borrower shall have received notice of such payment prior to 10:00 a.m., New York City time, on such date, or, if such notice has not been received by Parent Borrower prior to such time on such date, then not later than 2:00 p.m., New York City time, on the Business Day immediately following the day that Parent Borrower receives such notice. If Parent Borrower fails to make such payment when due, Agent shall notify each Lender of the applicable payment, the payment then due from Borrowers in respect thereof and such Lender's Pro Rata Share thereof. Promptly following receipt of such notice, each Lender shall pay to Agent its Pro Rata Share of the payment then due from Borrowers, in the same manner as provided in </w:t>
      </w:r>
      <w:r>
        <w:rPr>
          <w:rFonts w:ascii="Arial" w:cs="Arial" w:eastAsia="Arial" w:hAnsi="Arial"/>
          <w:sz w:val="19"/>
          <w:szCs w:val="19"/>
          <w:u w:val="single" w:color="auto"/>
          <w:color w:val="auto"/>
        </w:rPr>
        <w:t>Section 10.8</w:t>
      </w:r>
      <w:r>
        <w:rPr>
          <w:rFonts w:ascii="Arial" w:cs="Arial" w:eastAsia="Arial" w:hAnsi="Arial"/>
          <w:sz w:val="19"/>
          <w:szCs w:val="19"/>
          <w:color w:val="auto"/>
        </w:rPr>
        <w:t xml:space="preserve"> with respect to Loans made by such Lender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10.8</w:t>
      </w:r>
      <w:r>
        <w:rPr>
          <w:rFonts w:ascii="Arial" w:cs="Arial" w:eastAsia="Arial" w:hAnsi="Arial"/>
          <w:sz w:val="19"/>
          <w:szCs w:val="19"/>
          <w:color w:val="auto"/>
        </w:rPr>
        <w:t xml:space="preserve"> shall apply, </w:t>
      </w:r>
      <w:r>
        <w:rPr>
          <w:rFonts w:ascii="Arial" w:cs="Arial" w:eastAsia="Arial" w:hAnsi="Arial"/>
          <w:sz w:val="19"/>
          <w:szCs w:val="19"/>
          <w:i w:val="1"/>
          <w:iCs w:val="1"/>
          <w:color w:val="auto"/>
        </w:rPr>
        <w:t>mutatis mutandis</w:t>
      </w:r>
      <w:r>
        <w:rPr>
          <w:rFonts w:ascii="Arial" w:cs="Arial" w:eastAsia="Arial" w:hAnsi="Arial"/>
          <w:sz w:val="19"/>
          <w:szCs w:val="19"/>
          <w:color w:val="auto"/>
        </w:rPr>
        <w:t>, to the payment obligations of the Lenders), and Agent shall promptly pay to the applicable L/C Issuer the amounts so received by it from the Lenders. Promptly following receipt by Agent of any payment from Borrowers pursuant to this paragraph, Agent shall distribute such payment to the applicable L/C Issuer or, to the extent that Lenders have made payments pursuant to this paragraph to reimburse the applicable L/C Issuer, then to such Lenders and the applicable L/C Issuer as their interests may appear. Any payment made by a Lender pursuant to this paragraph to reimburse the applicable L/C Issuer for any payments made in respect of a Letter of Credit shall not</w:t>
      </w:r>
    </w:p>
    <w:p>
      <w:pPr>
        <w:sectPr>
          <w:pgSz w:w="11900" w:h="16838" w:orient="portrait"/>
          <w:cols w:equalWidth="0" w:num="1">
            <w:col w:w="10900"/>
          </w:cols>
          <w:pgMar w:left="660" w:top="1428" w:right="339" w:bottom="1440" w:gutter="0" w:footer="0" w:header="0"/>
        </w:sectPr>
      </w:pPr>
    </w:p>
    <w:bookmarkStart w:id="204" w:name="page205"/>
    <w:bookmarkEnd w:id="204"/>
    <w:p>
      <w:pPr>
        <w:ind w:left="340"/>
        <w:spacing w:after="0"/>
        <w:rPr>
          <w:sz w:val="20"/>
          <w:szCs w:val="20"/>
          <w:color w:val="auto"/>
        </w:rPr>
      </w:pPr>
      <w:r>
        <w:rPr>
          <w:rFonts w:ascii="Arial" w:cs="Arial" w:eastAsia="Arial" w:hAnsi="Arial"/>
          <w:sz w:val="22"/>
          <w:szCs w:val="22"/>
          <w:color w:val="auto"/>
        </w:rPr>
        <w:t>constitute a Loan and shall not relieve Borrowers of their obligation to reimburse such payment.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Use of Proceeds</w:t>
      </w:r>
      <w:r>
        <w:rPr>
          <w:rFonts w:ascii="Arial" w:cs="Arial" w:eastAsia="Arial" w:hAnsi="Arial"/>
          <w:sz w:val="22"/>
          <w:szCs w:val="22"/>
          <w:color w:val="auto"/>
        </w:rPr>
        <w:t>. Borrowers shall utilize the proceeds of the Loans (a) to provide working capital from time to time for Borrowers and their respective Subsidiaries, and (b) for other general corporate purposes, including investments and acquisitions not prohibited hereunder.</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u w:val="single" w:color="auto"/>
          <w:color w:val="auto"/>
        </w:rPr>
        <w:t>Interest; Applicable Margins</w:t>
      </w:r>
      <w:r>
        <w:rPr>
          <w:rFonts w:ascii="Arial" w:cs="Arial" w:eastAsia="Arial" w:hAnsi="Arial"/>
          <w:sz w:val="19"/>
          <w:szCs w:val="19"/>
          <w:color w:val="auto"/>
        </w:rPr>
        <w:t>.</w:t>
      </w:r>
    </w:p>
    <w:p>
      <w:pPr>
        <w:spacing w:after="0" w:line="220" w:lineRule="exact"/>
        <w:rPr>
          <w:sz w:val="20"/>
          <w:szCs w:val="20"/>
          <w:color w:val="auto"/>
        </w:rPr>
      </w:pPr>
    </w:p>
    <w:p>
      <w:pPr>
        <w:ind w:left="340" w:firstLine="1288"/>
        <w:spacing w:after="0" w:line="263" w:lineRule="auto"/>
        <w:tabs>
          <w:tab w:leader="none" w:pos="195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Borrowers shall pay interest to Agent, for the ratable benefit of Lenders, in arrears on each applicable Interest Payment Date, at the following rates of interest on the unpaid principal amount of each:</w:t>
      </w:r>
    </w:p>
    <w:p>
      <w:pPr>
        <w:spacing w:after="0" w:line="174" w:lineRule="exact"/>
        <w:rPr>
          <w:rFonts w:ascii="Arial" w:cs="Arial" w:eastAsia="Arial" w:hAnsi="Arial"/>
          <w:sz w:val="22"/>
          <w:szCs w:val="22"/>
          <w:color w:val="auto"/>
        </w:rPr>
      </w:pPr>
    </w:p>
    <w:p>
      <w:pPr>
        <w:jc w:val="both"/>
        <w:ind w:left="340" w:firstLine="1732"/>
        <w:spacing w:after="0" w:line="253" w:lineRule="auto"/>
        <w:tabs>
          <w:tab w:leader="none" w:pos="2608" w:val="left"/>
        </w:tabs>
        <w:numPr>
          <w:ilvl w:val="1"/>
          <w:numId w:val="114"/>
        </w:numPr>
        <w:rPr>
          <w:rFonts w:ascii="Arial" w:cs="Arial" w:eastAsia="Arial" w:hAnsi="Arial"/>
          <w:sz w:val="22"/>
          <w:szCs w:val="22"/>
          <w:color w:val="auto"/>
        </w:rPr>
      </w:pPr>
      <w:r>
        <w:rPr>
          <w:rFonts w:ascii="Arial" w:cs="Arial" w:eastAsia="Arial" w:hAnsi="Arial"/>
          <w:sz w:val="22"/>
          <w:szCs w:val="22"/>
          <w:color w:val="auto"/>
        </w:rPr>
        <w:t xml:space="preserve">Base Rate Loan made to Borrowers at the (x) Base Rate, with respect to Base Rate Loans made in Dollars,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Base Rate Margin and (y) Canadian Base Rate, with respect to Canadian Base Rate Loans made in Canadian Dollars,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Base Rate Margin.</w:t>
      </w:r>
    </w:p>
    <w:p>
      <w:pPr>
        <w:spacing w:after="0" w:line="185" w:lineRule="exact"/>
        <w:rPr>
          <w:rFonts w:ascii="Arial" w:cs="Arial" w:eastAsia="Arial" w:hAnsi="Arial"/>
          <w:sz w:val="22"/>
          <w:szCs w:val="22"/>
          <w:color w:val="auto"/>
        </w:rPr>
      </w:pPr>
    </w:p>
    <w:p>
      <w:pPr>
        <w:jc w:val="both"/>
        <w:ind w:left="340" w:firstLine="1672"/>
        <w:spacing w:after="0" w:line="253" w:lineRule="auto"/>
        <w:tabs>
          <w:tab w:leader="none" w:pos="2608" w:val="left"/>
        </w:tabs>
        <w:numPr>
          <w:ilvl w:val="1"/>
          <w:numId w:val="114"/>
        </w:numPr>
        <w:rPr>
          <w:rFonts w:ascii="Arial" w:cs="Arial" w:eastAsia="Arial" w:hAnsi="Arial"/>
          <w:sz w:val="22"/>
          <w:szCs w:val="22"/>
          <w:color w:val="auto"/>
        </w:rPr>
      </w:pPr>
      <w:r>
        <w:rPr>
          <w:rFonts w:ascii="Arial" w:cs="Arial" w:eastAsia="Arial" w:hAnsi="Arial"/>
          <w:sz w:val="22"/>
          <w:szCs w:val="22"/>
          <w:color w:val="auto"/>
        </w:rPr>
        <w:t xml:space="preserve">LIBOR Loans at the (x) LIBOR Rate, with respect to LIBOR Loans denominated in Dollars,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LIBOR Margin and (y) BA Rate, with respect to LIBOR Loans denominated in Canadian Dollars,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LIBOR Margin.</w:t>
      </w:r>
    </w:p>
    <w:p>
      <w:pPr>
        <w:spacing w:after="0" w:line="185" w:lineRule="exact"/>
        <w:rPr>
          <w:rFonts w:ascii="Arial" w:cs="Arial" w:eastAsia="Arial" w:hAnsi="Arial"/>
          <w:sz w:val="22"/>
          <w:szCs w:val="22"/>
          <w:color w:val="auto"/>
        </w:rPr>
      </w:pPr>
    </w:p>
    <w:p>
      <w:pPr>
        <w:jc w:val="both"/>
        <w:ind w:left="340" w:firstLine="1288"/>
        <w:spacing w:after="0" w:line="312" w:lineRule="auto"/>
        <w:tabs>
          <w:tab w:leader="none" w:pos="195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If any payment on any Loan becomes due and payable on a day other than a Business Day, the maturity thereof will be extended to the next succeeding Business Day (except as set forth in the definition of LIBOR Period), and, with respect to payments of principal, interest thereon shall be payable at the then applicable rate during such extension.</w:t>
      </w:r>
    </w:p>
    <w:p>
      <w:pPr>
        <w:spacing w:after="0" w:line="133" w:lineRule="exact"/>
        <w:rPr>
          <w:rFonts w:ascii="Arial" w:cs="Arial" w:eastAsia="Arial" w:hAnsi="Arial"/>
          <w:sz w:val="19"/>
          <w:szCs w:val="19"/>
          <w:color w:val="auto"/>
        </w:rPr>
      </w:pPr>
    </w:p>
    <w:p>
      <w:pPr>
        <w:jc w:val="both"/>
        <w:ind w:left="340" w:firstLine="1288"/>
        <w:spacing w:after="0" w:line="259" w:lineRule="auto"/>
        <w:tabs>
          <w:tab w:leader="none" w:pos="1957" w:val="left"/>
        </w:tabs>
        <w:numPr>
          <w:ilvl w:val="0"/>
          <w:numId w:val="114"/>
        </w:numPr>
        <w:rPr>
          <w:rFonts w:ascii="Arial" w:cs="Arial" w:eastAsia="Arial" w:hAnsi="Arial"/>
          <w:sz w:val="21"/>
          <w:szCs w:val="21"/>
          <w:color w:val="auto"/>
        </w:rPr>
      </w:pPr>
      <w:r>
        <w:rPr>
          <w:rFonts w:ascii="Arial" w:cs="Arial" w:eastAsia="Arial" w:hAnsi="Arial"/>
          <w:sz w:val="21"/>
          <w:szCs w:val="21"/>
          <w:color w:val="auto"/>
        </w:rPr>
        <w:t>All computations of Fees are calculated on a per annum basis and interest shall be made by Agent on the basis of a 360-day year, in each case for the actual number of days occurring in the period for which such interest and Fees are payable, except that with respect to Base Rate Loans and LIBOR Loans made at the BA Rate based on the prime or base commercial lending rate the interest thereon shall be calculated on the basis of a 365- (or 366-, as the case may be) day year for the actual days elapsed. The (a) Base Rate, with respect to Base Rate Loans made in Dollars, and (b) Canadian Base Rate, with respect to Canadian Base Rate Loans made in Canadian Dollars, is a floating rate determined for each day. Each determination by Agent of an interest rate and Fees hereunder shall be presumptive evidence of the correctness of such rates and Fees.</w:t>
      </w:r>
    </w:p>
    <w:p>
      <w:pPr>
        <w:spacing w:after="0" w:line="183" w:lineRule="exact"/>
        <w:rPr>
          <w:rFonts w:ascii="Arial" w:cs="Arial" w:eastAsia="Arial" w:hAnsi="Arial"/>
          <w:sz w:val="21"/>
          <w:szCs w:val="21"/>
          <w:color w:val="auto"/>
        </w:rPr>
      </w:pPr>
    </w:p>
    <w:p>
      <w:pPr>
        <w:jc w:val="both"/>
        <w:ind w:left="340" w:firstLine="1288"/>
        <w:spacing w:after="0" w:line="265" w:lineRule="auto"/>
        <w:tabs>
          <w:tab w:leader="none" w:pos="1955" w:val="left"/>
        </w:tabs>
        <w:numPr>
          <w:ilvl w:val="0"/>
          <w:numId w:val="114"/>
        </w:numPr>
        <w:rPr>
          <w:rFonts w:ascii="Arial" w:cs="Arial" w:eastAsia="Arial" w:hAnsi="Arial"/>
          <w:sz w:val="21"/>
          <w:szCs w:val="21"/>
          <w:color w:val="auto"/>
        </w:rPr>
      </w:pPr>
      <w:r>
        <w:rPr>
          <w:rFonts w:ascii="Arial" w:cs="Arial" w:eastAsia="Arial" w:hAnsi="Arial"/>
          <w:sz w:val="21"/>
          <w:szCs w:val="21"/>
          <w:color w:val="auto"/>
        </w:rPr>
        <w:t>All overdue amounts not paid when due hereunder shall bear interest in an amount equal to two percentage points (2.00%) per annum above the rates of interest or the rate of such Fees otherwise applicable hereunder unless Agent and Requisite Lenders elect to impose a smaller increase (the “</w:t>
      </w:r>
      <w:r>
        <w:rPr>
          <w:rFonts w:ascii="Arial" w:cs="Arial" w:eastAsia="Arial" w:hAnsi="Arial"/>
          <w:sz w:val="21"/>
          <w:szCs w:val="21"/>
          <w:u w:val="single" w:color="auto"/>
          <w:color w:val="auto"/>
        </w:rPr>
        <w:t>Default Rate</w:t>
      </w:r>
      <w:r>
        <w:rPr>
          <w:rFonts w:ascii="Arial" w:cs="Arial" w:eastAsia="Arial" w:hAnsi="Arial"/>
          <w:sz w:val="21"/>
          <w:szCs w:val="21"/>
          <w:color w:val="auto"/>
        </w:rPr>
        <w:t>”), accruing from the initial date of such non-payment until such payment is made and shall be payable upon demand.</w:t>
      </w:r>
    </w:p>
    <w:p>
      <w:pPr>
        <w:sectPr>
          <w:pgSz w:w="11900" w:h="16838" w:orient="portrait"/>
          <w:cols w:equalWidth="0" w:num="1">
            <w:col w:w="11240"/>
          </w:cols>
          <w:pgMar w:left="320" w:top="1428" w:right="339" w:bottom="1440" w:gutter="0" w:footer="0" w:header="0"/>
        </w:sectPr>
      </w:pPr>
    </w:p>
    <w:bookmarkStart w:id="205" w:name="page206"/>
    <w:bookmarkEnd w:id="205"/>
    <w:p>
      <w:pPr>
        <w:jc w:val="both"/>
        <w:ind w:left="-780" w:firstLine="1288"/>
        <w:spacing w:after="0" w:line="284" w:lineRule="auto"/>
        <w:tabs>
          <w:tab w:leader="none" w:pos="837"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Borrower Representative shall have the option to (i) request that any Revolving Credit Advance be made as a LIBOR Loan or a Base Rate Loan, (ii) convert at any time all or any part of outstanding Loans (other than the Swing Line Loan) from Base Rate Loans to LIBOR Loans, (iii) convert any LIBOR Loan to a Base Rate Loan and subject to payment of LIBOR breakage costs in accordance with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if such conversion is made prior to the expiration of the LIBOR Period applicable thereto, or (iv) continue all or any portion of any Loan (other than the Swing Line Loan) as a LIBOR Loan upon the expiration of the applicable LIBOR Period and the succeeding LIBOR Period of that continued Loan shall commence on the first day after the last day of the LIBOR Period of the Loan to be continued;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Revolving Credit Advance shall be converted to, or continued at the end of the LIBOR Period applicable thereto as a LIBOR Loan for a LIBOR Period of longer than one (1) month if any Event of Default has occurred and is continuing. Any Loan or group of Loans having the same proposed LIBOR Period to be made or continued as, or converted into, a LIBOR Loan must be in a minimum amount (i) with respect to LIBOR Loans denominated in Dollars, of $5,000,000 and integral multiples of $1,000,000 in excess of such amount and (ii) with respect to LIBOR Loans denominated in Canadian Dollars, of C$5,000,000 and integral multiples of C$1,000,000 in excess of such amount. Any such election must be made by 11:00 a.m. (New York time) on the third Business Day prior to (1) the date of any proposed Advance which is to bear interest at the (x) LIBOR Rate, with respect to LIBOR Loans denominated in Dollars and (y) BA Rate, with respect to LIBOR Loans denominated in Canadian Dollars, (2) the end of each LIBOR Period with respect to any LIBOR Loans to be continued as such, or (3) the date on which Borrower Representative wishes to convert any Base Rate Loan to a LIBOR Loan for a LIBOR Period designated by Borrower Representative in such election. If no election is received with respect to a LIBOR Loan by 11:00 a.m. (New York time) on the third Business Day prior to the end of the LIBOR Period with respect thereto (or if an Event of Default has occurred and is continuing), that LIBOR Loan shall be converted to a LIBOR Loan with a LIBOR Period of one (1) month at the end of its LIBOR Period. Borrower Representative must make such election by notice to Agent in writing, by fax or overnight courier. In the case of any conversion or continuation, such election must be made pursuant to a written notice (a “</w:t>
      </w:r>
      <w:r>
        <w:rPr>
          <w:rFonts w:ascii="Arial" w:cs="Arial" w:eastAsia="Arial" w:hAnsi="Arial"/>
          <w:sz w:val="19"/>
          <w:szCs w:val="19"/>
          <w:u w:val="single" w:color="auto"/>
          <w:color w:val="auto"/>
        </w:rPr>
        <w:t>Notice of Conversion/Continuation</w:t>
      </w:r>
      <w:r>
        <w:rPr>
          <w:rFonts w:ascii="Arial" w:cs="Arial" w:eastAsia="Arial" w:hAnsi="Arial"/>
          <w:sz w:val="19"/>
          <w:szCs w:val="19"/>
          <w:color w:val="auto"/>
        </w:rPr>
        <w:t xml:space="preserve">”) in the form of </w:t>
      </w:r>
      <w:r>
        <w:rPr>
          <w:rFonts w:ascii="Arial" w:cs="Arial" w:eastAsia="Arial" w:hAnsi="Arial"/>
          <w:sz w:val="19"/>
          <w:szCs w:val="19"/>
          <w:u w:val="single" w:color="auto"/>
          <w:color w:val="auto"/>
        </w:rPr>
        <w:t>Exhibit 2.5(e)</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left="-780" w:firstLine="1288"/>
        <w:spacing w:after="0" w:line="288" w:lineRule="auto"/>
        <w:tabs>
          <w:tab w:leader="none" w:pos="84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Anything herein to the contrary notwithstanding, the obligations of Borrowers hereunder shall be subject to the limitation that payments of interest shall not be required, for any period for which interest is computed hereunder, to the extent (but only to the extent) that contracting for or receiving such payment by the respective Lender would be contrary to the provisions of any law applicable to such Lender (including, without limitation, Criminal Code (Canada)) limiting the highest rate of interest which may be lawfully contracted for, charged or received by such Lender, and in such event Borrowers shall pay such Lender interest at the highest rate permitted by applicable law (the “</w:t>
      </w:r>
      <w:r>
        <w:rPr>
          <w:rFonts w:ascii="Arial" w:cs="Arial" w:eastAsia="Arial" w:hAnsi="Arial"/>
          <w:sz w:val="19"/>
          <w:szCs w:val="19"/>
          <w:u w:val="single" w:color="auto"/>
          <w:color w:val="auto"/>
        </w:rPr>
        <w:t>Maximum Lawful Rate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at any time thereafter the rate of interest payable hereunder is less than the Maximum Lawful Rate, Borrowers shall continue to pay interest hereunder at the Maximum Lawful Rate until such time as the total interest received by Agent, on behalf of Lenders, is equal to the total interest that would have been received had the interest rate payable hereunder been (but for the operation of this paragraph) the interest</w:t>
      </w:r>
    </w:p>
    <w:p>
      <w:pPr>
        <w:sectPr>
          <w:pgSz w:w="11900" w:h="16838" w:orient="portrait"/>
          <w:cols w:equalWidth="0" w:num="1">
            <w:col w:w="10120"/>
          </w:cols>
          <w:pgMar w:left="1440" w:top="1428" w:right="339" w:bottom="1440" w:gutter="0" w:footer="0" w:header="0"/>
        </w:sectPr>
      </w:pPr>
    </w:p>
    <w:bookmarkStart w:id="206" w:name="page207"/>
    <w:bookmarkEnd w:id="206"/>
    <w:p>
      <w:pPr>
        <w:jc w:val="both"/>
        <w:ind w:left="340"/>
        <w:spacing w:after="0" w:line="258" w:lineRule="auto"/>
        <w:rPr>
          <w:sz w:val="20"/>
          <w:szCs w:val="20"/>
          <w:color w:val="auto"/>
        </w:rPr>
      </w:pPr>
      <w:r>
        <w:rPr>
          <w:rFonts w:ascii="Arial" w:cs="Arial" w:eastAsia="Arial" w:hAnsi="Arial"/>
          <w:sz w:val="21"/>
          <w:szCs w:val="21"/>
          <w:color w:val="auto"/>
        </w:rPr>
        <w:t xml:space="preserve">rate payable since the Amendment No. 3 Effective Date as otherwise provided in this Agreement. Thereafter, interest hereunder shall be paid at the rate(s) of interest and in the manner provided in </w:t>
      </w:r>
      <w:r>
        <w:rPr>
          <w:rFonts w:ascii="Arial" w:cs="Arial" w:eastAsia="Arial" w:hAnsi="Arial"/>
          <w:sz w:val="21"/>
          <w:szCs w:val="21"/>
          <w:u w:val="single" w:color="auto"/>
          <w:color w:val="auto"/>
        </w:rPr>
        <w:t>Sections 2.5(a)</w:t>
      </w:r>
      <w:r>
        <w:rPr>
          <w:rFonts w:ascii="Arial" w:cs="Arial" w:eastAsia="Arial" w:hAnsi="Arial"/>
          <w:sz w:val="21"/>
          <w:szCs w:val="21"/>
          <w:color w:val="auto"/>
        </w:rPr>
        <w:t xml:space="preserve"> through </w:t>
      </w:r>
      <w:r>
        <w:rPr>
          <w:rFonts w:ascii="Arial" w:cs="Arial" w:eastAsia="Arial" w:hAnsi="Arial"/>
          <w:sz w:val="21"/>
          <w:szCs w:val="21"/>
          <w:u w:val="single" w:color="auto"/>
          <w:color w:val="auto"/>
        </w:rPr>
        <w:t>(e)</w:t>
      </w:r>
      <w:r>
        <w:rPr>
          <w:rFonts w:ascii="Arial" w:cs="Arial" w:eastAsia="Arial" w:hAnsi="Arial"/>
          <w:sz w:val="21"/>
          <w:szCs w:val="21"/>
          <w:color w:val="auto"/>
        </w:rPr>
        <w:t xml:space="preserve">, unless and until the rate of interest again exceeds the Maximum Lawful Rate, and at that time this paragraph shall again apply. In no event shall the total interest received by any Lender pursuant to the terms hereof exceed the amount that such Lender could lawfully have received had the interest due hereunder been calculated for the full term hereof at the Maximum Lawful Rate. If the Maximum Lawful Rate is calculated pursuant to this paragraph, such interest shall be calculated at a daily rate equal to the Maximum Lawful Rate divided by the number of days in the year in which such calculation is made. If, notwithstanding the provisions of this </w:t>
      </w:r>
      <w:r>
        <w:rPr>
          <w:rFonts w:ascii="Arial" w:cs="Arial" w:eastAsia="Arial" w:hAnsi="Arial"/>
          <w:sz w:val="21"/>
          <w:szCs w:val="21"/>
          <w:u w:val="single" w:color="auto"/>
          <w:color w:val="auto"/>
        </w:rPr>
        <w:t>Section 2.5(f)</w:t>
      </w:r>
      <w:r>
        <w:rPr>
          <w:rFonts w:ascii="Arial" w:cs="Arial" w:eastAsia="Arial" w:hAnsi="Arial"/>
          <w:sz w:val="21"/>
          <w:szCs w:val="21"/>
          <w:color w:val="auto"/>
        </w:rPr>
        <w:t xml:space="preserve">, a court of competent jurisdiction shall finally determine that a Lender has received interest hereunder in excess of the Maximum Lawful Rate, Agent shall, to the extent permitted by applicable law, promptly apply such excess in the order specified in </w:t>
      </w:r>
      <w:r>
        <w:rPr>
          <w:rFonts w:ascii="Arial" w:cs="Arial" w:eastAsia="Arial" w:hAnsi="Arial"/>
          <w:sz w:val="21"/>
          <w:szCs w:val="21"/>
          <w:u w:val="single" w:color="auto"/>
          <w:color w:val="auto"/>
        </w:rPr>
        <w:t>Section 2.9</w:t>
      </w:r>
      <w:r>
        <w:rPr>
          <w:rFonts w:ascii="Arial" w:cs="Arial" w:eastAsia="Arial" w:hAnsi="Arial"/>
          <w:sz w:val="21"/>
          <w:szCs w:val="21"/>
          <w:color w:val="auto"/>
        </w:rPr>
        <w:t xml:space="preserve"> and thereafter shall refund any excess to Borrowers or as a court of competent jurisdiction may otherwise order.</w:t>
      </w:r>
    </w:p>
    <w:p>
      <w:pPr>
        <w:spacing w:after="0" w:line="182"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 xml:space="preserve">2.6 </w:t>
      </w:r>
      <w:r>
        <w:rPr>
          <w:rFonts w:ascii="Arial" w:cs="Arial" w:eastAsia="Arial" w:hAnsi="Arial"/>
          <w:sz w:val="19"/>
          <w:szCs w:val="19"/>
          <w:u w:val="single" w:color="auto"/>
          <w:color w:val="auto"/>
        </w:rPr>
        <w:t>Cash Management Systems</w:t>
      </w:r>
      <w:r>
        <w:rPr>
          <w:rFonts w:ascii="Arial" w:cs="Arial" w:eastAsia="Arial" w:hAnsi="Arial"/>
          <w:sz w:val="19"/>
          <w:szCs w:val="19"/>
          <w:color w:val="auto"/>
        </w:rPr>
        <w:t xml:space="preserve">. On or prior to the date set forth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Borrowers will establish and will maintain until the Termination Date, the cash management systems described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Cash Management Systems</w:t>
      </w:r>
      <w:r>
        <w:rPr>
          <w:rFonts w:ascii="Arial" w:cs="Arial" w:eastAsia="Arial" w:hAnsi="Arial"/>
          <w:sz w:val="19"/>
          <w:szCs w:val="19"/>
          <w:color w:val="auto"/>
        </w:rPr>
        <w:t>”).</w:t>
      </w:r>
    </w:p>
    <w:p>
      <w:pPr>
        <w:spacing w:after="0" w:line="1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0" w:lineRule="exact"/>
        <w:rPr>
          <w:sz w:val="20"/>
          <w:szCs w:val="20"/>
          <w:color w:val="auto"/>
        </w:rPr>
      </w:pPr>
    </w:p>
    <w:p>
      <w:pPr>
        <w:ind w:left="1940" w:hanging="312"/>
        <w:spacing w:after="0"/>
        <w:tabs>
          <w:tab w:leader="none" w:pos="19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Parent Borrower shall pay the Fees specified in the Fee Letter at the times specified for payment therein.</w:t>
      </w:r>
    </w:p>
    <w:p>
      <w:pPr>
        <w:spacing w:after="0" w:line="254" w:lineRule="exact"/>
        <w:rPr>
          <w:rFonts w:ascii="Arial" w:cs="Arial" w:eastAsia="Arial" w:hAnsi="Arial"/>
          <w:sz w:val="19"/>
          <w:szCs w:val="19"/>
          <w:color w:val="auto"/>
        </w:rPr>
      </w:pPr>
    </w:p>
    <w:p>
      <w:pPr>
        <w:jc w:val="both"/>
        <w:ind w:left="340" w:firstLine="1288"/>
        <w:spacing w:after="0" w:line="290" w:lineRule="auto"/>
        <w:tabs>
          <w:tab w:leader="none" w:pos="195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As additional compensation for the Lenders, Borrowers shall pay to Agent, for the ratable benefit of such Lenders, in arrears, on the last Business Day of each Fiscal Quarter, on the date of any permanent reduction of the Commitment in accordance with </w:t>
      </w:r>
      <w:r>
        <w:rPr>
          <w:rFonts w:ascii="Arial" w:cs="Arial" w:eastAsia="Arial" w:hAnsi="Arial"/>
          <w:sz w:val="19"/>
          <w:szCs w:val="19"/>
          <w:u w:val="single" w:color="auto"/>
          <w:color w:val="auto"/>
        </w:rPr>
        <w:t>Section 2.3(a)</w:t>
      </w:r>
      <w:r>
        <w:rPr>
          <w:rFonts w:ascii="Arial" w:cs="Arial" w:eastAsia="Arial" w:hAnsi="Arial"/>
          <w:sz w:val="19"/>
          <w:szCs w:val="19"/>
          <w:color w:val="auto"/>
        </w:rPr>
        <w:t xml:space="preserve"> and on the Commitment Termination Date, a Fee (the “</w:t>
      </w: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for Borrowers’ non-use of available funds in an amount equal to the Applicable Commitment Fee Percentage per annum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the difference between (A) the average for the period of the daily closing balances of the Commitment and (B) the average for the period of the daily closing balances of the aggregate Revolving Credit Advances and Letter of Credit Obligations allocable to the Lenders outstanding during the period for which such Commitment Fee is due;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obligations of the Canadian Borrowers hereunder are subject to the provisions of </w:t>
      </w:r>
      <w:r>
        <w:rPr>
          <w:rFonts w:ascii="Arial" w:cs="Arial" w:eastAsia="Arial" w:hAnsi="Arial"/>
          <w:sz w:val="19"/>
          <w:szCs w:val="19"/>
          <w:u w:val="single" w:color="auto"/>
          <w:color w:val="auto"/>
        </w:rPr>
        <w:t>Section 13.9</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left="1940" w:hanging="312"/>
        <w:spacing w:after="0"/>
        <w:tabs>
          <w:tab w:leader="none" w:pos="194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Borrowers shall pay to Agent, for the ratable benefit of Lenders, the Letter of Credit Fee as provided in</w:t>
      </w:r>
    </w:p>
    <w:p>
      <w:pPr>
        <w:spacing w:after="0" w:line="55"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201" w:lineRule="exact"/>
        <w:rPr>
          <w:rFonts w:ascii="Arial" w:cs="Arial" w:eastAsia="Arial" w:hAnsi="Arial"/>
          <w:sz w:val="19"/>
          <w:szCs w:val="19"/>
          <w:color w:val="auto"/>
        </w:rPr>
      </w:pPr>
    </w:p>
    <w:p>
      <w:pPr>
        <w:ind w:left="340" w:right="20" w:firstLine="1288"/>
        <w:spacing w:after="0" w:line="287" w:lineRule="auto"/>
        <w:tabs>
          <w:tab w:leader="none" w:pos="1955" w:val="left"/>
        </w:tabs>
        <w:numPr>
          <w:ilvl w:val="0"/>
          <w:numId w:val="116"/>
        </w:numPr>
        <w:rPr>
          <w:rFonts w:ascii="Arial" w:cs="Arial" w:eastAsia="Arial" w:hAnsi="Arial"/>
          <w:sz w:val="21"/>
          <w:szCs w:val="21"/>
          <w:color w:val="auto"/>
        </w:rPr>
      </w:pPr>
      <w:r>
        <w:rPr>
          <w:rFonts w:ascii="Arial" w:cs="Arial" w:eastAsia="Arial" w:hAnsi="Arial"/>
          <w:sz w:val="21"/>
          <w:szCs w:val="21"/>
          <w:color w:val="auto"/>
        </w:rPr>
        <w:t>Each Borrower shall pay to the applicable Lead Arranger, Bookrunner or Lender any other fees that have been separately agreed to between such Borrower and any applicable Lead Arranger, Bookrunner or Lender.</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Receipt of Payments</w:t>
      </w:r>
      <w:r>
        <w:rPr>
          <w:rFonts w:ascii="Arial" w:cs="Arial" w:eastAsia="Arial" w:hAnsi="Arial"/>
          <w:sz w:val="22"/>
          <w:szCs w:val="22"/>
          <w:color w:val="auto"/>
        </w:rPr>
        <w:t>. Borrowers shall make each payment under this Agreement not later than 3:00 p.m. (New York, New York time) on the day when due in immediately available funds in Dollars to the Collection Account. For purposes of computing interest and</w:t>
      </w:r>
    </w:p>
    <w:p>
      <w:pPr>
        <w:sectPr>
          <w:pgSz w:w="11900" w:h="16838" w:orient="portrait"/>
          <w:cols w:equalWidth="0" w:num="1">
            <w:col w:w="11240"/>
          </w:cols>
          <w:pgMar w:left="320" w:top="1428" w:right="339" w:bottom="1440" w:gutter="0" w:footer="0" w:header="0"/>
        </w:sectPr>
      </w:pPr>
    </w:p>
    <w:bookmarkStart w:id="207" w:name="page208"/>
    <w:bookmarkEnd w:id="207"/>
    <w:p>
      <w:pPr>
        <w:jc w:val="both"/>
        <w:spacing w:after="0" w:line="287" w:lineRule="auto"/>
        <w:rPr>
          <w:sz w:val="20"/>
          <w:szCs w:val="20"/>
          <w:color w:val="auto"/>
        </w:rPr>
      </w:pPr>
      <w:r>
        <w:rPr>
          <w:rFonts w:ascii="Arial" w:cs="Arial" w:eastAsia="Arial" w:hAnsi="Arial"/>
          <w:sz w:val="19"/>
          <w:szCs w:val="19"/>
          <w:color w:val="auto"/>
        </w:rPr>
        <w:t>Fees and determining Availability as of any date, all payments shall be deemed received on the Business Day on which immediately available funds are received in the Collection Account prior to 3:00 p.m. (New York time). Payments received after 3:00 p.m. (New York time) on any Business Day, or on a day that is not a Business Day, shall be deemed to have been received on the following Business Day. Unless stated otherwise, all calculations, comparisons, measurements, or determinations under this Agreement shall be made in Dollars. If Agent receives any payment from or on behalf of any Credit Party in a currency other than Dollars (or, with respect to amounts received in respect of Canadian Revolving Loans made in Canadian Dollars, Canadian Dollars), Agent may convert the payment (including the monetary proceeds of realization upon any Collateral and any funds then held in a cash collateral account) into Dollars at the Dollar Equivalent thereof or at the exchange rate that Agent would be prepared to sell Dollars against the currency received on the Business Day immediately preceding the date of actual payment. The Obligations shall be satisfied only to the extent of the amount actually received by Agent upon such conversion. Agent shall distribute such payments to Lender or other applicable Persons in like funds as received.</w:t>
      </w:r>
    </w:p>
    <w:p>
      <w:pPr>
        <w:spacing w:after="0" w:line="1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Application and Allocation of Payments</w:t>
      </w:r>
      <w:r>
        <w:rPr>
          <w:rFonts w:ascii="Arial" w:cs="Arial" w:eastAsia="Arial" w:hAnsi="Arial"/>
          <w:sz w:val="19"/>
          <w:szCs w:val="19"/>
          <w:color w:val="auto"/>
        </w:rPr>
        <w:t>.</w:t>
      </w:r>
    </w:p>
    <w:p>
      <w:pPr>
        <w:spacing w:after="0" w:line="220" w:lineRule="exact"/>
        <w:rPr>
          <w:sz w:val="20"/>
          <w:szCs w:val="20"/>
          <w:color w:val="auto"/>
        </w:rPr>
      </w:pPr>
    </w:p>
    <w:p>
      <w:pPr>
        <w:jc w:val="both"/>
        <w:ind w:left="340" w:firstLine="1288"/>
        <w:spacing w:after="0" w:line="285" w:lineRule="auto"/>
        <w:tabs>
          <w:tab w:leader="none" w:pos="1957"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So long as no Event of Default has occurred and is continuing, (i) payments of regularly scheduled payments then due shall be applied to those scheduled payments, (ii) voluntary prepayments shall be applied in accordance with the provisions of </w:t>
      </w:r>
      <w:r>
        <w:rPr>
          <w:rFonts w:ascii="Arial" w:cs="Arial" w:eastAsia="Arial" w:hAnsi="Arial"/>
          <w:sz w:val="19"/>
          <w:szCs w:val="19"/>
          <w:u w:val="single" w:color="auto"/>
          <w:color w:val="auto"/>
        </w:rPr>
        <w:t>Section 2.3(a)</w:t>
      </w:r>
      <w:r>
        <w:rPr>
          <w:rFonts w:ascii="Arial" w:cs="Arial" w:eastAsia="Arial" w:hAnsi="Arial"/>
          <w:sz w:val="19"/>
          <w:szCs w:val="19"/>
          <w:color w:val="auto"/>
        </w:rPr>
        <w:t xml:space="preserve">, and (iii) mandatory prepayments shall be applied as set forth in </w:t>
      </w:r>
      <w:r>
        <w:rPr>
          <w:rFonts w:ascii="Arial" w:cs="Arial" w:eastAsia="Arial" w:hAnsi="Arial"/>
          <w:sz w:val="19"/>
          <w:szCs w:val="19"/>
          <w:u w:val="single" w:color="auto"/>
          <w:color w:val="auto"/>
        </w:rPr>
        <w:t>Section 2.3(c)</w:t>
      </w:r>
      <w:r>
        <w:rPr>
          <w:rFonts w:ascii="Arial" w:cs="Arial" w:eastAsia="Arial" w:hAnsi="Arial"/>
          <w:sz w:val="19"/>
          <w:szCs w:val="19"/>
          <w:color w:val="auto"/>
        </w:rPr>
        <w:t xml:space="preserve">. All payments and prepayments applied to a particular Loan shall be applied ratably to the portion thereof held by each Lender as determined by its Pro Rata Share. As to all payments made when an Event of Default has occurred and is continuing or following the Commitment Termination Date, each Borrower hereby irrevocably waives the right to direct the application of any and all payments received from or on behalf of such Borrower. All voluntary prepayments shall be applied as directed by Borrower Representative. In all circumstances after an Event of Default, subject to the ABL Intercreditor Agreement, all payments and proceeds of Collateral shall be applied to amounts then due and payable in the following order: (1) to Fees and Agent’s and Co-Collateral Agents’ expenses reimbursable hereunder and to all obligations owing to Agent, any Co-Collateral Agent, Swing Line Lender, any L/C Issuer or any other Lender by any Non-Funding Lender under the Loan Documents; (2) to interest on the Swing Line Loans; (3) to principal payments on the Swing Line Loans; (4) to interest on the other Loans, ratably in proportion to the interest accrued as to each Loan; (5) to principal payments on the other Loans (or cash collateral with respect to the Letter of Credit Obligations), ratably in proportion to the principal balance of such Loan and the Letter of Credit Obligations; (6) to the payment of the Bank Products Obligations then due and payable; and (7) to all other Obligations, including expenses of Lenders to the extent reimbursable under </w:t>
      </w:r>
      <w:r>
        <w:rPr>
          <w:rFonts w:ascii="Arial" w:cs="Arial" w:eastAsia="Arial" w:hAnsi="Arial"/>
          <w:sz w:val="19"/>
          <w:szCs w:val="19"/>
          <w:u w:val="single" w:color="auto"/>
          <w:color w:val="auto"/>
        </w:rPr>
        <w:t>Section 12.3</w:t>
      </w:r>
      <w:r>
        <w:rPr>
          <w:rFonts w:ascii="Arial" w:cs="Arial" w:eastAsia="Arial" w:hAnsi="Arial"/>
          <w:sz w:val="19"/>
          <w:szCs w:val="19"/>
          <w:color w:val="auto"/>
        </w:rPr>
        <w:t>.</w:t>
      </w:r>
    </w:p>
    <w:p>
      <w:pPr>
        <w:spacing w:after="0" w:line="168" w:lineRule="exact"/>
        <w:rPr>
          <w:rFonts w:ascii="Arial" w:cs="Arial" w:eastAsia="Arial" w:hAnsi="Arial"/>
          <w:sz w:val="19"/>
          <w:szCs w:val="19"/>
          <w:color w:val="auto"/>
        </w:rPr>
      </w:pPr>
    </w:p>
    <w:p>
      <w:pPr>
        <w:jc w:val="both"/>
        <w:ind w:left="340" w:firstLine="1288"/>
        <w:spacing w:after="0" w:line="312" w:lineRule="auto"/>
        <w:tabs>
          <w:tab w:leader="none" w:pos="195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Agent is authorized to, and at its sole election may, upon prior notice to Borrower Representative charge to the Revolving Loan balance on behalf of each U.S. Borrower or Canadian Borrower, as the case may be, and cause to be paid all Fees, expenses, costs (including, insurance premiums in accordance with </w:t>
      </w:r>
      <w:r>
        <w:rPr>
          <w:rFonts w:ascii="Arial" w:cs="Arial" w:eastAsia="Arial" w:hAnsi="Arial"/>
          <w:sz w:val="19"/>
          <w:szCs w:val="19"/>
          <w:u w:val="single" w:color="auto"/>
          <w:color w:val="auto"/>
        </w:rPr>
        <w:t>Section 6.4(a))</w:t>
      </w:r>
      <w:r>
        <w:rPr>
          <w:rFonts w:ascii="Arial" w:cs="Arial" w:eastAsia="Arial" w:hAnsi="Arial"/>
          <w:sz w:val="19"/>
          <w:szCs w:val="19"/>
          <w:color w:val="auto"/>
        </w:rPr>
        <w:t xml:space="preserve"> and interest and</w:t>
      </w:r>
    </w:p>
    <w:p>
      <w:pPr>
        <w:sectPr>
          <w:pgSz w:w="11900" w:h="16838" w:orient="portrait"/>
          <w:cols w:equalWidth="0" w:num="1">
            <w:col w:w="11240"/>
          </w:cols>
          <w:pgMar w:left="320" w:top="1428" w:right="339" w:bottom="1440" w:gutter="0" w:footer="0" w:header="0"/>
        </w:sectPr>
      </w:pPr>
    </w:p>
    <w:bookmarkStart w:id="208" w:name="page209"/>
    <w:bookmarkEnd w:id="208"/>
    <w:p>
      <w:pPr>
        <w:jc w:val="both"/>
        <w:ind w:left="340"/>
        <w:spacing w:after="0" w:line="294" w:lineRule="auto"/>
        <w:rPr>
          <w:sz w:val="20"/>
          <w:szCs w:val="20"/>
          <w:color w:val="auto"/>
        </w:rPr>
      </w:pPr>
      <w:r>
        <w:rPr>
          <w:rFonts w:ascii="Arial" w:cs="Arial" w:eastAsia="Arial" w:hAnsi="Arial"/>
          <w:sz w:val="19"/>
          <w:szCs w:val="19"/>
          <w:color w:val="auto"/>
        </w:rPr>
        <w:t>principal, other than principal of the Revolving Loan, owing by such Borrowers under this Agreement or any of the other Loan Documents, if and to the extent such Borrowers fail to pay promptly any such amounts as and when due, even if the amount of such charges would exceed Availability at such time or would cause the balance of the Revolving Loan and the Swing Line Loan to exceed the Borrowing Base after giving effect to such charges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any such Overadvance shall be subject to the cure period with respect to fees as set forth in </w:t>
      </w:r>
      <w:r>
        <w:rPr>
          <w:rFonts w:ascii="Arial" w:cs="Arial" w:eastAsia="Arial" w:hAnsi="Arial"/>
          <w:sz w:val="19"/>
          <w:szCs w:val="19"/>
          <w:u w:val="single" w:color="auto"/>
          <w:color w:val="auto"/>
        </w:rPr>
        <w:t>Section 9.1(a)(ii)</w:t>
      </w:r>
      <w:r>
        <w:rPr>
          <w:rFonts w:ascii="Arial" w:cs="Arial" w:eastAsia="Arial" w:hAnsi="Arial"/>
          <w:sz w:val="19"/>
          <w:szCs w:val="19"/>
          <w:color w:val="auto"/>
        </w:rPr>
        <w:t>). At Agent’s option, and to the extent permitted by law, any charges so made shall constitute part of the Revolving Loan hereunder.</w:t>
      </w:r>
    </w:p>
    <w:p>
      <w:pPr>
        <w:spacing w:after="0" w:line="149"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(c) This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is subject in its entirety to the provisions of </w:t>
      </w:r>
      <w:r>
        <w:rPr>
          <w:rFonts w:ascii="Arial" w:cs="Arial" w:eastAsia="Arial" w:hAnsi="Arial"/>
          <w:sz w:val="22"/>
          <w:szCs w:val="22"/>
          <w:u w:val="single" w:color="auto"/>
          <w:color w:val="auto"/>
        </w:rPr>
        <w:t>Section 13.9</w:t>
      </w:r>
      <w:r>
        <w:rPr>
          <w:rFonts w:ascii="Arial" w:cs="Arial" w:eastAsia="Arial" w:hAnsi="Arial"/>
          <w:sz w:val="22"/>
          <w:szCs w:val="22"/>
          <w:color w:val="auto"/>
        </w:rPr>
        <w:t xml:space="preserve"> hereof.</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2.10 </w:t>
      </w:r>
      <w:r>
        <w:rPr>
          <w:rFonts w:ascii="Arial" w:cs="Arial" w:eastAsia="Arial" w:hAnsi="Arial"/>
          <w:sz w:val="19"/>
          <w:szCs w:val="19"/>
          <w:u w:val="single" w:color="auto"/>
          <w:color w:val="auto"/>
        </w:rPr>
        <w:t>Loan Account and Accounting</w:t>
      </w:r>
      <w:r>
        <w:rPr>
          <w:rFonts w:ascii="Arial" w:cs="Arial" w:eastAsia="Arial" w:hAnsi="Arial"/>
          <w:sz w:val="19"/>
          <w:szCs w:val="19"/>
          <w:color w:val="auto"/>
        </w:rPr>
        <w:t>. Agent, as Borrowers’ agent, shall maintain a loan account (the “</w:t>
      </w:r>
      <w:r>
        <w:rPr>
          <w:rFonts w:ascii="Arial" w:cs="Arial" w:eastAsia="Arial" w:hAnsi="Arial"/>
          <w:sz w:val="19"/>
          <w:szCs w:val="19"/>
          <w:u w:val="single" w:color="auto"/>
          <w:color w:val="auto"/>
        </w:rPr>
        <w:t>Loan Account</w:t>
      </w:r>
      <w:r>
        <w:rPr>
          <w:rFonts w:ascii="Arial" w:cs="Arial" w:eastAsia="Arial" w:hAnsi="Arial"/>
          <w:sz w:val="19"/>
          <w:szCs w:val="19"/>
          <w:color w:val="auto"/>
        </w:rPr>
        <w:t xml:space="preserve">”) on its books and records: all Advances, Letters of Credit, all payments made by Borrowers, and all other debits and credits as provided in this Agreement with respect to the Loans or any other Obligations. All entries in the Loan Account shall be made in accordance with Agent’s customary accounting practices as in effect from time to time. The balances in the Loan Account, as recorded on Agent’s most recent printout or other written statement, shall, absent manifest error, be presumptive evidence of the amounts due and owing to Agent and Lenders by each appropriate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failure to so record or any error in so recording shall not limit or otherwise affect any Borrower’s duty to pay the Obligations owed by such Borrower. Agent shall render to Borrower Representative a monthly accounting of transactions with respect to the Loans setting forth the balance of the Loan Account as to each Borrower for the immediately preceding month. Unless Borrower Representative notifies Agent in writing of any objection to any such accounting (specifically describing the basis for such objection), within sixty (60) days after the date thereof, each and every such accounting shall be deemed presumptive evidence of all matters reflected therein. Only those items expressly objected to in such notice shall be deemed to be disputed by the applicable Borrowers. Notwithstanding any provision herein contained to the contrary, any Lender may elect (which election may be revoked) to dispense with the issuance of Notes to that Lender and may rely on the Loan Account as evidence of the amount of Obligations from time to time owing to it.</w:t>
      </w:r>
    </w:p>
    <w:p>
      <w:pPr>
        <w:spacing w:after="0" w:line="200" w:lineRule="exact"/>
        <w:rPr>
          <w:sz w:val="20"/>
          <w:szCs w:val="20"/>
          <w:color w:val="auto"/>
        </w:rPr>
      </w:pPr>
    </w:p>
    <w:p>
      <w:pPr>
        <w:spacing w:after="0" w:line="21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u w:val="single" w:color="auto"/>
          <w:color w:val="auto"/>
        </w:rPr>
        <w:t>Indemnity</w:t>
      </w:r>
      <w:r>
        <w:rPr>
          <w:rFonts w:ascii="Arial" w:cs="Arial" w:eastAsia="Arial" w:hAnsi="Arial"/>
          <w:sz w:val="19"/>
          <w:szCs w:val="19"/>
          <w:color w:val="auto"/>
        </w:rPr>
        <w:t>.</w:t>
      </w:r>
    </w:p>
    <w:p>
      <w:pPr>
        <w:spacing w:after="0" w:line="220" w:lineRule="exact"/>
        <w:rPr>
          <w:sz w:val="20"/>
          <w:szCs w:val="20"/>
          <w:color w:val="auto"/>
        </w:rPr>
      </w:pPr>
    </w:p>
    <w:p>
      <w:pPr>
        <w:jc w:val="both"/>
        <w:ind w:left="340" w:firstLine="1288"/>
        <w:spacing w:after="0" w:line="259" w:lineRule="auto"/>
        <w:tabs>
          <w:tab w:leader="none" w:pos="1957" w:val="left"/>
        </w:tabs>
        <w:numPr>
          <w:ilvl w:val="0"/>
          <w:numId w:val="118"/>
        </w:numPr>
        <w:rPr>
          <w:rFonts w:ascii="Arial" w:cs="Arial" w:eastAsia="Arial" w:hAnsi="Arial"/>
          <w:sz w:val="21"/>
          <w:szCs w:val="21"/>
          <w:color w:val="auto"/>
        </w:rPr>
      </w:pPr>
      <w:r>
        <w:rPr>
          <w:rFonts w:ascii="Arial" w:cs="Arial" w:eastAsia="Arial" w:hAnsi="Arial"/>
          <w:sz w:val="21"/>
          <w:szCs w:val="21"/>
          <w:color w:val="auto"/>
        </w:rPr>
        <w:t>Each Credit Party that is a signatory hereto shall jointly and severally indemnify and hold harmless each of Agent, Co-Collateral Agents, Lead Arrangers, L/C Issuers, the Lenders, and their respective Affiliates, and each such Person’s respective officers, directors, employees, attorneys, agents, advisors and representatives (each, an “</w:t>
      </w:r>
      <w:r>
        <w:rPr>
          <w:rFonts w:ascii="Arial" w:cs="Arial" w:eastAsia="Arial" w:hAnsi="Arial"/>
          <w:sz w:val="21"/>
          <w:szCs w:val="21"/>
          <w:u w:val="single" w:color="auto"/>
          <w:color w:val="auto"/>
        </w:rPr>
        <w:t>Indemnified</w:t>
      </w:r>
      <w:r>
        <w:rPr>
          <w:rFonts w:ascii="Arial" w:cs="Arial" w:eastAsia="Arial" w:hAnsi="Arial"/>
          <w:sz w:val="21"/>
          <w:szCs w:val="21"/>
          <w:color w:val="auto"/>
        </w:rPr>
        <w:t xml:space="preserve"> </w:t>
      </w:r>
      <w:r>
        <w:rPr>
          <w:rFonts w:ascii="Arial" w:cs="Arial" w:eastAsia="Arial" w:hAnsi="Arial"/>
          <w:sz w:val="21"/>
          <w:szCs w:val="21"/>
          <w:u w:val="single" w:color="auto"/>
          <w:color w:val="auto"/>
        </w:rPr>
        <w:t>Person</w:t>
      </w:r>
      <w:r>
        <w:rPr>
          <w:rFonts w:ascii="Arial" w:cs="Arial" w:eastAsia="Arial" w:hAnsi="Arial"/>
          <w:sz w:val="21"/>
          <w:szCs w:val="21"/>
          <w:color w:val="auto"/>
        </w:rPr>
        <w:t>”), from and against any and all suits, actions, proceedings, claims, damages, actual losses, liabilities, and out-of-pocket expenses (including reasonable attorneys’ fees and disbursements and other reasonable documented out-of-pocket costs of investigation or defense, including those incurred upon any appeal) that may be instituted or asserted against or incurred by any such Indemnified Person as the result of credit having been extended, suspended or terminated under this Agreement and the other Loan Documents</w:t>
      </w:r>
    </w:p>
    <w:p>
      <w:pPr>
        <w:sectPr>
          <w:pgSz w:w="11900" w:h="16838" w:orient="portrait"/>
          <w:cols w:equalWidth="0" w:num="1">
            <w:col w:w="11240"/>
          </w:cols>
          <w:pgMar w:left="320" w:top="1428" w:right="339" w:bottom="1440" w:gutter="0" w:footer="0" w:header="0"/>
        </w:sectPr>
      </w:pPr>
    </w:p>
    <w:bookmarkStart w:id="209" w:name="page210"/>
    <w:bookmarkEnd w:id="209"/>
    <w:p>
      <w:pPr>
        <w:jc w:val="both"/>
        <w:spacing w:after="0" w:line="284" w:lineRule="auto"/>
        <w:rPr>
          <w:sz w:val="20"/>
          <w:szCs w:val="20"/>
          <w:color w:val="auto"/>
        </w:rPr>
      </w:pPr>
      <w:r>
        <w:rPr>
          <w:rFonts w:ascii="Arial" w:cs="Arial" w:eastAsia="Arial" w:hAnsi="Arial"/>
          <w:sz w:val="19"/>
          <w:szCs w:val="19"/>
          <w:color w:val="auto"/>
        </w:rPr>
        <w:t>and the administration of such credit, and in connection with or arising out of the transactions contemplated hereunder and thereunder (including the syndication of the Commitments) and any actions or failures to act in connection therewith, including any and all Environmental Liabilities and reasonable, out-of-pocket legal costs and expenses arising out of or incurred in connection with disputes between or among any parties to any of the Loan Documents (collectively, “</w:t>
      </w:r>
      <w:r>
        <w:rPr>
          <w:rFonts w:ascii="Arial" w:cs="Arial" w:eastAsia="Arial" w:hAnsi="Arial"/>
          <w:sz w:val="19"/>
          <w:szCs w:val="19"/>
          <w:u w:val="single" w:color="auto"/>
          <w:color w:val="auto"/>
        </w:rPr>
        <w:t>Indemnified</w:t>
      </w:r>
      <w:r>
        <w:rPr>
          <w:rFonts w:ascii="Arial" w:cs="Arial" w:eastAsia="Arial" w:hAnsi="Arial"/>
          <w:sz w:val="19"/>
          <w:szCs w:val="19"/>
          <w:color w:val="auto"/>
        </w:rPr>
        <w:t xml:space="preserve"> </w:t>
      </w:r>
      <w:r>
        <w:rPr>
          <w:rFonts w:ascii="Arial" w:cs="Arial" w:eastAsia="Arial" w:hAnsi="Arial"/>
          <w:sz w:val="19"/>
          <w:szCs w:val="19"/>
          <w:u w:val="single" w:color="auto"/>
          <w:color w:val="auto"/>
        </w:rPr>
        <w:t>Liabilities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Credit Party shall be liable for any indemnification to an Indemnified Person to the extent that any such suit, action, proceeding, claim, damage, actual loss, liability, or expense results from that Indemnified Person’s (or such Indemnified Person’s Related Persons) gross negligence, bad faith, willful misconduct or material breach of any of its obligations under any Loan Document as determined by a court of competent jurisdiction in a final and non-appealable judgment;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Indemnified Person will be indemnified for any such cost, expense or liability to the extent of any dispute solely among Indemnified Persons (other than any claims against Agent or Co-Collateral Agents or Lead Arrangers acting in its capacity as such) that does not involve actions or omissions of any Credit Party or any of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none of the Canadian Borrowers shall have any obligation to make any payment with respect to any of the U.S. Borrowers’ Obligations under this Agreement or any other Loan Document. In the absence of an actual or potential conflict of interest, Borrowers and their Subsidiaries will not be responsible for the fees and expenses of more than one legal counsel for all Indemnified Persons and appropriate local legal counsel;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 actual conflict of interest, or the written opinion of counsel that a potential conflict of interest exists, Borrowers and their Subsidiaries shall be responsible for one additional counsel in each applicable jurisdiction for the affected Indemnified Persons, taken as a whole. To the extent permitted by applicable law, no party hereto shall be responsible or liable to any other Person party to any Loan Document, any successor, assignee, or third party beneficiary of such person or any other person asserting claims derivatively through such party, for indirect, punitive, exemplary or consequential damages which may be alleged as a result of credit having been extended, suspended, or terminated under any Loan Document or as a result of any other transaction contemplated hereunder or thereunder;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hereunder in this sentence shall limit any Credit Party’s indemnity and reimbursement obligations to the extent set forth herein. No Indemnified Person referred to in this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200" w:lineRule="exact"/>
        <w:rPr>
          <w:sz w:val="20"/>
          <w:szCs w:val="20"/>
          <w:color w:val="auto"/>
        </w:rPr>
      </w:pPr>
    </w:p>
    <w:p>
      <w:pPr>
        <w:spacing w:after="0" w:line="221" w:lineRule="exact"/>
        <w:rPr>
          <w:sz w:val="20"/>
          <w:szCs w:val="20"/>
          <w:color w:val="auto"/>
        </w:rPr>
      </w:pPr>
    </w:p>
    <w:p>
      <w:pPr>
        <w:jc w:val="both"/>
        <w:ind w:firstLine="1288"/>
        <w:spacing w:after="0" w:line="260" w:lineRule="auto"/>
        <w:tabs>
          <w:tab w:leader="none" w:pos="1615" w:val="left"/>
        </w:tabs>
        <w:numPr>
          <w:ilvl w:val="0"/>
          <w:numId w:val="119"/>
        </w:numPr>
        <w:rPr>
          <w:rFonts w:ascii="Arial" w:cs="Arial" w:eastAsia="Arial" w:hAnsi="Arial"/>
          <w:sz w:val="21"/>
          <w:szCs w:val="21"/>
          <w:color w:val="auto"/>
        </w:rPr>
      </w:pPr>
      <w:r>
        <w:rPr>
          <w:rFonts w:ascii="Arial" w:cs="Arial" w:eastAsia="Arial" w:hAnsi="Arial"/>
          <w:sz w:val="21"/>
          <w:szCs w:val="21"/>
          <w:color w:val="auto"/>
        </w:rPr>
        <w:t>To induce Lenders to provide the LIBOR Rate or the BA Rate, as applicable, option on the terms provided herein, if (i) any LIBOR Loans are repaid in whole or in part prior to the last day of any applicable LIBOR Period (whether that repayment is made pursuant to any provision of this Agreement or any other Loan Document or occurs as a result of acceleration, by operation of law or otherwise); (ii) any Borrower shall default in payment when due of the principal amount of or interest on any LIBOR Loan; (iii) any Borrower shall refuse to accept any borrowing of, or shall request a termination of, any borrowing of, conversion into or continuation of, LIBOR Loans after Borrower Representative has given notice requesting the same in accordance herewith; (iv) any</w:t>
      </w:r>
    </w:p>
    <w:p>
      <w:pPr>
        <w:sectPr>
          <w:pgSz w:w="11900" w:h="16838" w:orient="portrait"/>
          <w:cols w:equalWidth="0" w:num="1">
            <w:col w:w="10900"/>
          </w:cols>
          <w:pgMar w:left="660" w:top="1428" w:right="339" w:bottom="1440" w:gutter="0" w:footer="0" w:header="0"/>
        </w:sectPr>
      </w:pPr>
    </w:p>
    <w:bookmarkStart w:id="210" w:name="page211"/>
    <w:bookmarkEnd w:id="210"/>
    <w:p>
      <w:pPr>
        <w:jc w:val="both"/>
        <w:ind w:left="340"/>
        <w:spacing w:after="0" w:line="285" w:lineRule="auto"/>
        <w:rPr>
          <w:sz w:val="20"/>
          <w:szCs w:val="20"/>
          <w:color w:val="auto"/>
        </w:rPr>
      </w:pPr>
      <w:r>
        <w:rPr>
          <w:rFonts w:ascii="Arial" w:cs="Arial" w:eastAsia="Arial" w:hAnsi="Arial"/>
          <w:sz w:val="19"/>
          <w:szCs w:val="19"/>
          <w:color w:val="auto"/>
        </w:rPr>
        <w:t xml:space="preserve">Borrower shall fail to make any prepayment of a LIBOR Loan after Borrower Representative has given a notice thereof in accordance herewith; or (v) an assignment of LIBOR Loans is mandated pursuant to </w:t>
      </w:r>
      <w:r>
        <w:rPr>
          <w:rFonts w:ascii="Arial" w:cs="Arial" w:eastAsia="Arial" w:hAnsi="Arial"/>
          <w:sz w:val="19"/>
          <w:szCs w:val="19"/>
          <w:u w:val="single" w:color="auto"/>
          <w:color w:val="auto"/>
        </w:rPr>
        <w:t>Sections 2.14(d)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12.2(d)</w:t>
      </w:r>
      <w:r>
        <w:rPr>
          <w:rFonts w:ascii="Arial" w:cs="Arial" w:eastAsia="Arial" w:hAnsi="Arial"/>
          <w:sz w:val="19"/>
          <w:szCs w:val="19"/>
          <w:color w:val="auto"/>
        </w:rPr>
        <w:t xml:space="preserve">, then Borrowers shall jointly and severally indemnify and hold harmless each Lender from and against all actual losses, costs and reasonable documented out-of-pocket expenses resulting from or arising from any of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Canadian Borrowers shall not be required to pay any such amounts with respect to LIBOR Loans of the U.S. Borrowers). Such indemnification shall include any actual and documented out-of-pocket loss or expense (other than loss of anticipated profits), if any, arising from the reemployment of funds obtained by it or from fees payable to terminate deposits from which such funds were obtained. For the purpose of calculating amounts payable to a Lender under this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each Lender shall be deemed to have actually funded its relevant LIBOR Loan through the purchase of a deposit bearing interest at the (x) LIBOR Rate, with respect to LIBOR Loans denominated in Dollars and (y) BA Rate, with respect to LIBOR Loans denominated in Canadian Dollars, in an amount equal to the amount of that LIBOR Loan and having a maturity comparable to the relevant LIBOR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Lender may fund each of its LIBOR Loans in any manner it sees fit, and the foregoing assumption shall be utilized only for the calculation of amounts payable under this </w:t>
      </w:r>
      <w:r>
        <w:rPr>
          <w:rFonts w:ascii="Arial" w:cs="Arial" w:eastAsia="Arial" w:hAnsi="Arial"/>
          <w:sz w:val="19"/>
          <w:szCs w:val="19"/>
          <w:u w:val="single" w:color="auto"/>
          <w:color w:val="auto"/>
        </w:rPr>
        <w:t>Section 2.11(b)</w:t>
      </w:r>
      <w:r>
        <w:rPr>
          <w:rFonts w:ascii="Arial" w:cs="Arial" w:eastAsia="Arial" w:hAnsi="Arial"/>
          <w:sz w:val="19"/>
          <w:szCs w:val="19"/>
          <w:color w:val="auto"/>
        </w:rPr>
        <w:t xml:space="preserve">. This covenant shall survive the termination of this Agreement and the payment of the Obligations and all other amounts payable hereunder. As promptly as practicable under the circumstances, each Lender shall provide Borrower Representative with its written and detailed calculation of all amounts payable pursuant to this </w:t>
      </w:r>
      <w:r>
        <w:rPr>
          <w:rFonts w:ascii="Arial" w:cs="Arial" w:eastAsia="Arial" w:hAnsi="Arial"/>
          <w:sz w:val="19"/>
          <w:szCs w:val="19"/>
          <w:u w:val="single" w:color="auto"/>
          <w:color w:val="auto"/>
        </w:rPr>
        <w:t>Section 2.11(b)</w:t>
      </w:r>
      <w:r>
        <w:rPr>
          <w:rFonts w:ascii="Arial" w:cs="Arial" w:eastAsia="Arial" w:hAnsi="Arial"/>
          <w:sz w:val="19"/>
          <w:szCs w:val="19"/>
          <w:color w:val="auto"/>
        </w:rPr>
        <w:t>, and such calculation shall be binding on the parties hereto absent manifest error, in which case Borrower Representative shall object in writing within ten (10) Business Days of receipt thereof, specifying the basis for such objection in detail.</w:t>
      </w:r>
    </w:p>
    <w:p>
      <w:pPr>
        <w:spacing w:after="0" w:line="163"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 xml:space="preserve">(c) This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is subject in its entirety to the provisions of </w:t>
      </w:r>
      <w:r>
        <w:rPr>
          <w:rFonts w:ascii="Arial" w:cs="Arial" w:eastAsia="Arial" w:hAnsi="Arial"/>
          <w:sz w:val="22"/>
          <w:szCs w:val="22"/>
          <w:u w:val="single" w:color="auto"/>
          <w:color w:val="auto"/>
        </w:rPr>
        <w:t>Section 13.9</w:t>
      </w:r>
      <w:r>
        <w:rPr>
          <w:rFonts w:ascii="Arial" w:cs="Arial" w:eastAsia="Arial" w:hAnsi="Arial"/>
          <w:sz w:val="22"/>
          <w:szCs w:val="22"/>
          <w:color w:val="auto"/>
        </w:rPr>
        <w:t xml:space="preserve"> hereof.</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2.12 </w:t>
      </w:r>
      <w:r>
        <w:rPr>
          <w:rFonts w:ascii="Arial" w:cs="Arial" w:eastAsia="Arial" w:hAnsi="Arial"/>
          <w:sz w:val="21"/>
          <w:szCs w:val="21"/>
          <w:u w:val="single" w:color="auto"/>
          <w:color w:val="auto"/>
        </w:rPr>
        <w:t>Access</w:t>
      </w:r>
      <w:r>
        <w:rPr>
          <w:rFonts w:ascii="Arial" w:cs="Arial" w:eastAsia="Arial" w:hAnsi="Arial"/>
          <w:sz w:val="21"/>
          <w:szCs w:val="21"/>
          <w:color w:val="auto"/>
        </w:rPr>
        <w:t xml:space="preserve">. Each Credit Party shall, during normal business hours, from time to time upon reasonable notice as frequently as Agent reasonably determines to be appropriate: (a) provide Agent, Co-Collateral Agents (coordinated through Agent), Lenders (coordinated through Agent) and any of their representatives and designees access to its properties, facilities, advisors, officers and employees, (b) permit Agent, Co-Collateral Agents, Lenders and any of their officers, employees and agents, to inspect, audit and make extracts from any Credit Party’s books and records, and (c) permit Agent, Co-Collateral Agents, Lenders and their representatives and other designees, to inspect, review, evaluate and make test verifications and counts of the Accounts, Equipment and other Collateral of any Credit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that no Event of Default has occurred and is continuing, Borrowers shall only be responsible for the costs of such activities as set forth in </w:t>
      </w: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Furthermore, so long as any Event of Default has occurred and is continuing or at any time after all or any portion of the Obligations have been declared due and payable pursuant to </w:t>
      </w:r>
      <w:r>
        <w:rPr>
          <w:rFonts w:ascii="Arial" w:cs="Arial" w:eastAsia="Arial" w:hAnsi="Arial"/>
          <w:sz w:val="21"/>
          <w:szCs w:val="21"/>
          <w:u w:val="single" w:color="auto"/>
          <w:color w:val="auto"/>
        </w:rPr>
        <w:t>Section 9.2(b)</w:t>
      </w:r>
      <w:r>
        <w:rPr>
          <w:rFonts w:ascii="Arial" w:cs="Arial" w:eastAsia="Arial" w:hAnsi="Arial"/>
          <w:sz w:val="21"/>
          <w:szCs w:val="21"/>
          <w:color w:val="auto"/>
        </w:rPr>
        <w:t>, Borrowers shall provide reasonable assistance to Agent to obtain access, which access shall be coordinated in scope and substance in consultation with Borrowers, to their suppliers and customers.</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ectPr>
          <w:pgSz w:w="11900" w:h="16838" w:orient="portrait"/>
          <w:cols w:equalWidth="0" w:num="1">
            <w:col w:w="11240"/>
          </w:cols>
          <w:pgMar w:left="320" w:top="1428" w:right="339" w:bottom="1440" w:gutter="0" w:footer="0" w:header="0"/>
        </w:sectPr>
      </w:pPr>
    </w:p>
    <w:bookmarkStart w:id="211" w:name="page212"/>
    <w:bookmarkEnd w:id="211"/>
    <w:p>
      <w:pPr>
        <w:jc w:val="both"/>
        <w:ind w:left="-780" w:firstLine="1288"/>
        <w:spacing w:after="0" w:line="287" w:lineRule="auto"/>
        <w:tabs>
          <w:tab w:leader="none" w:pos="837"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All payments by or on account of any obligation of any Credit Party hereunder or under any other Loan Document shall be made, in accordance with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free and clear of and without withholding or deduction for any Taxes, except as required by applicable law. If any Withholding Agent shall be required by law to withhold or deduct any Taxes from or in respect of any sum payable hereunder (including any payments made pursuant to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or under any other Loan Document, (i) if such Tax is an Indemnified Tax, the sum payable by the applicable Credit Party shall be increased, without duplication, as much as shall be necessary so that, after making all required withholdings and deductions (including withholdings and deductions applicable to additional sums payable under this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Agent, Co-Collateral Agents or Lenders, as applicable, receive an amount equal to the sum they would have received had no such withholdings and deductions been made, (ii) the relevant Withholding Agent shall make such withholdings and deductions, and (iii) such Withholding Agent shall pay the full amount deducted to the relevant Governmental Authority in accordance with applicable law. Each Lender agrees that, as promptly as reasonably practicable after it becomes aware of any circumstances referred to above which would result in additional payments under this </w:t>
      </w:r>
      <w:r>
        <w:rPr>
          <w:rFonts w:ascii="Arial" w:cs="Arial" w:eastAsia="Arial" w:hAnsi="Arial"/>
          <w:sz w:val="19"/>
          <w:szCs w:val="19"/>
          <w:u w:val="single" w:color="auto"/>
          <w:color w:val="auto"/>
        </w:rPr>
        <w:t>Section 2.13</w:t>
      </w:r>
      <w:r>
        <w:rPr>
          <w:rFonts w:ascii="Arial" w:cs="Arial" w:eastAsia="Arial" w:hAnsi="Arial"/>
          <w:sz w:val="19"/>
          <w:szCs w:val="19"/>
          <w:color w:val="auto"/>
        </w:rPr>
        <w:t>, it shall notify Borrowers thereof.</w:t>
      </w:r>
    </w:p>
    <w:p>
      <w:pPr>
        <w:spacing w:after="0" w:line="158" w:lineRule="exact"/>
        <w:rPr>
          <w:rFonts w:ascii="Arial" w:cs="Arial" w:eastAsia="Arial" w:hAnsi="Arial"/>
          <w:sz w:val="19"/>
          <w:szCs w:val="19"/>
          <w:color w:val="auto"/>
        </w:rPr>
      </w:pPr>
    </w:p>
    <w:p>
      <w:pPr>
        <w:jc w:val="both"/>
        <w:ind w:left="-780" w:firstLine="1288"/>
        <w:spacing w:after="0" w:line="253" w:lineRule="auto"/>
        <w:tabs>
          <w:tab w:leader="none" w:pos="83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Without duplication of any obligation set forth in subsection (a), each Credit Party shall timely pay any Other Taxes to the relevant Governmental Authority (or, at the option of Agent, to Agent as reimbursement for Agent’s payment thereof).</w:t>
      </w:r>
    </w:p>
    <w:p>
      <w:pPr>
        <w:spacing w:after="0" w:line="185" w:lineRule="exact"/>
        <w:rPr>
          <w:rFonts w:ascii="Arial" w:cs="Arial" w:eastAsia="Arial" w:hAnsi="Arial"/>
          <w:sz w:val="22"/>
          <w:szCs w:val="22"/>
          <w:color w:val="auto"/>
        </w:rPr>
      </w:pPr>
    </w:p>
    <w:p>
      <w:pPr>
        <w:jc w:val="both"/>
        <w:ind w:left="-780" w:firstLine="1288"/>
        <w:spacing w:after="0" w:line="258" w:lineRule="auto"/>
        <w:tabs>
          <w:tab w:leader="none" w:pos="837" w:val="left"/>
        </w:tabs>
        <w:numPr>
          <w:ilvl w:val="0"/>
          <w:numId w:val="120"/>
        </w:numPr>
        <w:rPr>
          <w:rFonts w:ascii="Arial" w:cs="Arial" w:eastAsia="Arial" w:hAnsi="Arial"/>
          <w:sz w:val="21"/>
          <w:szCs w:val="21"/>
          <w:color w:val="auto"/>
        </w:rPr>
      </w:pPr>
      <w:r>
        <w:rPr>
          <w:rFonts w:ascii="Arial" w:cs="Arial" w:eastAsia="Arial" w:hAnsi="Arial"/>
          <w:sz w:val="21"/>
          <w:szCs w:val="21"/>
          <w:color w:val="auto"/>
        </w:rPr>
        <w:t xml:space="preserve">Each Credit Party shall, without duplication of any obligation set forth in subsection (a), jointly and severally indemnify and, within ten (10) days of demand therefor, pay Agent, each Co-Collateral Agent and each Lender for the full amount of Indemnified Taxes (including, any Indemnified Taxes imposed by any jurisdiction on amounts payable under this </w:t>
      </w:r>
      <w:r>
        <w:rPr>
          <w:rFonts w:ascii="Arial" w:cs="Arial" w:eastAsia="Arial" w:hAnsi="Arial"/>
          <w:sz w:val="21"/>
          <w:szCs w:val="21"/>
          <w:u w:val="single" w:color="auto"/>
          <w:color w:val="auto"/>
        </w:rPr>
        <w:t>Section 2.13</w:t>
      </w:r>
      <w:r>
        <w:rPr>
          <w:rFonts w:ascii="Arial" w:cs="Arial" w:eastAsia="Arial" w:hAnsi="Arial"/>
          <w:sz w:val="21"/>
          <w:szCs w:val="21"/>
          <w:color w:val="auto"/>
        </w:rPr>
        <w:t>) paid by (or on behalf of) Agent, such Co-Collateral Agent or such Lender as a result of payments made pursuant to this Agreement or any other Loan Document, as appropriate, and any reasonable expenses arising therefrom or with respect thereto, whether or not such Indemnified Taxes were correctly or legally asserted by the relevant Governmental Authority. A certificate as to the amount of such Taxes and evidence of payment thereof submitted to the Credit Parties shall be conclusive evidence, absent manifest error, of the amount due from the Credit Parties to Agent, such Co-Collateral Agent or such Lenders. Upon actually learning of the imposition of any such Taxes, Agent, such Co-Collateral Agent or such Lender, as the case may be, shall act in good faith to notify Borrower Representative of the imposition of such Taxes arising hereunder.</w:t>
      </w:r>
    </w:p>
    <w:p>
      <w:pPr>
        <w:spacing w:after="0" w:line="181" w:lineRule="exact"/>
        <w:rPr>
          <w:rFonts w:ascii="Arial" w:cs="Arial" w:eastAsia="Arial" w:hAnsi="Arial"/>
          <w:sz w:val="21"/>
          <w:szCs w:val="21"/>
          <w:color w:val="auto"/>
        </w:rPr>
      </w:pPr>
    </w:p>
    <w:p>
      <w:pPr>
        <w:jc w:val="both"/>
        <w:ind w:left="-780" w:firstLine="1288"/>
        <w:spacing w:after="0" w:line="294" w:lineRule="auto"/>
        <w:tabs>
          <w:tab w:leader="none" w:pos="835"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Any Lender that is entitled to an exemption from or reduction of withholding Tax with respect to payments made under this Agreement or any other Loan Documents shall deliver to Borrower Representative (with a copy to Agent), at the time or times reasonably requested by Borrower Representative or Agent, such properly completed and executed documentation reasonably requested by Borrower Representative or Agent as will permit such payments to be made without withholding or at a reduced rate of withholding. Without limiting the generality of the foregoing, each Lender and the successors and assignees of such Lender, that is a “United States person” within the meaning</w:t>
      </w:r>
    </w:p>
    <w:p>
      <w:pPr>
        <w:sectPr>
          <w:pgSz w:w="11900" w:h="16838" w:orient="portrait"/>
          <w:cols w:equalWidth="0" w:num="1">
            <w:col w:w="10120"/>
          </w:cols>
          <w:pgMar w:left="1440" w:top="1428" w:right="339" w:bottom="1440" w:gutter="0" w:footer="0" w:header="0"/>
        </w:sectPr>
      </w:pPr>
    </w:p>
    <w:bookmarkStart w:id="212" w:name="page213"/>
    <w:bookmarkEnd w:id="212"/>
    <w:p>
      <w:pPr>
        <w:jc w:val="both"/>
        <w:spacing w:after="0" w:line="284" w:lineRule="auto"/>
        <w:rPr>
          <w:sz w:val="20"/>
          <w:szCs w:val="20"/>
          <w:color w:val="auto"/>
        </w:rPr>
      </w:pPr>
      <w:r>
        <w:rPr>
          <w:rFonts w:ascii="Arial" w:cs="Arial" w:eastAsia="Arial" w:hAnsi="Arial"/>
          <w:sz w:val="19"/>
          <w:szCs w:val="19"/>
          <w:color w:val="auto"/>
        </w:rPr>
        <w:t>of section 7701(a)(30) of the IRC shall deliver to Borrower Representative (with a copy to Agent) a properly completed and executed IRS Form W-9 and such other documentation or information prescribed by applicable law or reasonably requested by Agent or Borrower Representative to (i) determine whether such Lender is subject to backup withholding or information reporting requirements and (ii) for Borrowers to comply with their obligations under FATCA. Each Lender, and the successors and assignees of such Lender, that is not a “United States person” as defined in section 7701(a)(30) of the IRC (“</w:t>
      </w:r>
      <w:r>
        <w:rPr>
          <w:rFonts w:ascii="Arial" w:cs="Arial" w:eastAsia="Arial" w:hAnsi="Arial"/>
          <w:sz w:val="19"/>
          <w:szCs w:val="19"/>
          <w:u w:val="single" w:color="auto"/>
          <w:color w:val="auto"/>
        </w:rPr>
        <w:t>Foreign Lender</w:t>
      </w:r>
      <w:r>
        <w:rPr>
          <w:rFonts w:ascii="Arial" w:cs="Arial" w:eastAsia="Arial" w:hAnsi="Arial"/>
          <w:sz w:val="19"/>
          <w:szCs w:val="19"/>
          <w:color w:val="auto"/>
        </w:rPr>
        <w:t>”) to whom payments to be made under this Agreement or under the Notes may be exempt from, or eligible for a reduced rate of, United States withholding tax (as applicable) shall, at the time or times prescribed by applicable law, provide to Borrower Representative (with a copy to Agent) a properly completed and executed IRS Form W-8ECI, Form W-8BEN, Form W-8BEN-E, Form W-8IMY or other applicable form, certificate (including, but not limited to, certification, if applicable, that such Foreign Lender is not a “bank,” a “10 percent shareholder,” or a “controlled foreign corporation” for purposes of the portfolio interest exemption of section 881(c) of the IRC (a “</w:t>
      </w:r>
      <w:r>
        <w:rPr>
          <w:rFonts w:ascii="Arial" w:cs="Arial" w:eastAsia="Arial" w:hAnsi="Arial"/>
          <w:sz w:val="19"/>
          <w:szCs w:val="19"/>
          <w:u w:val="single" w:color="auto"/>
          <w:color w:val="auto"/>
        </w:rPr>
        <w:t>Tax Compliance Certificate</w:t>
      </w:r>
      <w:r>
        <w:rPr>
          <w:rFonts w:ascii="Arial" w:cs="Arial" w:eastAsia="Arial" w:hAnsi="Arial"/>
          <w:sz w:val="19"/>
          <w:szCs w:val="19"/>
          <w:color w:val="auto"/>
        </w:rPr>
        <w:t>”)) or document prescribed by the IRS or the United States. Each Lender shall deliver to Borrowers and Agent (in such number of copies as shall be requested by such Borrower or Agent) on or prior to the date on which such Lender becomes a Lender under this Agreement (and from time to time thereafter upon the reasonable request of a Borrower or Agent), executed originals of any other form prescribed by applicable law as a basis for claiming exemption from or a reduction in U.S. federal withholding tax, duly completed, together with such supplementary documentation as may be prescribed by applicable law to permit Parent Borrower or Agent, as applicable, to determine the withholding or deduction required to be made. Notwithstanding anything to the contrary in this paragraph, the completion, execution, and submission of such documentation (other than (A) IRS Form W-9, (B) applicable IRS Form W-8, (C) a Tax Compliance Certificate, if applicable, and (D) any information or documentation reasonably requested by Parent Borrower or Agent in connection with FATCA (which, for this purpose shall include any amendments made to FATCA after the date hereof)) shall not be required if in the Lender’s reasonable judgment such completion, execution, or submission would subject such Lender to any material unreimbursed cost or expense or would materially prejudice the legal or commercial position of such Lender. Each Lender agrees that if any form or certification it previously delivered expires or becomes obsolete or inaccurate in any respect, it shall update such form or certification or promptly notify Parent Borrower and Agent in writing of its legal inability to do so.</w:t>
      </w:r>
    </w:p>
    <w:p>
      <w:pPr>
        <w:spacing w:after="0" w:line="165" w:lineRule="exact"/>
        <w:rPr>
          <w:sz w:val="20"/>
          <w:szCs w:val="20"/>
          <w:color w:val="auto"/>
        </w:rPr>
      </w:pPr>
    </w:p>
    <w:p>
      <w:pPr>
        <w:jc w:val="both"/>
        <w:ind w:firstLine="1288"/>
        <w:spacing w:after="0" w:line="259" w:lineRule="auto"/>
        <w:tabs>
          <w:tab w:leader="none" w:pos="1617" w:val="left"/>
        </w:tabs>
        <w:numPr>
          <w:ilvl w:val="0"/>
          <w:numId w:val="121"/>
        </w:numPr>
        <w:rPr>
          <w:rFonts w:ascii="Arial" w:cs="Arial" w:eastAsia="Arial" w:hAnsi="Arial"/>
          <w:sz w:val="21"/>
          <w:szCs w:val="21"/>
          <w:color w:val="auto"/>
        </w:rPr>
      </w:pPr>
      <w:r>
        <w:rPr>
          <w:rFonts w:ascii="Arial" w:cs="Arial" w:eastAsia="Arial" w:hAnsi="Arial"/>
          <w:sz w:val="21"/>
          <w:szCs w:val="21"/>
          <w:color w:val="auto"/>
        </w:rPr>
        <w:t xml:space="preserve">If Agent, any Co-Collateral Agent or any Lender, as applicable, determines, in its sole discretion, exercised in good faith, that it has received a refund of any Taxes as to which it has been indemnified by any Credit Party or with respect to which any Credit Party has paid additional amounts pursuant to this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it shall pay over such refund to such Credit Party (but only to the extent of indemnity payments made, or additional amounts paid, by such Credit Party under this </w:t>
      </w:r>
      <w:r>
        <w:rPr>
          <w:rFonts w:ascii="Arial" w:cs="Arial" w:eastAsia="Arial" w:hAnsi="Arial"/>
          <w:sz w:val="21"/>
          <w:szCs w:val="21"/>
          <w:u w:val="single" w:color="auto"/>
          <w:color w:val="auto"/>
        </w:rPr>
        <w:t>Section 2.13</w:t>
      </w:r>
      <w:r>
        <w:rPr>
          <w:rFonts w:ascii="Arial" w:cs="Arial" w:eastAsia="Arial" w:hAnsi="Arial"/>
          <w:sz w:val="21"/>
          <w:szCs w:val="21"/>
          <w:color w:val="auto"/>
        </w:rPr>
        <w:t xml:space="preserve"> with respect to the Taxes giving rise to such refund), net of all out-of-pocket expenses of Agent, such Co-Collateral Agent or Lender and without interest (other than any interest paid by the relevant Governmental Authority with respect to such refund). Such Credit Party, upon the request of Agent, such Co-Collateral Agent or Lender, shall repay to Agent, such Co-Collateral Agent or Lender the</w:t>
      </w:r>
    </w:p>
    <w:p>
      <w:pPr>
        <w:sectPr>
          <w:pgSz w:w="11900" w:h="16838" w:orient="portrait"/>
          <w:cols w:equalWidth="0" w:num="1">
            <w:col w:w="10900"/>
          </w:cols>
          <w:pgMar w:left="660" w:top="1428" w:right="339" w:bottom="1440" w:gutter="0" w:footer="0" w:header="0"/>
        </w:sectPr>
      </w:pPr>
    </w:p>
    <w:bookmarkStart w:id="213" w:name="page214"/>
    <w:bookmarkEnd w:id="213"/>
    <w:p>
      <w:pPr>
        <w:jc w:val="both"/>
        <w:spacing w:after="0" w:line="258" w:lineRule="auto"/>
        <w:rPr>
          <w:sz w:val="20"/>
          <w:szCs w:val="20"/>
          <w:color w:val="auto"/>
        </w:rPr>
      </w:pPr>
      <w:r>
        <w:rPr>
          <w:rFonts w:ascii="Arial" w:cs="Arial" w:eastAsia="Arial" w:hAnsi="Arial"/>
          <w:sz w:val="21"/>
          <w:szCs w:val="21"/>
          <w:color w:val="auto"/>
        </w:rPr>
        <w:t>amount paid over pursuant to this paragraph (e) (plus any penalties, interest or other charges imposed by the relevant Governmental Authority) in the event that Agent, such Co-Collateral Agent or Lender is required to repay such refund to such Governmental Authority. Notwithstanding anything to the contrary in this paragraph (e), in no event will Agent, a Co-Collateral Agent or Lender be required to pay any amount to a Credit Party pursuant to this paragraph (e) the payment of which would place Agent, such Co-Collateral Agent or Lender in a less favorable net after-Tax position than Agent, such Co-Collateral Agent or Lender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Agent, any Co-Collateral Agent or Lender to make available its Tax returns (or any other information relating to its Taxes that it deems confidential) to a Credit Party or any other Person.</w:t>
      </w:r>
    </w:p>
    <w:p>
      <w:pPr>
        <w:spacing w:after="0" w:line="185" w:lineRule="exact"/>
        <w:rPr>
          <w:sz w:val="20"/>
          <w:szCs w:val="20"/>
          <w:color w:val="auto"/>
        </w:rPr>
      </w:pPr>
    </w:p>
    <w:p>
      <w:pPr>
        <w:jc w:val="both"/>
        <w:ind w:firstLine="1288"/>
        <w:spacing w:after="0" w:line="287" w:lineRule="auto"/>
        <w:tabs>
          <w:tab w:leader="none" w:pos="162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Each Lender shall severally indemnify Agent and each Co-Collateral Agent, within ten (10) days after demand therefor, for (i) any Indemnified Taxes attributable to such Lender (but only to the extent that a Credit Party has not already indemnified Agent or such Co-Collateral Agent for such Indemnified Taxes and without limiting the obligation of any Credit Party to do so), (ii) any Taxes attributable to such Lender’s failure to comply with the provisions of </w:t>
      </w:r>
      <w:r>
        <w:rPr>
          <w:rFonts w:ascii="Arial" w:cs="Arial" w:eastAsia="Arial" w:hAnsi="Arial"/>
          <w:sz w:val="19"/>
          <w:szCs w:val="19"/>
          <w:u w:val="single" w:color="auto"/>
          <w:color w:val="auto"/>
        </w:rPr>
        <w:t>Section 11.1(c)</w:t>
      </w:r>
      <w:r>
        <w:rPr>
          <w:rFonts w:ascii="Arial" w:cs="Arial" w:eastAsia="Arial" w:hAnsi="Arial"/>
          <w:sz w:val="19"/>
          <w:szCs w:val="19"/>
          <w:color w:val="auto"/>
        </w:rPr>
        <w:t xml:space="preserve"> relating to the maintenance of a Participant Register and (iii) any Excluded Taxes attributable to such Lender, in each case, that are payable or paid by Agent or such Co-Collateral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Agent or such Co-Collateral Agent shall be conclusive absent manifest error. Each Lender hereby authorizes Agent to set off and apply any and all amounts at any time owing to such Lender under any Loan Document or otherwise payable by Agent to the Lender from any other source against any amount due to Agent under this paragraph (f).</w:t>
      </w:r>
    </w:p>
    <w:p>
      <w:pPr>
        <w:spacing w:after="0" w:line="163" w:lineRule="exact"/>
        <w:rPr>
          <w:rFonts w:ascii="Arial" w:cs="Arial" w:eastAsia="Arial" w:hAnsi="Arial"/>
          <w:sz w:val="19"/>
          <w:szCs w:val="19"/>
          <w:color w:val="auto"/>
        </w:rPr>
      </w:pPr>
    </w:p>
    <w:p>
      <w:pPr>
        <w:ind w:firstLine="1288"/>
        <w:spacing w:after="0" w:line="263" w:lineRule="auto"/>
        <w:tabs>
          <w:tab w:leader="none" w:pos="161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2.13</w:t>
      </w:r>
      <w:r>
        <w:rPr>
          <w:rFonts w:ascii="Arial" w:cs="Arial" w:eastAsia="Arial" w:hAnsi="Arial"/>
          <w:sz w:val="22"/>
          <w:szCs w:val="22"/>
          <w:color w:val="auto"/>
        </w:rPr>
        <w:t xml:space="preserve"> shall survive the termination of this Agreement and repayment of all Obligations. Each L/C Issuer shall be deemed to be a Lender for purposes of this </w:t>
      </w:r>
      <w:r>
        <w:rPr>
          <w:rFonts w:ascii="Arial" w:cs="Arial" w:eastAsia="Arial" w:hAnsi="Arial"/>
          <w:sz w:val="22"/>
          <w:szCs w:val="22"/>
          <w:u w:val="single" w:color="auto"/>
          <w:color w:val="auto"/>
        </w:rPr>
        <w:t>Section 2.13</w:t>
      </w:r>
      <w:r>
        <w:rPr>
          <w:rFonts w:ascii="Arial" w:cs="Arial" w:eastAsia="Arial" w:hAnsi="Arial"/>
          <w:sz w:val="22"/>
          <w:szCs w:val="22"/>
          <w:color w:val="auto"/>
        </w:rPr>
        <w:t>.</w:t>
      </w:r>
    </w:p>
    <w:p>
      <w:pPr>
        <w:spacing w:after="0" w:line="175"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u w:val="single" w:color="auto"/>
          <w:color w:val="auto"/>
        </w:rPr>
        <w:t>Capital Adequacy; Increased Costs; Illegality</w:t>
      </w:r>
      <w:r>
        <w:rPr>
          <w:rFonts w:ascii="Arial" w:cs="Arial" w:eastAsia="Arial" w:hAnsi="Arial"/>
          <w:sz w:val="19"/>
          <w:szCs w:val="19"/>
          <w:color w:val="auto"/>
        </w:rPr>
        <w:t>.</w:t>
      </w:r>
    </w:p>
    <w:p>
      <w:pPr>
        <w:spacing w:after="0" w:line="220" w:lineRule="exact"/>
        <w:rPr>
          <w:sz w:val="20"/>
          <w:szCs w:val="20"/>
          <w:color w:val="auto"/>
        </w:rPr>
      </w:pPr>
    </w:p>
    <w:p>
      <w:pPr>
        <w:jc w:val="both"/>
        <w:ind w:firstLine="1288"/>
        <w:spacing w:after="0" w:line="292" w:lineRule="auto"/>
        <w:tabs>
          <w:tab w:leader="none" w:pos="1617"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If any Lender shall have determined that any law, treaty, governmental (or quasi-governmental) rule, regulation, guideline or order regarding capital adequacy, liquidity, reserve requirements or similar requirements or compliance by any Lender with any request or directive regarding capital adequacy, liquidity, reserve requirements or similar requirements (whether or not having the force of law), in each case, adopted after the Amendment No. 3 Effective Date, from any central bank or other Governmental Authority increases or would have the effect of increasing the amount of capital, reserves or other funds required to be maintained by such Lender and thereby reducing the rate of return on such Lender’s capital as a consequence of its obligations hereunder, then the U.S. Borrowers or</w:t>
      </w:r>
    </w:p>
    <w:p>
      <w:pPr>
        <w:sectPr>
          <w:pgSz w:w="11900" w:h="16838" w:orient="portrait"/>
          <w:cols w:equalWidth="0" w:num="1">
            <w:col w:w="10900"/>
          </w:cols>
          <w:pgMar w:left="660" w:top="1428" w:right="339" w:bottom="1440" w:gutter="0" w:footer="0" w:header="0"/>
        </w:sectPr>
      </w:pPr>
    </w:p>
    <w:bookmarkStart w:id="214" w:name="page215"/>
    <w:bookmarkEnd w:id="214"/>
    <w:p>
      <w:pPr>
        <w:jc w:val="both"/>
        <w:spacing w:after="0" w:line="248" w:lineRule="auto"/>
        <w:rPr>
          <w:sz w:val="20"/>
          <w:szCs w:val="20"/>
          <w:color w:val="auto"/>
        </w:rPr>
      </w:pPr>
      <w:r>
        <w:rPr>
          <w:rFonts w:ascii="Arial" w:cs="Arial" w:eastAsia="Arial" w:hAnsi="Arial"/>
          <w:sz w:val="22"/>
          <w:szCs w:val="22"/>
          <w:color w:val="auto"/>
        </w:rPr>
        <w:t>the Canadian Borrowers, as the case may be, shall from time to time upon demand by such Lender (with a copy of such demand to Agent) pay to Agent, for the account of such Lender, additional amounts sufficient to compensate such Lender for such reduction. A certificate as to the amount of that reduction and setting forth in reasonable detail the basis of the computation thereof submitted by such Lender to Borrower Representative and to Agent shall, absent manifest error, be final, conclusive and binding for all purposes.</w:t>
      </w:r>
    </w:p>
    <w:p>
      <w:pPr>
        <w:spacing w:after="0" w:line="192" w:lineRule="exact"/>
        <w:rPr>
          <w:sz w:val="20"/>
          <w:szCs w:val="20"/>
          <w:color w:val="auto"/>
        </w:rPr>
      </w:pPr>
    </w:p>
    <w:p>
      <w:pPr>
        <w:jc w:val="both"/>
        <w:ind w:firstLine="1288"/>
        <w:spacing w:after="0" w:line="286" w:lineRule="auto"/>
        <w:tabs>
          <w:tab w:leader="none" w:pos="1615"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If, due to either (i) the introduction of or any change in any law or regulation (or any change in the interpretation thereof) or (ii) the compliance with any guideline or request from any central bank or other Governmental Authority (whether or not having the force of law), in each case adopted after the Amendment No. 3 Effective Date, there shall be any increase in the cost to any Lender of agreeing to make or making, funding or maintaining, continuing, converting to any LIBOR Loan, or there shall be a Tax (other than Indemnified Taxes or Excluded Taxes) on any Recipient on its loans, loan principal, letters of credit, commitments, or other obligations, or its deposits, reserves, or other liabilities, or capital attributable thereto, then the U.S. Borrowers or the Canadian Borrowers, as the case may be, shall from time to time, upon demand by such Lender (with a copy of such demand to Agent), pay to Agent for the account of such Lender additional amounts sufficient to compensate such Lender for such increased cost. A certificate setting forth in reasonable detail the amount of such increased cost and the basis of the calculation thereof, submitted to Borrower Representative and to Agent by such Lender, shall, absent manifest error, be final, conclusive and binding for all purposes. Each Lender agrees that, as promptly as practicable after it becomes aware of any circumstances referred to above which would result in any such increased cost, the affected Lender shall, to the extent not inconsistent with such Lender’s internal policies of general application, use reasonable commercial efforts to minimize costs and expenses incurred by it and payable to it by Borrowers pursuant to this </w:t>
      </w:r>
      <w:r>
        <w:rPr>
          <w:rFonts w:ascii="Arial" w:cs="Arial" w:eastAsia="Arial" w:hAnsi="Arial"/>
          <w:sz w:val="19"/>
          <w:szCs w:val="19"/>
          <w:u w:val="single" w:color="auto"/>
          <w:color w:val="auto"/>
        </w:rPr>
        <w:t>Section 2.14(b)</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firstLine="1288"/>
        <w:spacing w:after="0" w:line="287" w:lineRule="auto"/>
        <w:tabs>
          <w:tab w:leader="none" w:pos="1617" w:val="left"/>
        </w:tabs>
        <w:numPr>
          <w:ilvl w:val="0"/>
          <w:numId w:val="124"/>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if the introduction of or any change in any law or regulation (or any change in the interpretation thereof) shall make it unlawful, or any central bank or other Governmental Authority shall assert that it is unlawful, for any Lender to agree to make or to make or to continue to fund or maintain any LIBOR Loan, as contemplated by this Agreement, then, unless that Lender is able to make or to continue to fund or to maintain such LIBOR Loan at another branch or office of that Lender without, in that Lender’s reasonable opinion, materially adversely affecting it or its Loans or the income obtained therefrom, on notice thereof and demand therefor by such Lender to Borrower Representative through Agent, (i) the obligation of such Lender to agree to make or to make or to continue to fund or maintain such LIBOR Loans, as the case may be, shall terminate and (ii) each U.S. Borrower or Canadian Borrower, as the case may be, shall forthwith prepay in full all outstanding LIBOR Loans owing by such Borrower to such Lender, together with interest accrued thereon, unless such Lender may maintain such LIBOR Loans through the end of such LIBOR Period under applicable law or unless Borrower Representative on behalf of such Borrower, within five (5) Business Days after the delivery of such notice and demand, converts all LIBOR Loans into Base Rate Loans. Notwithstanding the foregoing, if Borrower provides Agent and the Affected Lender</w:t>
      </w:r>
    </w:p>
    <w:p>
      <w:pPr>
        <w:sectPr>
          <w:pgSz w:w="11900" w:h="16838" w:orient="portrait"/>
          <w:cols w:equalWidth="0" w:num="1">
            <w:col w:w="10900"/>
          </w:cols>
          <w:pgMar w:left="660" w:top="1428" w:right="339" w:bottom="1440" w:gutter="0" w:footer="0" w:header="0"/>
        </w:sectPr>
      </w:pPr>
    </w:p>
    <w:bookmarkStart w:id="215" w:name="page216"/>
    <w:bookmarkEnd w:id="215"/>
    <w:p>
      <w:pPr>
        <w:jc w:val="both"/>
        <w:spacing w:after="0" w:line="263" w:lineRule="auto"/>
        <w:rPr>
          <w:sz w:val="20"/>
          <w:szCs w:val="20"/>
          <w:color w:val="auto"/>
        </w:rPr>
      </w:pPr>
      <w:r>
        <w:rPr>
          <w:rFonts w:ascii="Arial" w:cs="Arial" w:eastAsia="Arial" w:hAnsi="Arial"/>
          <w:sz w:val="21"/>
          <w:szCs w:val="21"/>
          <w:color w:val="auto"/>
        </w:rPr>
        <w:t>notice that it seeks to replace such Affected Lender in accordance with Section 2.14(d), Borrower’s obligation to prepay Loans pursuant to this Section 2.14(c) shall be suspended; provided that if no Replacement Lender is found within the time provided for in Section 2.14(d), Borrower shall have five Business Days to prepay such Affected Lender’s LIBOR Loans. In the event Borrower relies on this provision to suspend its obligation to prepay LIBOR Loans, such LIBOR Loans shall be converted to Base Rate Loans at the end of the applicable LIBOR Period.</w:t>
      </w:r>
    </w:p>
    <w:p>
      <w:pPr>
        <w:spacing w:after="0" w:line="175" w:lineRule="exact"/>
        <w:rPr>
          <w:sz w:val="20"/>
          <w:szCs w:val="20"/>
          <w:color w:val="auto"/>
        </w:rPr>
      </w:pPr>
    </w:p>
    <w:p>
      <w:pPr>
        <w:jc w:val="both"/>
        <w:ind w:firstLine="1288"/>
        <w:spacing w:after="0" w:line="284" w:lineRule="auto"/>
        <w:tabs>
          <w:tab w:leader="none" w:pos="161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Within thirty (30) days after receipt by Borrower Representative of written notice and demand from any Lender (an “</w:t>
      </w:r>
      <w:r>
        <w:rPr>
          <w:rFonts w:ascii="Arial" w:cs="Arial" w:eastAsia="Arial" w:hAnsi="Arial"/>
          <w:sz w:val="19"/>
          <w:szCs w:val="19"/>
          <w:u w:val="single" w:color="auto"/>
          <w:color w:val="auto"/>
        </w:rPr>
        <w:t>Affected Lender</w:t>
      </w:r>
      <w:r>
        <w:rPr>
          <w:rFonts w:ascii="Arial" w:cs="Arial" w:eastAsia="Arial" w:hAnsi="Arial"/>
          <w:sz w:val="19"/>
          <w:szCs w:val="19"/>
          <w:color w:val="auto"/>
        </w:rPr>
        <w:t xml:space="preserve">”) for payment of additional amounts or increased costs as provided in </w:t>
      </w:r>
      <w:r>
        <w:rPr>
          <w:rFonts w:ascii="Arial" w:cs="Arial" w:eastAsia="Arial" w:hAnsi="Arial"/>
          <w:sz w:val="19"/>
          <w:szCs w:val="19"/>
          <w:u w:val="single" w:color="auto"/>
          <w:color w:val="auto"/>
        </w:rPr>
        <w:t>Sections 2.13(a)</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2.14(b)</w:t>
      </w:r>
      <w:r>
        <w:rPr>
          <w:rFonts w:ascii="Arial" w:cs="Arial" w:eastAsia="Arial" w:hAnsi="Arial"/>
          <w:sz w:val="19"/>
          <w:szCs w:val="19"/>
          <w:color w:val="auto"/>
        </w:rPr>
        <w:t>, or notice and demand that Borrower prepay Loans pursuant to Section 2.14(c), Borrower Representative may, at its option, notify Agent and such Affected Lender of its intention to replace the Affected Lender. So long as no Event of Default has occurred and is continuing, Borrower Representative, with the consent of Agent, may obtain, at Borrowers’ expense, a replacement Lender (“</w:t>
      </w:r>
      <w:r>
        <w:rPr>
          <w:rFonts w:ascii="Arial" w:cs="Arial" w:eastAsia="Arial" w:hAnsi="Arial"/>
          <w:sz w:val="19"/>
          <w:szCs w:val="19"/>
          <w:u w:val="single" w:color="auto"/>
          <w:color w:val="auto"/>
        </w:rPr>
        <w:t>Replacement Lender</w:t>
      </w:r>
      <w:r>
        <w:rPr>
          <w:rFonts w:ascii="Arial" w:cs="Arial" w:eastAsia="Arial" w:hAnsi="Arial"/>
          <w:sz w:val="19"/>
          <w:szCs w:val="19"/>
          <w:color w:val="auto"/>
        </w:rPr>
        <w:t xml:space="preserve">”) for the Affected Lender, which Replacement Lender must be reasonably satisfactory to Agent. If Borrowers obtain a Replacement Lender within ninety (90) days following notice of their intention to do so, the Affected Lender must sell and assign its Loans and Commitments to such Replacement Lender for an amount equal to the principal balance of all Loans held by the Affected Lender and all accrued interest and Fees with respect thereto through the date of such sale and such assignment shall not require the payment of an assignment fee to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Borrowers shall have reimbursed such Affected Lender for the additional amounts or increased costs that it is entitled to receive under this Agreement through the date of such sale and assignment. Notwithstanding the foregoing, Borrowers shall not have the right to obtain a Replacement Lender if the Affected Lender rescinds its demand for increased costs or additional amounts within 15 days following its receipt of Borrowers’ notice of intention to replace such Affected Lender. Furthermore, if Borrowers give a notice of intention to replace and do not so replace such Affected Lender within ninety (90) days thereafter, Borrowers’ rights under this </w:t>
      </w:r>
      <w:r>
        <w:rPr>
          <w:rFonts w:ascii="Arial" w:cs="Arial" w:eastAsia="Arial" w:hAnsi="Arial"/>
          <w:sz w:val="19"/>
          <w:szCs w:val="19"/>
          <w:u w:val="single" w:color="auto"/>
          <w:color w:val="auto"/>
        </w:rPr>
        <w:t>Section 2.14(d)</w:t>
      </w:r>
      <w:r>
        <w:rPr>
          <w:rFonts w:ascii="Arial" w:cs="Arial" w:eastAsia="Arial" w:hAnsi="Arial"/>
          <w:sz w:val="19"/>
          <w:szCs w:val="19"/>
          <w:color w:val="auto"/>
        </w:rPr>
        <w:t xml:space="preserve"> shall terminate with respect to such Affected Lender for such request for additional amounts or increased costs and Borrowers shall promptly pay all increased costs or additional amounts demanded by such Affected Lender pursuant to </w:t>
      </w:r>
      <w:r>
        <w:rPr>
          <w:rFonts w:ascii="Arial" w:cs="Arial" w:eastAsia="Arial" w:hAnsi="Arial"/>
          <w:sz w:val="19"/>
          <w:szCs w:val="19"/>
          <w:u w:val="single" w:color="auto"/>
          <w:color w:val="auto"/>
        </w:rPr>
        <w:t>Sections 2.13(a)</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2.14(b)</w:t>
      </w:r>
      <w:r>
        <w:rPr>
          <w:rFonts w:ascii="Arial" w:cs="Arial" w:eastAsia="Arial" w:hAnsi="Arial"/>
          <w:sz w:val="19"/>
          <w:szCs w:val="19"/>
          <w:color w:val="auto"/>
        </w:rPr>
        <w:t xml:space="preserve">. An exercise of Borrowers’ option under this </w:t>
      </w:r>
      <w:r>
        <w:rPr>
          <w:rFonts w:ascii="Arial" w:cs="Arial" w:eastAsia="Arial" w:hAnsi="Arial"/>
          <w:sz w:val="19"/>
          <w:szCs w:val="19"/>
          <w:u w:val="single" w:color="auto"/>
          <w:color w:val="auto"/>
        </w:rPr>
        <w:t>Section 2.14(d)</w:t>
      </w:r>
      <w:r>
        <w:rPr>
          <w:rFonts w:ascii="Arial" w:cs="Arial" w:eastAsia="Arial" w:hAnsi="Arial"/>
          <w:sz w:val="19"/>
          <w:szCs w:val="19"/>
          <w:color w:val="auto"/>
        </w:rPr>
        <w:t xml:space="preserve"> shall not suspend Borrowers’ obligation to pay such increased costs or additional amounts demanded by such Affected Lender pursuant to </w:t>
      </w:r>
      <w:r>
        <w:rPr>
          <w:rFonts w:ascii="Arial" w:cs="Arial" w:eastAsia="Arial" w:hAnsi="Arial"/>
          <w:sz w:val="19"/>
          <w:szCs w:val="19"/>
          <w:u w:val="single" w:color="auto"/>
          <w:color w:val="auto"/>
        </w:rPr>
        <w:t>Sections 2.13(a)</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2.14(b)</w:t>
      </w:r>
      <w:r>
        <w:rPr>
          <w:rFonts w:ascii="Arial" w:cs="Arial" w:eastAsia="Arial" w:hAnsi="Arial"/>
          <w:sz w:val="19"/>
          <w:szCs w:val="19"/>
          <w:color w:val="auto"/>
        </w:rPr>
        <w:t xml:space="preserve"> until such Affected Lender is replaced.</w:t>
      </w:r>
    </w:p>
    <w:p>
      <w:pPr>
        <w:spacing w:after="0" w:line="175" w:lineRule="exact"/>
        <w:rPr>
          <w:rFonts w:ascii="Arial" w:cs="Arial" w:eastAsia="Arial" w:hAnsi="Arial"/>
          <w:sz w:val="19"/>
          <w:szCs w:val="19"/>
          <w:color w:val="auto"/>
        </w:rPr>
      </w:pPr>
    </w:p>
    <w:p>
      <w:pPr>
        <w:jc w:val="both"/>
        <w:ind w:firstLine="1288"/>
        <w:spacing w:after="0" w:line="294" w:lineRule="auto"/>
        <w:tabs>
          <w:tab w:leader="none" w:pos="1617" w:val="left"/>
        </w:tabs>
        <w:numPr>
          <w:ilvl w:val="0"/>
          <w:numId w:val="125"/>
        </w:numPr>
        <w:rPr>
          <w:rFonts w:ascii="Arial" w:cs="Arial" w:eastAsia="Arial" w:hAnsi="Arial"/>
          <w:sz w:val="19"/>
          <w:szCs w:val="19"/>
          <w:color w:val="auto"/>
        </w:rPr>
      </w:pPr>
      <w:r>
        <w:rPr>
          <w:rFonts w:ascii="Arial" w:cs="Arial" w:eastAsia="Arial" w:hAnsi="Arial"/>
          <w:sz w:val="19"/>
          <w:szCs w:val="19"/>
          <w:color w:val="auto"/>
        </w:rPr>
        <w:t>It is understood and agreed that (x) the Dodd-Frank Wall Street Reform and Consumer Protection Act and all requests, guidelines or directives in connection therewith (collectively, the “</w:t>
      </w:r>
      <w:r>
        <w:rPr>
          <w:rFonts w:ascii="Arial" w:cs="Arial" w:eastAsia="Arial" w:hAnsi="Arial"/>
          <w:sz w:val="19"/>
          <w:szCs w:val="19"/>
          <w:u w:val="single" w:color="auto"/>
          <w:color w:val="auto"/>
        </w:rPr>
        <w:t>Dodd-Frank Act</w:t>
      </w:r>
      <w:r>
        <w:rPr>
          <w:rFonts w:ascii="Arial" w:cs="Arial" w:eastAsia="Arial" w:hAnsi="Arial"/>
          <w:sz w:val="19"/>
          <w:szCs w:val="19"/>
          <w:color w:val="auto"/>
        </w:rPr>
        <w:t xml:space="preserve">”) are deemed to have been adopted and gone into effect after the date of this Agreement to the extent necessary to provide Lenders with the benefit of this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with respect to any “change in law or regulation” resulting from the Dodd-Frank Act and (y) all requests, rules, guidelines or directives promulgated by the Bank for International Settlements, the Basel Committee on Banking Supervision (or any successor or similar authority) or the United States or foreign regulatory authorities, in each</w:t>
      </w:r>
    </w:p>
    <w:p>
      <w:pPr>
        <w:sectPr>
          <w:pgSz w:w="11900" w:h="16838" w:orient="portrait"/>
          <w:cols w:equalWidth="0" w:num="1">
            <w:col w:w="10900"/>
          </w:cols>
          <w:pgMar w:left="660" w:top="1428" w:right="339" w:bottom="1440" w:gutter="0" w:footer="0" w:header="0"/>
        </w:sectPr>
      </w:pPr>
    </w:p>
    <w:bookmarkStart w:id="216" w:name="page217"/>
    <w:bookmarkEnd w:id="216"/>
    <w:p>
      <w:pPr>
        <w:jc w:val="both"/>
        <w:spacing w:after="0" w:line="253" w:lineRule="auto"/>
        <w:rPr>
          <w:sz w:val="20"/>
          <w:szCs w:val="20"/>
          <w:color w:val="auto"/>
        </w:rPr>
      </w:pPr>
      <w:r>
        <w:rPr>
          <w:rFonts w:ascii="Arial" w:cs="Arial" w:eastAsia="Arial" w:hAnsi="Arial"/>
          <w:sz w:val="22"/>
          <w:szCs w:val="22"/>
          <w:color w:val="auto"/>
        </w:rPr>
        <w:t xml:space="preserve">case pursuant to Basel III, shall, for the purposes of this Agreement, be deemed to have been adopted and gone into effect after the date of this Agreement to the extent necessary to provide Lenders with the benefit of this </w:t>
      </w:r>
      <w:r>
        <w:rPr>
          <w:rFonts w:ascii="Arial" w:cs="Arial" w:eastAsia="Arial" w:hAnsi="Arial"/>
          <w:sz w:val="22"/>
          <w:szCs w:val="22"/>
          <w:u w:val="single" w:color="auto"/>
          <w:color w:val="auto"/>
        </w:rPr>
        <w:t>Section 2.14</w:t>
      </w:r>
      <w:r>
        <w:rPr>
          <w:rFonts w:ascii="Arial" w:cs="Arial" w:eastAsia="Arial" w:hAnsi="Arial"/>
          <w:sz w:val="22"/>
          <w:szCs w:val="22"/>
          <w:color w:val="auto"/>
        </w:rPr>
        <w:t xml:space="preserve"> with respect to any “change in law or regulation” resulting from Basel III.</w:t>
      </w:r>
    </w:p>
    <w:p>
      <w:pPr>
        <w:spacing w:after="0" w:line="185" w:lineRule="exact"/>
        <w:rPr>
          <w:sz w:val="20"/>
          <w:szCs w:val="20"/>
          <w:color w:val="auto"/>
        </w:rPr>
      </w:pPr>
    </w:p>
    <w:p>
      <w:pPr>
        <w:jc w:val="both"/>
        <w:ind w:firstLine="1288"/>
        <w:spacing w:after="0" w:line="260" w:lineRule="auto"/>
        <w:tabs>
          <w:tab w:leader="none" w:pos="162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 xml:space="preserve">No Lender shall request compensation under </w:t>
      </w:r>
      <w:r>
        <w:rPr>
          <w:rFonts w:ascii="Arial" w:cs="Arial" w:eastAsia="Arial" w:hAnsi="Arial"/>
          <w:sz w:val="21"/>
          <w:szCs w:val="21"/>
          <w:u w:val="single" w:color="auto"/>
          <w:color w:val="auto"/>
        </w:rPr>
        <w:t>Section 2.14(a)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hereof unless such Lender is generally requesting similar compensation from its borrowers with similar provisions in their loan or credit documents. No Borrower shall be required to compensate a Lender for any increased costs incurred or reduced rate of return suffered more than six months prior to the date that the Lender notifies Borrower Representative of the change in law giving rise to such increased costs or reduced return and of such Lender’s intention to claim compensation therefor;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to the extent the change is law is retroactive to a date that is prior to the date such change in law is enacted, such six months period shall commence on the date of enactment of such change in law.</w:t>
      </w:r>
    </w:p>
    <w:p>
      <w:pPr>
        <w:spacing w:after="0" w:line="180" w:lineRule="exact"/>
        <w:rPr>
          <w:rFonts w:ascii="Arial" w:cs="Arial" w:eastAsia="Arial" w:hAnsi="Arial"/>
          <w:sz w:val="21"/>
          <w:szCs w:val="21"/>
          <w:color w:val="auto"/>
        </w:rPr>
      </w:pPr>
    </w:p>
    <w:p>
      <w:pPr>
        <w:jc w:val="both"/>
        <w:ind w:firstLine="1288"/>
        <w:spacing w:after="0" w:line="290" w:lineRule="auto"/>
        <w:tabs>
          <w:tab w:leader="none" w:pos="161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Within thirty (30) days after receipt by Borrower Representative of written notice and demand from any Affected Lender for payment of additional amounts or increased costs as provided in </w:t>
      </w:r>
      <w:r>
        <w:rPr>
          <w:rFonts w:ascii="Arial" w:cs="Arial" w:eastAsia="Arial" w:hAnsi="Arial"/>
          <w:sz w:val="19"/>
          <w:szCs w:val="19"/>
          <w:u w:val="single" w:color="auto"/>
          <w:color w:val="auto"/>
        </w:rPr>
        <w:t>Sections 2.13(a)</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2.14(b)</w:t>
      </w:r>
      <w:r>
        <w:rPr>
          <w:rFonts w:ascii="Arial" w:cs="Arial" w:eastAsia="Arial" w:hAnsi="Arial"/>
          <w:sz w:val="19"/>
          <w:szCs w:val="19"/>
          <w:color w:val="auto"/>
        </w:rPr>
        <w:t xml:space="preserve">, then such Lender shall (at Borrower Representative’s request) use reasonable efforts to designate a different lending office for funding or booking its Loans or to assign its rights and obligations hereunder to another of its offices, branches, or affiliates, if, in the good-faith judgment of such Lender, such designation or assignment (i) would eliminate or reduce amounts payable pursuant to </w:t>
      </w:r>
      <w:r>
        <w:rPr>
          <w:rFonts w:ascii="Arial" w:cs="Arial" w:eastAsia="Arial" w:hAnsi="Arial"/>
          <w:sz w:val="19"/>
          <w:szCs w:val="19"/>
          <w:u w:val="single" w:color="auto"/>
          <w:color w:val="auto"/>
        </w:rPr>
        <w:t>Sections 2.13(a)</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2.13(b)</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2.14(b)</w:t>
      </w:r>
      <w:r>
        <w:rPr>
          <w:rFonts w:ascii="Arial" w:cs="Arial" w:eastAsia="Arial" w:hAnsi="Arial"/>
          <w:sz w:val="19"/>
          <w:szCs w:val="19"/>
          <w:color w:val="auto"/>
        </w:rPr>
        <w:t>, as the case may be, in the future, and (ii) would not subject such Lender to any unreimbursed cost or expense and would not otherwise be disadvantageous to such Lender. Borrowers shall pay all reasonable costs and expenses incurred by any Lender in connection with any such designation or assignment.</w:t>
      </w:r>
    </w:p>
    <w:p>
      <w:pPr>
        <w:spacing w:after="0" w:line="156"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19"/>
          <w:szCs w:val="19"/>
          <w:u w:val="single" w:color="auto"/>
          <w:color w:val="auto"/>
        </w:rPr>
        <w:t>Inability to Determine Rates</w:t>
      </w:r>
      <w:r>
        <w:rPr>
          <w:rFonts w:ascii="Arial" w:cs="Arial" w:eastAsia="Arial" w:hAnsi="Arial"/>
          <w:sz w:val="19"/>
          <w:szCs w:val="19"/>
          <w:color w:val="auto"/>
        </w:rPr>
        <w:t>.</w:t>
      </w:r>
    </w:p>
    <w:p>
      <w:pPr>
        <w:spacing w:after="0" w:line="220" w:lineRule="exact"/>
        <w:rPr>
          <w:sz w:val="20"/>
          <w:szCs w:val="20"/>
          <w:color w:val="auto"/>
        </w:rPr>
      </w:pPr>
    </w:p>
    <w:p>
      <w:pPr>
        <w:jc w:val="both"/>
        <w:ind w:firstLine="1288"/>
        <w:spacing w:after="0" w:line="250" w:lineRule="auto"/>
        <w:tabs>
          <w:tab w:leader="none" w:pos="1617" w:val="left"/>
        </w:tabs>
        <w:numPr>
          <w:ilvl w:val="0"/>
          <w:numId w:val="127"/>
        </w:numPr>
        <w:rPr>
          <w:rFonts w:ascii="Arial" w:cs="Arial" w:eastAsia="Arial" w:hAnsi="Arial"/>
          <w:sz w:val="22"/>
          <w:szCs w:val="22"/>
          <w:color w:val="auto"/>
        </w:rPr>
      </w:pPr>
      <w:r>
        <w:rPr>
          <w:rFonts w:ascii="Arial" w:cs="Arial" w:eastAsia="Arial" w:hAnsi="Arial"/>
          <w:sz w:val="22"/>
          <w:szCs w:val="22"/>
          <w:color w:val="auto"/>
        </w:rPr>
        <w:t>Notwithstanding anything to the contrary in this Agreement or any other Loan Documents, if Agent determines (which determination shall be conclusive absent manifest error and made by notice to Parent Borrower), or Parent Borrower or Requisite Lenders notify Agent (with, in the case of the Requisite Lenders, a copy to Parent Borrower) that Parent Borrower or Requisite Lenders (as applicable) have determined, that:</w:t>
      </w:r>
    </w:p>
    <w:p>
      <w:pPr>
        <w:spacing w:after="0" w:line="187" w:lineRule="exact"/>
        <w:rPr>
          <w:rFonts w:ascii="Arial" w:cs="Arial" w:eastAsia="Arial" w:hAnsi="Arial"/>
          <w:sz w:val="22"/>
          <w:szCs w:val="22"/>
          <w:color w:val="auto"/>
        </w:rPr>
      </w:pPr>
    </w:p>
    <w:p>
      <w:pPr>
        <w:jc w:val="both"/>
        <w:ind w:firstLine="1732"/>
        <w:spacing w:after="0" w:line="302" w:lineRule="auto"/>
        <w:tabs>
          <w:tab w:leader="none" w:pos="2268" w:val="left"/>
        </w:tabs>
        <w:numPr>
          <w:ilvl w:val="1"/>
          <w:numId w:val="127"/>
        </w:numPr>
        <w:rPr>
          <w:rFonts w:ascii="Arial" w:cs="Arial" w:eastAsia="Arial" w:hAnsi="Arial"/>
          <w:sz w:val="19"/>
          <w:szCs w:val="19"/>
          <w:color w:val="auto"/>
        </w:rPr>
      </w:pPr>
      <w:r>
        <w:rPr>
          <w:rFonts w:ascii="Arial" w:cs="Arial" w:eastAsia="Arial" w:hAnsi="Arial"/>
          <w:sz w:val="19"/>
          <w:szCs w:val="19"/>
          <w:color w:val="auto"/>
        </w:rPr>
        <w:t>(A) deposits are not being offered to banks in the London interbank eurodollar market for the applicable amount and LIBOR Period of any requested LIBOR Loan or (B) adequate and reasonable means do not exist for ascertaining the LIBOR Rate for any requested LIBOR Period, including, without limitation, because the LIBOR Screen Rate is not available or published on a current basis, and in each case such circumstances are unlikely to be temporary,</w:t>
      </w:r>
    </w:p>
    <w:p>
      <w:pPr>
        <w:spacing w:after="0" w:line="142" w:lineRule="exact"/>
        <w:rPr>
          <w:rFonts w:ascii="Arial" w:cs="Arial" w:eastAsia="Arial" w:hAnsi="Arial"/>
          <w:sz w:val="19"/>
          <w:szCs w:val="19"/>
          <w:color w:val="auto"/>
        </w:rPr>
      </w:pPr>
    </w:p>
    <w:p>
      <w:pPr>
        <w:jc w:val="both"/>
        <w:ind w:firstLine="1672"/>
        <w:spacing w:after="0" w:line="253" w:lineRule="auto"/>
        <w:tabs>
          <w:tab w:leader="none" w:pos="2268" w:val="left"/>
        </w:tabs>
        <w:numPr>
          <w:ilvl w:val="1"/>
          <w:numId w:val="127"/>
        </w:numPr>
        <w:rPr>
          <w:rFonts w:ascii="Arial" w:cs="Arial" w:eastAsia="Arial" w:hAnsi="Arial"/>
          <w:sz w:val="22"/>
          <w:szCs w:val="22"/>
          <w:color w:val="auto"/>
        </w:rPr>
      </w:pPr>
      <w:r>
        <w:rPr>
          <w:rFonts w:ascii="Arial" w:cs="Arial" w:eastAsia="Arial" w:hAnsi="Arial"/>
          <w:sz w:val="22"/>
          <w:szCs w:val="22"/>
          <w:color w:val="auto"/>
        </w:rPr>
        <w:t>the administrator of the LIBOR Screen Rate or a Governmental Authority having jurisdiction over Agent has made a public statement identifying a specific date after which the LIBOR Rate or the LIBOR Screen Rate shall no longer be made</w:t>
      </w:r>
    </w:p>
    <w:p>
      <w:pPr>
        <w:sectPr>
          <w:pgSz w:w="11900" w:h="16838" w:orient="portrait"/>
          <w:cols w:equalWidth="0" w:num="1">
            <w:col w:w="10900"/>
          </w:cols>
          <w:pgMar w:left="660" w:top="1428" w:right="339" w:bottom="1440" w:gutter="0" w:footer="0" w:header="0"/>
        </w:sectPr>
      </w:pPr>
    </w:p>
    <w:bookmarkStart w:id="217" w:name="page218"/>
    <w:bookmarkEnd w:id="217"/>
    <w:p>
      <w:pPr>
        <w:ind w:left="340"/>
        <w:spacing w:after="0"/>
        <w:rPr>
          <w:sz w:val="20"/>
          <w:szCs w:val="20"/>
          <w:color w:val="auto"/>
        </w:rPr>
      </w:pPr>
      <w:r>
        <w:rPr>
          <w:rFonts w:ascii="Arial" w:cs="Arial" w:eastAsia="Arial" w:hAnsi="Arial"/>
          <w:sz w:val="19"/>
          <w:szCs w:val="19"/>
          <w:color w:val="auto"/>
        </w:rPr>
        <w:t>available, or used for determining the interest rate of loans (such specific date, the “</w:t>
      </w:r>
      <w:r>
        <w:rPr>
          <w:rFonts w:ascii="Arial" w:cs="Arial" w:eastAsia="Arial" w:hAnsi="Arial"/>
          <w:sz w:val="19"/>
          <w:szCs w:val="19"/>
          <w:u w:val="single" w:color="auto"/>
          <w:color w:val="auto"/>
        </w:rPr>
        <w:t>Scheduled Unavailability Date</w:t>
      </w:r>
      <w:r>
        <w:rPr>
          <w:rFonts w:ascii="Arial" w:cs="Arial" w:eastAsia="Arial" w:hAnsi="Arial"/>
          <w:sz w:val="19"/>
          <w:szCs w:val="19"/>
          <w:color w:val="auto"/>
        </w:rPr>
        <w:t>”), or</w:t>
      </w:r>
    </w:p>
    <w:p>
      <w:pPr>
        <w:spacing w:after="0" w:line="254" w:lineRule="exact"/>
        <w:rPr>
          <w:sz w:val="20"/>
          <w:szCs w:val="20"/>
          <w:color w:val="auto"/>
        </w:rPr>
      </w:pPr>
    </w:p>
    <w:p>
      <w:pPr>
        <w:jc w:val="both"/>
        <w:ind w:left="340" w:firstLine="1612"/>
        <w:spacing w:after="0" w:line="253" w:lineRule="auto"/>
        <w:tabs>
          <w:tab w:leader="none" w:pos="2683" w:val="left"/>
        </w:tabs>
        <w:numPr>
          <w:ilvl w:val="0"/>
          <w:numId w:val="128"/>
        </w:numPr>
        <w:rPr>
          <w:rFonts w:ascii="Arial" w:cs="Arial" w:eastAsia="Arial" w:hAnsi="Arial"/>
          <w:sz w:val="22"/>
          <w:szCs w:val="22"/>
          <w:color w:val="auto"/>
        </w:rPr>
      </w:pPr>
      <w:r>
        <w:rPr>
          <w:rFonts w:ascii="Arial" w:cs="Arial" w:eastAsia="Arial" w:hAnsi="Arial"/>
          <w:sz w:val="22"/>
          <w:szCs w:val="22"/>
          <w:color w:val="auto"/>
        </w:rPr>
        <w:t>syndicated credit facilities in the U.S. market currently being executed, or that include language similar to that contained in this Section, are generally being executed or amended (as applicable) to incorporate or adopt (as applicable) a new benchmark interest rate to replace the LIBOR Rate,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then, reasonably promptly after such determination by Agent or receipt by Agent of such notice, as applicable, Agent and Parent Borrower may amend this Agreement (a “</w:t>
      </w:r>
      <w:r>
        <w:rPr>
          <w:rFonts w:ascii="Arial" w:cs="Arial" w:eastAsia="Arial" w:hAnsi="Arial"/>
          <w:sz w:val="21"/>
          <w:szCs w:val="21"/>
          <w:u w:val="single" w:color="auto"/>
          <w:color w:val="auto"/>
        </w:rPr>
        <w:t>LIBOR Successor Amendment</w:t>
      </w:r>
      <w:r>
        <w:rPr>
          <w:rFonts w:ascii="Arial" w:cs="Arial" w:eastAsia="Arial" w:hAnsi="Arial"/>
          <w:sz w:val="21"/>
          <w:szCs w:val="21"/>
          <w:color w:val="auto"/>
        </w:rPr>
        <w:t>”) to replace the LIBOR Rate with an alternate benchmark rate (including any mathematical or other adjustments to the benchmark (if any) incorporated therein), giving due consideration to any evolving or then existing convention for similar U.S. dollar denominated syndicated credit facilities for such alternative benchmarks (any such proposed rate, a “</w:t>
      </w:r>
      <w:r>
        <w:rPr>
          <w:rFonts w:ascii="Arial" w:cs="Arial" w:eastAsia="Arial" w:hAnsi="Arial"/>
          <w:sz w:val="21"/>
          <w:szCs w:val="21"/>
          <w:u w:val="single" w:color="auto"/>
          <w:color w:val="auto"/>
        </w:rPr>
        <w:t>LIBOR Successor Rate</w:t>
      </w:r>
      <w:r>
        <w:rPr>
          <w:rFonts w:ascii="Arial" w:cs="Arial" w:eastAsia="Arial" w:hAnsi="Arial"/>
          <w:sz w:val="21"/>
          <w:szCs w:val="21"/>
          <w:color w:val="auto"/>
        </w:rPr>
        <w:t>”), together with any proposed LIBOR Successor Rate Conforming Changes and any such amendment shall become effective at 5:00 p.m. (New York time) on the fifth Business Day after Agent shall have posted such proposed amendment to all Lenders and Parent Borrower unless, prior to such time, Lenders comprising the Requisite Lenders have delivered to Agent written notice that such Requisite Lenders do not accept such amendment.</w:t>
      </w:r>
    </w:p>
    <w:p>
      <w:pPr>
        <w:spacing w:after="0" w:line="179" w:lineRule="exact"/>
        <w:rPr>
          <w:sz w:val="20"/>
          <w:szCs w:val="20"/>
          <w:color w:val="auto"/>
        </w:rPr>
      </w:pPr>
    </w:p>
    <w:p>
      <w:pPr>
        <w:jc w:val="both"/>
        <w:ind w:left="340" w:firstLine="1288"/>
        <w:spacing w:after="0" w:line="259" w:lineRule="auto"/>
        <w:tabs>
          <w:tab w:leader="none" w:pos="1955" w:val="left"/>
        </w:tabs>
        <w:numPr>
          <w:ilvl w:val="0"/>
          <w:numId w:val="129"/>
        </w:numPr>
        <w:rPr>
          <w:rFonts w:ascii="Arial" w:cs="Arial" w:eastAsia="Arial" w:hAnsi="Arial"/>
          <w:sz w:val="21"/>
          <w:szCs w:val="21"/>
          <w:color w:val="auto"/>
        </w:rPr>
      </w:pPr>
      <w:r>
        <w:rPr>
          <w:rFonts w:ascii="Arial" w:cs="Arial" w:eastAsia="Arial" w:hAnsi="Arial"/>
          <w:sz w:val="21"/>
          <w:szCs w:val="21"/>
          <w:color w:val="auto"/>
        </w:rPr>
        <w:t>If no LIBOR Successor Rate has been determined and the circumstances under clause (a)(i) above exist or the Scheduled Unavailability Date has occurred (as applicable), Agent will promptly so notify Parent Borrower and each Lender. Thereafter, (x) the obligation of the Lenders to make or maintain LIBOR Loans shall be suspended (to the extent of the affected LIBOR Loans or LIBOR Periods), and (y) the LIBOR Rate component shall no longer be utilized in determining the Base Rate. Upon receipt of such notice, the Borrowers may revoke any pending request for an Advance of, conversion to or continuation of LIBOR Loans (to the extent of the affected LIBOR Loans or LIBOR Periods) or, failing that, will be deemed to have converted such request into a request for an Advance of Base Rate Loans (subject to the foregoing clause (y)) at on the date and in the amount specified therein.</w:t>
      </w:r>
    </w:p>
    <w:p>
      <w:pPr>
        <w:spacing w:after="0" w:line="183" w:lineRule="exact"/>
        <w:rPr>
          <w:rFonts w:ascii="Arial" w:cs="Arial" w:eastAsia="Arial" w:hAnsi="Arial"/>
          <w:sz w:val="21"/>
          <w:szCs w:val="21"/>
          <w:color w:val="auto"/>
        </w:rPr>
      </w:pPr>
    </w:p>
    <w:p>
      <w:pPr>
        <w:ind w:left="340" w:firstLine="1288"/>
        <w:spacing w:after="0" w:line="263" w:lineRule="auto"/>
        <w:tabs>
          <w:tab w:leader="none" w:pos="1957" w:val="left"/>
        </w:tabs>
        <w:numPr>
          <w:ilvl w:val="0"/>
          <w:numId w:val="129"/>
        </w:numPr>
        <w:rPr>
          <w:rFonts w:ascii="Arial" w:cs="Arial" w:eastAsia="Arial" w:hAnsi="Arial"/>
          <w:sz w:val="22"/>
          <w:szCs w:val="22"/>
          <w:color w:val="auto"/>
        </w:rPr>
      </w:pPr>
      <w:r>
        <w:rPr>
          <w:rFonts w:ascii="Arial" w:cs="Arial" w:eastAsia="Arial" w:hAnsi="Arial"/>
          <w:sz w:val="22"/>
          <w:szCs w:val="22"/>
          <w:color w:val="auto"/>
        </w:rPr>
        <w:t>Notwithstanding anything else herein, any definition of LIBOR Successor Rate shall provide that in no event shall such LIBOR Successor Rate be less than zero for purposes of this Agreement.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19"/>
          <w:szCs w:val="19"/>
          <w:u w:val="single" w:color="auto"/>
          <w:color w:val="auto"/>
        </w:rPr>
        <w:t>Incremental Revolving Loans; Extensions</w:t>
      </w:r>
      <w:r>
        <w:rPr>
          <w:rFonts w:ascii="Arial" w:cs="Arial" w:eastAsia="Arial" w:hAnsi="Arial"/>
          <w:sz w:val="19"/>
          <w:szCs w:val="19"/>
          <w:color w:val="auto"/>
        </w:rPr>
        <w:t>.</w:t>
      </w:r>
    </w:p>
    <w:p>
      <w:pPr>
        <w:spacing w:after="0" w:line="220" w:lineRule="exact"/>
        <w:rPr>
          <w:sz w:val="20"/>
          <w:szCs w:val="20"/>
          <w:color w:val="auto"/>
        </w:rPr>
      </w:pPr>
    </w:p>
    <w:p>
      <w:pPr>
        <w:jc w:val="both"/>
        <w:ind w:left="340" w:firstLine="1288"/>
        <w:spacing w:after="0" w:line="286" w:lineRule="auto"/>
        <w:tabs>
          <w:tab w:leader="none" w:pos="1957" w:val="left"/>
        </w:tabs>
        <w:numPr>
          <w:ilvl w:val="1"/>
          <w:numId w:val="130"/>
        </w:numPr>
        <w:rPr>
          <w:rFonts w:ascii="Arial" w:cs="Arial" w:eastAsia="Arial" w:hAnsi="Arial"/>
          <w:sz w:val="19"/>
          <w:szCs w:val="19"/>
          <w:color w:val="auto"/>
        </w:rPr>
      </w:pPr>
      <w:r>
        <w:rPr>
          <w:rFonts w:ascii="Arial" w:cs="Arial" w:eastAsia="Arial" w:hAnsi="Arial"/>
          <w:sz w:val="19"/>
          <w:szCs w:val="19"/>
          <w:color w:val="auto"/>
        </w:rPr>
        <w:t xml:space="preserve">Borrowers may on any date after the Amendment No. 3 Effective Date, by notice to Agent (whereupon Agent shall promptly deliver a copy to each of the Lenders), increase the Commitment hereunder with incremental revolving </w:t>
      </w:r>
      <w:r>
        <w:rPr>
          <w:rFonts w:ascii="Arial" w:cs="Arial" w:eastAsia="Arial" w:hAnsi="Arial"/>
          <w:sz w:val="19"/>
          <w:szCs w:val="19"/>
          <w:u w:val="single" w:color="auto"/>
          <w:color w:val="0000FF"/>
        </w:rPr>
        <w:t>or term</w:t>
      </w:r>
      <w:r>
        <w:rPr>
          <w:rFonts w:ascii="Arial" w:cs="Arial" w:eastAsia="Arial" w:hAnsi="Arial"/>
          <w:sz w:val="19"/>
          <w:szCs w:val="19"/>
          <w:color w:val="0000FF"/>
        </w:rPr>
        <w:t xml:space="preserve"> </w:t>
      </w:r>
      <w:r>
        <w:rPr>
          <w:rFonts w:ascii="Arial" w:cs="Arial" w:eastAsia="Arial" w:hAnsi="Arial"/>
          <w:sz w:val="19"/>
          <w:szCs w:val="19"/>
          <w:color w:val="000000"/>
        </w:rPr>
        <w:t>loan commitments (the “</w:t>
      </w:r>
      <w:r>
        <w:rPr>
          <w:rFonts w:ascii="Arial" w:cs="Arial" w:eastAsia="Arial" w:hAnsi="Arial"/>
          <w:sz w:val="19"/>
          <w:szCs w:val="19"/>
          <w:u w:val="single" w:color="auto"/>
          <w:color w:val="000000"/>
        </w:rPr>
        <w:t>Incremental Revolving Loans</w:t>
      </w:r>
      <w:r>
        <w:rPr>
          <w:rFonts w:ascii="Arial" w:cs="Arial" w:eastAsia="Arial" w:hAnsi="Arial"/>
          <w:sz w:val="19"/>
          <w:szCs w:val="19"/>
          <w:color w:val="000000"/>
        </w:rPr>
        <w:t>”) in an amount not to exceed $500,000,000 in the aggregate</w:t>
      </w:r>
      <w:r>
        <w:rPr>
          <w:rFonts w:ascii="Arial" w:cs="Arial" w:eastAsia="Arial" w:hAnsi="Arial"/>
          <w:sz w:val="19"/>
          <w:szCs w:val="19"/>
          <w:color w:val="0000FF"/>
        </w:rPr>
        <w:t xml:space="preserve"> </w:t>
      </w:r>
      <w:r>
        <w:rPr>
          <w:rFonts w:ascii="Arial" w:cs="Arial" w:eastAsia="Arial" w:hAnsi="Arial"/>
          <w:sz w:val="19"/>
          <w:szCs w:val="19"/>
          <w:color w:val="000000"/>
        </w:rPr>
        <w:t xml:space="preserve">(with minimum amounts of not less than $25,000,000 per increase) </w:t>
      </w:r>
      <w:r>
        <w:rPr>
          <w:rFonts w:ascii="Arial" w:cs="Arial" w:eastAsia="Arial" w:hAnsi="Arial"/>
          <w:sz w:val="19"/>
          <w:szCs w:val="19"/>
          <w:u w:val="single" w:color="auto"/>
          <w:color w:val="0000FF"/>
        </w:rPr>
        <w:t>which Incremental Revolving Loans may take the form of</w:t>
      </w:r>
    </w:p>
    <w:p>
      <w:pPr>
        <w:spacing w:after="0" w:line="2" w:lineRule="exact"/>
        <w:rPr>
          <w:rFonts w:ascii="Arial" w:cs="Arial" w:eastAsia="Arial" w:hAnsi="Arial"/>
          <w:sz w:val="19"/>
          <w:szCs w:val="19"/>
          <w:color w:val="auto"/>
        </w:rPr>
      </w:pPr>
    </w:p>
    <w:p>
      <w:pPr>
        <w:ind w:left="340" w:hanging="8"/>
        <w:spacing w:after="0" w:line="246" w:lineRule="auto"/>
        <w:tabs>
          <w:tab w:leader="none" w:pos="648" w:val="left"/>
        </w:tabs>
        <w:numPr>
          <w:ilvl w:val="0"/>
          <w:numId w:val="131"/>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commitments to make additional Revolving Loans (such additional Revolving Loans, the “Incremental Facility Revolving Loans”) on the same terms and conditions applicable to the Loans made pursuant to the</w:t>
      </w:r>
    </w:p>
    <w:p>
      <w:pPr>
        <w:sectPr>
          <w:pgSz w:w="11900" w:h="16838" w:orient="portrait"/>
          <w:cols w:equalWidth="0" w:num="1">
            <w:col w:w="11240"/>
          </w:cols>
          <w:pgMar w:left="320" w:top="1428" w:right="339" w:bottom="1440" w:gutter="0" w:footer="0" w:header="0"/>
        </w:sectPr>
      </w:pPr>
    </w:p>
    <w:bookmarkStart w:id="218" w:name="page219"/>
    <w:bookmarkEnd w:id="218"/>
    <w:p>
      <w:pPr>
        <w:jc w:val="both"/>
        <w:spacing w:after="0" w:line="283" w:lineRule="auto"/>
        <w:rPr>
          <w:sz w:val="20"/>
          <w:szCs w:val="20"/>
          <w:color w:val="auto"/>
        </w:rPr>
      </w:pPr>
      <w:r>
        <w:rPr>
          <w:rFonts w:ascii="Arial" w:cs="Arial" w:eastAsia="Arial" w:hAnsi="Arial"/>
          <w:sz w:val="19"/>
          <w:szCs w:val="19"/>
          <w:u w:val="single" w:color="auto"/>
          <w:color w:val="0000FF"/>
        </w:rPr>
        <w:t>Commitments in effect on the Amendment No. 5 Effective Date (the “Initial Revolving Facility Loans”) or (y) subject to compliance with the Permitted FILO Tranche Conditions, commitments to make revolving or term loans which are expressly subordinated in right of payment to the Initial Revolving Facility Loans and other Incremental Facility Revolving Loans, which, for the avoidance of doubt, shall be implemented as a separate class of loans hereunder (such loans, the “Permitted Incremental FILO Loans”)</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FF"/>
        </w:rPr>
        <w:t xml:space="preserve"> </w:t>
      </w:r>
      <w:r>
        <w:rPr>
          <w:rFonts w:ascii="Arial" w:cs="Arial" w:eastAsia="Arial" w:hAnsi="Arial"/>
          <w:sz w:val="19"/>
          <w:szCs w:val="19"/>
          <w:color w:val="000000"/>
        </w:rPr>
        <w:t>that at the time of the effectiveness of any Incremental Revolving Loan Amendment</w:t>
      </w:r>
      <w:r>
        <w:rPr>
          <w:rFonts w:ascii="Arial" w:cs="Arial" w:eastAsia="Arial" w:hAnsi="Arial"/>
          <w:sz w:val="19"/>
          <w:szCs w:val="19"/>
          <w:color w:val="0000FF"/>
        </w:rPr>
        <w:t xml:space="preserve"> </w:t>
      </w:r>
      <w:r>
        <w:rPr>
          <w:rFonts w:ascii="Arial" w:cs="Arial" w:eastAsia="Arial" w:hAnsi="Arial"/>
          <w:sz w:val="19"/>
          <w:szCs w:val="19"/>
          <w:color w:val="000000"/>
        </w:rPr>
        <w:t>referred to below, (a) no Default or Event of Default shall have occurred and be continuing on such date or after giving effect to extensions of credit to be made on such date, (b) each of the representations and warranties made by any Credit Party in or pursuant to the Loan Documents shall be true and correct in all material respects on and as of such date as if made on and as of such date (except where such representations and warranties expressly relate to an earlier date, in which case such representations and warranties shall have been true and correct in all material respects (or, in all respects, if qualified by materiality) as of such earlier date) and (c) Agent shall have received a certificate to that effect dated such date and executed by a Financial Officer of Borrower Representative. Incremental Revolving Loans may be made by any existing Lender or by any other financial institution or any fund that regularly invests in bank loans selected by Borrower Representative (any such other financial institution or fund being called an “</w:t>
      </w:r>
      <w:r>
        <w:rPr>
          <w:rFonts w:ascii="Arial" w:cs="Arial" w:eastAsia="Arial" w:hAnsi="Arial"/>
          <w:sz w:val="19"/>
          <w:szCs w:val="19"/>
          <w:u w:val="single" w:color="auto"/>
          <w:color w:val="000000"/>
        </w:rPr>
        <w:t>Incremental Lender</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(i) </w:t>
      </w:r>
      <w:r>
        <w:rPr>
          <w:rFonts w:ascii="Arial" w:cs="Arial" w:eastAsia="Arial" w:hAnsi="Arial"/>
          <w:sz w:val="19"/>
          <w:szCs w:val="19"/>
          <w:color w:val="FF0000"/>
          <w:strike w:val="1"/>
        </w:rPr>
        <w:t>Agent,</w:t>
      </w:r>
      <w:r>
        <w:rPr>
          <w:rFonts w:ascii="Arial" w:cs="Arial" w:eastAsia="Arial" w:hAnsi="Arial"/>
          <w:sz w:val="19"/>
          <w:szCs w:val="19"/>
          <w:u w:val="single" w:color="auto"/>
          <w:color w:val="0000FF"/>
        </w:rPr>
        <w:t>(A) Agent and (B) (except in</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the case of Permitted Incremental FILO Loans)</w:t>
      </w:r>
      <w:r>
        <w:rPr>
          <w:rFonts w:ascii="Arial" w:cs="Arial" w:eastAsia="Arial" w:hAnsi="Arial"/>
          <w:sz w:val="19"/>
          <w:szCs w:val="19"/>
          <w:color w:val="0000FF"/>
        </w:rPr>
        <w:t xml:space="preserve"> </w:t>
      </w:r>
      <w:r>
        <w:rPr>
          <w:rFonts w:ascii="Arial" w:cs="Arial" w:eastAsia="Arial" w:hAnsi="Arial"/>
          <w:sz w:val="19"/>
          <w:szCs w:val="19"/>
          <w:color w:val="000000"/>
        </w:rPr>
        <w:t>each L/C Issuer and the Swing Line Lender shall have consented (such</w:t>
      </w:r>
      <w:r>
        <w:rPr>
          <w:rFonts w:ascii="Arial" w:cs="Arial" w:eastAsia="Arial" w:hAnsi="Arial"/>
          <w:sz w:val="19"/>
          <w:szCs w:val="19"/>
          <w:color w:val="0000FF"/>
        </w:rPr>
        <w:t xml:space="preserve"> </w:t>
      </w:r>
      <w:r>
        <w:rPr>
          <w:rFonts w:ascii="Arial" w:cs="Arial" w:eastAsia="Arial" w:hAnsi="Arial"/>
          <w:sz w:val="19"/>
          <w:szCs w:val="19"/>
          <w:color w:val="000000"/>
        </w:rPr>
        <w:t xml:space="preserve">consent not to be unreasonably withheld) to such Lender’s or Incremental Lender’s making such Incremental Revolving Loans if such consent would be required under </w:t>
      </w:r>
      <w:r>
        <w:rPr>
          <w:rFonts w:ascii="Arial" w:cs="Arial" w:eastAsia="Arial" w:hAnsi="Arial"/>
          <w:sz w:val="19"/>
          <w:szCs w:val="19"/>
          <w:u w:val="single" w:color="auto"/>
          <w:color w:val="000000"/>
        </w:rPr>
        <w:t>Section 11.1</w:t>
      </w:r>
      <w:r>
        <w:rPr>
          <w:rFonts w:ascii="Arial" w:cs="Arial" w:eastAsia="Arial" w:hAnsi="Arial"/>
          <w:sz w:val="19"/>
          <w:szCs w:val="19"/>
          <w:color w:val="000000"/>
        </w:rPr>
        <w:t xml:space="preserve"> for an assignment of Loans to such Lender or Incremental Lender, and (ii) Borrowers shall not be permitted to increase the Commitment pursuant to this Section more than three (3) times during the term of this Agreement. No consent of the Lenders shall be required (other than the Lenders providing such Incremental Revolving Loans) to an Incremental Revolving Loan Amendment. Commitments in respect of Incremental Revolving Loans shall be delivered to Borrower Representative within 10 days of a Borrower’s request therefor, and shall be effected pursuant to an amendment (an “</w:t>
      </w:r>
      <w:r>
        <w:rPr>
          <w:rFonts w:ascii="Arial" w:cs="Arial" w:eastAsia="Arial" w:hAnsi="Arial"/>
          <w:sz w:val="19"/>
          <w:szCs w:val="19"/>
          <w:u w:val="single" w:color="auto"/>
          <w:color w:val="000000"/>
        </w:rPr>
        <w:t>Incremental Revolving Loan Amendment</w:t>
      </w:r>
      <w:r>
        <w:rPr>
          <w:rFonts w:ascii="Arial" w:cs="Arial" w:eastAsia="Arial" w:hAnsi="Arial"/>
          <w:sz w:val="19"/>
          <w:szCs w:val="19"/>
          <w:color w:val="000000"/>
        </w:rPr>
        <w:t xml:space="preserve">”) to this Agreement and, as appropriate, the other Loan Documents, executed by Borrowers, each Lender agreeing to provide such Incremental Revolving Loans, if any, each Incremental Lender </w:t>
      </w:r>
      <w:r>
        <w:rPr>
          <w:rFonts w:ascii="Arial" w:cs="Arial" w:eastAsia="Arial" w:hAnsi="Arial"/>
          <w:sz w:val="19"/>
          <w:szCs w:val="19"/>
          <w:u w:val="single" w:color="auto"/>
          <w:color w:val="0000FF"/>
        </w:rPr>
        <w:t>providing such Incremental Revolving Loans</w:t>
      </w:r>
      <w:r>
        <w:rPr>
          <w:rFonts w:ascii="Arial" w:cs="Arial" w:eastAsia="Arial" w:hAnsi="Arial"/>
          <w:sz w:val="19"/>
          <w:szCs w:val="19"/>
          <w:color w:val="000000"/>
        </w:rPr>
        <w:t xml:space="preserve">, if any, </w:t>
      </w:r>
      <w:r>
        <w:rPr>
          <w:rFonts w:ascii="Arial" w:cs="Arial" w:eastAsia="Arial" w:hAnsi="Arial"/>
          <w:sz w:val="19"/>
          <w:szCs w:val="19"/>
          <w:u w:val="single" w:color="auto"/>
          <w:color w:val="0000FF"/>
        </w:rPr>
        <w:t>Co-Collateral Agents</w:t>
      </w:r>
      <w:r>
        <w:rPr>
          <w:rFonts w:ascii="Arial" w:cs="Arial" w:eastAsia="Arial" w:hAnsi="Arial"/>
          <w:sz w:val="19"/>
          <w:szCs w:val="19"/>
          <w:color w:val="000000"/>
        </w:rPr>
        <w:t xml:space="preserve"> and Agent;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such documentation shall only contain amendments to this Agreement and the other Loan Documents that are necessary to implement the increase to the Commitment </w:t>
      </w:r>
      <w:r>
        <w:rPr>
          <w:rFonts w:ascii="Arial" w:cs="Arial" w:eastAsia="Arial" w:hAnsi="Arial"/>
          <w:sz w:val="19"/>
          <w:szCs w:val="19"/>
          <w:color w:val="0000FF"/>
        </w:rPr>
        <w:t>(for the avoidance of doubt, including, in the case of Permitted</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Incremental FILO Loans, amendments to Sections 2.3 and 2.9 that are necessary or appropriate to reflect the “last out” nature of such Permitted Incremental FILO Loans, which may be effected with the consent of Agent, Co-Collateral Agents and each Incremental Lender providing such Permitted Incremental FILO Loans pursuant to an Incremental Revolving Loan Amendment, but without the consent of any other Lender)</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further</w:t>
      </w:r>
      <w:r>
        <w:rPr>
          <w:rFonts w:ascii="Arial" w:cs="Arial" w:eastAsia="Arial" w:hAnsi="Arial"/>
          <w:sz w:val="19"/>
          <w:szCs w:val="19"/>
          <w:color w:val="000000"/>
        </w:rPr>
        <w:t>, the Incremental</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Facility</w:t>
      </w:r>
      <w:r>
        <w:rPr>
          <w:rFonts w:ascii="Arial" w:cs="Arial" w:eastAsia="Arial" w:hAnsi="Arial"/>
          <w:sz w:val="19"/>
          <w:szCs w:val="19"/>
          <w:color w:val="0000FF"/>
        </w:rPr>
        <w:t xml:space="preserve"> </w:t>
      </w:r>
      <w:r>
        <w:rPr>
          <w:rFonts w:ascii="Arial" w:cs="Arial" w:eastAsia="Arial" w:hAnsi="Arial"/>
          <w:sz w:val="19"/>
          <w:szCs w:val="19"/>
          <w:color w:val="000000"/>
        </w:rPr>
        <w:t>Revolving Loans shall</w:t>
      </w:r>
      <w:r>
        <w:rPr>
          <w:rFonts w:ascii="Arial" w:cs="Arial" w:eastAsia="Arial" w:hAnsi="Arial"/>
          <w:sz w:val="19"/>
          <w:szCs w:val="19"/>
          <w:color w:val="0000FF"/>
        </w:rPr>
        <w:t xml:space="preserve"> </w:t>
      </w:r>
      <w:r>
        <w:rPr>
          <w:rFonts w:ascii="Arial" w:cs="Arial" w:eastAsia="Arial" w:hAnsi="Arial"/>
          <w:sz w:val="19"/>
          <w:szCs w:val="19"/>
          <w:color w:val="000000"/>
        </w:rPr>
        <w:t>not require any scheduled amortization or mandatory commitment reduction prior to the Stated Termination Date and the maturity date of all Incremental Revolving Loans shall be the Commitment Termination Date. Any upfront fees paid to the Incremental Lenders shall be determined, and agreed upon, between Borrowers and such Incremental Lenders. Any Incremental 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-1183640</wp:posOffset>
            </wp:positionV>
            <wp:extent cx="370014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3700145" cy="8255"/>
                    </a:xfrm>
                    <a:prstGeom prst="rect">
                      <a:avLst/>
                    </a:prstGeom>
                    <a:noFill/>
                  </pic:spPr>
                </pic:pic>
              </a:graphicData>
            </a:graphic>
          </wp:anchor>
        </w:drawing>
      </w:r>
    </w:p>
    <w:p>
      <w:pPr>
        <w:sectPr>
          <w:pgSz w:w="11900" w:h="16838" w:orient="portrait"/>
          <w:cols w:equalWidth="0" w:num="1">
            <w:col w:w="10900"/>
          </w:cols>
          <w:pgMar w:left="660" w:top="1428" w:right="339" w:bottom="1440" w:gutter="0" w:footer="0" w:header="0"/>
        </w:sectPr>
      </w:pPr>
    </w:p>
    <w:bookmarkStart w:id="219" w:name="page220"/>
    <w:bookmarkEnd w:id="219"/>
    <w:p>
      <w:pPr>
        <w:jc w:val="both"/>
        <w:spacing w:after="0" w:line="283" w:lineRule="auto"/>
        <w:rPr>
          <w:sz w:val="20"/>
          <w:szCs w:val="20"/>
          <w:color w:val="auto"/>
        </w:rPr>
      </w:pPr>
      <w:r>
        <w:rPr>
          <w:rFonts w:ascii="Arial" w:cs="Arial" w:eastAsia="Arial" w:hAnsi="Arial"/>
          <w:sz w:val="19"/>
          <w:szCs w:val="19"/>
          <w:color w:val="auto"/>
        </w:rPr>
        <w:t>made hereunder shall be deemed “Loans” hereunder and shall be subject to the same terms and conditions applicable to the existing Loans</w:t>
      </w:r>
      <w:r>
        <w:rPr>
          <w:rFonts w:ascii="Arial" w:cs="Arial" w:eastAsia="Arial" w:hAnsi="Arial"/>
          <w:sz w:val="19"/>
          <w:szCs w:val="19"/>
          <w:u w:val="single" w:color="auto"/>
          <w:color w:val="0000FF"/>
        </w:rPr>
        <w:t>, except that Permitted Incremental FILO Loans (x) may, notwithstanding anything herein to the contrary, be</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structured as term loans or revolving loans, and may have pricing terms, a final maturity date (subject to the immediately succeeding proviso), upfront or similar fees and priority which are different from those applicable to the Initial Revolving Facility Loans and other Incremental Facility Revolving Loans; provided that the final maturity date of any Permitted Incremental FILO Loans shall be no earlier than (and there shall be no mandatory commitment reductions with respect thereto prior to) the Commitment Termination Date with respect to the Initial Revolving Facility Loans; provided, further, for the avoidance of doubt, nothing in this Section 2.16 shall obligate any existing Lender to participate in any class of Permitted Incremental FILO Loans, regardless of whether the maturity date with respect to such Permitted Incremental FILO Loans is the Commitment Termination Date with respect to the Initial Revolving Facility Loans or otherwise, (y) for purposes of determining availability under any applicable borrowing base, may have advance rates with respect to the amount of Eligible Billed Accounts, Eligible Unbilled Accounts and/or Eligible Rolling Stock, as applicable, in amounts as agreed upon between Parent Borrower and the Incremental Lenders providing such Permitted Incremental FILO Loans; provided that in no case shall such advance rates with respect to Eligible Billed Accounts, Eligible Unbilled Accounts and Eligible Rolling Stock exceed 10%, 5% and 5%, respectively, above the respective advance rates herein; provided, further, such advance rate for Permitted Incremental FILO Loans with respect to Eligible Rolling Stock may be decreased from time to time in the discretion of Co-Collateral Agents (and, for the avoidance of doubt, a maximum of 25% of the borrowing base applicable to any Permitted Incremental FILO Loans shall be attributable to Eligible Equipment, if applicable, and Eligible Rolling Stock in the aggregate) and (z) shall, once borrowed, not be permitted to be repaid so long as any Loans (other than other Loans incurred as Permitted Incremental FILO Loans) are outstanding, subject to customary exclusions to the requirement in this clause (z) as reasonably agreed upon by Agent, Parent Borrower and the Incremental Lenders providing such Permitted Incremental FILO Loans, including customary scheduled amortization payments not to exceed amounts as agreed upon by Agent, Parent Borrower and such Incremental Lenders (the conditions set forth in this sentence applicable to Permitted Incremental FILO Loans, the “Permitted FILO Tranche Conditions”)</w:t>
      </w:r>
      <w:r>
        <w:rPr>
          <w:rFonts w:ascii="Arial" w:cs="Arial" w:eastAsia="Arial" w:hAnsi="Arial"/>
          <w:sz w:val="19"/>
          <w:szCs w:val="19"/>
          <w:color w:val="000000"/>
        </w:rPr>
        <w:t>. On the date of any borrowing of Incremental Revolving</w:t>
      </w:r>
      <w:r>
        <w:rPr>
          <w:rFonts w:ascii="Arial" w:cs="Arial" w:eastAsia="Arial" w:hAnsi="Arial"/>
          <w:sz w:val="19"/>
          <w:szCs w:val="19"/>
          <w:color w:val="0000FF"/>
        </w:rPr>
        <w:t xml:space="preserve"> </w:t>
      </w:r>
      <w:r>
        <w:rPr>
          <w:rFonts w:ascii="Arial" w:cs="Arial" w:eastAsia="Arial" w:hAnsi="Arial"/>
          <w:sz w:val="19"/>
          <w:szCs w:val="19"/>
          <w:color w:val="000000"/>
        </w:rPr>
        <w:t xml:space="preserve">Loans </w:t>
      </w:r>
      <w:r>
        <w:rPr>
          <w:rFonts w:ascii="Arial" w:cs="Arial" w:eastAsia="Arial" w:hAnsi="Arial"/>
          <w:sz w:val="19"/>
          <w:szCs w:val="19"/>
          <w:color w:val="0000FF"/>
        </w:rPr>
        <w:t>(other than Permitted Incremental FILO Loans)</w:t>
      </w:r>
      <w:r>
        <w:rPr>
          <w:rFonts w:ascii="Arial" w:cs="Arial" w:eastAsia="Arial" w:hAnsi="Arial"/>
          <w:sz w:val="19"/>
          <w:szCs w:val="19"/>
          <w:color w:val="000000"/>
        </w:rPr>
        <w:t xml:space="preserve">, Borrowers shall be deemed to have repaid and reborrowed all outstanding Loans as of such date (with such reborrowing to consist of the types of Loans, with related LIBOR Periods, if applicable, specified in a notice to Agent (which notice must be received by Agent in accordance with the terms of this Agreement)). The deemed payments made pursuant to the immediately preceding sentence in respect of each LIBOR Loan shall be subject to indemnification by Borrowers pursuant to the provisions of </w:t>
      </w:r>
      <w:r>
        <w:rPr>
          <w:rFonts w:ascii="Arial" w:cs="Arial" w:eastAsia="Arial" w:hAnsi="Arial"/>
          <w:sz w:val="19"/>
          <w:szCs w:val="19"/>
          <w:u w:val="single" w:color="auto"/>
          <w:color w:val="000000"/>
        </w:rPr>
        <w:t>Section 2.14</w:t>
      </w:r>
      <w:r>
        <w:rPr>
          <w:rFonts w:ascii="Arial" w:cs="Arial" w:eastAsia="Arial" w:hAnsi="Arial"/>
          <w:sz w:val="19"/>
          <w:szCs w:val="19"/>
          <w:color w:val="000000"/>
        </w:rPr>
        <w:t xml:space="preserve"> if the deemed payment occurs other than on the last day of the related LIBOR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-692150</wp:posOffset>
            </wp:positionV>
            <wp:extent cx="282321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282321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both"/>
        <w:ind w:firstLine="1288"/>
        <w:spacing w:after="0" w:line="253" w:lineRule="auto"/>
        <w:tabs>
          <w:tab w:leader="none" w:pos="1615" w:val="left"/>
        </w:tabs>
        <w:numPr>
          <w:ilvl w:val="0"/>
          <w:numId w:val="132"/>
        </w:numPr>
        <w:rPr>
          <w:rFonts w:ascii="Arial" w:cs="Arial" w:eastAsia="Arial" w:hAnsi="Arial"/>
          <w:sz w:val="22"/>
          <w:szCs w:val="22"/>
          <w:color w:val="auto"/>
        </w:rPr>
      </w:pPr>
      <w:r>
        <w:rPr>
          <w:rFonts w:ascii="Arial" w:cs="Arial" w:eastAsia="Arial" w:hAnsi="Arial"/>
          <w:sz w:val="22"/>
          <w:szCs w:val="22"/>
          <w:color w:val="auto"/>
        </w:rPr>
        <w:t>In connection with any Incremental Revolving Loans, Parent Borrower, Agent and each applicable Incremental Lender and existing Lender making such Incremental Revolving Loans shall deliver to Agent the Incremental Revolving Loan Amendment and</w:t>
      </w:r>
    </w:p>
    <w:p>
      <w:pPr>
        <w:sectPr>
          <w:pgSz w:w="11900" w:h="16838" w:orient="portrait"/>
          <w:cols w:equalWidth="0" w:num="1">
            <w:col w:w="10900"/>
          </w:cols>
          <w:pgMar w:left="660" w:top="1428" w:right="339" w:bottom="1440" w:gutter="0" w:footer="0" w:header="0"/>
        </w:sectPr>
      </w:pPr>
    </w:p>
    <w:bookmarkStart w:id="220" w:name="page221"/>
    <w:bookmarkEnd w:id="220"/>
    <w:p>
      <w:pPr>
        <w:jc w:val="both"/>
        <w:spacing w:after="0" w:line="288" w:lineRule="auto"/>
        <w:rPr>
          <w:sz w:val="20"/>
          <w:szCs w:val="20"/>
          <w:color w:val="auto"/>
        </w:rPr>
      </w:pPr>
      <w:r>
        <w:rPr>
          <w:rFonts w:ascii="Arial" w:cs="Arial" w:eastAsia="Arial" w:hAnsi="Arial"/>
          <w:sz w:val="19"/>
          <w:szCs w:val="19"/>
          <w:color w:val="auto"/>
        </w:rPr>
        <w:t xml:space="preserve">such other documentation as Agent shall reasonably specify to evidence the Incremental Revolving Loans of each applicable Incremental Lender and existing Lender making such Incremental Revolving Loans. Agent shall promptly notify each Lender as to the effectiveness of each Incremental Revolving Loan Amendment. Any Incremental Revolving Loan Amendment may, without consent of any other Lender, effect such amendments to this Agreement </w:t>
      </w:r>
      <w:r>
        <w:rPr>
          <w:rFonts w:ascii="Arial" w:cs="Arial" w:eastAsia="Arial" w:hAnsi="Arial"/>
          <w:sz w:val="19"/>
          <w:szCs w:val="19"/>
          <w:u w:val="single" w:color="auto"/>
          <w:color w:val="0000FF"/>
        </w:rPr>
        <w:t>(including, for the avoidance of doubt and</w:t>
      </w:r>
      <w:r>
        <w:rPr>
          <w:rFonts w:ascii="Arial" w:cs="Arial" w:eastAsia="Arial" w:hAnsi="Arial"/>
          <w:sz w:val="19"/>
          <w:szCs w:val="19"/>
          <w:color w:val="auto"/>
        </w:rPr>
        <w:t xml:space="preserve"> </w:t>
      </w:r>
      <w:r>
        <w:rPr>
          <w:rFonts w:ascii="Arial" w:cs="Arial" w:eastAsia="Arial" w:hAnsi="Arial"/>
          <w:sz w:val="19"/>
          <w:szCs w:val="19"/>
          <w:u w:val="single" w:color="auto"/>
          <w:color w:val="0000FF"/>
        </w:rPr>
        <w:t>notwithstanding anything herein to the contrary, amendments to Sections 2.3 and 2.9 that are necessary or appropriate to reflect the “last out” nature of any Permitted Incremental FILO Loans, which may be effected with the consent of Agent, Co-Collateral Agents and each Incremental Lender providing such Permitted Incremental FILO Loans pursuant to an Incremental Revolving Loan Amendment, but without the consent of any other Lender)</w:t>
      </w:r>
      <w:r>
        <w:rPr>
          <w:rFonts w:ascii="Arial" w:cs="Arial" w:eastAsia="Arial" w:hAnsi="Arial"/>
          <w:sz w:val="19"/>
          <w:szCs w:val="19"/>
          <w:color w:val="0000FF"/>
        </w:rPr>
        <w:t xml:space="preserve"> </w:t>
      </w:r>
      <w:r>
        <w:rPr>
          <w:rFonts w:ascii="Arial" w:cs="Arial" w:eastAsia="Arial" w:hAnsi="Arial"/>
          <w:sz w:val="19"/>
          <w:szCs w:val="19"/>
          <w:color w:val="000000"/>
        </w:rPr>
        <w:t>and the other Loan Documents as may be</w:t>
      </w:r>
      <w:r>
        <w:rPr>
          <w:rFonts w:ascii="Arial" w:cs="Arial" w:eastAsia="Arial" w:hAnsi="Arial"/>
          <w:sz w:val="19"/>
          <w:szCs w:val="19"/>
          <w:color w:val="0000FF"/>
        </w:rPr>
        <w:t xml:space="preserve"> </w:t>
      </w:r>
      <w:r>
        <w:rPr>
          <w:rFonts w:ascii="Arial" w:cs="Arial" w:eastAsia="Arial" w:hAnsi="Arial"/>
          <w:sz w:val="19"/>
          <w:szCs w:val="19"/>
          <w:color w:val="000000"/>
        </w:rPr>
        <w:t xml:space="preserve">necessary or appropriate, in the reasonable opinion of Agent and Parent Borrower, to effect the provisions of this </w:t>
      </w:r>
      <w:r>
        <w:rPr>
          <w:rFonts w:ascii="Arial" w:cs="Arial" w:eastAsia="Arial" w:hAnsi="Arial"/>
          <w:sz w:val="19"/>
          <w:szCs w:val="19"/>
          <w:u w:val="single" w:color="auto"/>
          <w:color w:val="000000"/>
        </w:rPr>
        <w:t>Section</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2.16</w:t>
      </w:r>
      <w:r>
        <w:rPr>
          <w:rFonts w:ascii="Arial" w:cs="Arial" w:eastAsia="Arial" w:hAnsi="Arial"/>
          <w:sz w:val="19"/>
          <w:szCs w:val="19"/>
          <w:color w:val="000000"/>
        </w:rPr>
        <w:t>. No existing Lender shall be obligated to provide Commitments in respect of Incremental Revolving Loans.</w:t>
      </w:r>
    </w:p>
    <w:p>
      <w:pPr>
        <w:spacing w:after="0" w:line="159" w:lineRule="exact"/>
        <w:rPr>
          <w:sz w:val="20"/>
          <w:szCs w:val="20"/>
          <w:color w:val="auto"/>
        </w:rPr>
      </w:pPr>
    </w:p>
    <w:p>
      <w:pPr>
        <w:jc w:val="both"/>
        <w:ind w:firstLine="1288"/>
        <w:spacing w:after="0" w:line="258" w:lineRule="auto"/>
        <w:tabs>
          <w:tab w:leader="none" w:pos="1617" w:val="left"/>
        </w:tabs>
        <w:numPr>
          <w:ilvl w:val="0"/>
          <w:numId w:val="133"/>
        </w:numPr>
        <w:rPr>
          <w:rFonts w:ascii="Arial" w:cs="Arial" w:eastAsia="Arial" w:hAnsi="Arial"/>
          <w:sz w:val="21"/>
          <w:szCs w:val="21"/>
          <w:color w:val="auto"/>
        </w:rPr>
      </w:pPr>
      <w:r>
        <w:rPr>
          <w:rFonts w:ascii="Arial" w:cs="Arial" w:eastAsia="Arial" w:hAnsi="Arial"/>
          <w:sz w:val="21"/>
          <w:szCs w:val="21"/>
          <w:color w:val="auto"/>
        </w:rPr>
        <w:t>Pursuant to one or more offers made from time to time by Borrowers to all Lenders of the U.S. Loans and/or the Canadian Loans, as applicable, on a pro rata basis (based on the aggregate outstanding Canadian Commitments or the Commitments, as applicable) and on the same terms (“</w:t>
      </w:r>
      <w:r>
        <w:rPr>
          <w:rFonts w:ascii="Arial" w:cs="Arial" w:eastAsia="Arial" w:hAnsi="Arial"/>
          <w:sz w:val="21"/>
          <w:szCs w:val="21"/>
          <w:u w:val="single" w:color="auto"/>
          <w:color w:val="auto"/>
        </w:rPr>
        <w:t>Pro Rata Extension Offers</w:t>
      </w:r>
      <w:r>
        <w:rPr>
          <w:rFonts w:ascii="Arial" w:cs="Arial" w:eastAsia="Arial" w:hAnsi="Arial"/>
          <w:sz w:val="21"/>
          <w:szCs w:val="21"/>
          <w:color w:val="auto"/>
        </w:rPr>
        <w:t>”), Borrowers are hereby permitted to consummate transactions with individual Lenders from time to time to extend the maturity date of such Lender’s Commitments of U.S. Loans and/or the Canadian Loans. Any such extension (an “</w:t>
      </w:r>
      <w:r>
        <w:rPr>
          <w:rFonts w:ascii="Arial" w:cs="Arial" w:eastAsia="Arial" w:hAnsi="Arial"/>
          <w:sz w:val="21"/>
          <w:szCs w:val="21"/>
          <w:u w:val="single" w:color="auto"/>
          <w:color w:val="auto"/>
        </w:rPr>
        <w:t>Extension</w:t>
      </w:r>
      <w:r>
        <w:rPr>
          <w:rFonts w:ascii="Arial" w:cs="Arial" w:eastAsia="Arial" w:hAnsi="Arial"/>
          <w:sz w:val="21"/>
          <w:szCs w:val="21"/>
          <w:color w:val="auto"/>
        </w:rPr>
        <w:t>”) agreed to between Borrowers and any such Lender (an “</w:t>
      </w:r>
      <w:r>
        <w:rPr>
          <w:rFonts w:ascii="Arial" w:cs="Arial" w:eastAsia="Arial" w:hAnsi="Arial"/>
          <w:sz w:val="21"/>
          <w:szCs w:val="21"/>
          <w:u w:val="single" w:color="auto"/>
          <w:color w:val="auto"/>
        </w:rPr>
        <w:t>Extending Lender</w:t>
      </w:r>
      <w:r>
        <w:rPr>
          <w:rFonts w:ascii="Arial" w:cs="Arial" w:eastAsia="Arial" w:hAnsi="Arial"/>
          <w:sz w:val="21"/>
          <w:szCs w:val="21"/>
          <w:color w:val="auto"/>
        </w:rPr>
        <w:t>”) will be established under this Agreement (such extended Canadian Commitments or the Commitments, as applicable, an “</w:t>
      </w:r>
      <w:r>
        <w:rPr>
          <w:rFonts w:ascii="Arial" w:cs="Arial" w:eastAsia="Arial" w:hAnsi="Arial"/>
          <w:sz w:val="21"/>
          <w:szCs w:val="21"/>
          <w:u w:val="single" w:color="auto"/>
          <w:color w:val="auto"/>
        </w:rPr>
        <w:t>Extended Revolving Commitment</w:t>
      </w:r>
      <w:r>
        <w:rPr>
          <w:rFonts w:ascii="Arial" w:cs="Arial" w:eastAsia="Arial" w:hAnsi="Arial"/>
          <w:sz w:val="21"/>
          <w:szCs w:val="21"/>
          <w:color w:val="auto"/>
        </w:rPr>
        <w:t>”). Each Pro Rata Extension Offer shall specify the date on which Borrowers propose that the Extended Revolving Commitment shall be extended, which shall be a date not earlier than ten Business Days after the date on which notice is delivered to Agent (or such shorter period agreed to by Agent in its reasonable discretion).</w:t>
      </w:r>
    </w:p>
    <w:p>
      <w:pPr>
        <w:spacing w:after="0" w:line="185" w:lineRule="exact"/>
        <w:rPr>
          <w:rFonts w:ascii="Arial" w:cs="Arial" w:eastAsia="Arial" w:hAnsi="Arial"/>
          <w:sz w:val="21"/>
          <w:szCs w:val="21"/>
          <w:color w:val="auto"/>
        </w:rPr>
      </w:pPr>
    </w:p>
    <w:p>
      <w:pPr>
        <w:jc w:val="both"/>
        <w:ind w:firstLine="1288"/>
        <w:spacing w:after="0" w:line="287" w:lineRule="auto"/>
        <w:tabs>
          <w:tab w:leader="none" w:pos="1615"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The applicable Borrowers and each Extending Lender shall execute and deliver to Agent such documentation as Agent shall reasonably specify to evidence the Extended Revolving Commitments of such Extending Lender. Each such document shall specify the terms of the applicable Extended Revolving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that (i) except as to interest rates, fees and final maturity (which interest rates, fees and final maturity shall be determined by Borrowers and set forth in the Pro Rata Extension Offer), any Extended Revolving Commitment shall have the same terms as the existing U.S. Loans or the Canadian Loans, as applicable, and (ii) any Extended Revolving Commitments may participate on a pro rata basis or a less than pro rata basis (but not greater than a pro rata basis) in any voluntary or mandatory repayments or prepayments hereunder. Upon the effectiveness of any such Extended Revolving Commitment, this Agreement shall be amended to the extent (but only to the extent) necessary to reflect the existence and terms of the Extended Revolving Commitments evidenced thereby. With respect to any Extended Revolving Commitments, and with the consent of the Swing Line Lender and each L/C Issuer, participations in Swing Line Loans and Letters of Credit shall be reallocated to</w:t>
      </w:r>
    </w:p>
    <w:p>
      <w:pPr>
        <w:sectPr>
          <w:pgSz w:w="11900" w:h="16838" w:orient="portrait"/>
          <w:cols w:equalWidth="0" w:num="1">
            <w:col w:w="10900"/>
          </w:cols>
          <w:pgMar w:left="660" w:top="1428" w:right="339" w:bottom="1440" w:gutter="0" w:footer="0" w:header="0"/>
        </w:sectPr>
      </w:pPr>
    </w:p>
    <w:bookmarkStart w:id="221" w:name="page222"/>
    <w:bookmarkEnd w:id="221"/>
    <w:p>
      <w:pPr>
        <w:ind w:left="340"/>
        <w:spacing w:after="0"/>
        <w:rPr>
          <w:sz w:val="20"/>
          <w:szCs w:val="20"/>
          <w:color w:val="auto"/>
        </w:rPr>
      </w:pPr>
      <w:r>
        <w:rPr>
          <w:rFonts w:ascii="Arial" w:cs="Arial" w:eastAsia="Arial" w:hAnsi="Arial"/>
          <w:sz w:val="19"/>
          <w:szCs w:val="19"/>
          <w:color w:val="auto"/>
        </w:rPr>
        <w:t>lenders holding such Extended Revolving Commitments upon effectiveness of such Extended Revolving Commitment.</w:t>
      </w:r>
    </w:p>
    <w:p>
      <w:pPr>
        <w:spacing w:after="0" w:line="254" w:lineRule="exact"/>
        <w:rPr>
          <w:sz w:val="20"/>
          <w:szCs w:val="20"/>
          <w:color w:val="auto"/>
        </w:rPr>
      </w:pPr>
    </w:p>
    <w:p>
      <w:pPr>
        <w:ind w:left="340" w:firstLine="1288"/>
        <w:spacing w:after="0" w:line="287" w:lineRule="auto"/>
        <w:tabs>
          <w:tab w:leader="none" w:pos="1957" w:val="left"/>
        </w:tabs>
        <w:numPr>
          <w:ilvl w:val="0"/>
          <w:numId w:val="134"/>
        </w:numPr>
        <w:rPr>
          <w:rFonts w:ascii="Arial" w:cs="Arial" w:eastAsia="Arial" w:hAnsi="Arial"/>
          <w:sz w:val="21"/>
          <w:szCs w:val="21"/>
          <w:color w:val="auto"/>
        </w:rPr>
      </w:pPr>
      <w:r>
        <w:rPr>
          <w:rFonts w:ascii="Arial" w:cs="Arial" w:eastAsia="Arial" w:hAnsi="Arial"/>
          <w:sz w:val="21"/>
          <w:szCs w:val="21"/>
          <w:color w:val="auto"/>
        </w:rPr>
        <w:t>Upon the effectiveness of any such Extension, the applicable Extending Lender’s Canadian Commitment or Commitment, as applicable, will be automatically designated an Extended Revolving Commitment.</w:t>
      </w:r>
    </w:p>
    <w:p>
      <w:pPr>
        <w:spacing w:after="0" w:line="151" w:lineRule="exact"/>
        <w:rPr>
          <w:rFonts w:ascii="Arial" w:cs="Arial" w:eastAsia="Arial" w:hAnsi="Arial"/>
          <w:sz w:val="21"/>
          <w:szCs w:val="21"/>
          <w:color w:val="auto"/>
        </w:rPr>
      </w:pPr>
    </w:p>
    <w:p>
      <w:pPr>
        <w:jc w:val="both"/>
        <w:ind w:left="340" w:firstLine="1288"/>
        <w:spacing w:after="0" w:line="263" w:lineRule="auto"/>
        <w:tabs>
          <w:tab w:leader="none" w:pos="196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All Extended Revolving Commitments and all obligations in respect thereof shall be Obligations of the relevant Credit Parties under this Agreement and the other Loan Documents that are secured by the Collateral on a pari passu basis with all other Obligations of the relevant Credit Parties under this Agreement and the other Loan Documents and no L/C Issuer or Swing Line Lender shall be obligated to provide Swing Line Loans or issue Letters of Credit under such Extended Revolving Commitments unless it shall have consented thereto.</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2.17 </w:t>
      </w:r>
      <w:r>
        <w:rPr>
          <w:rFonts w:ascii="Arial" w:cs="Arial" w:eastAsia="Arial" w:hAnsi="Arial"/>
          <w:sz w:val="19"/>
          <w:szCs w:val="19"/>
          <w:u w:val="single" w:color="auto"/>
          <w:color w:val="auto"/>
        </w:rPr>
        <w:t>Bank Products</w:t>
      </w:r>
      <w:r>
        <w:rPr>
          <w:rFonts w:ascii="Arial" w:cs="Arial" w:eastAsia="Arial" w:hAnsi="Arial"/>
          <w:sz w:val="19"/>
          <w:szCs w:val="19"/>
          <w:color w:val="auto"/>
        </w:rPr>
        <w:t>. Any Credit Party may request and any Lender or Agent may, in its sole and absolute discretion, arrange for such Credit Party to obtain from such Lender or any Affiliate of such Lender or Agent, as applicable, Bank Products although no Credit Party is required to do so. The Credit Parties acknowledge and agree that the obtaining of Bank Products from any Lender or Agent or their respective Affiliates (a) is in the sole and absolute discretion of such Lender or Agent or their respective Affiliates, and (b) is subject to all rules and regulations of such Lender or Agent or their respective Affiliates.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2.18 </w:t>
      </w:r>
      <w:r>
        <w:rPr>
          <w:rFonts w:ascii="Arial" w:cs="Arial" w:eastAsia="Arial" w:hAnsi="Arial"/>
          <w:sz w:val="19"/>
          <w:szCs w:val="19"/>
          <w:u w:val="single" w:color="auto"/>
          <w:color w:val="auto"/>
        </w:rPr>
        <w:t>Reserves Generally</w:t>
      </w:r>
      <w:r>
        <w:rPr>
          <w:rFonts w:ascii="Arial" w:cs="Arial" w:eastAsia="Arial" w:hAnsi="Arial"/>
          <w:sz w:val="19"/>
          <w:szCs w:val="19"/>
          <w:color w:val="auto"/>
        </w:rPr>
        <w:t xml:space="preserve">. Notwithstanding anything contained in this Agreement to the contrary, Co-Collateral Agents may establish or change Reserves, in the exercise of their Permitted Discretion, but only upon not less than five (5) Business Days’ notice to Borrower Representative (unless an Event of Default exists in which case prior notice shall not be required prior to the establishment or change in any Reserve). Co-Collateral Agents will be available during such period to discuss any such proposed Reserve (or change thereto) with Borrower Representative and, without limiting the right of Co-Collateral Agents to establish or change such Reserves in Co-Collateral Agents’ Permitted Discretion, Borrowers may take such action as it may elect so that the event, condition or matter that gave rise to such Reserve no longer exists, in which event Co-Collateral Agents shall reduce or remove such Reserve in a manner that they determine appropriate in the exercise of their Permitted Discretion. The amount of Reserves established by Co-Collateral Agents pursuant to the first sentence of this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shall have a reasonable relationship as determined by Co-Collateral Agents in their Permitted Discretion to the event, condition or other matter that is the basis for the Reserves and shall relate to the Eligible Accounts, Eligible 90-Day Accounts or Eligible Equipment or Eligible Rolling Stock (collectively, the “</w:t>
      </w:r>
      <w:r>
        <w:rPr>
          <w:rFonts w:ascii="Arial" w:cs="Arial" w:eastAsia="Arial" w:hAnsi="Arial"/>
          <w:sz w:val="19"/>
          <w:szCs w:val="19"/>
          <w:u w:val="single" w:color="auto"/>
          <w:color w:val="auto"/>
        </w:rPr>
        <w:t>Borrowing Base Collateral</w:t>
      </w:r>
      <w:r>
        <w:rPr>
          <w:rFonts w:ascii="Arial" w:cs="Arial" w:eastAsia="Arial" w:hAnsi="Arial"/>
          <w:sz w:val="19"/>
          <w:szCs w:val="19"/>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3. CONDITIONS PRECEDENT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Conditions to Restatement Date and the Initial Loans</w:t>
      </w:r>
      <w:r>
        <w:rPr>
          <w:rFonts w:ascii="Arial" w:cs="Arial" w:eastAsia="Arial" w:hAnsi="Arial"/>
          <w:sz w:val="19"/>
          <w:szCs w:val="19"/>
          <w:color w:val="auto"/>
        </w:rPr>
        <w:t>. The Restatement Date shall not occur, and no Lender shall be obligated to make any Loan and no Lender or L/C Issuer shall be obligated to incur any Letter of Credit Obligations on the Restatement Date until the following conditions have been satisfied or provided for in a manner reasonably satisfactory to</w:t>
      </w:r>
    </w:p>
    <w:p>
      <w:pPr>
        <w:sectPr>
          <w:pgSz w:w="11900" w:h="16838" w:orient="portrait"/>
          <w:cols w:equalWidth="0" w:num="1">
            <w:col w:w="11240"/>
          </w:cols>
          <w:pgMar w:left="320" w:top="1428" w:right="339" w:bottom="1440" w:gutter="0" w:footer="0" w:header="0"/>
        </w:sectPr>
      </w:pPr>
    </w:p>
    <w:bookmarkStart w:id="222" w:name="page223"/>
    <w:bookmarkEnd w:id="222"/>
    <w:p>
      <w:pPr>
        <w:spacing w:after="0" w:line="263" w:lineRule="auto"/>
        <w:rPr>
          <w:sz w:val="20"/>
          <w:szCs w:val="20"/>
          <w:color w:val="auto"/>
        </w:rPr>
      </w:pPr>
      <w:r>
        <w:rPr>
          <w:rFonts w:ascii="Arial" w:cs="Arial" w:eastAsia="Arial" w:hAnsi="Arial"/>
          <w:sz w:val="22"/>
          <w:szCs w:val="22"/>
          <w:color w:val="auto"/>
        </w:rPr>
        <w:t>Agent, each Co-Collateral Agent, each Lead Arranger and each Lender, or waived in writing by Agent, Co-Collateral Agents, each Lead Arranger and each Lender:</w:t>
      </w:r>
    </w:p>
    <w:p>
      <w:pPr>
        <w:spacing w:after="0" w:line="175" w:lineRule="exact"/>
        <w:rPr>
          <w:sz w:val="20"/>
          <w:szCs w:val="20"/>
          <w:color w:val="auto"/>
        </w:rPr>
      </w:pPr>
    </w:p>
    <w:p>
      <w:pPr>
        <w:jc w:val="both"/>
        <w:ind w:left="340" w:firstLine="1288"/>
        <w:spacing w:after="0" w:line="250" w:lineRule="auto"/>
        <w:tabs>
          <w:tab w:leader="none" w:pos="1957"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Credit Agreement; Loan Documents</w:t>
      </w:r>
      <w:r>
        <w:rPr>
          <w:rFonts w:ascii="Arial" w:cs="Arial" w:eastAsia="Arial" w:hAnsi="Arial"/>
          <w:sz w:val="22"/>
          <w:szCs w:val="22"/>
          <w:color w:val="auto"/>
        </w:rPr>
        <w:t>. The following documents shall have been duly executed by each Borrower, each other Credit Party, Agent, Co-Collateral Agents and the Lenders party thereto; and Agent shall have received such documents, instruments and agreements, each in form and substance reasonably satisfactory to Agent, each Lead Arranger and each Lender:</w:t>
      </w:r>
    </w:p>
    <w:p>
      <w:pPr>
        <w:spacing w:after="0" w:line="187" w:lineRule="exact"/>
        <w:rPr>
          <w:rFonts w:ascii="Arial" w:cs="Arial" w:eastAsia="Arial" w:hAnsi="Arial"/>
          <w:sz w:val="22"/>
          <w:szCs w:val="22"/>
          <w:color w:val="auto"/>
        </w:rPr>
      </w:pPr>
    </w:p>
    <w:p>
      <w:pPr>
        <w:ind w:left="340" w:firstLine="1732"/>
        <w:spacing w:after="0" w:line="263" w:lineRule="auto"/>
        <w:tabs>
          <w:tab w:leader="none" w:pos="2608" w:val="left"/>
        </w:tabs>
        <w:numPr>
          <w:ilvl w:val="1"/>
          <w:numId w:val="135"/>
        </w:numPr>
        <w:rPr>
          <w:rFonts w:ascii="Arial" w:cs="Arial" w:eastAsia="Arial" w:hAnsi="Arial"/>
          <w:sz w:val="22"/>
          <w:szCs w:val="22"/>
          <w:color w:val="auto"/>
        </w:rPr>
      </w:pPr>
      <w:r>
        <w:rPr>
          <w:rFonts w:ascii="Arial" w:cs="Arial" w:eastAsia="Arial" w:hAnsi="Arial"/>
          <w:sz w:val="22"/>
          <w:szCs w:val="22"/>
          <w:u w:val="single" w:color="auto"/>
          <w:color w:val="auto"/>
        </w:rPr>
        <w:t>Credit Agreement</w:t>
      </w:r>
      <w:r>
        <w:rPr>
          <w:rFonts w:ascii="Arial" w:cs="Arial" w:eastAsia="Arial" w:hAnsi="Arial"/>
          <w:sz w:val="22"/>
          <w:szCs w:val="22"/>
          <w:color w:val="auto"/>
        </w:rPr>
        <w:t>. Duly executed originals of this Agreement, dated the Restatement Date, and all annexes, exhibits and schedules hereto.</w:t>
      </w:r>
    </w:p>
    <w:p>
      <w:pPr>
        <w:spacing w:after="0" w:line="174" w:lineRule="exact"/>
        <w:rPr>
          <w:rFonts w:ascii="Arial" w:cs="Arial" w:eastAsia="Arial" w:hAnsi="Arial"/>
          <w:sz w:val="22"/>
          <w:szCs w:val="22"/>
          <w:color w:val="auto"/>
        </w:rPr>
      </w:pPr>
    </w:p>
    <w:p>
      <w:pPr>
        <w:ind w:left="340" w:firstLine="1672"/>
        <w:spacing w:after="0" w:line="263" w:lineRule="auto"/>
        <w:tabs>
          <w:tab w:leader="none" w:pos="2608" w:val="left"/>
        </w:tabs>
        <w:numPr>
          <w:ilvl w:val="1"/>
          <w:numId w:val="135"/>
        </w:numPr>
        <w:rPr>
          <w:rFonts w:ascii="Arial" w:cs="Arial" w:eastAsia="Arial" w:hAnsi="Arial"/>
          <w:sz w:val="22"/>
          <w:szCs w:val="22"/>
          <w:color w:val="auto"/>
        </w:rPr>
      </w:pPr>
      <w:r>
        <w:rPr>
          <w:rFonts w:ascii="Arial" w:cs="Arial" w:eastAsia="Arial" w:hAnsi="Arial"/>
          <w:sz w:val="22"/>
          <w:szCs w:val="22"/>
          <w:u w:val="single" w:color="auto"/>
          <w:color w:val="auto"/>
        </w:rPr>
        <w:t>Revolving Notes and Swing Line Notes</w:t>
      </w:r>
      <w:r>
        <w:rPr>
          <w:rFonts w:ascii="Arial" w:cs="Arial" w:eastAsia="Arial" w:hAnsi="Arial"/>
          <w:sz w:val="22"/>
          <w:szCs w:val="22"/>
          <w:color w:val="auto"/>
        </w:rPr>
        <w:t>. If requested by any Lender, duly executed originals of the Revolving Notes and Swing Line Notes for each applicable Lender, dated the Restatement Date.</w:t>
      </w:r>
    </w:p>
    <w:p>
      <w:pPr>
        <w:spacing w:after="0" w:line="174" w:lineRule="exact"/>
        <w:rPr>
          <w:rFonts w:ascii="Arial" w:cs="Arial" w:eastAsia="Arial" w:hAnsi="Arial"/>
          <w:sz w:val="22"/>
          <w:szCs w:val="22"/>
          <w:color w:val="auto"/>
        </w:rPr>
      </w:pPr>
    </w:p>
    <w:p>
      <w:pPr>
        <w:ind w:left="340" w:firstLine="1612"/>
        <w:spacing w:after="0" w:line="263" w:lineRule="auto"/>
        <w:tabs>
          <w:tab w:leader="none" w:pos="2608" w:val="left"/>
        </w:tabs>
        <w:numPr>
          <w:ilvl w:val="1"/>
          <w:numId w:val="135"/>
        </w:numPr>
        <w:rPr>
          <w:rFonts w:ascii="Arial" w:cs="Arial" w:eastAsia="Arial" w:hAnsi="Arial"/>
          <w:sz w:val="22"/>
          <w:szCs w:val="22"/>
          <w:color w:val="auto"/>
        </w:rPr>
      </w:pPr>
      <w:r>
        <w:rPr>
          <w:rFonts w:ascii="Arial" w:cs="Arial" w:eastAsia="Arial" w:hAnsi="Arial"/>
          <w:sz w:val="22"/>
          <w:szCs w:val="22"/>
          <w:u w:val="single" w:color="auto"/>
          <w:color w:val="auto"/>
        </w:rPr>
        <w:t>U.S. Security Agreement</w:t>
      </w:r>
      <w:r>
        <w:rPr>
          <w:rFonts w:ascii="Arial" w:cs="Arial" w:eastAsia="Arial" w:hAnsi="Arial"/>
          <w:sz w:val="22"/>
          <w:szCs w:val="22"/>
          <w:color w:val="auto"/>
        </w:rPr>
        <w:t>. Duly executed originals of the U.S. Security Agreement, dated the Restatement Date, and all annexes, exhibits and schedules thereto.</w:t>
      </w:r>
    </w:p>
    <w:p>
      <w:pPr>
        <w:spacing w:after="0" w:line="174" w:lineRule="exact"/>
        <w:rPr>
          <w:rFonts w:ascii="Arial" w:cs="Arial" w:eastAsia="Arial" w:hAnsi="Arial"/>
          <w:sz w:val="22"/>
          <w:szCs w:val="22"/>
          <w:color w:val="auto"/>
        </w:rPr>
      </w:pPr>
    </w:p>
    <w:p>
      <w:pPr>
        <w:ind w:left="340" w:firstLine="1624"/>
        <w:spacing w:after="0" w:line="263" w:lineRule="auto"/>
        <w:tabs>
          <w:tab w:leader="none" w:pos="2608" w:val="left"/>
        </w:tabs>
        <w:numPr>
          <w:ilvl w:val="1"/>
          <w:numId w:val="135"/>
        </w:numPr>
        <w:rPr>
          <w:rFonts w:ascii="Arial" w:cs="Arial" w:eastAsia="Arial" w:hAnsi="Arial"/>
          <w:sz w:val="22"/>
          <w:szCs w:val="22"/>
          <w:color w:val="auto"/>
        </w:rPr>
      </w:pPr>
      <w:r>
        <w:rPr>
          <w:rFonts w:ascii="Arial" w:cs="Arial" w:eastAsia="Arial" w:hAnsi="Arial"/>
          <w:sz w:val="22"/>
          <w:szCs w:val="22"/>
          <w:u w:val="single" w:color="auto"/>
          <w:color w:val="auto"/>
        </w:rPr>
        <w:t>Canadian Security Agreement</w:t>
      </w:r>
      <w:r>
        <w:rPr>
          <w:rFonts w:ascii="Arial" w:cs="Arial" w:eastAsia="Arial" w:hAnsi="Arial"/>
          <w:sz w:val="22"/>
          <w:szCs w:val="22"/>
          <w:color w:val="auto"/>
        </w:rPr>
        <w:t>. Duly executed originals of the Canadian Security Agreements, dated the Restatement Date.</w:t>
      </w:r>
    </w:p>
    <w:p>
      <w:pPr>
        <w:spacing w:after="0" w:line="174" w:lineRule="exact"/>
        <w:rPr>
          <w:rFonts w:ascii="Arial" w:cs="Arial" w:eastAsia="Arial" w:hAnsi="Arial"/>
          <w:sz w:val="22"/>
          <w:szCs w:val="22"/>
          <w:color w:val="auto"/>
        </w:rPr>
      </w:pPr>
    </w:p>
    <w:p>
      <w:pPr>
        <w:jc w:val="both"/>
        <w:ind w:left="340" w:firstLine="1684"/>
        <w:spacing w:after="0" w:line="271" w:lineRule="auto"/>
        <w:tabs>
          <w:tab w:leader="none" w:pos="2608" w:val="left"/>
        </w:tabs>
        <w:numPr>
          <w:ilvl w:val="1"/>
          <w:numId w:val="135"/>
        </w:numPr>
        <w:rPr>
          <w:rFonts w:ascii="Arial" w:cs="Arial" w:eastAsia="Arial" w:hAnsi="Arial"/>
          <w:sz w:val="21"/>
          <w:szCs w:val="21"/>
          <w:color w:val="auto"/>
        </w:rPr>
      </w:pPr>
      <w:r>
        <w:rPr>
          <w:rFonts w:ascii="Arial" w:cs="Arial" w:eastAsia="Arial" w:hAnsi="Arial"/>
          <w:sz w:val="21"/>
          <w:szCs w:val="21"/>
          <w:u w:val="single" w:color="auto"/>
          <w:color w:val="auto"/>
        </w:rPr>
        <w:t>Intellectual Property Security Agreements</w:t>
      </w:r>
      <w:r>
        <w:rPr>
          <w:rFonts w:ascii="Arial" w:cs="Arial" w:eastAsia="Arial" w:hAnsi="Arial"/>
          <w:sz w:val="21"/>
          <w:szCs w:val="21"/>
          <w:color w:val="auto"/>
        </w:rPr>
        <w:t>. Duly executed originals of Intellectual Property Security Agreements, dated the Restatement Date in form and substance reasonably satisfactory to Agent (it being understood that the forms attached to the U.S. Security Agreement are reasonably satisfactory to Agent).</w:t>
      </w:r>
    </w:p>
    <w:p>
      <w:pPr>
        <w:spacing w:after="0" w:line="167" w:lineRule="exact"/>
        <w:rPr>
          <w:rFonts w:ascii="Arial" w:cs="Arial" w:eastAsia="Arial" w:hAnsi="Arial"/>
          <w:sz w:val="21"/>
          <w:szCs w:val="21"/>
          <w:color w:val="auto"/>
        </w:rPr>
      </w:pPr>
    </w:p>
    <w:p>
      <w:pPr>
        <w:ind w:left="2600" w:hanging="636"/>
        <w:spacing w:after="0"/>
        <w:tabs>
          <w:tab w:leader="none" w:pos="2600" w:val="left"/>
        </w:tabs>
        <w:numPr>
          <w:ilvl w:val="1"/>
          <w:numId w:val="135"/>
        </w:numPr>
        <w:rPr>
          <w:rFonts w:ascii="Arial" w:cs="Arial" w:eastAsia="Arial" w:hAnsi="Arial"/>
          <w:sz w:val="19"/>
          <w:szCs w:val="19"/>
          <w:color w:val="auto"/>
        </w:rPr>
      </w:pPr>
      <w:r>
        <w:rPr>
          <w:rFonts w:ascii="Arial" w:cs="Arial" w:eastAsia="Arial" w:hAnsi="Arial"/>
          <w:sz w:val="19"/>
          <w:szCs w:val="19"/>
          <w:u w:val="single" w:color="auto"/>
          <w:color w:val="auto"/>
        </w:rPr>
        <w:t>ABL Intercreditor Agreement</w:t>
      </w:r>
      <w:r>
        <w:rPr>
          <w:rFonts w:ascii="Arial" w:cs="Arial" w:eastAsia="Arial" w:hAnsi="Arial"/>
          <w:sz w:val="19"/>
          <w:szCs w:val="19"/>
          <w:color w:val="auto"/>
        </w:rPr>
        <w:t>. Duly executed originals of the ABL Intercreditor Agreement, dated</w:t>
      </w:r>
    </w:p>
    <w:p>
      <w:pPr>
        <w:spacing w:after="0" w:line="55"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22"/>
          <w:szCs w:val="22"/>
          <w:color w:val="auto"/>
        </w:rPr>
        <w:t>the Restatement Date.</w:t>
      </w:r>
    </w:p>
    <w:p>
      <w:pPr>
        <w:spacing w:after="0" w:line="201" w:lineRule="exact"/>
        <w:rPr>
          <w:rFonts w:ascii="Arial" w:cs="Arial" w:eastAsia="Arial" w:hAnsi="Arial"/>
          <w:sz w:val="19"/>
          <w:szCs w:val="19"/>
          <w:color w:val="auto"/>
        </w:rPr>
      </w:pPr>
    </w:p>
    <w:p>
      <w:pPr>
        <w:jc w:val="both"/>
        <w:ind w:left="340" w:firstLine="1564"/>
        <w:spacing w:after="0" w:line="253" w:lineRule="auto"/>
        <w:tabs>
          <w:tab w:leader="none" w:pos="2608" w:val="left"/>
        </w:tabs>
        <w:numPr>
          <w:ilvl w:val="1"/>
          <w:numId w:val="135"/>
        </w:numPr>
        <w:rPr>
          <w:rFonts w:ascii="Arial" w:cs="Arial" w:eastAsia="Arial" w:hAnsi="Arial"/>
          <w:sz w:val="22"/>
          <w:szCs w:val="22"/>
          <w:color w:val="auto"/>
        </w:rPr>
      </w:pPr>
      <w:r>
        <w:rPr>
          <w:rFonts w:ascii="Arial" w:cs="Arial" w:eastAsia="Arial" w:hAnsi="Arial"/>
          <w:sz w:val="22"/>
          <w:szCs w:val="22"/>
          <w:u w:val="single" w:color="auto"/>
          <w:color w:val="auto"/>
        </w:rPr>
        <w:t>Lien, Tax, and Judgment Searches</w:t>
      </w:r>
      <w:r>
        <w:rPr>
          <w:rFonts w:ascii="Arial" w:cs="Arial" w:eastAsia="Arial" w:hAnsi="Arial"/>
          <w:sz w:val="22"/>
          <w:szCs w:val="22"/>
          <w:color w:val="auto"/>
        </w:rPr>
        <w:t>. Agent shall have received the result of recent lien, Tax and judgment searches in each of the jurisdictions reasonably requested by it and such lien searches shall reveal no Liens on any of the assets of the Credit Parties, other than Permitted Liens.</w:t>
      </w:r>
    </w:p>
    <w:p>
      <w:pPr>
        <w:spacing w:after="0" w:line="185" w:lineRule="exact"/>
        <w:rPr>
          <w:rFonts w:ascii="Arial" w:cs="Arial" w:eastAsia="Arial" w:hAnsi="Arial"/>
          <w:sz w:val="22"/>
          <w:szCs w:val="22"/>
          <w:color w:val="auto"/>
        </w:rPr>
      </w:pPr>
    </w:p>
    <w:p>
      <w:pPr>
        <w:jc w:val="both"/>
        <w:ind w:left="340" w:firstLine="1504"/>
        <w:spacing w:after="0" w:line="265" w:lineRule="auto"/>
        <w:tabs>
          <w:tab w:leader="none" w:pos="2608" w:val="left"/>
        </w:tabs>
        <w:numPr>
          <w:ilvl w:val="1"/>
          <w:numId w:val="135"/>
        </w:numPr>
        <w:rPr>
          <w:rFonts w:ascii="Arial" w:cs="Arial" w:eastAsia="Arial" w:hAnsi="Arial"/>
          <w:sz w:val="21"/>
          <w:szCs w:val="21"/>
          <w:color w:val="auto"/>
        </w:rPr>
      </w:pPr>
      <w:r>
        <w:rPr>
          <w:rFonts w:ascii="Arial" w:cs="Arial" w:eastAsia="Arial" w:hAnsi="Arial"/>
          <w:sz w:val="21"/>
          <w:szCs w:val="21"/>
          <w:u w:val="single" w:color="auto"/>
          <w:color w:val="auto"/>
        </w:rPr>
        <w:t>Repayment of the Existing Credit Agreement</w:t>
      </w:r>
      <w:r>
        <w:rPr>
          <w:rFonts w:ascii="Arial" w:cs="Arial" w:eastAsia="Arial" w:hAnsi="Arial"/>
          <w:sz w:val="21"/>
          <w:szCs w:val="21"/>
          <w:color w:val="auto"/>
        </w:rPr>
        <w:t xml:space="preserve">. All principal on Loans under (and as defined in) the Existing Credit Agreement, and all accrued and unpaid interest, fees and other amounts owing under the Existing Credit Agreement (except to the extent Letters of Credit (as defined in the Existing Credit Agreement) thereunder are converted to Letters of Credit hereunder in accordance with </w:t>
      </w:r>
      <w:r>
        <w:rPr>
          <w:rFonts w:ascii="Arial" w:cs="Arial" w:eastAsia="Arial" w:hAnsi="Arial"/>
          <w:sz w:val="21"/>
          <w:szCs w:val="21"/>
          <w:u w:val="single" w:color="auto"/>
          <w:color w:val="auto"/>
        </w:rPr>
        <w:t>Section 2.2(j)</w:t>
      </w:r>
      <w:r>
        <w:rPr>
          <w:rFonts w:ascii="Arial" w:cs="Arial" w:eastAsia="Arial" w:hAnsi="Arial"/>
          <w:sz w:val="21"/>
          <w:szCs w:val="21"/>
          <w:color w:val="auto"/>
        </w:rPr>
        <w:t>) shall have been repaid.</w:t>
      </w:r>
    </w:p>
    <w:p>
      <w:pPr>
        <w:spacing w:after="0" w:line="175" w:lineRule="exact"/>
        <w:rPr>
          <w:rFonts w:ascii="Arial" w:cs="Arial" w:eastAsia="Arial" w:hAnsi="Arial"/>
          <w:sz w:val="21"/>
          <w:szCs w:val="21"/>
          <w:color w:val="auto"/>
        </w:rPr>
      </w:pPr>
    </w:p>
    <w:p>
      <w:pPr>
        <w:jc w:val="both"/>
        <w:ind w:left="340" w:firstLine="1624"/>
        <w:spacing w:after="0" w:line="253" w:lineRule="auto"/>
        <w:tabs>
          <w:tab w:leader="none" w:pos="2608" w:val="left"/>
        </w:tabs>
        <w:numPr>
          <w:ilvl w:val="1"/>
          <w:numId w:val="135"/>
        </w:numPr>
        <w:rPr>
          <w:rFonts w:ascii="Arial" w:cs="Arial" w:eastAsia="Arial" w:hAnsi="Arial"/>
          <w:sz w:val="22"/>
          <w:szCs w:val="22"/>
          <w:color w:val="auto"/>
        </w:rPr>
      </w:pPr>
      <w:r>
        <w:rPr>
          <w:rFonts w:ascii="Arial" w:cs="Arial" w:eastAsia="Arial" w:hAnsi="Arial"/>
          <w:sz w:val="22"/>
          <w:szCs w:val="22"/>
          <w:u w:val="single" w:color="auto"/>
          <w:color w:val="auto"/>
        </w:rPr>
        <w:t>Filings, Registrations, and Recordings</w:t>
      </w:r>
      <w:r>
        <w:rPr>
          <w:rFonts w:ascii="Arial" w:cs="Arial" w:eastAsia="Arial" w:hAnsi="Arial"/>
          <w:sz w:val="22"/>
          <w:szCs w:val="22"/>
          <w:color w:val="auto"/>
        </w:rPr>
        <w:t>. Agent shall have received each document (including, without limitation, any financing statement authorized for filing under the Code or the PPSA, as applicable) reasonably requested by Agent to be filed,</w:t>
      </w:r>
    </w:p>
    <w:p>
      <w:pPr>
        <w:sectPr>
          <w:pgSz w:w="11900" w:h="16838" w:orient="portrait"/>
          <w:cols w:equalWidth="0" w:num="1">
            <w:col w:w="11240"/>
          </w:cols>
          <w:pgMar w:left="320" w:top="1428" w:right="339" w:bottom="1440" w:gutter="0" w:footer="0" w:header="0"/>
        </w:sectPr>
      </w:pPr>
    </w:p>
    <w:bookmarkStart w:id="223" w:name="page224"/>
    <w:bookmarkEnd w:id="223"/>
    <w:p>
      <w:pPr>
        <w:jc w:val="both"/>
        <w:spacing w:after="0" w:line="246" w:lineRule="auto"/>
        <w:rPr>
          <w:sz w:val="20"/>
          <w:szCs w:val="20"/>
          <w:color w:val="auto"/>
        </w:rPr>
      </w:pPr>
      <w:r>
        <w:rPr>
          <w:rFonts w:ascii="Arial" w:cs="Arial" w:eastAsia="Arial" w:hAnsi="Arial"/>
          <w:sz w:val="22"/>
          <w:szCs w:val="22"/>
          <w:color w:val="auto"/>
        </w:rPr>
        <w:t>registered or recorded in order to create in favor of Agent, for the benefit of the Lenders and other Secured Parties, a (x) first priority perfected Lien on the U.S. ABL Priority Collateral and the Canadian Collateral (subject to Permitted Liens) and (y) a second priority perfected Lien on the U.S. Term Priority Collateral (subject to Permitted Liens), in either case, which can be perfected by the filing of such document and authorization for filing, registering or recording each such document (including, without limitation, any financing statement authorized for filing under the Code or the PPSA, as applicable) and (y) Memorandum of Security Agreements dated the Restatement Date shall have been delivered for recording with the Surface Transportation Board.</w:t>
      </w:r>
    </w:p>
    <w:p>
      <w:pPr>
        <w:spacing w:after="0" w:line="196" w:lineRule="exact"/>
        <w:rPr>
          <w:sz w:val="20"/>
          <w:szCs w:val="20"/>
          <w:color w:val="auto"/>
        </w:rPr>
      </w:pPr>
    </w:p>
    <w:p>
      <w:pPr>
        <w:ind w:left="2260" w:hanging="576"/>
        <w:spacing w:after="0"/>
        <w:tabs>
          <w:tab w:leader="none" w:pos="226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624"/>
        <w:spacing w:after="0" w:line="312" w:lineRule="auto"/>
        <w:tabs>
          <w:tab w:leader="none" w:pos="2268"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Borrowing Base Certificate</w:t>
      </w:r>
      <w:r>
        <w:rPr>
          <w:rFonts w:ascii="Arial" w:cs="Arial" w:eastAsia="Arial" w:hAnsi="Arial"/>
          <w:sz w:val="19"/>
          <w:szCs w:val="19"/>
          <w:color w:val="auto"/>
        </w:rPr>
        <w:t>. Agent shall have received duly executed originals of a Borrowing Base Certificate for Borrowers, dated the Restatement Date, reflecting information concerning calculation of the Borrowing Base as of the last day of the most recent calendar month ended at least 20 days prior to the Restatement Date.</w:t>
      </w:r>
    </w:p>
    <w:p>
      <w:pPr>
        <w:spacing w:after="0" w:line="133" w:lineRule="exact"/>
        <w:rPr>
          <w:rFonts w:ascii="Arial" w:cs="Arial" w:eastAsia="Arial" w:hAnsi="Arial"/>
          <w:sz w:val="19"/>
          <w:szCs w:val="19"/>
          <w:color w:val="auto"/>
        </w:rPr>
      </w:pPr>
    </w:p>
    <w:p>
      <w:pPr>
        <w:jc w:val="both"/>
        <w:ind w:firstLine="1564"/>
        <w:spacing w:after="0" w:line="292" w:lineRule="auto"/>
        <w:tabs>
          <w:tab w:leader="none" w:pos="2268"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Formation and Good Standing</w:t>
      </w:r>
      <w:r>
        <w:rPr>
          <w:rFonts w:ascii="Arial" w:cs="Arial" w:eastAsia="Arial" w:hAnsi="Arial"/>
          <w:sz w:val="19"/>
          <w:szCs w:val="19"/>
          <w:color w:val="auto"/>
        </w:rPr>
        <w:t>. For each Credit Party, such Person’s (a) articles of incorporation or certificate of formation, as applicable, and all amendments thereto, each certified as of the Restatement Date by such Person’s corporate secretary or an assistant secretary, managing member, manager or equivalent senior officer, as applicable, as being in full force and effect without any further modification or amendment (b) for each Borrower only, a good standing certificate (including verification of Tax status) or like certificate in its jurisdiction of incorporation or formation, as applicable, and (c) for each Credit Party other than a Borrower, a “bring down” certificate of good standing or like certificate in its jurisdiction of incorporation or formation, as applicable.</w:t>
      </w:r>
    </w:p>
    <w:p>
      <w:pPr>
        <w:spacing w:after="0" w:line="150" w:lineRule="exact"/>
        <w:rPr>
          <w:rFonts w:ascii="Arial" w:cs="Arial" w:eastAsia="Arial" w:hAnsi="Arial"/>
          <w:sz w:val="19"/>
          <w:szCs w:val="19"/>
          <w:color w:val="auto"/>
        </w:rPr>
      </w:pPr>
    </w:p>
    <w:p>
      <w:pPr>
        <w:jc w:val="both"/>
        <w:ind w:firstLine="1504"/>
        <w:spacing w:after="0" w:line="292" w:lineRule="auto"/>
        <w:tabs>
          <w:tab w:leader="none" w:pos="2268"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Bylaws and Resolutions</w:t>
      </w:r>
      <w:r>
        <w:rPr>
          <w:rFonts w:ascii="Arial" w:cs="Arial" w:eastAsia="Arial" w:hAnsi="Arial"/>
          <w:sz w:val="19"/>
          <w:szCs w:val="19"/>
          <w:color w:val="auto"/>
        </w:rPr>
        <w:t>. For each Credit Party, (a) such Person’s bylaws, operating agreement, limited liability company agreement or limited partnership agreement, as applicable, together with all amendments thereto and (b) resolutions of such Person’s members or board of directors, as the case may be, and, to the extent required under applicable law, stockholders, approving and authorizing the execution, delivery and performance of the Loan Documents to which such Person is a party and the transactions to be consummated in connection therewith, each certified as of the Restatement Date by such Person’s corporate secretary or an assistant secretary, managing member, manager or equivalent senior officer, as applicable, as being in full force and effect without any modification or amendment.</w:t>
      </w:r>
    </w:p>
    <w:p>
      <w:pPr>
        <w:spacing w:after="0" w:line="150" w:lineRule="exact"/>
        <w:rPr>
          <w:rFonts w:ascii="Arial" w:cs="Arial" w:eastAsia="Arial" w:hAnsi="Arial"/>
          <w:sz w:val="19"/>
          <w:szCs w:val="19"/>
          <w:color w:val="auto"/>
        </w:rPr>
      </w:pPr>
    </w:p>
    <w:p>
      <w:pPr>
        <w:jc w:val="both"/>
        <w:ind w:firstLine="1516"/>
        <w:spacing w:after="0" w:line="250" w:lineRule="auto"/>
        <w:tabs>
          <w:tab w:leader="none" w:pos="2268"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Incumbency Certificates</w:t>
      </w:r>
      <w:r>
        <w:rPr>
          <w:rFonts w:ascii="Arial" w:cs="Arial" w:eastAsia="Arial" w:hAnsi="Arial"/>
          <w:sz w:val="22"/>
          <w:szCs w:val="22"/>
          <w:color w:val="auto"/>
        </w:rPr>
        <w:t>. For each Credit Party, signature and incumbency certificates of the officers of each such Person executing any of the Loan Documents, certified as of the Restatement Date by such Person’s corporate secretary or an assistant secretary, managing member, manager or equivalent senior officer, as applicable, as being true, accurate, correct and complete.</w:t>
      </w:r>
    </w:p>
    <w:p>
      <w:pPr>
        <w:spacing w:after="0" w:line="187" w:lineRule="exact"/>
        <w:rPr>
          <w:rFonts w:ascii="Arial" w:cs="Arial" w:eastAsia="Arial" w:hAnsi="Arial"/>
          <w:sz w:val="22"/>
          <w:szCs w:val="22"/>
          <w:color w:val="auto"/>
        </w:rPr>
      </w:pPr>
    </w:p>
    <w:p>
      <w:pPr>
        <w:ind w:firstLine="1576"/>
        <w:spacing w:after="0" w:line="263" w:lineRule="auto"/>
        <w:tabs>
          <w:tab w:leader="none" w:pos="2268" w:val="left"/>
        </w:tabs>
        <w:numPr>
          <w:ilvl w:val="0"/>
          <w:numId w:val="136"/>
        </w:numPr>
        <w:rPr>
          <w:rFonts w:ascii="Arial" w:cs="Arial" w:eastAsia="Arial" w:hAnsi="Arial"/>
          <w:sz w:val="22"/>
          <w:szCs w:val="22"/>
          <w:color w:val="auto"/>
        </w:rPr>
      </w:pPr>
      <w:r>
        <w:rPr>
          <w:rFonts w:ascii="Arial" w:cs="Arial" w:eastAsia="Arial" w:hAnsi="Arial"/>
          <w:sz w:val="22"/>
          <w:szCs w:val="22"/>
          <w:u w:val="single" w:color="auto"/>
          <w:color w:val="auto"/>
        </w:rPr>
        <w:t>Opinions of Counsel</w:t>
      </w:r>
      <w:r>
        <w:rPr>
          <w:rFonts w:ascii="Arial" w:cs="Arial" w:eastAsia="Arial" w:hAnsi="Arial"/>
          <w:sz w:val="22"/>
          <w:szCs w:val="22"/>
          <w:color w:val="auto"/>
        </w:rPr>
        <w:t>. Duly executed originals of legal opinions of (i) Wachtell, Lipton, Rosen &amp; Katz, U.S. special counsel to the Credit Parties, (ii) Gowling</w:t>
      </w:r>
    </w:p>
    <w:p>
      <w:pPr>
        <w:sectPr>
          <w:pgSz w:w="11900" w:h="16838" w:orient="portrait"/>
          <w:cols w:equalWidth="0" w:num="1">
            <w:col w:w="10900"/>
          </w:cols>
          <w:pgMar w:left="660" w:top="1428" w:right="339" w:bottom="1440" w:gutter="0" w:footer="0" w:header="0"/>
        </w:sectPr>
      </w:pPr>
    </w:p>
    <w:bookmarkStart w:id="224" w:name="page225"/>
    <w:bookmarkEnd w:id="224"/>
    <w:p>
      <w:pPr>
        <w:jc w:val="both"/>
        <w:spacing w:after="0" w:line="271" w:lineRule="auto"/>
        <w:rPr>
          <w:sz w:val="20"/>
          <w:szCs w:val="20"/>
          <w:color w:val="auto"/>
        </w:rPr>
      </w:pPr>
      <w:r>
        <w:rPr>
          <w:rFonts w:ascii="Arial" w:cs="Arial" w:eastAsia="Arial" w:hAnsi="Arial"/>
          <w:sz w:val="21"/>
          <w:szCs w:val="21"/>
          <w:color w:val="auto"/>
        </w:rPr>
        <w:t>LaFleur Henderson LLP, Canadian special counsel to the Credit Parties, (iii) Spencer Fane LLP, Missouri special counsel to the Credit Parties and (iv) Louis E. Gittomer, U.S. special railroad counsel to the Credit Parties, each in form and substance reasonably satisfactory to Agent and its counsel, dated the Restatement Date.</w:t>
      </w:r>
    </w:p>
    <w:p>
      <w:pPr>
        <w:spacing w:after="0" w:line="167" w:lineRule="exact"/>
        <w:rPr>
          <w:sz w:val="20"/>
          <w:szCs w:val="20"/>
          <w:color w:val="auto"/>
        </w:rPr>
      </w:pPr>
    </w:p>
    <w:p>
      <w:pPr>
        <w:ind w:firstLine="1516"/>
        <w:spacing w:after="0" w:line="263" w:lineRule="auto"/>
        <w:tabs>
          <w:tab w:leader="none" w:pos="2268"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Officer’s Certificate</w:t>
      </w:r>
      <w:r>
        <w:rPr>
          <w:rFonts w:ascii="Arial" w:cs="Arial" w:eastAsia="Arial" w:hAnsi="Arial"/>
          <w:sz w:val="22"/>
          <w:szCs w:val="22"/>
          <w:color w:val="auto"/>
        </w:rPr>
        <w:t>. Agent shall have received duly executed originals of a certificate of a Financial Officer of Borrower Representative, dated the Restatement Date, stating that:</w:t>
      </w:r>
    </w:p>
    <w:p>
      <w:pPr>
        <w:spacing w:after="0" w:line="175" w:lineRule="exact"/>
        <w:rPr>
          <w:sz w:val="20"/>
          <w:szCs w:val="20"/>
          <w:color w:val="auto"/>
        </w:rPr>
      </w:pPr>
    </w:p>
    <w:p>
      <w:pPr>
        <w:jc w:val="both"/>
        <w:ind w:left="1620" w:hanging="8"/>
        <w:spacing w:after="0" w:line="284" w:lineRule="auto"/>
        <w:tabs>
          <w:tab w:leader="none" w:pos="2006" w:val="left"/>
        </w:tabs>
        <w:numPr>
          <w:ilvl w:val="1"/>
          <w:numId w:val="138"/>
        </w:numPr>
        <w:rPr>
          <w:rFonts w:ascii="Arial" w:cs="Arial" w:eastAsia="Arial" w:hAnsi="Arial"/>
          <w:sz w:val="19"/>
          <w:szCs w:val="19"/>
          <w:color w:val="auto"/>
        </w:rPr>
      </w:pPr>
      <w:r>
        <w:rPr>
          <w:rFonts w:ascii="Arial" w:cs="Arial" w:eastAsia="Arial" w:hAnsi="Arial"/>
          <w:sz w:val="19"/>
          <w:szCs w:val="19"/>
          <w:color w:val="auto"/>
        </w:rPr>
        <w:t>the Con-way Merger has been consummated on the Restatement Date substantially simultaneously with the closing of the Facility on the terms described in the Con-way Acquisition Agreement, without giving effect to any amendment, modification or waiver thereof by Parent Borrower or any consent thereunder (including, for the avoidance of doubt, with respect to the conditions to the Offer set forth in the Con-way Acquisition Agreement) by Parent Borrower which is materially adverse to the Lenders or the Lead Arrangers without the prior written consent of each Lead Arranger who, together with its affiliates, holds 20% or more of the Commitments under the Facility (it being understood and agreed that any (a) decrease in the price paid per share in connection with the Con-way Acquisition of (x) more than 10% or</w:t>
      </w:r>
    </w:p>
    <w:p>
      <w:pPr>
        <w:spacing w:after="0" w:line="1" w:lineRule="exact"/>
        <w:rPr>
          <w:rFonts w:ascii="Arial" w:cs="Arial" w:eastAsia="Arial" w:hAnsi="Arial"/>
          <w:sz w:val="19"/>
          <w:szCs w:val="19"/>
          <w:color w:val="auto"/>
        </w:rPr>
      </w:pPr>
    </w:p>
    <w:p>
      <w:pPr>
        <w:jc w:val="both"/>
        <w:ind w:left="1620"/>
        <w:spacing w:after="0" w:line="258" w:lineRule="auto"/>
        <w:rPr>
          <w:rFonts w:ascii="Arial" w:cs="Arial" w:eastAsia="Arial" w:hAnsi="Arial"/>
          <w:sz w:val="19"/>
          <w:szCs w:val="19"/>
          <w:color w:val="auto"/>
        </w:rPr>
      </w:pPr>
      <w:r>
        <w:rPr>
          <w:rFonts w:ascii="Arial" w:cs="Arial" w:eastAsia="Arial" w:hAnsi="Arial"/>
          <w:sz w:val="21"/>
          <w:szCs w:val="21"/>
          <w:color w:val="auto"/>
        </w:rPr>
        <w:t>(y) less than 10% if such decrease is not allocated to reduce the aggregate amount of the Facility, (b) increase in the price paid in connection with the Con-way Acquisition that is not funded with the proceeds of a substantially concurrent issuance of equity or (c) any waiver or modification of the Minimum Condition (as defined in the Con-way Acquisition Agreement as in effect on September 9, 2015) shall, in each case, be deemed to be a modification that is materially adverse to the Lenders);</w:t>
      </w:r>
    </w:p>
    <w:p>
      <w:pPr>
        <w:spacing w:after="0" w:line="182" w:lineRule="exact"/>
        <w:rPr>
          <w:rFonts w:ascii="Arial" w:cs="Arial" w:eastAsia="Arial" w:hAnsi="Arial"/>
          <w:sz w:val="19"/>
          <w:szCs w:val="19"/>
          <w:color w:val="auto"/>
        </w:rPr>
      </w:pPr>
    </w:p>
    <w:p>
      <w:pPr>
        <w:ind w:left="1960" w:hanging="348"/>
        <w:spacing w:after="0"/>
        <w:tabs>
          <w:tab w:leader="none" w:pos="1960" w:val="left"/>
        </w:tabs>
        <w:numPr>
          <w:ilvl w:val="1"/>
          <w:numId w:val="138"/>
        </w:numPr>
        <w:rPr>
          <w:rFonts w:ascii="Arial" w:cs="Arial" w:eastAsia="Arial" w:hAnsi="Arial"/>
          <w:sz w:val="19"/>
          <w:szCs w:val="19"/>
          <w:color w:val="auto"/>
        </w:rPr>
      </w:pPr>
      <w:r>
        <w:rPr>
          <w:rFonts w:ascii="Arial" w:cs="Arial" w:eastAsia="Arial" w:hAnsi="Arial"/>
          <w:sz w:val="19"/>
          <w:szCs w:val="19"/>
          <w:color w:val="auto"/>
        </w:rPr>
        <w:t>since December 31, 2014, no Material Adverse Effect shall have occurred and be continuing; and</w:t>
      </w:r>
    </w:p>
    <w:p>
      <w:pPr>
        <w:spacing w:after="0" w:line="254" w:lineRule="exact"/>
        <w:rPr>
          <w:rFonts w:ascii="Arial" w:cs="Arial" w:eastAsia="Arial" w:hAnsi="Arial"/>
          <w:sz w:val="19"/>
          <w:szCs w:val="19"/>
          <w:color w:val="auto"/>
        </w:rPr>
      </w:pPr>
    </w:p>
    <w:p>
      <w:pPr>
        <w:ind w:left="1960" w:hanging="348"/>
        <w:spacing w:after="0"/>
        <w:tabs>
          <w:tab w:leader="none" w:pos="1960" w:val="left"/>
        </w:tabs>
        <w:numPr>
          <w:ilvl w:val="1"/>
          <w:numId w:val="138"/>
        </w:numPr>
        <w:rPr>
          <w:rFonts w:ascii="Arial" w:cs="Arial" w:eastAsia="Arial" w:hAnsi="Arial"/>
          <w:sz w:val="22"/>
          <w:szCs w:val="22"/>
          <w:color w:val="auto"/>
        </w:rPr>
      </w:pPr>
      <w:r>
        <w:rPr>
          <w:rFonts w:ascii="Arial" w:cs="Arial" w:eastAsia="Arial" w:hAnsi="Arial"/>
          <w:sz w:val="22"/>
          <w:szCs w:val="22"/>
          <w:color w:val="auto"/>
        </w:rPr>
        <w:t xml:space="preserve">the conditions set forth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are satisfied.</w:t>
      </w:r>
    </w:p>
    <w:p>
      <w:pPr>
        <w:spacing w:after="0" w:line="219" w:lineRule="exact"/>
        <w:rPr>
          <w:rFonts w:ascii="Arial" w:cs="Arial" w:eastAsia="Arial" w:hAnsi="Arial"/>
          <w:sz w:val="22"/>
          <w:szCs w:val="22"/>
          <w:color w:val="auto"/>
        </w:rPr>
      </w:pPr>
    </w:p>
    <w:p>
      <w:pPr>
        <w:ind w:firstLine="1456"/>
        <w:spacing w:after="0" w:line="263" w:lineRule="auto"/>
        <w:tabs>
          <w:tab w:leader="none" w:pos="2268"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Solvency Certificate</w:t>
      </w:r>
      <w:r>
        <w:rPr>
          <w:rFonts w:ascii="Arial" w:cs="Arial" w:eastAsia="Arial" w:hAnsi="Arial"/>
          <w:sz w:val="22"/>
          <w:szCs w:val="22"/>
          <w:color w:val="auto"/>
        </w:rPr>
        <w:t xml:space="preserve">. Agent shall have received a duly completed solvency certificate substantially in the form of </w:t>
      </w:r>
      <w:r>
        <w:rPr>
          <w:rFonts w:ascii="Arial" w:cs="Arial" w:eastAsia="Arial" w:hAnsi="Arial"/>
          <w:sz w:val="22"/>
          <w:szCs w:val="22"/>
          <w:u w:val="single" w:color="auto"/>
          <w:color w:val="auto"/>
        </w:rPr>
        <w:t>Exhibit 3.1</w:t>
      </w:r>
      <w:r>
        <w:rPr>
          <w:rFonts w:ascii="Arial" w:cs="Arial" w:eastAsia="Arial" w:hAnsi="Arial"/>
          <w:sz w:val="22"/>
          <w:szCs w:val="22"/>
          <w:color w:val="auto"/>
        </w:rPr>
        <w:t xml:space="preserve"> hereto.</w:t>
      </w:r>
    </w:p>
    <w:p>
      <w:pPr>
        <w:spacing w:after="0" w:line="174" w:lineRule="exact"/>
        <w:rPr>
          <w:rFonts w:ascii="Arial" w:cs="Arial" w:eastAsia="Arial" w:hAnsi="Arial"/>
          <w:sz w:val="22"/>
          <w:szCs w:val="22"/>
          <w:color w:val="auto"/>
        </w:rPr>
      </w:pPr>
    </w:p>
    <w:p>
      <w:pPr>
        <w:jc w:val="both"/>
        <w:ind w:firstLine="1396"/>
        <w:spacing w:after="0" w:line="253" w:lineRule="auto"/>
        <w:tabs>
          <w:tab w:leader="none" w:pos="2268"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Notice of Revolving Credit Advance</w:t>
      </w:r>
      <w:r>
        <w:rPr>
          <w:rFonts w:ascii="Arial" w:cs="Arial" w:eastAsia="Arial" w:hAnsi="Arial"/>
          <w:sz w:val="22"/>
          <w:szCs w:val="22"/>
          <w:color w:val="auto"/>
        </w:rPr>
        <w:t>. Duly executed originals of a Notice of Revolving Credit Advance, dated the Restatement Date, with respect to the initial Revolving Credit Advance(s), if any, to be requested by Borrower Representative on the Restatement Date.</w:t>
      </w:r>
    </w:p>
    <w:p>
      <w:pPr>
        <w:spacing w:after="0" w:line="185" w:lineRule="exact"/>
        <w:rPr>
          <w:rFonts w:ascii="Arial" w:cs="Arial" w:eastAsia="Arial" w:hAnsi="Arial"/>
          <w:sz w:val="22"/>
          <w:szCs w:val="22"/>
          <w:color w:val="auto"/>
        </w:rPr>
      </w:pPr>
    </w:p>
    <w:p>
      <w:pPr>
        <w:jc w:val="both"/>
        <w:ind w:firstLine="1516"/>
        <w:spacing w:after="0" w:line="253" w:lineRule="auto"/>
        <w:tabs>
          <w:tab w:leader="none" w:pos="2362"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Financial Statements</w:t>
      </w:r>
      <w:r>
        <w:rPr>
          <w:rFonts w:ascii="Arial" w:cs="Arial" w:eastAsia="Arial" w:hAnsi="Arial"/>
          <w:sz w:val="22"/>
          <w:szCs w:val="22"/>
          <w:color w:val="auto"/>
        </w:rPr>
        <w:t>. Parent Borrower shall have caused Agent to have received (and Agent hereby acknowledges receipt of, in the case of the 2012, 2013 and 2014 fiscal year financial statements described in clause (a) and, as to the Fiscal Quarters</w:t>
      </w:r>
    </w:p>
    <w:p>
      <w:pPr>
        <w:sectPr>
          <w:pgSz w:w="11900" w:h="16838" w:orient="portrait"/>
          <w:cols w:equalWidth="0" w:num="1">
            <w:col w:w="10900"/>
          </w:cols>
          <w:pgMar w:left="660" w:top="1428" w:right="339" w:bottom="1440" w:gutter="0" w:footer="0" w:header="0"/>
        </w:sectPr>
      </w:pPr>
    </w:p>
    <w:bookmarkStart w:id="225" w:name="page226"/>
    <w:bookmarkEnd w:id="225"/>
    <w:p>
      <w:pPr>
        <w:jc w:val="both"/>
        <w:spacing w:after="0" w:line="292" w:lineRule="auto"/>
        <w:rPr>
          <w:sz w:val="20"/>
          <w:szCs w:val="20"/>
          <w:color w:val="auto"/>
        </w:rPr>
      </w:pPr>
      <w:r>
        <w:rPr>
          <w:rFonts w:ascii="Arial" w:cs="Arial" w:eastAsia="Arial" w:hAnsi="Arial"/>
          <w:sz w:val="19"/>
          <w:szCs w:val="19"/>
          <w:color w:val="auto"/>
        </w:rPr>
        <w:t>ending on March 31, 2015 and June 30, 2015, clause (b)) (a) audited consolidated balance sheets and related consolidated statements of income, stockholders’ equity and cash flows of Parent Borrower and Con-way for the 2012, 2013 and 2014 fiscal years (or, if the Restatement Date occurs 90 days or more after December 31, 2015, audited consolidated balance sheets and related consolidated statements of income, stockholders’ equity and cash flows of Parent Borrower and Con-way for the 2013, 2014 and 2015 fiscal years) and (b) unaudited consolidated balance sheets and related consolidated statements of income, stockholders’ equity and cash flows of Parent Borrower and Con-way for each subsequent Fiscal Quarter (other than a quarter that is also a fiscal year-end) ended at least 45 days before the Restatement Date.</w:t>
      </w:r>
    </w:p>
    <w:p>
      <w:pPr>
        <w:spacing w:after="0" w:line="151" w:lineRule="exact"/>
        <w:rPr>
          <w:sz w:val="20"/>
          <w:szCs w:val="20"/>
          <w:color w:val="auto"/>
        </w:rPr>
      </w:pPr>
    </w:p>
    <w:p>
      <w:pPr>
        <w:jc w:val="both"/>
        <w:ind w:firstLine="1288"/>
        <w:spacing w:after="0" w:line="261" w:lineRule="auto"/>
        <w:tabs>
          <w:tab w:leader="none" w:pos="1615" w:val="left"/>
        </w:tabs>
        <w:numPr>
          <w:ilvl w:val="0"/>
          <w:numId w:val="140"/>
        </w:numPr>
        <w:rPr>
          <w:rFonts w:ascii="Arial" w:cs="Arial" w:eastAsia="Arial" w:hAnsi="Arial"/>
          <w:sz w:val="21"/>
          <w:szCs w:val="21"/>
          <w:color w:val="auto"/>
        </w:rPr>
      </w:pPr>
      <w:r>
        <w:rPr>
          <w:rFonts w:ascii="Arial" w:cs="Arial" w:eastAsia="Arial" w:hAnsi="Arial"/>
          <w:sz w:val="21"/>
          <w:szCs w:val="21"/>
          <w:u w:val="single" w:color="auto"/>
          <w:color w:val="auto"/>
        </w:rPr>
        <w:t>Repayment of Indebtedness and Release of Collateral</w:t>
      </w:r>
      <w:r>
        <w:rPr>
          <w:rFonts w:ascii="Arial" w:cs="Arial" w:eastAsia="Arial" w:hAnsi="Arial"/>
          <w:sz w:val="21"/>
          <w:szCs w:val="21"/>
          <w:color w:val="auto"/>
        </w:rPr>
        <w:t xml:space="preserve">. On the Restatement Date, Agent shall have received satisfactory evidence that all existing Indebtedness, other than Indebtedness permitted pursuant to </w:t>
      </w:r>
      <w:r>
        <w:rPr>
          <w:rFonts w:ascii="Arial" w:cs="Arial" w:eastAsia="Arial" w:hAnsi="Arial"/>
          <w:sz w:val="21"/>
          <w:szCs w:val="21"/>
          <w:u w:val="single" w:color="auto"/>
          <w:color w:val="auto"/>
        </w:rPr>
        <w:t>Section 7.1</w:t>
      </w:r>
      <w:r>
        <w:rPr>
          <w:rFonts w:ascii="Arial" w:cs="Arial" w:eastAsia="Arial" w:hAnsi="Arial"/>
          <w:sz w:val="21"/>
          <w:szCs w:val="21"/>
          <w:color w:val="auto"/>
        </w:rPr>
        <w:t>, of or related to Borrowers and their Subsidiaries shall have been repaid or cancelled and all documentation representing such indebtedness shall have been terminated and all guarantees, liens and security interests associated therewith have been released, or that adequate measures shall have been taken to terminate such documentation and release such guarantees, liens and security interests, except as otherwise agreed by Agent.</w:t>
      </w:r>
    </w:p>
    <w:p>
      <w:pPr>
        <w:spacing w:after="0" w:line="179" w:lineRule="exact"/>
        <w:rPr>
          <w:rFonts w:ascii="Arial" w:cs="Arial" w:eastAsia="Arial" w:hAnsi="Arial"/>
          <w:sz w:val="21"/>
          <w:szCs w:val="21"/>
          <w:color w:val="auto"/>
        </w:rPr>
      </w:pPr>
    </w:p>
    <w:p>
      <w:pPr>
        <w:jc w:val="both"/>
        <w:ind w:firstLine="1288"/>
        <w:spacing w:after="0" w:line="294" w:lineRule="auto"/>
        <w:tabs>
          <w:tab w:leader="none" w:pos="1617"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Payment of Fees</w:t>
      </w:r>
      <w:r>
        <w:rPr>
          <w:rFonts w:ascii="Arial" w:cs="Arial" w:eastAsia="Arial" w:hAnsi="Arial"/>
          <w:sz w:val="19"/>
          <w:szCs w:val="19"/>
          <w:color w:val="auto"/>
        </w:rPr>
        <w:t xml:space="preserve">. Parent Borrower shall have paid (or caused to be paid) to Agent, Co-Collateral Agents and Lead Arrangers and the Lenders all Fees required to be paid on or before the Restatement Date in the respective amounts specified in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(including, the Fees specified in the Fee Letter), and shall have reimbursed Agent for all reasonable fees, costs and expenses, including due diligence expenses, syndication expenses, the fees and expenses of the appraisers and auditors performing collateral field examinations and appraisals, travel expenses and reasonable fees, disbursements and other charges of counsel presented at least three (3) Business Days prior to the Restatement Date.</w:t>
      </w:r>
    </w:p>
    <w:p>
      <w:pPr>
        <w:spacing w:after="0" w:line="149" w:lineRule="exact"/>
        <w:rPr>
          <w:rFonts w:ascii="Arial" w:cs="Arial" w:eastAsia="Arial" w:hAnsi="Arial"/>
          <w:sz w:val="19"/>
          <w:szCs w:val="19"/>
          <w:color w:val="auto"/>
        </w:rPr>
      </w:pPr>
    </w:p>
    <w:p>
      <w:pPr>
        <w:ind w:left="1600" w:hanging="312"/>
        <w:spacing w:after="0"/>
        <w:tabs>
          <w:tab w:leader="none" w:pos="1600"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Material Adverse Effect</w:t>
      </w:r>
      <w:r>
        <w:rPr>
          <w:rFonts w:ascii="Arial" w:cs="Arial" w:eastAsia="Arial" w:hAnsi="Arial"/>
          <w:sz w:val="19"/>
          <w:szCs w:val="19"/>
          <w:color w:val="auto"/>
        </w:rPr>
        <w:t>. There shall not have been, since December 31, 2014, a Material Adverse Effect.</w:t>
      </w:r>
    </w:p>
    <w:p>
      <w:pPr>
        <w:spacing w:after="0" w:line="254" w:lineRule="exact"/>
        <w:rPr>
          <w:rFonts w:ascii="Arial" w:cs="Arial" w:eastAsia="Arial" w:hAnsi="Arial"/>
          <w:sz w:val="19"/>
          <w:szCs w:val="19"/>
          <w:color w:val="auto"/>
        </w:rPr>
      </w:pPr>
    </w:p>
    <w:p>
      <w:pPr>
        <w:jc w:val="both"/>
        <w:ind w:firstLine="1288"/>
        <w:spacing w:after="0" w:line="248" w:lineRule="auto"/>
        <w:tabs>
          <w:tab w:leader="none" w:pos="1617"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Patriot Act</w:t>
      </w:r>
      <w:r>
        <w:rPr>
          <w:rFonts w:ascii="Arial" w:cs="Arial" w:eastAsia="Arial" w:hAnsi="Arial"/>
          <w:sz w:val="22"/>
          <w:szCs w:val="22"/>
          <w:color w:val="auto"/>
        </w:rPr>
        <w:t>. Agent and the Lenders shall have received, at least three business days prior to the Restatement Date, from the Credit Parties prior to the Restatement Date all documentation and other information required by Governmental Authorities under applicable “know your customer” and anti-money laundering rules and regulations, including the Patriot Act, in each case to the extent requested by Agent from Parent Borrower in writing at least 10 business days prior to the Restatement Date.</w:t>
      </w:r>
    </w:p>
    <w:p>
      <w:pPr>
        <w:spacing w:after="0" w:line="191" w:lineRule="exact"/>
        <w:rPr>
          <w:rFonts w:ascii="Arial" w:cs="Arial" w:eastAsia="Arial" w:hAnsi="Arial"/>
          <w:sz w:val="22"/>
          <w:szCs w:val="22"/>
          <w:color w:val="auto"/>
        </w:rPr>
      </w:pPr>
    </w:p>
    <w:p>
      <w:pPr>
        <w:ind w:firstLine="1288"/>
        <w:spacing w:after="0" w:line="343" w:lineRule="auto"/>
        <w:tabs>
          <w:tab w:leader="none" w:pos="1620"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Perfection Certificate</w:t>
      </w:r>
      <w:r>
        <w:rPr>
          <w:rFonts w:ascii="Arial" w:cs="Arial" w:eastAsia="Arial" w:hAnsi="Arial"/>
          <w:sz w:val="19"/>
          <w:szCs w:val="19"/>
          <w:color w:val="auto"/>
        </w:rPr>
        <w:t>. Agent shall have received a completed perfection certificate dated the Restatement Date and signed by a Responsible Officer of each Credit Party, together with all attachments contemplated thereby.</w:t>
      </w:r>
    </w:p>
    <w:p>
      <w:pPr>
        <w:spacing w:after="0" w:line="104" w:lineRule="exact"/>
        <w:rPr>
          <w:rFonts w:ascii="Arial" w:cs="Arial" w:eastAsia="Arial" w:hAnsi="Arial"/>
          <w:sz w:val="19"/>
          <w:szCs w:val="19"/>
          <w:color w:val="auto"/>
        </w:rPr>
      </w:pPr>
    </w:p>
    <w:p>
      <w:pPr>
        <w:jc w:val="both"/>
        <w:ind w:firstLine="1288"/>
        <w:spacing w:after="0" w:line="253" w:lineRule="auto"/>
        <w:tabs>
          <w:tab w:leader="none" w:pos="1615"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Phase 1 Field Audit and Appraisals; Minimum Availability</w:t>
      </w:r>
      <w:r>
        <w:rPr>
          <w:rFonts w:ascii="Arial" w:cs="Arial" w:eastAsia="Arial" w:hAnsi="Arial"/>
          <w:sz w:val="22"/>
          <w:szCs w:val="22"/>
          <w:color w:val="auto"/>
        </w:rPr>
        <w:t>. (a) Agent shall have received a Phase 1 field audit and appraisals with respect to the assets of Con-way and its subsidiaries to be included in the Borrowing Base as of the Restatement Date, which</w:t>
      </w:r>
    </w:p>
    <w:p>
      <w:pPr>
        <w:sectPr>
          <w:pgSz w:w="11900" w:h="16838" w:orient="portrait"/>
          <w:cols w:equalWidth="0" w:num="1">
            <w:col w:w="10900"/>
          </w:cols>
          <w:pgMar w:left="660" w:top="1428" w:right="339" w:bottom="1440" w:gutter="0" w:footer="0" w:header="0"/>
        </w:sectPr>
      </w:pPr>
    </w:p>
    <w:bookmarkStart w:id="226" w:name="page227"/>
    <w:bookmarkEnd w:id="226"/>
    <w:p>
      <w:pPr>
        <w:jc w:val="both"/>
        <w:ind w:left="340"/>
        <w:spacing w:after="0" w:line="250" w:lineRule="auto"/>
        <w:rPr>
          <w:sz w:val="20"/>
          <w:szCs w:val="20"/>
          <w:color w:val="auto"/>
        </w:rPr>
      </w:pPr>
      <w:r>
        <w:rPr>
          <w:rFonts w:ascii="Arial" w:cs="Arial" w:eastAsia="Arial" w:hAnsi="Arial"/>
          <w:sz w:val="22"/>
          <w:szCs w:val="22"/>
          <w:color w:val="auto"/>
        </w:rPr>
        <w:t>Phase 1 field audit and appraisals shall be reasonably satisfactory to Agent and Co-Collateral Agents and (b) after giving effect to the Transactions and the Revolving Credit Advances and issuances of Letters of Credit under this Agreement, the sum of Availability plus unrestricted cash and Cash Equivalents (but excluding the proceeds of any Advance), in each case on the Restatement Date, shall not be less than $250,000,000.</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Further Conditions to Each Loan, Each Letter of Credit Obligation</w:t>
      </w:r>
      <w:r>
        <w:rPr>
          <w:rFonts w:ascii="Arial" w:cs="Arial" w:eastAsia="Arial" w:hAnsi="Arial"/>
          <w:sz w:val="21"/>
          <w:szCs w:val="21"/>
          <w:color w:val="auto"/>
        </w:rPr>
        <w:t xml:space="preserve">. No Lender shall be obligated to fund any Advance (which conditions shall not apply to conversions or continuations of Advances made pursuant to </w:t>
      </w:r>
      <w:r>
        <w:rPr>
          <w:rFonts w:ascii="Arial" w:cs="Arial" w:eastAsia="Arial" w:hAnsi="Arial"/>
          <w:sz w:val="21"/>
          <w:szCs w:val="21"/>
          <w:u w:val="single" w:color="auto"/>
          <w:color w:val="auto"/>
        </w:rPr>
        <w:t>Section 2.5(e)</w:t>
      </w:r>
      <w:r>
        <w:rPr>
          <w:rFonts w:ascii="Arial" w:cs="Arial" w:eastAsia="Arial" w:hAnsi="Arial"/>
          <w:sz w:val="21"/>
          <w:szCs w:val="21"/>
          <w:color w:val="auto"/>
        </w:rPr>
        <w:t>) and no Lender or L/C Issuer shall be obligated to incur any Letter of Credit Obligation, if, as of the date thereof:</w:t>
      </w:r>
    </w:p>
    <w:p>
      <w:pPr>
        <w:spacing w:after="0" w:line="167" w:lineRule="exact"/>
        <w:rPr>
          <w:sz w:val="20"/>
          <w:szCs w:val="20"/>
          <w:color w:val="auto"/>
        </w:rPr>
      </w:pPr>
    </w:p>
    <w:p>
      <w:pPr>
        <w:jc w:val="both"/>
        <w:ind w:left="340" w:firstLine="1288"/>
        <w:spacing w:after="0" w:line="265" w:lineRule="auto"/>
        <w:tabs>
          <w:tab w:leader="none" w:pos="1957" w:val="left"/>
        </w:tabs>
        <w:numPr>
          <w:ilvl w:val="0"/>
          <w:numId w:val="141"/>
        </w:numPr>
        <w:rPr>
          <w:rFonts w:ascii="Arial" w:cs="Arial" w:eastAsia="Arial" w:hAnsi="Arial"/>
          <w:sz w:val="21"/>
          <w:szCs w:val="21"/>
          <w:color w:val="auto"/>
        </w:rPr>
      </w:pPr>
      <w:r>
        <w:rPr>
          <w:rFonts w:ascii="Arial" w:cs="Arial" w:eastAsia="Arial" w:hAnsi="Arial"/>
          <w:sz w:val="21"/>
          <w:szCs w:val="21"/>
          <w:color w:val="auto"/>
        </w:rPr>
        <w:t>any representation or warranty by any Credit Party contained herein or in any other Loan Document is untrue or incorrect in any material respect (with respect to any representation or warranty that is not otherwise qualified as to materiality) as of such date, except to the extent that such representation or warranty expressly relates to an earlier date and except for changes therein expressly permitted or expressly contemplated by this Agreement;</w:t>
      </w:r>
    </w:p>
    <w:p>
      <w:pPr>
        <w:spacing w:after="0" w:line="175" w:lineRule="exact"/>
        <w:rPr>
          <w:rFonts w:ascii="Arial" w:cs="Arial" w:eastAsia="Arial" w:hAnsi="Arial"/>
          <w:sz w:val="21"/>
          <w:szCs w:val="21"/>
          <w:color w:val="auto"/>
        </w:rPr>
      </w:pPr>
    </w:p>
    <w:p>
      <w:pPr>
        <w:ind w:left="1940" w:hanging="312"/>
        <w:spacing w:after="0"/>
        <w:tabs>
          <w:tab w:leader="none" w:pos="1940"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any Default or Event of Default has occurred and is continuing; or</w:t>
      </w:r>
    </w:p>
    <w:p>
      <w:pPr>
        <w:spacing w:after="0" w:line="219" w:lineRule="exact"/>
        <w:rPr>
          <w:rFonts w:ascii="Arial" w:cs="Arial" w:eastAsia="Arial" w:hAnsi="Arial"/>
          <w:sz w:val="22"/>
          <w:szCs w:val="22"/>
          <w:color w:val="auto"/>
        </w:rPr>
      </w:pPr>
    </w:p>
    <w:p>
      <w:pPr>
        <w:jc w:val="both"/>
        <w:ind w:left="340" w:firstLine="1288"/>
        <w:spacing w:after="0" w:line="253" w:lineRule="auto"/>
        <w:tabs>
          <w:tab w:leader="none" w:pos="1957"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after giving effect to such Advance (or the incurrence of any Letter of Credit Obligations), (i) the Aggregate Revolving Credit Exposure would exceed the Available Credit, (ii) the Canadian Loans would exceed the Canadian Available Credit or (iii) the U.S. Loans would exceed the U.S. Available Credit.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 xml:space="preserve">The request and acceptance by any Borrower of the proceeds of any Advance or the incurrence of any Letter of Credit Obligations shall be deemed to constitute, as of the date thereof, a representation and warranty by Borrowers that the conditions in this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have been satisfied.</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 xml:space="preserve">Notwithstanding the failure to satisfy the conditions precedent set forth in paragraphs (a) or (b) of this </w:t>
      </w:r>
      <w:r>
        <w:rPr>
          <w:rFonts w:ascii="Arial" w:cs="Arial" w:eastAsia="Arial" w:hAnsi="Arial"/>
          <w:sz w:val="22"/>
          <w:szCs w:val="22"/>
          <w:u w:val="single" w:color="auto"/>
          <w:color w:val="auto"/>
        </w:rPr>
        <w:t>Section 3.2</w:t>
      </w:r>
      <w:r>
        <w:rPr>
          <w:rFonts w:ascii="Arial" w:cs="Arial" w:eastAsia="Arial" w:hAnsi="Arial"/>
          <w:sz w:val="22"/>
          <w:szCs w:val="22"/>
          <w:color w:val="auto"/>
        </w:rPr>
        <w:t>, unless otherwise directed by the Requisite Lenders, Agent may, but shall have no obligation to, continue to make Loans and an L/C Issuer may, but shall have no obligation to, issue, amend, renew or extend, or cause to be issued, amended, renewed or extended, any Letter of Credit for the ratable account and risk of Lenders from time to time if Agent believes that making such Loans or issuing, amending, renewing or extending, or causing the issuance, amendment, renewal or extension of, any such Letter of Credit is in the best interests of the Lenders.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4. REPRESENTATIONS AND WARRANTIES</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To induce Lenders to make the Loans and Lenders and L/C Issuers to incur Letter of Credit Obligations, the Credit Parties executing this Agreement make the following representations and warranties to Agent, each L/C Issuer and each Lender with respect to itself and its Restricted Subsidiaries, each and all of which shall survive the execution and delivery of this Agreement.</w:t>
      </w:r>
    </w:p>
    <w:p>
      <w:pPr>
        <w:sectPr>
          <w:pgSz w:w="11900" w:h="16838" w:orient="portrait"/>
          <w:cols w:equalWidth="0" w:num="1">
            <w:col w:w="11240"/>
          </w:cols>
          <w:pgMar w:left="320" w:top="1428" w:right="339" w:bottom="1440" w:gutter="0" w:footer="0" w:header="0"/>
        </w:sectPr>
      </w:pPr>
    </w:p>
    <w:bookmarkStart w:id="227" w:name="page228"/>
    <w:bookmarkEnd w:id="227"/>
    <w:p>
      <w:pPr>
        <w:jc w:val="both"/>
        <w:ind w:firstLine="648"/>
        <w:spacing w:after="0" w:line="286"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Corporate Existence; Compliance with Law</w:t>
      </w:r>
      <w:r>
        <w:rPr>
          <w:rFonts w:ascii="Arial" w:cs="Arial" w:eastAsia="Arial" w:hAnsi="Arial"/>
          <w:sz w:val="19"/>
          <w:szCs w:val="19"/>
          <w:color w:val="auto"/>
        </w:rPr>
        <w:t>. Each Credit Party (a) is a corporation, limited liability company, limited partnership or other entity duly organized or incorporated, as applicable, validly existing and is in good standing (to the extent such concept is applicable in the relevant jurisdiction) under the laws of its respective jurisdiction of incorporation or organization; (b) is duly qualified to conduct business and is in good standing (to the extent such concept is applicable in the relevant jurisdiction) in each other jurisdiction where its ownership or lease of property or the conduct of its business requires such qualification, except where the failure to be so qualified or be in good standing would not reasonably be expected to have a Material Adverse Effect; (c) has the requisite power and authority, and the legal right to own and operate in all material respects its properties, to lease the property it operates under lease and to conduct its business in all material respects as now, heretofore and proposed to be conducted and has the requisite power and authority and the legal right to pledge, mortgage, hypothecate or otherwise encumber all material Collateral; (d) has all material licenses, permits, consents or approvals from or by, and has made all material filings with, and has given all material notices to, all Governmental Authorities having jurisdiction over such Credit Party, to the extent required for such ownership, operation and conduct or other organizational documents; and (e) is in compliance in material respects with all applicable provisions of law except where the failure to be in compliance would not reasonably be expected to have a Material Adverse Effect.</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Chief Executive Offices; Collateral Locations; FEIN</w:t>
      </w:r>
      <w:r>
        <w:rPr>
          <w:rFonts w:ascii="Arial" w:cs="Arial" w:eastAsia="Arial" w:hAnsi="Arial"/>
          <w:sz w:val="22"/>
          <w:szCs w:val="22"/>
          <w:color w:val="auto"/>
        </w:rPr>
        <w:t xml:space="preserve">. As of the Restatement Date, each Credit Party’s name as it appears in official filings in its jurisdiction of incorporation or organization, organizational identification number, if any, issued by its jurisdiction of incorporation or organization and the location of each Credit Party’s chief executive office, principal place of business or registered office are set forth in </w:t>
      </w:r>
      <w:r>
        <w:rPr>
          <w:rFonts w:ascii="Arial" w:cs="Arial" w:eastAsia="Arial" w:hAnsi="Arial"/>
          <w:sz w:val="22"/>
          <w:szCs w:val="22"/>
          <w:u w:val="single" w:color="auto"/>
          <w:color w:val="auto"/>
        </w:rPr>
        <w:t>Schedule 4.2</w:t>
      </w:r>
      <w:r>
        <w:rPr>
          <w:rFonts w:ascii="Arial" w:cs="Arial" w:eastAsia="Arial" w:hAnsi="Arial"/>
          <w:sz w:val="22"/>
          <w:szCs w:val="22"/>
          <w:color w:val="auto"/>
        </w:rPr>
        <w:t>, and except as set forth on such schedule each Credit Party has only one jurisdiction of incorporation or organization.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Corporate Power; Authorization; Enforceable Obligations; No Conflict</w:t>
      </w:r>
      <w:r>
        <w:rPr>
          <w:rFonts w:ascii="Arial" w:cs="Arial" w:eastAsia="Arial" w:hAnsi="Arial"/>
          <w:sz w:val="19"/>
          <w:szCs w:val="19"/>
          <w:color w:val="auto"/>
        </w:rPr>
        <w:t xml:space="preserve">. The execution, delivery and performance by each Credit Party of the Loan Documents to which it is a party: (a) are within such Person’s power; (b) have been duly authorized by all necessary corporate, limited liability company or limited partnership action; (c) do not contravene any provision of such Person’s charter, bylaws or partnership or operating agreements or other organizational documents, as applicable; (d) do not violate any material provision of any law or regulation, or any material provision of any order or decree of any court or Governmental Authority; (e) do not conflict with or result in the breach or termination of, constitute a default under or accelerate or permit the acceleration of any performance required by, any material indenture, mortgage, deed of trust, lease, loan agreement or other material instrument to which such Person is a party or by which such Person or any of its property is bound; (f) do not result in the creation or imposition of any Lien upon any of the property or assets of such Person other than (i) those in favor of Agent, on behalf of itself and Lenders, pursuant to the Loan Documents and (ii) the filings referred to in </w:t>
      </w:r>
      <w:r>
        <w:rPr>
          <w:rFonts w:ascii="Arial" w:cs="Arial" w:eastAsia="Arial" w:hAnsi="Arial"/>
          <w:sz w:val="19"/>
          <w:szCs w:val="19"/>
          <w:u w:val="single" w:color="auto"/>
          <w:color w:val="auto"/>
        </w:rPr>
        <w:t>Section 4.21</w:t>
      </w:r>
      <w:r>
        <w:rPr>
          <w:rFonts w:ascii="Arial" w:cs="Arial" w:eastAsia="Arial" w:hAnsi="Arial"/>
          <w:sz w:val="19"/>
          <w:szCs w:val="19"/>
          <w:color w:val="auto"/>
        </w:rPr>
        <w:t>; and (g) do not require the consent or approval of any Governmental Authority or any other Person, other than those which will have been duly obtained, made or complied with prior to the Restatement Date. Each of the Loan Documents have been duly executed and delivered by each Credit Party that is a party thereto and, each such</w:t>
      </w:r>
    </w:p>
    <w:p>
      <w:pPr>
        <w:sectPr>
          <w:pgSz w:w="11900" w:h="16838" w:orient="portrait"/>
          <w:cols w:equalWidth="0" w:num="1">
            <w:col w:w="11240"/>
          </w:cols>
          <w:pgMar w:left="320" w:top="1428" w:right="339" w:bottom="1440" w:gutter="0" w:footer="0" w:header="0"/>
        </w:sectPr>
      </w:pPr>
    </w:p>
    <w:bookmarkStart w:id="228" w:name="page229"/>
    <w:bookmarkEnd w:id="228"/>
    <w:p>
      <w:pPr>
        <w:jc w:val="both"/>
        <w:spacing w:after="0" w:line="250" w:lineRule="auto"/>
        <w:rPr>
          <w:sz w:val="20"/>
          <w:szCs w:val="20"/>
          <w:color w:val="auto"/>
        </w:rPr>
      </w:pPr>
      <w:r>
        <w:rPr>
          <w:rFonts w:ascii="Arial" w:cs="Arial" w:eastAsia="Arial" w:hAnsi="Arial"/>
          <w:sz w:val="22"/>
          <w:szCs w:val="22"/>
          <w:color w:val="auto"/>
        </w:rPr>
        <w:t>Loan Document constitutes a legal, valid and binding obligation of such Credit Party enforceable against it in accordance with its terms, except to the extent that the enforceability thereof may be limited by applicable bankruptcy, insolvency, fraudulent conveyance, reorganization, moratorium or other similar laws generally affecting creditors’ rights and by equitable principles (regardless of whether enforcement is sought in equity or at law).</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Financial Statements</w:t>
      </w:r>
      <w:r>
        <w:rPr>
          <w:rFonts w:ascii="Arial" w:cs="Arial" w:eastAsia="Arial" w:hAnsi="Arial"/>
          <w:sz w:val="22"/>
          <w:szCs w:val="22"/>
          <w:color w:val="auto"/>
        </w:rPr>
        <w:t>. All Financial Statements concerning Parent Borrower and its consolidated Subsidiaries that are referred to in clause (a) below have been prepared in accordance with GAAP (as in effect at the time delivered) consistently applied throughout the periods covered (except as disclosed therein and except, with respect to unaudited Financial Statements, for the absence of footnotes and normal year-end audit adjustments) and fairly present, in all material respects, the financial position of the Persons covered thereby as at the dates thereof and the results of their operations and cash flows for the periods then ended.</w:t>
      </w:r>
    </w:p>
    <w:p>
      <w:pPr>
        <w:spacing w:after="0" w:line="193" w:lineRule="exact"/>
        <w:rPr>
          <w:sz w:val="20"/>
          <w:szCs w:val="20"/>
          <w:color w:val="auto"/>
        </w:rPr>
      </w:pPr>
    </w:p>
    <w:p>
      <w:pPr>
        <w:jc w:val="both"/>
        <w:ind w:left="340" w:firstLine="1288"/>
        <w:spacing w:after="0" w:line="265" w:lineRule="auto"/>
        <w:tabs>
          <w:tab w:leader="none" w:pos="1957" w:val="left"/>
        </w:tabs>
        <w:numPr>
          <w:ilvl w:val="1"/>
          <w:numId w:val="142"/>
        </w:numPr>
        <w:rPr>
          <w:rFonts w:ascii="Arial" w:cs="Arial" w:eastAsia="Arial" w:hAnsi="Arial"/>
          <w:sz w:val="21"/>
          <w:szCs w:val="21"/>
          <w:color w:val="auto"/>
        </w:rPr>
      </w:pPr>
      <w:r>
        <w:rPr>
          <w:rFonts w:ascii="Arial" w:cs="Arial" w:eastAsia="Arial" w:hAnsi="Arial"/>
          <w:sz w:val="21"/>
          <w:szCs w:val="21"/>
          <w:u w:val="single" w:color="auto"/>
          <w:color w:val="auto"/>
        </w:rPr>
        <w:t>Financial Statements</w:t>
      </w:r>
      <w:r>
        <w:rPr>
          <w:rFonts w:ascii="Arial" w:cs="Arial" w:eastAsia="Arial" w:hAnsi="Arial"/>
          <w:sz w:val="21"/>
          <w:szCs w:val="21"/>
          <w:color w:val="auto"/>
        </w:rPr>
        <w:t>. The audited consolidated balance sheet at December 31, 2018 and the related statement of income and cash flows of Parent Borrower and its consolidated Subsidiaries certified by KPMG LLP for the Fiscal Year then ended and audited consolidated balance sheet at December 31, 2016, December 31, 2017 and December 31, 2018 have been delivered to Agent on or prior to the Amendment No. 3 Effective Date.</w:t>
      </w:r>
    </w:p>
    <w:p>
      <w:pPr>
        <w:spacing w:after="0" w:line="175" w:lineRule="exact"/>
        <w:rPr>
          <w:rFonts w:ascii="Arial" w:cs="Arial" w:eastAsia="Arial" w:hAnsi="Arial"/>
          <w:sz w:val="21"/>
          <w:szCs w:val="21"/>
          <w:color w:val="auto"/>
        </w:rPr>
      </w:pPr>
    </w:p>
    <w:p>
      <w:pPr>
        <w:ind w:left="1940" w:hanging="474"/>
        <w:spacing w:after="0"/>
        <w:tabs>
          <w:tab w:leader="none" w:pos="1940" w:val="left"/>
        </w:tabs>
        <w:numPr>
          <w:ilvl w:val="0"/>
          <w:numId w:val="143"/>
        </w:numPr>
        <w:rPr>
          <w:rFonts w:ascii="Arial" w:cs="Arial" w:eastAsia="Arial" w:hAnsi="Arial"/>
          <w:sz w:val="20"/>
          <w:szCs w:val="20"/>
          <w:color w:val="auto"/>
        </w:rPr>
      </w:pPr>
      <w:r>
        <w:rPr>
          <w:rFonts w:ascii="Arial" w:cs="Arial" w:eastAsia="Arial" w:hAnsi="Arial"/>
          <w:sz w:val="22"/>
          <w:szCs w:val="22"/>
          <w:color w:val="auto"/>
        </w:rPr>
        <w:t>[Reserved].</w:t>
      </w:r>
    </w:p>
    <w:p>
      <w:pPr>
        <w:spacing w:after="0" w:line="219" w:lineRule="exact"/>
        <w:rPr>
          <w:rFonts w:ascii="Arial" w:cs="Arial" w:eastAsia="Arial" w:hAnsi="Arial"/>
          <w:sz w:val="20"/>
          <w:szCs w:val="20"/>
          <w:color w:val="auto"/>
        </w:rPr>
      </w:pPr>
    </w:p>
    <w:p>
      <w:pPr>
        <w:ind w:left="1940" w:hanging="474"/>
        <w:spacing w:after="0"/>
        <w:tabs>
          <w:tab w:leader="none" w:pos="1940" w:val="left"/>
        </w:tabs>
        <w:numPr>
          <w:ilvl w:val="0"/>
          <w:numId w:val="143"/>
        </w:numPr>
        <w:rPr>
          <w:rFonts w:ascii="Arial" w:cs="Arial" w:eastAsia="Arial" w:hAnsi="Arial"/>
          <w:sz w:val="20"/>
          <w:szCs w:val="20"/>
          <w:color w:val="auto"/>
        </w:rPr>
      </w:pPr>
      <w:r>
        <w:rPr>
          <w:rFonts w:ascii="Arial" w:cs="Arial" w:eastAsia="Arial" w:hAnsi="Arial"/>
          <w:sz w:val="22"/>
          <w:szCs w:val="22"/>
          <w:color w:val="auto"/>
        </w:rPr>
        <w:t>[Reserved].</w:t>
      </w:r>
    </w:p>
    <w:p>
      <w:pPr>
        <w:spacing w:after="0" w:line="219" w:lineRule="exact"/>
        <w:rPr>
          <w:rFonts w:ascii="Arial" w:cs="Arial" w:eastAsia="Arial" w:hAnsi="Arial"/>
          <w:sz w:val="20"/>
          <w:szCs w:val="20"/>
          <w:color w:val="auto"/>
        </w:rPr>
      </w:pPr>
    </w:p>
    <w:p>
      <w:pPr>
        <w:jc w:val="both"/>
        <w:ind w:left="180" w:firstLine="1286"/>
        <w:spacing w:after="0" w:line="260" w:lineRule="auto"/>
        <w:tabs>
          <w:tab w:leader="none" w:pos="1950" w:val="left"/>
        </w:tabs>
        <w:numPr>
          <w:ilvl w:val="0"/>
          <w:numId w:val="143"/>
        </w:numPr>
        <w:rPr>
          <w:rFonts w:ascii="Arial" w:cs="Arial" w:eastAsia="Arial" w:hAnsi="Arial"/>
          <w:sz w:val="19"/>
          <w:szCs w:val="19"/>
          <w:color w:val="auto"/>
        </w:rPr>
      </w:pPr>
      <w:r>
        <w:rPr>
          <w:rFonts w:ascii="Arial" w:cs="Arial" w:eastAsia="Arial" w:hAnsi="Arial"/>
          <w:sz w:val="21"/>
          <w:szCs w:val="21"/>
          <w:u w:val="single" w:color="auto"/>
          <w:color w:val="auto"/>
        </w:rPr>
        <w:t>Undisclosed Liabilities; Burdensome Restrictions</w:t>
      </w:r>
      <w:r>
        <w:rPr>
          <w:rFonts w:ascii="Arial" w:cs="Arial" w:eastAsia="Arial" w:hAnsi="Arial"/>
          <w:sz w:val="21"/>
          <w:szCs w:val="21"/>
          <w:color w:val="auto"/>
        </w:rPr>
        <w:t>. None of Borrowers or the Restricted Subsidiaries has any material Guarantied Obligations, or any long-term leases or unusual forward or long-term commitments, including any interest rate or foreign currency swap or exchange transaction or other obligation in respect of derivatives, that are required by GAAP to be reflected or reserved against on a balance sheet of Borrowers and the Restricted Subsidiaries other than (i) as are reflected in the financial statements described in clause (a) hereof (including the footnotes thereto) and (ii) as otherwise permitted hereunder. No Credit Party is a party or is subject to any contract, agreement or charter restriction that would reasonably be expected to have a Material Adverse Effect.</w:t>
      </w:r>
    </w:p>
    <w:p>
      <w:pPr>
        <w:spacing w:after="0" w:line="18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u w:val="single" w:color="auto"/>
          <w:color w:val="auto"/>
        </w:rPr>
        <w:t>Material Adverse Effect</w:t>
      </w:r>
      <w:r>
        <w:rPr>
          <w:rFonts w:ascii="Arial" w:cs="Arial" w:eastAsia="Arial" w:hAnsi="Arial"/>
          <w:sz w:val="22"/>
          <w:szCs w:val="22"/>
          <w:color w:val="auto"/>
        </w:rPr>
        <w:t>. Since December 31, 2018, no event has occurred, that alone or together with other events, has had a Material Adverse Effect.</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Ownership of Property; Liens</w:t>
      </w:r>
      <w:r>
        <w:rPr>
          <w:rFonts w:ascii="Arial" w:cs="Arial" w:eastAsia="Arial" w:hAnsi="Arial"/>
          <w:sz w:val="19"/>
          <w:szCs w:val="19"/>
          <w:color w:val="auto"/>
        </w:rPr>
        <w:t xml:space="preserve">. As of the Restatement Date, the Real Property listed in </w:t>
      </w:r>
      <w:r>
        <w:rPr>
          <w:rFonts w:ascii="Arial" w:cs="Arial" w:eastAsia="Arial" w:hAnsi="Arial"/>
          <w:sz w:val="19"/>
          <w:szCs w:val="19"/>
          <w:u w:val="single" w:color="auto"/>
          <w:color w:val="auto"/>
        </w:rPr>
        <w:t>Schedule 4.6</w:t>
      </w:r>
      <w:r>
        <w:rPr>
          <w:rFonts w:ascii="Arial" w:cs="Arial" w:eastAsia="Arial" w:hAnsi="Arial"/>
          <w:sz w:val="19"/>
          <w:szCs w:val="19"/>
          <w:color w:val="auto"/>
        </w:rPr>
        <w:t xml:space="preserve"> constitutes all of the real property owned, leased or subleased by any Credit Party. Each Credit Party owns fee simple title to all of its owned material Real Property and valid leasehold interests in all of its leased material Real Property, subject in each case to Agent’s Liens and Permitted Liens. Each Credit Party is the sole legal and beneficial owner of and has good and marketable title (subject to Agent’s Liens and Permitted Liens) to each component of the Collateral. Each Credit Party also has title to, or valid leasehold interests in, all of its other personal property and assets, in each case, material in the ordinary course of their respective businesses or where failure to so own or possess would not reasonably be expected to</w:t>
      </w:r>
    </w:p>
    <w:p>
      <w:pPr>
        <w:sectPr>
          <w:pgSz w:w="11900" w:h="16838" w:orient="portrait"/>
          <w:cols w:equalWidth="0" w:num="1">
            <w:col w:w="11240"/>
          </w:cols>
          <w:pgMar w:left="320" w:top="1428" w:right="339" w:bottom="1440" w:gutter="0" w:footer="0" w:header="0"/>
        </w:sectPr>
      </w:pPr>
    </w:p>
    <w:bookmarkStart w:id="229" w:name="page230"/>
    <w:bookmarkEnd w:id="229"/>
    <w:p>
      <w:pPr>
        <w:jc w:val="both"/>
        <w:spacing w:after="0" w:line="263" w:lineRule="auto"/>
        <w:rPr>
          <w:sz w:val="20"/>
          <w:szCs w:val="20"/>
          <w:color w:val="auto"/>
        </w:rPr>
      </w:pPr>
      <w:r>
        <w:rPr>
          <w:rFonts w:ascii="Arial" w:cs="Arial" w:eastAsia="Arial" w:hAnsi="Arial"/>
          <w:sz w:val="22"/>
          <w:szCs w:val="22"/>
          <w:color w:val="auto"/>
        </w:rPr>
        <w:t>have a Material Adverse Effect. As of the Restatement Date, none of the Real Property and assets of any Credit Party are subject to any Liens other than Permitted Liens.</w:t>
      </w:r>
    </w:p>
    <w:p>
      <w:pPr>
        <w:spacing w:after="0" w:line="17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Labor Matters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4.7</w:t>
      </w:r>
      <w:r>
        <w:rPr>
          <w:rFonts w:ascii="Arial" w:cs="Arial" w:eastAsia="Arial" w:hAnsi="Arial"/>
          <w:sz w:val="19"/>
          <w:szCs w:val="19"/>
          <w:color w:val="auto"/>
        </w:rPr>
        <w:t xml:space="preserve"> or as would not reasonably be expected to result in a Material Adverse Effect, to the knowledge of each Credit Party (a) no strikes or other labor disputes against any Credit Party or any Restricted Subsidiary of any Credit Party are pending or, to the knowledge of any Credit Party, threatened; (b) hours worked by and payment made to employees of each Credit Party and each Restricted Subsidiary of any Credit Party comply with the Fair Labor Standards Act and each other federal, state, local or foreign law applicable to such matters; (c) all payments due from any Credit Party or any Restricted Subsidiary of any Credit Party for employee health and welfare insurance have been paid or accrued as a liability on the books of such Credit Party or such Restricted Subsidiary; (d) there is no organizing activity involving any Credit Party or any Restricted Subsidiary of any Credit Party pending or threatened by any labor union or group of employees; (e) there are no representation proceedings pending or, to the knowledge of any Credit Party, threatened with the National Labor Relations Board or any other applicable labor relations board, and no labor organization or group of employees of any Credit Party or any Restricted Subsidiary of any Credit Party has made a pending demand for recognition; and (f) there are no material complaints or charges against any Credit Party or any Restricted Subsidiary of any Credit Party pending or, to the knowledge of any Credit Party, threatened to be filed with any Governmental Authority or arbitrator based on, arising out of, in connection with, or otherwise relating to the employment or termination of employment by any Credit Party or any Restricted Subsidiary of any Credit Party of any individual.</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Subsidiaries and Joint Ventures</w:t>
      </w:r>
      <w:r>
        <w:rPr>
          <w:rFonts w:ascii="Arial" w:cs="Arial" w:eastAsia="Arial" w:hAnsi="Arial"/>
          <w:sz w:val="22"/>
          <w:szCs w:val="22"/>
          <w:color w:val="auto"/>
        </w:rPr>
        <w:t xml:space="preserve">. As of the Restatement Date, (a) </w:t>
      </w:r>
      <w:r>
        <w:rPr>
          <w:rFonts w:ascii="Arial" w:cs="Arial" w:eastAsia="Arial" w:hAnsi="Arial"/>
          <w:sz w:val="22"/>
          <w:szCs w:val="22"/>
          <w:u w:val="single" w:color="auto"/>
          <w:color w:val="auto"/>
        </w:rPr>
        <w:t>Schedule 4.8</w:t>
      </w:r>
      <w:r>
        <w:rPr>
          <w:rFonts w:ascii="Arial" w:cs="Arial" w:eastAsia="Arial" w:hAnsi="Arial"/>
          <w:sz w:val="22"/>
          <w:szCs w:val="22"/>
          <w:color w:val="auto"/>
        </w:rPr>
        <w:t xml:space="preserve"> sets forth the name and jurisdiction of incorporation of each direct Subsidiary and Joint Venture of each Credit Party and, as to each such direct Subsidiary and Joint Venture, the percentage of each class of Capital Stock owned by any Credit Party and (b) there are no outstanding subscriptions, options, warrants, calls, rights or other agreements or commitments (other than stock options granted to employees or directors and directors’ qualifying shares) of any nature relating to any Capital Stock of any Borrower or any of their respective Subsidiaries.</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4.9 </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 No Credit Party is an “investment company” or a company controlled by an “investment company,” as such terms are defined in the Investment Company Act of 1940 as amended.</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4.10 </w:t>
      </w:r>
      <w:r>
        <w:rPr>
          <w:rFonts w:ascii="Arial" w:cs="Arial" w:eastAsia="Arial" w:hAnsi="Arial"/>
          <w:sz w:val="22"/>
          <w:szCs w:val="22"/>
          <w:u w:val="single" w:color="auto"/>
          <w:color w:val="auto"/>
        </w:rPr>
        <w:t>Margin Regulations</w:t>
      </w:r>
      <w:r>
        <w:rPr>
          <w:rFonts w:ascii="Arial" w:cs="Arial" w:eastAsia="Arial" w:hAnsi="Arial"/>
          <w:sz w:val="22"/>
          <w:szCs w:val="22"/>
          <w:color w:val="auto"/>
        </w:rPr>
        <w:t>. Neither the making of any Loan hereunder nor the use of the proceeds thereof will violate the provisions of Regulation T, Regulation U (“</w:t>
      </w:r>
      <w:r>
        <w:rPr>
          <w:rFonts w:ascii="Arial" w:cs="Arial" w:eastAsia="Arial" w:hAnsi="Arial"/>
          <w:sz w:val="22"/>
          <w:szCs w:val="22"/>
          <w:u w:val="single" w:color="auto"/>
          <w:color w:val="auto"/>
        </w:rPr>
        <w:t>Regulation U</w:t>
      </w:r>
      <w:r>
        <w:rPr>
          <w:rFonts w:ascii="Arial" w:cs="Arial" w:eastAsia="Arial" w:hAnsi="Arial"/>
          <w:sz w:val="22"/>
          <w:szCs w:val="22"/>
          <w:color w:val="auto"/>
        </w:rPr>
        <w:t>”) or Regulation X of the Federal Reserve Board.</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4.11 </w:t>
      </w:r>
      <w:r>
        <w:rPr>
          <w:rFonts w:ascii="Arial" w:cs="Arial" w:eastAsia="Arial" w:hAnsi="Arial"/>
          <w:sz w:val="21"/>
          <w:szCs w:val="21"/>
          <w:u w:val="single" w:color="auto"/>
          <w:color w:val="auto"/>
        </w:rPr>
        <w:t>Taxes/Other</w:t>
      </w:r>
      <w:r>
        <w:rPr>
          <w:rFonts w:ascii="Arial" w:cs="Arial" w:eastAsia="Arial" w:hAnsi="Arial"/>
          <w:sz w:val="21"/>
          <w:szCs w:val="21"/>
          <w:color w:val="auto"/>
        </w:rPr>
        <w:t xml:space="preserve">. Except as would not reasonably be expected to result in a Material Adverse Effect: (i) all income and other Tax returns, reports, and statements, including information returns, required by any Governmental Authority to have been filed by any Credit Party or any Restricted Subsidiary have been filed (after giving effect to any extensions) with the appropriate Governmental Authority, and (ii) all Taxes have been paid on or prior to the due date therefor, excluding Taxes or other amounts being contested in accordance with </w:t>
      </w:r>
      <w:r>
        <w:rPr>
          <w:rFonts w:ascii="Arial" w:cs="Arial" w:eastAsia="Arial" w:hAnsi="Arial"/>
          <w:sz w:val="21"/>
          <w:szCs w:val="21"/>
          <w:u w:val="single" w:color="auto"/>
          <w:color w:val="auto"/>
        </w:rPr>
        <w:t>Section 6.2(b)</w:t>
      </w:r>
      <w:r>
        <w:rPr>
          <w:rFonts w:ascii="Arial" w:cs="Arial" w:eastAsia="Arial" w:hAnsi="Arial"/>
          <w:sz w:val="21"/>
          <w:szCs w:val="21"/>
          <w:color w:val="auto"/>
        </w:rPr>
        <w:t>.</w:t>
      </w:r>
    </w:p>
    <w:p>
      <w:pPr>
        <w:sectPr>
          <w:pgSz w:w="11900" w:h="16838" w:orient="portrait"/>
          <w:cols w:equalWidth="0" w:num="1">
            <w:col w:w="11240"/>
          </w:cols>
          <w:pgMar w:left="320" w:top="1428" w:right="339" w:bottom="1440" w:gutter="0" w:footer="0" w:header="0"/>
        </w:sectPr>
      </w:pPr>
    </w:p>
    <w:bookmarkStart w:id="230" w:name="page231"/>
    <w:bookmarkEnd w:id="230"/>
    <w:p>
      <w:pPr>
        <w:spacing w:after="0"/>
        <w:tabs>
          <w:tab w:leader="none" w:pos="620" w:val="left"/>
        </w:tabs>
        <w:rPr>
          <w:sz w:val="20"/>
          <w:szCs w:val="20"/>
          <w:color w:val="auto"/>
        </w:rPr>
      </w:pPr>
      <w:r>
        <w:rPr>
          <w:rFonts w:ascii="Arial" w:cs="Arial" w:eastAsia="Arial" w:hAnsi="Arial"/>
          <w:sz w:val="22"/>
          <w:szCs w:val="22"/>
          <w:color w:val="auto"/>
        </w:rPr>
        <w:t>4.12</w:t>
      </w:r>
      <w:r>
        <w:rPr>
          <w:sz w:val="20"/>
          <w:szCs w:val="20"/>
          <w:color w:val="auto"/>
        </w:rPr>
        <w:tab/>
      </w:r>
      <w:r>
        <w:rPr>
          <w:rFonts w:ascii="Arial" w:cs="Arial" w:eastAsia="Arial" w:hAnsi="Arial"/>
          <w:sz w:val="19"/>
          <w:szCs w:val="19"/>
          <w:u w:val="single" w:color="auto"/>
          <w:color w:val="auto"/>
        </w:rPr>
        <w:t>ERISA</w:t>
      </w:r>
      <w:r>
        <w:rPr>
          <w:rFonts w:ascii="Arial" w:cs="Arial" w:eastAsia="Arial" w:hAnsi="Arial"/>
          <w:sz w:val="19"/>
          <w:szCs w:val="19"/>
          <w:color w:val="auto"/>
        </w:rPr>
        <w:t>.</w:t>
      </w:r>
    </w:p>
    <w:p>
      <w:pPr>
        <w:spacing w:after="0" w:line="220" w:lineRule="exact"/>
        <w:rPr>
          <w:sz w:val="20"/>
          <w:szCs w:val="20"/>
          <w:color w:val="auto"/>
        </w:rPr>
      </w:pPr>
    </w:p>
    <w:p>
      <w:pPr>
        <w:jc w:val="both"/>
        <w:ind w:left="-320" w:firstLine="1288"/>
        <w:spacing w:after="0" w:line="286" w:lineRule="auto"/>
        <w:tabs>
          <w:tab w:leader="none" w:pos="1297" w:val="left"/>
        </w:tabs>
        <w:numPr>
          <w:ilvl w:val="1"/>
          <w:numId w:val="144"/>
        </w:numPr>
        <w:rPr>
          <w:rFonts w:ascii="Arial" w:cs="Arial" w:eastAsia="Arial" w:hAnsi="Arial"/>
          <w:sz w:val="19"/>
          <w:szCs w:val="19"/>
          <w:color w:val="auto"/>
        </w:rPr>
      </w:pPr>
      <w:r>
        <w:rPr>
          <w:rFonts w:ascii="Arial" w:cs="Arial" w:eastAsia="Arial" w:hAnsi="Arial"/>
          <w:sz w:val="19"/>
          <w:szCs w:val="19"/>
          <w:color w:val="auto"/>
        </w:rPr>
        <w:t>Borrowers have previously delivered or made available to Agent all Pension Plans (including Title IV Plans and Multiemployer Plans) and all Retiree Welfare Plans, as now in effect. Except with respect to Multiemployer Plans, and except as would not reasonably be expected to have a Material Adverse Effect, each Qualified Plan has either received a favorable determination letter from the IRS or may rely on a favorable opinion letter issued by the IRS, and to the knowledge of any Credit Party nothing has occurred that would be reasonably expected to cause the loss of such qualification or tax-exempt status. Each Pension Plan, to the knowledge of any Borrower, is in compliance in all respects with the applicable provisions of ERISA, the IRC and its terms, including the timely filing of all reports required under the IRC or ERISA except where the failure to comply would not reasonably be expected to have a Material Adverse Effect. Except as has not resulted, or would not reasonably be expected to result, in an ERISA Lien (whether or not perfected), neither any Credit Party nor ERISA Affiliate has failed to make any material contribution or pay any material amount due as required by either Section 412 of the IRC or Section 302 of ERISA or the terms of any such Pension Plan. No “prohibited transaction,” as defined in Section 406 of ERISA and Section 4975 of the IRC, has occurred with respect to any Pension Plan that would subject any Credit Party to a material tax on prohibited transactions imposed by Section 502(i) of ERISA or Section 4975 of the IRC.</w:t>
      </w:r>
    </w:p>
    <w:p>
      <w:pPr>
        <w:spacing w:after="0" w:line="165" w:lineRule="exact"/>
        <w:rPr>
          <w:rFonts w:ascii="Arial" w:cs="Arial" w:eastAsia="Arial" w:hAnsi="Arial"/>
          <w:sz w:val="19"/>
          <w:szCs w:val="19"/>
          <w:color w:val="auto"/>
        </w:rPr>
      </w:pPr>
    </w:p>
    <w:p>
      <w:pPr>
        <w:jc w:val="both"/>
        <w:ind w:left="-320" w:firstLine="1288"/>
        <w:spacing w:after="0" w:line="287" w:lineRule="auto"/>
        <w:tabs>
          <w:tab w:leader="none" w:pos="1295" w:val="left"/>
        </w:tabs>
        <w:numPr>
          <w:ilvl w:val="1"/>
          <w:numId w:val="144"/>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a Material Adverse Effect: (i) no Title IV Plan is or is reasonably expected to be in “at risk” status (within the meaning of Section 430 of the IRC or Section 303 of ERISA); (ii) no ERISA Event has occurred or to the knowledge of any Credit Party is reasonably expected to occur; (iii) there are no pending, or to the knowledge of any Credit Party, threatened material claims (other than claims for benefits in the normal course), sanctions, actions or lawsuits, asserted or instituted against any Plan or any Person as fiduciary or sponsor of any Plan; (iv) no Credit Party or ERISA Affiliate has incurred or reasonably expects to incur any liability as a result of a complete or partial withdrawal from a Multiemployer Plan; and (v) within the last five years no Title IV Plan of any Credit Party or ERISA Affiliate has been terminated, whether or not in a “standard termination” as that term is used in Section 4041 of ERISA, nor has any Title IV Plan of any Credit Party or any ERISA Affiliate (determined at any time within the last five years) with Unfunded Pension Liabilities been transferred outside of the “controlled group” (within the meaning of Section 4001(a)(14) of ERISA) of any Credit Party or ERISA Affiliate (determined at such time).</w:t>
      </w:r>
    </w:p>
    <w:p>
      <w:pPr>
        <w:spacing w:after="0" w:line="163" w:lineRule="exact"/>
        <w:rPr>
          <w:rFonts w:ascii="Arial" w:cs="Arial" w:eastAsia="Arial" w:hAnsi="Arial"/>
          <w:sz w:val="19"/>
          <w:szCs w:val="19"/>
          <w:color w:val="auto"/>
        </w:rPr>
      </w:pPr>
    </w:p>
    <w:p>
      <w:pPr>
        <w:jc w:val="both"/>
        <w:ind w:left="-480" w:firstLine="1286"/>
        <w:spacing w:after="0" w:line="294" w:lineRule="auto"/>
        <w:tabs>
          <w:tab w:leader="none" w:pos="1292" w:val="left"/>
        </w:tabs>
        <w:numPr>
          <w:ilvl w:val="0"/>
          <w:numId w:val="145"/>
        </w:numPr>
        <w:rPr>
          <w:rFonts w:ascii="Arial" w:cs="Arial" w:eastAsia="Arial" w:hAnsi="Arial"/>
          <w:sz w:val="18"/>
          <w:szCs w:val="18"/>
          <w:color w:val="auto"/>
        </w:rPr>
      </w:pPr>
      <w:r>
        <w:rPr>
          <w:rFonts w:ascii="Arial" w:cs="Arial" w:eastAsia="Arial" w:hAnsi="Arial"/>
          <w:sz w:val="19"/>
          <w:szCs w:val="19"/>
          <w:color w:val="auto"/>
        </w:rPr>
        <w:t>Except as would not reasonably be expected to result in a Material Adverse Effect, each Foreign Pension Plan is in compliance with all requirements of law applicable thereto and the respective requirements of the governing documents for such plan. With respect to each Foreign Pension Plan, neither any Credit Party nor any Subsidiaries or any of their respective directors, officers, employees or agents has engaged in a transaction which would subject any Credit Party or any Subsidiary, directly or indirectly, to a tax or civil penalty which would reasonably be expected, individually or in the aggregate, to result in a Material Adverse Effect. With respect to each Foreign Pension Plan, except as would not reasonably be</w:t>
      </w:r>
    </w:p>
    <w:p>
      <w:pPr>
        <w:sectPr>
          <w:pgSz w:w="11900" w:h="16838" w:orient="portrait"/>
          <w:cols w:equalWidth="0" w:num="1">
            <w:col w:w="10580"/>
          </w:cols>
          <w:pgMar w:left="980" w:top="1428" w:right="339" w:bottom="1440" w:gutter="0" w:footer="0" w:header="0"/>
        </w:sectPr>
      </w:pPr>
    </w:p>
    <w:bookmarkStart w:id="231" w:name="page232"/>
    <w:bookmarkEnd w:id="231"/>
    <w:p>
      <w:pPr>
        <w:jc w:val="both"/>
        <w:ind w:left="180"/>
        <w:spacing w:after="0" w:line="248" w:lineRule="auto"/>
        <w:rPr>
          <w:sz w:val="20"/>
          <w:szCs w:val="20"/>
          <w:color w:val="auto"/>
        </w:rPr>
      </w:pPr>
      <w:r>
        <w:rPr>
          <w:rFonts w:ascii="Arial" w:cs="Arial" w:eastAsia="Arial" w:hAnsi="Arial"/>
          <w:sz w:val="22"/>
          <w:szCs w:val="22"/>
          <w:color w:val="auto"/>
        </w:rPr>
        <w:t>expected to result in a Material Adverse Effect, reserves have been established in the financial statements furnished to Lenders in respect of any unfunded liabilities in accordance with applicable law and prudent business practice or, where required, in accordance with ordinary accounting practices in the jurisdiction in which such Foreign Pension Plan is maintained. The aggregate unfunded liabilities with respect to such Foreign Pension Plans would not reasonably be expected to result individually or in the aggregate in a Material Adverse Effect.</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4.13 </w:t>
      </w:r>
      <w:r>
        <w:rPr>
          <w:rFonts w:ascii="Arial" w:cs="Arial" w:eastAsia="Arial" w:hAnsi="Arial"/>
          <w:sz w:val="19"/>
          <w:szCs w:val="19"/>
          <w:u w:val="single" w:color="auto"/>
          <w:color w:val="auto"/>
        </w:rPr>
        <w:t>No Litigation</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4.13</w:t>
      </w:r>
      <w:r>
        <w:rPr>
          <w:rFonts w:ascii="Arial" w:cs="Arial" w:eastAsia="Arial" w:hAnsi="Arial"/>
          <w:sz w:val="19"/>
          <w:szCs w:val="19"/>
          <w:color w:val="auto"/>
        </w:rPr>
        <w:t>, no action, claim, lawsuit, demand, or proceeding is now pending or, to the knowledge of any Credit Party, threatened in writing against any Credit Party or any Restricted Subsidiary of any Credit Party, before any Governmental Authority or before any arbitrator or panel of arbitrators (collectively, “</w:t>
      </w:r>
      <w:r>
        <w:rPr>
          <w:rFonts w:ascii="Arial" w:cs="Arial" w:eastAsia="Arial" w:hAnsi="Arial"/>
          <w:sz w:val="19"/>
          <w:szCs w:val="19"/>
          <w:u w:val="single" w:color="auto"/>
          <w:color w:val="auto"/>
        </w:rPr>
        <w:t>Litigation</w:t>
      </w:r>
      <w:r>
        <w:rPr>
          <w:rFonts w:ascii="Arial" w:cs="Arial" w:eastAsia="Arial" w:hAnsi="Arial"/>
          <w:sz w:val="19"/>
          <w:szCs w:val="19"/>
          <w:color w:val="auto"/>
        </w:rPr>
        <w:t>”),</w:t>
      </w:r>
    </w:p>
    <w:p>
      <w:pPr>
        <w:spacing w:after="0" w:line="1" w:lineRule="exact"/>
        <w:rPr>
          <w:sz w:val="20"/>
          <w:szCs w:val="20"/>
          <w:color w:val="auto"/>
        </w:rPr>
      </w:pPr>
    </w:p>
    <w:p>
      <w:pPr>
        <w:jc w:val="both"/>
        <w:ind w:firstLine="8"/>
        <w:spacing w:after="0" w:line="244" w:lineRule="auto"/>
        <w:tabs>
          <w:tab w:leader="none" w:pos="319" w:val="left"/>
        </w:tabs>
        <w:numPr>
          <w:ilvl w:val="0"/>
          <w:numId w:val="146"/>
        </w:numPr>
        <w:rPr>
          <w:rFonts w:ascii="Arial" w:cs="Arial" w:eastAsia="Arial" w:hAnsi="Arial"/>
          <w:sz w:val="22"/>
          <w:szCs w:val="22"/>
          <w:color w:val="auto"/>
        </w:rPr>
      </w:pPr>
      <w:r>
        <w:rPr>
          <w:rFonts w:ascii="Arial" w:cs="Arial" w:eastAsia="Arial" w:hAnsi="Arial"/>
          <w:sz w:val="22"/>
          <w:szCs w:val="22"/>
          <w:color w:val="auto"/>
        </w:rPr>
        <w:t xml:space="preserve">on the Restatement Date that challenges such Credit Party’s right or power to enter into or perform any of its obligations under the Loan Documents to which it is a party, or the validity or enforceability of any Loan Document or any action taken thereunder, or (b) that would reasonably be expected to result in a Material Adverse Effect. Except as set forth on </w:t>
      </w:r>
      <w:r>
        <w:rPr>
          <w:rFonts w:ascii="Arial" w:cs="Arial" w:eastAsia="Arial" w:hAnsi="Arial"/>
          <w:sz w:val="22"/>
          <w:szCs w:val="22"/>
          <w:u w:val="single" w:color="auto"/>
          <w:color w:val="auto"/>
        </w:rPr>
        <w:t>Schedule 4.13</w:t>
      </w:r>
      <w:r>
        <w:rPr>
          <w:rFonts w:ascii="Arial" w:cs="Arial" w:eastAsia="Arial" w:hAnsi="Arial"/>
          <w:sz w:val="22"/>
          <w:szCs w:val="22"/>
          <w:color w:val="auto"/>
        </w:rPr>
        <w:t>, as of the Restatement Date there is no Litigation pending or threatened in writing, that would reasonably be expected to have a Material Adverse Effect.</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4.14 </w:t>
      </w:r>
      <w:r>
        <w:rPr>
          <w:rFonts w:ascii="Arial" w:cs="Arial" w:eastAsia="Arial" w:hAnsi="Arial"/>
          <w:sz w:val="22"/>
          <w:szCs w:val="22"/>
          <w:u w:val="single" w:color="auto"/>
          <w:color w:val="auto"/>
        </w:rPr>
        <w:t>Brokers</w:t>
      </w:r>
      <w:r>
        <w:rPr>
          <w:rFonts w:ascii="Arial" w:cs="Arial" w:eastAsia="Arial" w:hAnsi="Arial"/>
          <w:sz w:val="22"/>
          <w:szCs w:val="22"/>
          <w:color w:val="auto"/>
        </w:rPr>
        <w:t xml:space="preserve">. Except as set forth on </w:t>
      </w:r>
      <w:r>
        <w:rPr>
          <w:rFonts w:ascii="Arial" w:cs="Arial" w:eastAsia="Arial" w:hAnsi="Arial"/>
          <w:sz w:val="22"/>
          <w:szCs w:val="22"/>
          <w:u w:val="single" w:color="auto"/>
          <w:color w:val="auto"/>
        </w:rPr>
        <w:t>Schedule 4.14</w:t>
      </w:r>
      <w:r>
        <w:rPr>
          <w:rFonts w:ascii="Arial" w:cs="Arial" w:eastAsia="Arial" w:hAnsi="Arial"/>
          <w:sz w:val="22"/>
          <w:szCs w:val="22"/>
          <w:color w:val="auto"/>
        </w:rPr>
        <w:t>, no Credit Party or Affiliate thereof has any obligation to any Person in respect of any finder’s or brokerage fees in connection with the making of the Loans or the Transactions which will be unpaid after the Restatement Date.</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4.15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xml:space="preserve">. As of the Restatement Date, each Credit Party owns or has rights to use all Intellectual Property necessary to continue to conduct its business as now conducted by it and material to such Credit Party’s business, taken as a whole. Each issued or applied for Patent, registered or applied for Trademark, and registered or applied for Copyright owned by any Credit Party on the Restatement Date is listed, together with application or registration numbers, as applicable, on Schedule 4.15. To each Borrowers’ knowledge, as of the Restatement Date, each Credit Party conducts its business and affairs without infringement of any Intellectual Property of any other Person that would reasonably be expected to result in a Material Adverse Effect. Except as set forth in </w:t>
      </w:r>
      <w:r>
        <w:rPr>
          <w:rFonts w:ascii="Arial" w:cs="Arial" w:eastAsia="Arial" w:hAnsi="Arial"/>
          <w:sz w:val="19"/>
          <w:szCs w:val="19"/>
          <w:u w:val="single" w:color="auto"/>
          <w:color w:val="auto"/>
        </w:rPr>
        <w:t>Schedule 4.15</w:t>
      </w:r>
      <w:r>
        <w:rPr>
          <w:rFonts w:ascii="Arial" w:cs="Arial" w:eastAsia="Arial" w:hAnsi="Arial"/>
          <w:sz w:val="19"/>
          <w:szCs w:val="19"/>
          <w:color w:val="auto"/>
        </w:rPr>
        <w:t>, on the Restatement Date no Credit Party is aware of any material infringement claim by any other Person that is pending or threatened in writing against any Credit Party with respect to any material Intellectual Property owned by such Credit Party on the Restatement Date.</w:t>
      </w:r>
    </w:p>
    <w:p>
      <w:pPr>
        <w:spacing w:after="0" w:line="15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 xml:space="preserve">4.16 </w:t>
      </w:r>
      <w:r>
        <w:rPr>
          <w:rFonts w:ascii="Arial" w:cs="Arial" w:eastAsia="Arial" w:hAnsi="Arial"/>
          <w:sz w:val="19"/>
          <w:szCs w:val="19"/>
          <w:u w:val="single" w:color="auto"/>
          <w:color w:val="auto"/>
        </w:rPr>
        <w:t>Full Disclosure</w:t>
      </w:r>
      <w:r>
        <w:rPr>
          <w:rFonts w:ascii="Arial" w:cs="Arial" w:eastAsia="Arial" w:hAnsi="Arial"/>
          <w:sz w:val="19"/>
          <w:szCs w:val="19"/>
          <w:color w:val="auto"/>
        </w:rPr>
        <w:t>. No information contained in this Agreement, any of the other Loan Documents or Financial Statements or other written reports from time to time prepared by any Credit Party (other than the projections referred to below, forward-looking information and information of a general economic or industry nature) and delivered hereunder or under any other Loan Document (in each as modified or supplemented by other information so furnished and taken as a whole) by or on behalf of any Credit Party to Agent or any Lender pursuant to the terms of this Agreement contains any untrue statement of a material fact or omits to state a material fact necessary to make the statements contained herein or therein not materially misleading in light of the circumstances under which they were made (after giving effect to all supplements and updates thereto).</w:t>
      </w:r>
    </w:p>
    <w:p>
      <w:pPr>
        <w:sectPr>
          <w:pgSz w:w="11900" w:h="16838" w:orient="portrait"/>
          <w:cols w:equalWidth="0" w:num="1">
            <w:col w:w="11240"/>
          </w:cols>
          <w:pgMar w:left="320" w:top="1428" w:right="339" w:bottom="1440" w:gutter="0" w:footer="0" w:header="0"/>
        </w:sectPr>
      </w:pPr>
    </w:p>
    <w:bookmarkStart w:id="232" w:name="page233"/>
    <w:bookmarkEnd w:id="232"/>
    <w:p>
      <w:pPr>
        <w:ind w:left="660"/>
        <w:spacing w:after="0"/>
        <w:tabs>
          <w:tab w:leader="none" w:pos="1280" w:val="left"/>
        </w:tabs>
        <w:rPr>
          <w:sz w:val="20"/>
          <w:szCs w:val="20"/>
          <w:color w:val="auto"/>
        </w:rPr>
      </w:pPr>
      <w:r>
        <w:rPr>
          <w:rFonts w:ascii="Arial" w:cs="Arial" w:eastAsia="Arial" w:hAnsi="Arial"/>
          <w:sz w:val="22"/>
          <w:szCs w:val="22"/>
          <w:color w:val="auto"/>
        </w:rPr>
        <w:t>4.17</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w:t>
      </w:r>
    </w:p>
    <w:p>
      <w:pPr>
        <w:spacing w:after="0" w:line="220" w:lineRule="exact"/>
        <w:rPr>
          <w:sz w:val="20"/>
          <w:szCs w:val="20"/>
          <w:color w:val="auto"/>
        </w:rPr>
      </w:pPr>
    </w:p>
    <w:p>
      <w:pPr>
        <w:jc w:val="both"/>
        <w:ind w:left="340" w:firstLine="1288"/>
        <w:spacing w:after="0" w:line="285" w:lineRule="auto"/>
        <w:tabs>
          <w:tab w:leader="none" w:pos="1957"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4.17</w:t>
      </w:r>
      <w:r>
        <w:rPr>
          <w:rFonts w:ascii="Arial" w:cs="Arial" w:eastAsia="Arial" w:hAnsi="Arial"/>
          <w:sz w:val="19"/>
          <w:szCs w:val="19"/>
          <w:color w:val="auto"/>
        </w:rPr>
        <w:t xml:space="preserve"> or would not reasonably be expected to have a Material Adverse Effect, as of the Restatement Date: (i) the Real Property of each Credit Party and each of their Restricted Subsidiaries is free of contamination from any Hazardous Material; (ii) no Credit Party nor any Restricted Subsidiary of any Credit Party has caused or knowingly allowed to occur any Release of Hazardous Materials on, at, in, under, above, to, from or about any of its Real Property; (iii) the Credit Parties and each of their Restricted Subsidiaries are and, except for matters which have been fully resolved, have, for the past three (3) years, been in compliance with all Environmental Laws; (iv) the Credit Parties and each of their Restricted Subsidiaries (A) have obtained, (B) possess as valid, uncontested and in good standing, and (C) are in compliance with all Environmental Permits required by Environmental Laws for the operation of their respective businesses as presently conducted; (v) there is no Litigation by a Governmental Authority arising under or related to any Environmental Laws, Environmental Permits or Hazardous Material that seeks damages, penalties, fines, costs or expenses from, or that alleges criminal misconduct by, any Credit Party or any Restricted Subsidiary of any Credit Party; (vi) except for matters which have been fully resolved, no written notice has been received by any Credit Party or any Restricted Subsidiary of any Credit Party identifying it as a “potentially responsible party” or requesting information under CERCLA or analogous state statutes; and (vii) the Credit Parties and each of their Restricted Subsidiaries have provided to Agent copies of existing material environmental reports, reviews and audits relating to actual or potential material Environmental Liabilities and relating to any Credit Party or any Restricted Subsidiary of any Credit Party.</w:t>
      </w:r>
    </w:p>
    <w:p>
      <w:pPr>
        <w:spacing w:after="0" w:line="168" w:lineRule="exact"/>
        <w:rPr>
          <w:rFonts w:ascii="Arial" w:cs="Arial" w:eastAsia="Arial" w:hAnsi="Arial"/>
          <w:sz w:val="19"/>
          <w:szCs w:val="19"/>
          <w:color w:val="auto"/>
        </w:rPr>
      </w:pPr>
    </w:p>
    <w:p>
      <w:pPr>
        <w:jc w:val="both"/>
        <w:ind w:left="340" w:firstLine="1288"/>
        <w:spacing w:after="0" w:line="290" w:lineRule="auto"/>
        <w:tabs>
          <w:tab w:leader="none" w:pos="1955" w:val="left"/>
        </w:tabs>
        <w:numPr>
          <w:ilvl w:val="0"/>
          <w:numId w:val="147"/>
        </w:numPr>
        <w:rPr>
          <w:rFonts w:ascii="Arial" w:cs="Arial" w:eastAsia="Arial" w:hAnsi="Arial"/>
          <w:sz w:val="19"/>
          <w:szCs w:val="19"/>
          <w:color w:val="auto"/>
        </w:rPr>
      </w:pPr>
      <w:r>
        <w:rPr>
          <w:rFonts w:ascii="Arial" w:cs="Arial" w:eastAsia="Arial" w:hAnsi="Arial"/>
          <w:sz w:val="19"/>
          <w:szCs w:val="19"/>
          <w:color w:val="auto"/>
        </w:rPr>
        <w:t>Each Credit Party hereby acknowledges and agrees that none of Agent or any of its officers, directors, employees, attorneys, agents and representatives (i) is now, or has ever been, in control of any of the Real Property or any Credit Party’s or any Restricted Subsidiary of any Credit Party’s affairs, and (ii) has the capacity or the authority through the provisions of the Loan Documents or otherwise to direct or influence any (A) Credit Party’s or any Restricted Subsidiary of any Credit Party’s conduct with respect to the ownership, operation or management of any of its Real Property, (B) undertaking, work or task performed by any employee, agent or contractor of any Credit Party or any Restricted Subsidiary of any Credit Party or the manner in which such undertaking, work or task may be carried out or performed, or (C) compliance of any Credit Party or any Restricted Subsidiary of any Credit Party with Environmental Laws or Environmental Permits.</w:t>
      </w:r>
    </w:p>
    <w:p>
      <w:pPr>
        <w:spacing w:after="0" w:line="15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4.18 </w:t>
      </w:r>
      <w:r>
        <w:rPr>
          <w:rFonts w:ascii="Arial" w:cs="Arial" w:eastAsia="Arial" w:hAnsi="Arial"/>
          <w:sz w:val="22"/>
          <w:szCs w:val="22"/>
          <w:u w:val="single" w:color="auto"/>
          <w:color w:val="auto"/>
        </w:rPr>
        <w:t>Insurance</w:t>
      </w:r>
      <w:r>
        <w:rPr>
          <w:rFonts w:ascii="Arial" w:cs="Arial" w:eastAsia="Arial" w:hAnsi="Arial"/>
          <w:sz w:val="22"/>
          <w:szCs w:val="22"/>
          <w:color w:val="auto"/>
        </w:rPr>
        <w:t>. Borrowers have previously delivered or made available to Agent lists of all material insurance policies of any nature maintained, as of the Restatement Date, for current occurrences by each Credit Party and each Restricted Subsidiary.</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4.19 </w:t>
      </w:r>
      <w:r>
        <w:rPr>
          <w:rFonts w:ascii="Arial" w:cs="Arial" w:eastAsia="Arial" w:hAnsi="Arial"/>
          <w:sz w:val="22"/>
          <w:szCs w:val="22"/>
          <w:u w:val="single" w:color="auto"/>
          <w:color w:val="auto"/>
        </w:rPr>
        <w:t>Deposit and Disbursement Accounts</w:t>
      </w:r>
      <w:r>
        <w:rPr>
          <w:rFonts w:ascii="Arial" w:cs="Arial" w:eastAsia="Arial" w:hAnsi="Arial"/>
          <w:sz w:val="22"/>
          <w:szCs w:val="22"/>
          <w:color w:val="auto"/>
        </w:rPr>
        <w:t xml:space="preserve">. </w:t>
      </w:r>
      <w:r>
        <w:rPr>
          <w:rFonts w:ascii="Arial" w:cs="Arial" w:eastAsia="Arial" w:hAnsi="Arial"/>
          <w:sz w:val="22"/>
          <w:szCs w:val="22"/>
          <w:u w:val="single" w:color="auto"/>
          <w:color w:val="auto"/>
        </w:rPr>
        <w:t>Schedule 4.19</w:t>
      </w:r>
      <w:r>
        <w:rPr>
          <w:rFonts w:ascii="Arial" w:cs="Arial" w:eastAsia="Arial" w:hAnsi="Arial"/>
          <w:sz w:val="22"/>
          <w:szCs w:val="22"/>
          <w:color w:val="auto"/>
        </w:rPr>
        <w:t xml:space="preserve"> lists all banks and other financial institutions at which any Credit Party maintains deposit or other accounts as of the Restatement Date, including any Disbursement Accounts, and such Schedule correctly identifies</w:t>
      </w:r>
    </w:p>
    <w:p>
      <w:pPr>
        <w:sectPr>
          <w:pgSz w:w="11900" w:h="16838" w:orient="portrait"/>
          <w:cols w:equalWidth="0" w:num="1">
            <w:col w:w="11240"/>
          </w:cols>
          <w:pgMar w:left="320" w:top="1428" w:right="339" w:bottom="1440" w:gutter="0" w:footer="0" w:header="0"/>
        </w:sectPr>
      </w:pPr>
    </w:p>
    <w:bookmarkStart w:id="233" w:name="page234"/>
    <w:bookmarkEnd w:id="233"/>
    <w:p>
      <w:pPr>
        <w:jc w:val="both"/>
        <w:ind w:right="20"/>
        <w:spacing w:after="0" w:line="263" w:lineRule="auto"/>
        <w:rPr>
          <w:sz w:val="20"/>
          <w:szCs w:val="20"/>
          <w:color w:val="auto"/>
        </w:rPr>
      </w:pPr>
      <w:r>
        <w:rPr>
          <w:rFonts w:ascii="Arial" w:cs="Arial" w:eastAsia="Arial" w:hAnsi="Arial"/>
          <w:sz w:val="22"/>
          <w:szCs w:val="22"/>
          <w:color w:val="auto"/>
        </w:rPr>
        <w:t>the name of each depository, the name in which the account is held, a description of the purpose of the account, and the complete account number therefor.</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4.20</w:t>
      </w:r>
      <w:r>
        <w:rPr>
          <w:sz w:val="20"/>
          <w:szCs w:val="20"/>
          <w:color w:val="auto"/>
        </w:rPr>
        <w:tab/>
      </w:r>
      <w:r>
        <w:rPr>
          <w:rFonts w:ascii="Arial" w:cs="Arial" w:eastAsia="Arial" w:hAnsi="Arial"/>
          <w:sz w:val="19"/>
          <w:szCs w:val="19"/>
          <w:u w:val="single" w:color="auto"/>
          <w:color w:val="auto"/>
        </w:rPr>
        <w:t>No Default</w:t>
      </w:r>
      <w:r>
        <w:rPr>
          <w:rFonts w:ascii="Arial" w:cs="Arial" w:eastAsia="Arial" w:hAnsi="Arial"/>
          <w:sz w:val="19"/>
          <w:szCs w:val="19"/>
          <w:color w:val="auto"/>
        </w:rPr>
        <w:t>. No Default or Event of Default has occurred and is continuing.</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4.21 </w:t>
      </w:r>
      <w:r>
        <w:rPr>
          <w:rFonts w:ascii="Arial" w:cs="Arial" w:eastAsia="Arial" w:hAnsi="Arial"/>
          <w:sz w:val="19"/>
          <w:szCs w:val="19"/>
          <w:u w:val="single" w:color="auto"/>
          <w:color w:val="auto"/>
        </w:rPr>
        <w:t>Creation and Perfection (and Publication of Security Interests (and Hypothecs))</w:t>
      </w:r>
      <w:r>
        <w:rPr>
          <w:rFonts w:ascii="Arial" w:cs="Arial" w:eastAsia="Arial" w:hAnsi="Arial"/>
          <w:sz w:val="19"/>
          <w:szCs w:val="19"/>
          <w:color w:val="auto"/>
        </w:rPr>
        <w:t>. Once executed and delivered (and, in the case of the Province of Quebec, registered), each of the U.S. Security Agreement and the Canadian Security Agreement will create a valid and enforceable security interest in the Collateral described therein, subject to any exceptions contained therein. In the case of the portion of the pledged Collateral consisting of the certificated securities represented by the certificates described in the U.S. Security Agreement or the Canadian Security Agreement, as applicable, when stock certificates representing such pledged Collateral are delivered to Agent (or to the Term Administrative Agent or another agent pursuant to the terms of the ABL Intercreditor Agreement) and such stock certificates are held in New York, and in the case of the other Collateral described in the U.S. Security Agreement or the Canadian Security Agreement, as applicable, when UCC or PPSA (or, in the case of the Province of Quebec, RPMRR forms) financing statements in appropriate form are filed in the appropriate UCC or PPSA or RPMRR filing offices in the relevant jurisdictions, the Liens created under the U.S. Security Agreement or the Canadian Security Agreement, as applicable, shall be perfected under the Code or the PPSA or the Civil Code of Quebec, as applicable (to the extent a Lien on such Collateral can be perfected by such possession or filings), in respect of all right, title and interest of the Credit Parties signatory to the U.S. Security Agreement or the Canadian Security Agreement, as applicable, in such pledged Collateral and other Collateral, as security for the Obligations.</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4.22 </w:t>
      </w:r>
      <w:r>
        <w:rPr>
          <w:rFonts w:ascii="Arial" w:cs="Arial" w:eastAsia="Arial" w:hAnsi="Arial"/>
          <w:sz w:val="21"/>
          <w:szCs w:val="21"/>
          <w:u w:val="single" w:color="auto"/>
          <w:color w:val="auto"/>
        </w:rPr>
        <w:t>Solvency</w:t>
      </w:r>
      <w:r>
        <w:rPr>
          <w:rFonts w:ascii="Arial" w:cs="Arial" w:eastAsia="Arial" w:hAnsi="Arial"/>
          <w:sz w:val="21"/>
          <w:szCs w:val="21"/>
          <w:color w:val="auto"/>
        </w:rPr>
        <w:t>. Immediately after giving effect to (a) the Loans and Letter of Credit Obligations to be made or incurred on the Amendment No. 3 Effective Date, (b) the disbursement of proceeds of such Loans (if any) pursuant to the instructions of Borrower Representative, and (c) the payment and accrual of all transaction costs in connection with the foregoing, Parent Borrower and its Subsidiaries, taken as a whole on a consolidated basis, are Solvent.</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4.23 </w:t>
      </w:r>
      <w:r>
        <w:rPr>
          <w:rFonts w:ascii="Arial" w:cs="Arial" w:eastAsia="Arial" w:hAnsi="Arial"/>
          <w:sz w:val="19"/>
          <w:szCs w:val="19"/>
          <w:u w:val="single" w:color="auto"/>
          <w:color w:val="auto"/>
        </w:rPr>
        <w:t>Economic Sanctions and Anti-Money Laundering</w:t>
      </w:r>
      <w:r>
        <w:rPr>
          <w:rFonts w:ascii="Arial" w:cs="Arial" w:eastAsia="Arial" w:hAnsi="Arial"/>
          <w:sz w:val="19"/>
          <w:szCs w:val="19"/>
          <w:color w:val="auto"/>
        </w:rPr>
        <w:t>. Each Credit Party and each Subsidiary of each Credit Party is in compliance in all material respects with all United States economic sanctions, laws, executive orders, and implementing regulations as promulgated by the United States Treasury Department’s Office of Foreign Assets Control (“</w:t>
      </w:r>
      <w:r>
        <w:rPr>
          <w:rFonts w:ascii="Arial" w:cs="Arial" w:eastAsia="Arial" w:hAnsi="Arial"/>
          <w:sz w:val="19"/>
          <w:szCs w:val="19"/>
          <w:u w:val="single" w:color="auto"/>
          <w:color w:val="auto"/>
        </w:rPr>
        <w:t>OFAC</w:t>
      </w:r>
      <w:r>
        <w:rPr>
          <w:rFonts w:ascii="Arial" w:cs="Arial" w:eastAsia="Arial" w:hAnsi="Arial"/>
          <w:sz w:val="19"/>
          <w:szCs w:val="19"/>
          <w:color w:val="auto"/>
        </w:rPr>
        <w:t>”), and all applicable anti-money laundering and counter-terrorism financing provisions of the Bank Secrecy Act and all regulations issued pursuant to it. No Credit Party and no Subsidiary of a Credit Party (a) is a Person designated by the United States government on the list of the Specially Designated Nationals and Blocked Persons (the “</w:t>
      </w:r>
      <w:r>
        <w:rPr>
          <w:rFonts w:ascii="Arial" w:cs="Arial" w:eastAsia="Arial" w:hAnsi="Arial"/>
          <w:sz w:val="19"/>
          <w:szCs w:val="19"/>
          <w:u w:val="single" w:color="auto"/>
          <w:color w:val="auto"/>
        </w:rPr>
        <w:t>SDN List</w:t>
      </w:r>
      <w:r>
        <w:rPr>
          <w:rFonts w:ascii="Arial" w:cs="Arial" w:eastAsia="Arial" w:hAnsi="Arial"/>
          <w:sz w:val="19"/>
          <w:szCs w:val="19"/>
          <w:color w:val="auto"/>
        </w:rPr>
        <w:t>”) with which a United States Person cannot deal with or otherwise engage in business transactions, (b) is a Person who is otherwise the target of United States economic sanctions laws such that a United States Person cannot deal or otherwise engage in business transactions with such Person or (c) is controlled by (including, without limitation, by virtue of such Person being a director or owning voting shares</w:t>
      </w:r>
    </w:p>
    <w:p>
      <w:pPr>
        <w:sectPr>
          <w:pgSz w:w="11900" w:h="16838" w:orient="portrait"/>
          <w:cols w:equalWidth="0" w:num="1">
            <w:col w:w="11240"/>
          </w:cols>
          <w:pgMar w:left="320" w:top="1428" w:right="339" w:bottom="1440" w:gutter="0" w:footer="0" w:header="0"/>
        </w:sectPr>
      </w:pPr>
    </w:p>
    <w:bookmarkStart w:id="234" w:name="page235"/>
    <w:bookmarkEnd w:id="234"/>
    <w:p>
      <w:pPr>
        <w:jc w:val="both"/>
        <w:spacing w:after="0" w:line="253" w:lineRule="auto"/>
        <w:rPr>
          <w:sz w:val="20"/>
          <w:szCs w:val="20"/>
          <w:color w:val="auto"/>
        </w:rPr>
      </w:pPr>
      <w:r>
        <w:rPr>
          <w:rFonts w:ascii="Arial" w:cs="Arial" w:eastAsia="Arial" w:hAnsi="Arial"/>
          <w:sz w:val="22"/>
          <w:szCs w:val="22"/>
          <w:color w:val="auto"/>
        </w:rPr>
        <w:t>or interests), or acts, directly or indirectly, for or on behalf of, any Person on the SDN List or a foreign government that is the target of United States economic sanctions prohibitions such that the entry into, or performance under, this Agreement or any other Loan Document would be prohibited under United States law.</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4.24 </w:t>
      </w:r>
      <w:r>
        <w:rPr>
          <w:rFonts w:ascii="Arial" w:cs="Arial" w:eastAsia="Arial" w:hAnsi="Arial"/>
          <w:sz w:val="19"/>
          <w:szCs w:val="19"/>
          <w:u w:val="single" w:color="auto"/>
          <w:color w:val="auto"/>
        </w:rPr>
        <w:t>Economic Sanctions, FCPA, Patriot Act: Use of Proceeds</w:t>
      </w:r>
      <w:r>
        <w:rPr>
          <w:rFonts w:ascii="Arial" w:cs="Arial" w:eastAsia="Arial" w:hAnsi="Arial"/>
          <w:sz w:val="19"/>
          <w:szCs w:val="19"/>
          <w:color w:val="auto"/>
        </w:rPr>
        <w:t>. Each Credit Party, and each of its Subsidiaries is in compliance with (a) the Trading with the Enemy Act, and each of the foreign assets control regulations of the United States Treasury Department (31 CFR, Subtitle B, Chapter V, as amended) and any other enabling legislation or executive order relating thereto, (b) the USA PATRIOT ACT (Title 111 of Pub. L. 107-56 (signed into law October 26, 2001)) (as amended, the “</w:t>
      </w:r>
      <w:r>
        <w:rPr>
          <w:rFonts w:ascii="Arial" w:cs="Arial" w:eastAsia="Arial" w:hAnsi="Arial"/>
          <w:sz w:val="19"/>
          <w:szCs w:val="19"/>
          <w:u w:val="single" w:color="auto"/>
          <w:color w:val="auto"/>
        </w:rPr>
        <w:t>Patriot</w:t>
      </w:r>
      <w:r>
        <w:rPr>
          <w:rFonts w:ascii="Arial" w:cs="Arial" w:eastAsia="Arial" w:hAnsi="Arial"/>
          <w:sz w:val="19"/>
          <w:szCs w:val="19"/>
          <w:color w:val="auto"/>
        </w:rPr>
        <w:t xml:space="preserve"> </w:t>
      </w:r>
      <w:r>
        <w:rPr>
          <w:rFonts w:ascii="Arial" w:cs="Arial" w:eastAsia="Arial" w:hAnsi="Arial"/>
          <w:sz w:val="19"/>
          <w:szCs w:val="19"/>
          <w:u w:val="single" w:color="auto"/>
          <w:color w:val="auto"/>
        </w:rPr>
        <w:t>Act</w:t>
      </w:r>
      <w:r>
        <w:rPr>
          <w:rFonts w:ascii="Arial" w:cs="Arial" w:eastAsia="Arial" w:hAnsi="Arial"/>
          <w:sz w:val="19"/>
          <w:szCs w:val="19"/>
          <w:color w:val="auto"/>
        </w:rPr>
        <w:t xml:space="preserve">”), and (c) other federal or state laws relating to anti-money laundering rules and regulations. Borrowers shall use the proceeds of the Loans only as provided in </w:t>
      </w:r>
      <w:r>
        <w:rPr>
          <w:rFonts w:ascii="Arial" w:cs="Arial" w:eastAsia="Arial" w:hAnsi="Arial"/>
          <w:sz w:val="19"/>
          <w:szCs w:val="19"/>
          <w:u w:val="single" w:color="auto"/>
          <w:color w:val="auto"/>
        </w:rPr>
        <w:t>Section 2.4</w:t>
      </w:r>
      <w:r>
        <w:rPr>
          <w:rFonts w:ascii="Arial" w:cs="Arial" w:eastAsia="Arial" w:hAnsi="Arial"/>
          <w:sz w:val="19"/>
          <w:szCs w:val="19"/>
          <w:color w:val="auto"/>
        </w:rPr>
        <w:t>. No part of the proceeds of any Loan or any Letter of Credit will be used directly or indirectly for any payments to any government official or employee, political party, official of a political party, candidate for political office, or anyone else acting in an official capacity, in order to obtain, retain or direct business or obtain any improper advantage, in violation of the FCPA. Borrowers will not, directly or, to the knowledge of Borrowers, indirectly, use the proceeds of any Loan or Letter of Credit to fund any activities or business of or with any Person, or in any country or territory, that, at the time of such funding, is, or whose government is, the target of United States economic sanctions laws.</w:t>
      </w:r>
    </w:p>
    <w:p>
      <w:pPr>
        <w:spacing w:after="0" w:line="1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4.25</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4.26 </w:t>
      </w:r>
      <w:r>
        <w:rPr>
          <w:rFonts w:ascii="Arial" w:cs="Arial" w:eastAsia="Arial" w:hAnsi="Arial"/>
          <w:sz w:val="22"/>
          <w:szCs w:val="22"/>
          <w:u w:val="single" w:color="auto"/>
          <w:color w:val="auto"/>
        </w:rPr>
        <w:t>Status as Senior Debt</w:t>
      </w:r>
      <w:r>
        <w:rPr>
          <w:rFonts w:ascii="Arial" w:cs="Arial" w:eastAsia="Arial" w:hAnsi="Arial"/>
          <w:sz w:val="22"/>
          <w:szCs w:val="22"/>
          <w:color w:val="auto"/>
        </w:rPr>
        <w:t>. The Obligations in respect of the Loans are “senior debt” or “designated senior debt” (or any comparable term) under, and as may be defined in, any indenture or document governing any applicable Indebtedness that is subordinated in right of payment to the Loans.</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4.27 </w:t>
      </w:r>
      <w:r>
        <w:rPr>
          <w:rFonts w:ascii="Arial" w:cs="Arial" w:eastAsia="Arial" w:hAnsi="Arial"/>
          <w:sz w:val="19"/>
          <w:szCs w:val="19"/>
          <w:u w:val="single" w:color="auto"/>
          <w:color w:val="auto"/>
        </w:rPr>
        <w:t>FCPA and Related</w:t>
      </w:r>
      <w:r>
        <w:rPr>
          <w:rFonts w:ascii="Arial" w:cs="Arial" w:eastAsia="Arial" w:hAnsi="Arial"/>
          <w:sz w:val="19"/>
          <w:szCs w:val="19"/>
          <w:color w:val="auto"/>
        </w:rPr>
        <w:t xml:space="preserve">. No Credit Party nor any of its Subsidiaries nor any director, officer or, to the knowledge of such Credit Party, agent or employee of such Credit Party or Subsidiary, is aware of or has taken any action, directly or indirectly, that would result in a material violation by such persons of the FCPA, including, without limitation, making use of the mails or any means or instrumentality of interstate commerce corruptly in furtherance of an offer, payment, promise to pay or authorization or approval of the payment of any money, or other property, gift, promise to give or authorization of the giving of anything of value, directly or indirectly, to any “foreign official” (as such term is defined in the FCPA) or any foreign political party or official thereof or any candidate for foreign political office in contravention of the FCPA. Each Credit Party, and its Subsidiaries have conducted their businesses in compliance with, in all material respects, the FCPA and have established, and maintain, and will continue to maintain, policies and procedures designed to promote and achieve compliance with such laws and with the representation and warranty contained herein. No Credit Party or any of its employees, officers, directors, agents, independent contractors, consultants, joint venture partners or representatives, in carrying out or representing its business anywhere in the world, has violated the </w:t>
      </w:r>
      <w:r>
        <w:rPr>
          <w:rFonts w:ascii="Arial" w:cs="Arial" w:eastAsia="Arial" w:hAnsi="Arial"/>
          <w:sz w:val="19"/>
          <w:szCs w:val="19"/>
          <w:i w:val="1"/>
          <w:iCs w:val="1"/>
          <w:color w:val="auto"/>
        </w:rPr>
        <w:t>Corruption of Foreign Public Officials Act (Canada)</w:t>
      </w:r>
      <w:r>
        <w:rPr>
          <w:rFonts w:ascii="Arial" w:cs="Arial" w:eastAsia="Arial" w:hAnsi="Arial"/>
          <w:sz w:val="19"/>
          <w:szCs w:val="19"/>
          <w:color w:val="auto"/>
        </w:rPr>
        <w:t xml:space="preserve"> (or any successor statute thereto).</w:t>
      </w:r>
    </w:p>
    <w:p>
      <w:pPr>
        <w:sectPr>
          <w:pgSz w:w="11900" w:h="16838" w:orient="portrait"/>
          <w:cols w:equalWidth="0" w:num="1">
            <w:col w:w="11240"/>
          </w:cols>
          <w:pgMar w:left="320" w:top="1428" w:right="339" w:bottom="1440" w:gutter="0" w:footer="0" w:header="0"/>
        </w:sectPr>
      </w:pPr>
    </w:p>
    <w:bookmarkStart w:id="235" w:name="page236"/>
    <w:bookmarkEnd w:id="235"/>
    <w:p>
      <w:pPr>
        <w:ind w:firstLine="648"/>
        <w:spacing w:after="0" w:line="263" w:lineRule="auto"/>
        <w:rPr>
          <w:sz w:val="20"/>
          <w:szCs w:val="20"/>
          <w:color w:val="auto"/>
        </w:rPr>
      </w:pPr>
      <w:r>
        <w:rPr>
          <w:rFonts w:ascii="Arial" w:cs="Arial" w:eastAsia="Arial" w:hAnsi="Arial"/>
          <w:sz w:val="22"/>
          <w:szCs w:val="22"/>
          <w:color w:val="auto"/>
        </w:rPr>
        <w:t xml:space="preserve">4.28 </w:t>
      </w:r>
      <w:r>
        <w:rPr>
          <w:rFonts w:ascii="Arial" w:cs="Arial" w:eastAsia="Arial" w:hAnsi="Arial"/>
          <w:sz w:val="22"/>
          <w:szCs w:val="22"/>
          <w:u w:val="single" w:color="auto"/>
          <w:color w:val="auto"/>
        </w:rPr>
        <w:t>Borrowing Base Certificates</w:t>
      </w:r>
      <w:r>
        <w:rPr>
          <w:rFonts w:ascii="Arial" w:cs="Arial" w:eastAsia="Arial" w:hAnsi="Arial"/>
          <w:sz w:val="22"/>
          <w:szCs w:val="22"/>
          <w:color w:val="auto"/>
        </w:rPr>
        <w:t>. The information set forth in each Borrowing Base Certificate is true and correct in all material respects.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4.29</w:t>
      </w:r>
      <w:r>
        <w:rPr>
          <w:sz w:val="20"/>
          <w:szCs w:val="20"/>
          <w:color w:val="auto"/>
        </w:rPr>
        <w:tab/>
      </w:r>
      <w:r>
        <w:rPr>
          <w:rFonts w:ascii="Arial" w:cs="Arial" w:eastAsia="Arial" w:hAnsi="Arial"/>
          <w:sz w:val="19"/>
          <w:szCs w:val="19"/>
          <w:u w:val="single" w:color="auto"/>
          <w:color w:val="auto"/>
        </w:rPr>
        <w:t>Drivers</w:t>
      </w:r>
      <w:r>
        <w:rPr>
          <w:rFonts w:ascii="Arial" w:cs="Arial" w:eastAsia="Arial" w:hAnsi="Arial"/>
          <w:sz w:val="19"/>
          <w:szCs w:val="19"/>
          <w:color w:val="auto"/>
        </w:rPr>
        <w:t>.</w:t>
      </w:r>
    </w:p>
    <w:p>
      <w:pPr>
        <w:spacing w:after="0" w:line="220" w:lineRule="exact"/>
        <w:rPr>
          <w:sz w:val="20"/>
          <w:szCs w:val="20"/>
          <w:color w:val="auto"/>
        </w:rPr>
      </w:pPr>
    </w:p>
    <w:p>
      <w:pPr>
        <w:ind w:left="1940" w:hanging="312"/>
        <w:spacing w:after="0"/>
        <w:tabs>
          <w:tab w:leader="none" w:pos="194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Neither Parent Borrower nor any of its Subsidiaries,</w:t>
      </w:r>
    </w:p>
    <w:p>
      <w:pPr>
        <w:spacing w:after="0" w:line="219" w:lineRule="exact"/>
        <w:rPr>
          <w:rFonts w:ascii="Arial" w:cs="Arial" w:eastAsia="Arial" w:hAnsi="Arial"/>
          <w:sz w:val="22"/>
          <w:szCs w:val="22"/>
          <w:color w:val="auto"/>
        </w:rPr>
      </w:pPr>
    </w:p>
    <w:p>
      <w:pPr>
        <w:ind w:left="2600" w:hanging="528"/>
        <w:spacing w:after="0"/>
        <w:tabs>
          <w:tab w:leader="none" w:pos="2600" w:val="left"/>
        </w:tabs>
        <w:numPr>
          <w:ilvl w:val="2"/>
          <w:numId w:val="148"/>
        </w:numPr>
        <w:rPr>
          <w:rFonts w:ascii="Arial" w:cs="Arial" w:eastAsia="Arial" w:hAnsi="Arial"/>
          <w:sz w:val="19"/>
          <w:szCs w:val="19"/>
          <w:color w:val="auto"/>
        </w:rPr>
      </w:pPr>
      <w:r>
        <w:rPr>
          <w:rFonts w:ascii="Arial" w:cs="Arial" w:eastAsia="Arial" w:hAnsi="Arial"/>
          <w:sz w:val="19"/>
          <w:szCs w:val="19"/>
          <w:color w:val="auto"/>
        </w:rPr>
        <w:t>is party to a Driver Contract under which Drivers would have claims with priority over Agent, or</w:t>
      </w:r>
    </w:p>
    <w:p>
      <w:pPr>
        <w:spacing w:after="0" w:line="254" w:lineRule="exact"/>
        <w:rPr>
          <w:rFonts w:ascii="Arial" w:cs="Arial" w:eastAsia="Arial" w:hAnsi="Arial"/>
          <w:sz w:val="19"/>
          <w:szCs w:val="19"/>
          <w:color w:val="auto"/>
        </w:rPr>
      </w:pPr>
    </w:p>
    <w:p>
      <w:pPr>
        <w:ind w:left="340" w:firstLine="1672"/>
        <w:spacing w:after="0" w:line="263" w:lineRule="auto"/>
        <w:tabs>
          <w:tab w:leader="none" w:pos="2608" w:val="left"/>
        </w:tabs>
        <w:numPr>
          <w:ilvl w:val="2"/>
          <w:numId w:val="148"/>
        </w:numPr>
        <w:rPr>
          <w:rFonts w:ascii="Arial" w:cs="Arial" w:eastAsia="Arial" w:hAnsi="Arial"/>
          <w:sz w:val="22"/>
          <w:szCs w:val="22"/>
          <w:color w:val="auto"/>
        </w:rPr>
      </w:pPr>
      <w:r>
        <w:rPr>
          <w:rFonts w:ascii="Arial" w:cs="Arial" w:eastAsia="Arial" w:hAnsi="Arial"/>
          <w:sz w:val="22"/>
          <w:szCs w:val="22"/>
          <w:color w:val="auto"/>
        </w:rPr>
        <w:t>holds or is required to hold any portion of its Accounts collected from an Account Debtor which Borrowers have reported as Eligible Accounts in respect of a Driver’s services in trust for such Driver.</w:t>
      </w:r>
    </w:p>
    <w:p>
      <w:pPr>
        <w:spacing w:after="0" w:line="174" w:lineRule="exact"/>
        <w:rPr>
          <w:rFonts w:ascii="Arial" w:cs="Arial" w:eastAsia="Arial" w:hAnsi="Arial"/>
          <w:sz w:val="22"/>
          <w:szCs w:val="22"/>
          <w:color w:val="auto"/>
        </w:rPr>
      </w:pPr>
    </w:p>
    <w:p>
      <w:pPr>
        <w:jc w:val="both"/>
        <w:ind w:left="340" w:firstLine="1288"/>
        <w:spacing w:after="0" w:line="253" w:lineRule="auto"/>
        <w:tabs>
          <w:tab w:leader="none" w:pos="1955" w:val="left"/>
        </w:tabs>
        <w:numPr>
          <w:ilvl w:val="1"/>
          <w:numId w:val="148"/>
        </w:numPr>
        <w:rPr>
          <w:rFonts w:ascii="Arial" w:cs="Arial" w:eastAsia="Arial" w:hAnsi="Arial"/>
          <w:sz w:val="22"/>
          <w:szCs w:val="22"/>
          <w:color w:val="auto"/>
        </w:rPr>
      </w:pPr>
      <w:r>
        <w:rPr>
          <w:rFonts w:ascii="Arial" w:cs="Arial" w:eastAsia="Arial" w:hAnsi="Arial"/>
          <w:sz w:val="22"/>
          <w:szCs w:val="22"/>
          <w:color w:val="auto"/>
        </w:rPr>
        <w:t>No Driver, whether pursuant to any Driver Contract or otherwise, at any time controls the method of collection of Parent Borrower’s and its Subsidiaries’ Accounts or restricts the use of the proceeds thereof after receipt by Parent Borrower or any of its Subsidiaries.</w:t>
      </w:r>
    </w:p>
    <w:p>
      <w:pPr>
        <w:spacing w:after="0" w:line="185" w:lineRule="exact"/>
        <w:rPr>
          <w:rFonts w:ascii="Arial" w:cs="Arial" w:eastAsia="Arial" w:hAnsi="Arial"/>
          <w:sz w:val="22"/>
          <w:szCs w:val="22"/>
          <w:color w:val="auto"/>
        </w:rPr>
      </w:pPr>
    </w:p>
    <w:p>
      <w:pPr>
        <w:jc w:val="both"/>
        <w:ind w:left="340" w:firstLine="1288"/>
        <w:spacing w:after="0" w:line="253" w:lineRule="auto"/>
        <w:tabs>
          <w:tab w:leader="none" w:pos="1957" w:val="left"/>
        </w:tabs>
        <w:numPr>
          <w:ilvl w:val="1"/>
          <w:numId w:val="148"/>
        </w:numPr>
        <w:rPr>
          <w:rFonts w:ascii="Arial" w:cs="Arial" w:eastAsia="Arial" w:hAnsi="Arial"/>
          <w:sz w:val="22"/>
          <w:szCs w:val="22"/>
          <w:color w:val="auto"/>
        </w:rPr>
      </w:pPr>
      <w:r>
        <w:rPr>
          <w:rFonts w:ascii="Arial" w:cs="Arial" w:eastAsia="Arial" w:hAnsi="Arial"/>
          <w:sz w:val="22"/>
          <w:szCs w:val="22"/>
          <w:color w:val="auto"/>
        </w:rPr>
        <w:t>No Driver, whether pursuant to any Driver Contract or otherwise, at any time has the right to seek payment from, or otherwise has recourse to, any Account Debtor for Driver Payables by Parent Borrower or any of its Subsidiaries to such Driver with respect to Accounts that constitute Eligible Accounts.</w:t>
      </w:r>
    </w:p>
    <w:p>
      <w:pPr>
        <w:spacing w:after="0" w:line="185" w:lineRule="exact"/>
        <w:rPr>
          <w:rFonts w:ascii="Arial" w:cs="Arial" w:eastAsia="Arial" w:hAnsi="Arial"/>
          <w:sz w:val="22"/>
          <w:szCs w:val="22"/>
          <w:color w:val="auto"/>
        </w:rPr>
      </w:pPr>
    </w:p>
    <w:p>
      <w:pPr>
        <w:jc w:val="both"/>
        <w:ind w:left="340" w:firstLine="1288"/>
        <w:spacing w:after="0" w:line="253" w:lineRule="auto"/>
        <w:tabs>
          <w:tab w:leader="none" w:pos="1955" w:val="left"/>
        </w:tabs>
        <w:numPr>
          <w:ilvl w:val="1"/>
          <w:numId w:val="148"/>
        </w:numPr>
        <w:rPr>
          <w:rFonts w:ascii="Arial" w:cs="Arial" w:eastAsia="Arial" w:hAnsi="Arial"/>
          <w:sz w:val="22"/>
          <w:szCs w:val="22"/>
          <w:color w:val="auto"/>
        </w:rPr>
      </w:pPr>
      <w:r>
        <w:rPr>
          <w:rFonts w:ascii="Arial" w:cs="Arial" w:eastAsia="Arial" w:hAnsi="Arial"/>
          <w:sz w:val="22"/>
          <w:szCs w:val="22"/>
          <w:color w:val="auto"/>
        </w:rPr>
        <w:t>All payments by Parent Borrower and its Subsidiaries in respect of payables to Drivers, whether pursuant to any Driver Contract or otherwise, are made from Parent Borrower’s and its Subsidiaries’ general funds in the normal course of business.</w:t>
      </w:r>
    </w:p>
    <w:p>
      <w:pPr>
        <w:spacing w:after="0" w:line="185" w:lineRule="exact"/>
        <w:rPr>
          <w:rFonts w:ascii="Arial" w:cs="Arial" w:eastAsia="Arial" w:hAnsi="Arial"/>
          <w:sz w:val="22"/>
          <w:szCs w:val="22"/>
          <w:color w:val="auto"/>
        </w:rPr>
      </w:pPr>
    </w:p>
    <w:p>
      <w:pPr>
        <w:ind w:left="220" w:hanging="212"/>
        <w:spacing w:after="0"/>
        <w:tabs>
          <w:tab w:leader="none" w:pos="22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FINANCIAL STATEMENTS AND INFORMATION</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Financial Reports and Notices</w:t>
      </w:r>
      <w:r>
        <w:rPr>
          <w:rFonts w:ascii="Arial" w:cs="Arial" w:eastAsia="Arial" w:hAnsi="Arial"/>
          <w:sz w:val="22"/>
          <w:szCs w:val="22"/>
          <w:color w:val="auto"/>
        </w:rPr>
        <w:t>. Each Credit Party executing this Agreement hereby agrees that from and after the Amendment No. 3 Effective Date and until the Termination Date, it shall deliver to Agent or to Agent for distribution to Lenders, as required, the following Financial Statements, notices, Business Plans and other information at the times, to the Persons and in the manner set forth below:</w:t>
      </w:r>
    </w:p>
    <w:p>
      <w:pPr>
        <w:spacing w:after="0" w:line="188" w:lineRule="exact"/>
        <w:rPr>
          <w:sz w:val="20"/>
          <w:szCs w:val="20"/>
          <w:color w:val="auto"/>
        </w:rPr>
      </w:pPr>
    </w:p>
    <w:p>
      <w:pPr>
        <w:jc w:val="both"/>
        <w:ind w:left="340" w:firstLine="1288"/>
        <w:spacing w:after="0" w:line="259" w:lineRule="auto"/>
        <w:tabs>
          <w:tab w:leader="none" w:pos="1957" w:val="left"/>
        </w:tabs>
        <w:numPr>
          <w:ilvl w:val="0"/>
          <w:numId w:val="150"/>
        </w:numPr>
        <w:rPr>
          <w:rFonts w:ascii="Arial" w:cs="Arial" w:eastAsia="Arial" w:hAnsi="Arial"/>
          <w:sz w:val="21"/>
          <w:szCs w:val="21"/>
          <w:color w:val="auto"/>
        </w:rPr>
      </w:pPr>
      <w:r>
        <w:rPr>
          <w:rFonts w:ascii="Arial" w:cs="Arial" w:eastAsia="Arial" w:hAnsi="Arial"/>
          <w:sz w:val="21"/>
          <w:szCs w:val="21"/>
          <w:u w:val="single" w:color="auto"/>
          <w:color w:val="auto"/>
        </w:rPr>
        <w:t>Monthly Financials</w:t>
      </w:r>
      <w:r>
        <w:rPr>
          <w:rFonts w:ascii="Arial" w:cs="Arial" w:eastAsia="Arial" w:hAnsi="Arial"/>
          <w:sz w:val="21"/>
          <w:szCs w:val="21"/>
          <w:color w:val="auto"/>
        </w:rPr>
        <w:t>. At such time in which Cash Dominion Period exists, to Agent and Lenders, within thirty (30) days after the end of each Fiscal Month, financial information regarding Parent Borrower and its consolidated Restricted Subsidiaries, certified by a Financial Officer of Parent Borrower, consisting of consolidated (i) unaudited balance sheets as of the close of such Fiscal Month and the related statements of income for that portion of the Fiscal Year ending as of the close of such Fiscal Month and (ii) unaudited statements of income for such Fiscal Month, setting forth in comparative form the figures for the corresponding period in the prior year. Such financial information shall be accompanied by the certification of a Financial Officer of Parent Borrower that such financial information and any other information presented is true, correct and complete in all material respects and</w:t>
      </w:r>
    </w:p>
    <w:p>
      <w:pPr>
        <w:sectPr>
          <w:pgSz w:w="11900" w:h="16838" w:orient="portrait"/>
          <w:cols w:equalWidth="0" w:num="1">
            <w:col w:w="11240"/>
          </w:cols>
          <w:pgMar w:left="320" w:top="1428" w:right="339" w:bottom="1440" w:gutter="0" w:footer="0" w:header="0"/>
        </w:sectPr>
      </w:pPr>
    </w:p>
    <w:bookmarkStart w:id="236" w:name="page237"/>
    <w:bookmarkEnd w:id="236"/>
    <w:p>
      <w:pPr>
        <w:spacing w:after="0" w:line="343" w:lineRule="auto"/>
        <w:rPr>
          <w:sz w:val="20"/>
          <w:szCs w:val="20"/>
          <w:color w:val="auto"/>
        </w:rPr>
      </w:pPr>
      <w:r>
        <w:rPr>
          <w:rFonts w:ascii="Arial" w:cs="Arial" w:eastAsia="Arial" w:hAnsi="Arial"/>
          <w:sz w:val="19"/>
          <w:szCs w:val="19"/>
          <w:color w:val="auto"/>
        </w:rPr>
        <w:t>that no Default or Event of Default has occurred and is continuing as of such time or, if a Default or Event of Default has occurred and is continuing, describing the nature thereof and all efforts undertaken to cure such Default or Event of Default.</w:t>
      </w:r>
    </w:p>
    <w:p>
      <w:pPr>
        <w:spacing w:after="0" w:line="104" w:lineRule="exact"/>
        <w:rPr>
          <w:sz w:val="20"/>
          <w:szCs w:val="20"/>
          <w:color w:val="auto"/>
        </w:rPr>
      </w:pPr>
    </w:p>
    <w:p>
      <w:pPr>
        <w:jc w:val="both"/>
        <w:ind w:firstLine="1288"/>
        <w:spacing w:after="0" w:line="285" w:lineRule="auto"/>
        <w:tabs>
          <w:tab w:leader="none" w:pos="1615"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Quarterly Financials</w:t>
      </w:r>
      <w:r>
        <w:rPr>
          <w:rFonts w:ascii="Arial" w:cs="Arial" w:eastAsia="Arial" w:hAnsi="Arial"/>
          <w:sz w:val="19"/>
          <w:szCs w:val="19"/>
          <w:color w:val="auto"/>
        </w:rPr>
        <w:t>. To Agent, within forty-five (45) days after the end of the first three Fiscal Quarters of each Fiscal Year, consolidated financial information regarding Parent Borrower and its consolidated Restricted Subsidiaries, certified by a Financial Officer of Parent Borrower, including (i) unaudited balance sheets as of the close of such Fiscal Quarter and (ii) unaudited statements of income and cash flows for such Fiscal Quarter, in each case setting forth in comparative form the figures for the corresponding period in the prior year and the related statements of income and cash flow for that portion of the Fiscal Year ending as of the close of such Fiscal Quarter, all prepared in accordance with GAAP (subject to absence of footnotes and normal year-end adjustments). Such financial information shall be accompanied by (A) a statement in reasonable detail (each, a “</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showing the calculations used in determining compliance with the financial covenant set forth in </w:t>
      </w:r>
      <w:r>
        <w:rPr>
          <w:rFonts w:ascii="Arial" w:cs="Arial" w:eastAsia="Arial" w:hAnsi="Arial"/>
          <w:sz w:val="19"/>
          <w:szCs w:val="19"/>
          <w:u w:val="single" w:color="auto"/>
          <w:color w:val="auto"/>
        </w:rPr>
        <w:t>Section 7.12</w:t>
      </w:r>
      <w:r>
        <w:rPr>
          <w:rFonts w:ascii="Arial" w:cs="Arial" w:eastAsia="Arial" w:hAnsi="Arial"/>
          <w:sz w:val="19"/>
          <w:szCs w:val="19"/>
          <w:color w:val="auto"/>
        </w:rPr>
        <w:t>, if applicable, and (B) including the certification of a Financial Officer of Parent Borrower (which certification may be included in the applicable Compliance Certificate) that (i) such financial information fairly presents, in all material respects in accordance with GAAP (except as approved by accountants or officers, as the case may be, and disclosed in reasonable detail therein, including the economic impact of such exception, and subject to normal year-end adjustments and the absence of footnote disclosure), the financial position, results of operations and statements of cash flows of Parent Borrower and its consolidated Restricted Subsidiaries, on a consolidated basis, as at the end of such Fiscal Quarter and for that portion of the Fiscal Year then ended, and (ii) that no Default or Event of Default has occurred and is continuing as of such time or, if a Default or Event of Default has occurred and is continuing, describing the nature thereof and all efforts undertaken to cure such Default or Event of Default. In addition, Borrowers shall deliver to Agent and Lenders, within forty-five (45) days after the end of each of the first three Fiscal Quarters of each Fiscal Year, a management discussion and analysis that includes a comparison of performance for that Fiscal Quarter to the corresponding period in the prior year.</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1288"/>
        <w:spacing w:after="0" w:line="288" w:lineRule="auto"/>
        <w:tabs>
          <w:tab w:leader="none" w:pos="1617"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Annual Audited Financials</w:t>
      </w:r>
      <w:r>
        <w:rPr>
          <w:rFonts w:ascii="Arial" w:cs="Arial" w:eastAsia="Arial" w:hAnsi="Arial"/>
          <w:sz w:val="19"/>
          <w:szCs w:val="19"/>
          <w:color w:val="auto"/>
        </w:rPr>
        <w:t xml:space="preserve">. To Agent, within ninety (90) days after the end of each Fiscal Year, audited Financial Statements for Parent Borrower and its consolidated Restricted Subsidiaries on a consolidated basis, consisting of balance sheets and statements of income and retained earnings and cash flows, setting forth in comparative form in each case the figures for the previous Fiscal Year, which Financial Statements shall be prepared in accordance with GAAP (except as approved by accountants or officers), as the case may be, and disclosed in reasonable detail therein, including the economic impact of such exception, and certified without qualification as to going-concern or qualification arising out of the scope of the audit, by KPMG LLP, another independent certified public accounting firm of national standing or a firm otherwise reasonably acceptable to Agent. Such Financial Statements shall be accompanied by (i) a Compliance Certificate showing the calculations used in determining compliance with the financial covenant set forth in </w:t>
      </w:r>
      <w:r>
        <w:rPr>
          <w:rFonts w:ascii="Arial" w:cs="Arial" w:eastAsia="Arial" w:hAnsi="Arial"/>
          <w:sz w:val="19"/>
          <w:szCs w:val="19"/>
          <w:u w:val="single" w:color="auto"/>
          <w:color w:val="auto"/>
        </w:rPr>
        <w:t>Section 7.12</w:t>
      </w:r>
      <w:r>
        <w:rPr>
          <w:rFonts w:ascii="Arial" w:cs="Arial" w:eastAsia="Arial" w:hAnsi="Arial"/>
          <w:sz w:val="19"/>
          <w:szCs w:val="19"/>
          <w:color w:val="auto"/>
        </w:rPr>
        <w:t>, if applicable, and (ii) a certification of a Financial Officer of Borrower Representative</w:t>
      </w:r>
    </w:p>
    <w:p>
      <w:pPr>
        <w:sectPr>
          <w:pgSz w:w="11900" w:h="16838" w:orient="portrait"/>
          <w:cols w:equalWidth="0" w:num="1">
            <w:col w:w="10900"/>
          </w:cols>
          <w:pgMar w:left="660" w:top="1428" w:right="339" w:bottom="1440" w:gutter="0" w:footer="0" w:header="0"/>
        </w:sectPr>
      </w:pPr>
    </w:p>
    <w:bookmarkStart w:id="237" w:name="page238"/>
    <w:bookmarkEnd w:id="237"/>
    <w:p>
      <w:pPr>
        <w:jc w:val="both"/>
        <w:spacing w:after="0" w:line="297" w:lineRule="auto"/>
        <w:rPr>
          <w:sz w:val="20"/>
          <w:szCs w:val="20"/>
          <w:color w:val="auto"/>
        </w:rPr>
      </w:pPr>
      <w:r>
        <w:rPr>
          <w:rFonts w:ascii="Arial" w:cs="Arial" w:eastAsia="Arial" w:hAnsi="Arial"/>
          <w:sz w:val="19"/>
          <w:szCs w:val="19"/>
          <w:color w:val="auto"/>
        </w:rPr>
        <w:t>(which certification may be included in the applicable Compliance Certificate) that no Default or Event of Default has occurred and is continuing as of such time or, if a Default or Event of Default has occurred and is continuing, describing the nature thereof and all efforts undertaken to cure such Default or Event of Default. In addition, Borrower shall deliver to Agent and Lenders, together with such audited Financial Statements delivered pursuant to this clause, a management discussion and analysis that includes a comparison of performance for that Fiscal Year to the corresponding period in the prior year.</w:t>
      </w:r>
    </w:p>
    <w:p>
      <w:pPr>
        <w:spacing w:after="0" w:line="147" w:lineRule="exact"/>
        <w:rPr>
          <w:sz w:val="20"/>
          <w:szCs w:val="20"/>
          <w:color w:val="auto"/>
        </w:rPr>
      </w:pPr>
    </w:p>
    <w:p>
      <w:pPr>
        <w:jc w:val="both"/>
        <w:ind w:left="-160" w:firstLine="1286"/>
        <w:spacing w:after="0" w:line="248" w:lineRule="auto"/>
        <w:tabs>
          <w:tab w:leader="none" w:pos="1610" w:val="left"/>
        </w:tabs>
        <w:numPr>
          <w:ilvl w:val="0"/>
          <w:numId w:val="152"/>
        </w:numPr>
        <w:rPr>
          <w:rFonts w:ascii="Arial" w:cs="Arial" w:eastAsia="Arial" w:hAnsi="Arial"/>
          <w:sz w:val="20"/>
          <w:szCs w:val="20"/>
          <w:color w:val="auto"/>
        </w:rPr>
      </w:pPr>
      <w:r>
        <w:rPr>
          <w:rFonts w:ascii="Arial" w:cs="Arial" w:eastAsia="Arial" w:hAnsi="Arial"/>
          <w:sz w:val="22"/>
          <w:szCs w:val="22"/>
          <w:color w:val="auto"/>
        </w:rPr>
        <w:t>Simultaneously with the delivery of each set of consolidated financial statements referred to in clauses (b) and (c) above, to the extent that the Unrestricted Subsidiaries of the Parent Borrower, as of the last day of the applicable fiscal period, taken in the aggregate, constituted a Significant Subsidiary, the related consolidating financial statements reflecting adjustments necessary to eliminate the accounts of Unrestricted Subsidiaries (if any) from such consolidated financial statements.</w:t>
      </w:r>
    </w:p>
    <w:p>
      <w:pPr>
        <w:spacing w:after="0" w:line="191" w:lineRule="exact"/>
        <w:rPr>
          <w:rFonts w:ascii="Arial" w:cs="Arial" w:eastAsia="Arial" w:hAnsi="Arial"/>
          <w:sz w:val="20"/>
          <w:szCs w:val="20"/>
          <w:color w:val="auto"/>
        </w:rPr>
      </w:pPr>
    </w:p>
    <w:p>
      <w:pPr>
        <w:jc w:val="both"/>
        <w:ind w:left="-160" w:firstLine="1286"/>
        <w:spacing w:after="0" w:line="286" w:lineRule="auto"/>
        <w:tabs>
          <w:tab w:leader="none" w:pos="1612" w:val="left"/>
        </w:tabs>
        <w:numPr>
          <w:ilvl w:val="0"/>
          <w:numId w:val="152"/>
        </w:numPr>
        <w:rPr>
          <w:rFonts w:ascii="Arial" w:cs="Arial" w:eastAsia="Arial" w:hAnsi="Arial"/>
          <w:sz w:val="18"/>
          <w:szCs w:val="18"/>
          <w:color w:val="auto"/>
        </w:rPr>
      </w:pPr>
      <w:r>
        <w:rPr>
          <w:rFonts w:ascii="Arial" w:cs="Arial" w:eastAsia="Arial" w:hAnsi="Arial"/>
          <w:sz w:val="19"/>
          <w:szCs w:val="19"/>
          <w:u w:val="single" w:color="auto"/>
          <w:color w:val="auto"/>
        </w:rPr>
        <w:t>Business Plan</w:t>
      </w:r>
      <w:r>
        <w:rPr>
          <w:rFonts w:ascii="Arial" w:cs="Arial" w:eastAsia="Arial" w:hAnsi="Arial"/>
          <w:sz w:val="19"/>
          <w:szCs w:val="19"/>
          <w:color w:val="auto"/>
        </w:rPr>
        <w:t>. To Agent, as soon as available, but not later than ninety (90) days after the end of each Fiscal Year, an annual business plan for Borrowers, on a consolidated basis, for the then current Fiscal Year, which (i) includes a statement of all of the material assumptions on which such plan is based, (ii) includes projected quarterly balance sheets, income statements and statements of cash flows for the following year and (iii) integrates sales, gross profits, operating expenses, operating profit, cash flow projections, all prepared on the same basis and in similar detail as that on which operating results are reported (in each case, representing management’s good faith estimates of future financial performance based on historical performance), and including plans for personnel, Capital Expenditures and facilities. The projections and pro forma financial information contained in the materials referenced above will be based upon good faith estimates and assumptions believed by management of Parent Borrower to be reasonable at the time made, it being acknowledged and agreed by the Lenders that (a) such financial information as it relates to future events is not to be viewed as fact and that actual results during the period or periods covered by such financial information may differ from the projected results set forth therein by a material amount, (b) the financial and business projections furnished to Agent or the Lenders are subject to significant uncertainties and contingencies, which may be beyond the control of Parent Borrower and its Subsidiaries and (c) no assurances are given by any of Parent Borrower or its Subsidiaries that the results forecasted in the projections will be realized.</w:t>
      </w:r>
    </w:p>
    <w:p>
      <w:pPr>
        <w:spacing w:after="0" w:line="161" w:lineRule="exact"/>
        <w:rPr>
          <w:rFonts w:ascii="Arial" w:cs="Arial" w:eastAsia="Arial" w:hAnsi="Arial"/>
          <w:sz w:val="18"/>
          <w:szCs w:val="18"/>
          <w:color w:val="auto"/>
        </w:rPr>
      </w:pPr>
    </w:p>
    <w:p>
      <w:pPr>
        <w:ind w:left="-160" w:firstLine="1286"/>
        <w:spacing w:after="0" w:line="263" w:lineRule="auto"/>
        <w:tabs>
          <w:tab w:leader="none" w:pos="1617" w:val="left"/>
        </w:tabs>
        <w:numPr>
          <w:ilvl w:val="0"/>
          <w:numId w:val="152"/>
        </w:numPr>
        <w:rPr>
          <w:rFonts w:ascii="Arial" w:cs="Arial" w:eastAsia="Arial" w:hAnsi="Arial"/>
          <w:sz w:val="20"/>
          <w:szCs w:val="20"/>
          <w:color w:val="auto"/>
        </w:rPr>
      </w:pPr>
      <w:r>
        <w:rPr>
          <w:rFonts w:ascii="Arial" w:cs="Arial" w:eastAsia="Arial" w:hAnsi="Arial"/>
          <w:sz w:val="22"/>
          <w:szCs w:val="22"/>
          <w:color w:val="auto"/>
        </w:rPr>
        <w:t xml:space="preserve">Information required to be delivered pursuant to this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may be delivered by electronic communication pursuant to procedures approved hereunder.</w:t>
      </w:r>
    </w:p>
    <w:p>
      <w:pPr>
        <w:spacing w:after="0" w:line="174" w:lineRule="exact"/>
        <w:rPr>
          <w:rFonts w:ascii="Arial" w:cs="Arial" w:eastAsia="Arial" w:hAnsi="Arial"/>
          <w:sz w:val="20"/>
          <w:szCs w:val="20"/>
          <w:color w:val="auto"/>
        </w:rPr>
      </w:pPr>
    </w:p>
    <w:p>
      <w:pPr>
        <w:jc w:val="both"/>
        <w:ind w:left="-160" w:firstLine="1286"/>
        <w:spacing w:after="0" w:line="302" w:lineRule="auto"/>
        <w:tabs>
          <w:tab w:leader="none" w:pos="1610" w:val="left"/>
        </w:tabs>
        <w:numPr>
          <w:ilvl w:val="0"/>
          <w:numId w:val="152"/>
        </w:numPr>
        <w:rPr>
          <w:rFonts w:ascii="Arial" w:cs="Arial" w:eastAsia="Arial" w:hAnsi="Arial"/>
          <w:sz w:val="18"/>
          <w:szCs w:val="18"/>
          <w:color w:val="auto"/>
        </w:rPr>
      </w:pPr>
      <w:r>
        <w:rPr>
          <w:rFonts w:ascii="Arial" w:cs="Arial" w:eastAsia="Arial" w:hAnsi="Arial"/>
          <w:sz w:val="19"/>
          <w:szCs w:val="19"/>
          <w:u w:val="single" w:color="auto"/>
          <w:color w:val="auto"/>
        </w:rPr>
        <w:t>Default Notices</w:t>
      </w:r>
      <w:r>
        <w:rPr>
          <w:rFonts w:ascii="Arial" w:cs="Arial" w:eastAsia="Arial" w:hAnsi="Arial"/>
          <w:sz w:val="19"/>
          <w:szCs w:val="19"/>
          <w:color w:val="auto"/>
        </w:rPr>
        <w:t>. To Agent and Lenders, as soon as practicable, and in any event within five (5) Business Days after a Financial Officer of any Borrower has actual knowledge of the existence of any Default, or Event of Default, telephonic or fax or electronic notice specifying the nature of such Default or Event of Default, including the anticipated effect thereof, which notice, if given telephonically, shall be promptly confirmed in writing on the next Business Day.</w:t>
      </w:r>
    </w:p>
    <w:p>
      <w:pPr>
        <w:spacing w:after="0" w:line="142" w:lineRule="exact"/>
        <w:rPr>
          <w:rFonts w:ascii="Arial" w:cs="Arial" w:eastAsia="Arial" w:hAnsi="Arial"/>
          <w:sz w:val="18"/>
          <w:szCs w:val="18"/>
          <w:color w:val="auto"/>
        </w:rPr>
      </w:pPr>
    </w:p>
    <w:p>
      <w:pPr>
        <w:ind w:left="1600" w:hanging="474"/>
        <w:spacing w:after="0"/>
        <w:tabs>
          <w:tab w:leader="none" w:pos="1600" w:val="left"/>
        </w:tabs>
        <w:numPr>
          <w:ilvl w:val="0"/>
          <w:numId w:val="152"/>
        </w:numPr>
        <w:rPr>
          <w:rFonts w:ascii="Arial" w:cs="Arial" w:eastAsia="Arial" w:hAnsi="Arial"/>
          <w:sz w:val="20"/>
          <w:szCs w:val="20"/>
          <w:color w:val="auto"/>
        </w:rPr>
      </w:pPr>
      <w:r>
        <w:rPr>
          <w:rFonts w:ascii="Arial" w:cs="Arial" w:eastAsia="Arial" w:hAnsi="Arial"/>
          <w:sz w:val="22"/>
          <w:szCs w:val="22"/>
          <w:color w:val="auto"/>
        </w:rPr>
        <w:t>[reserved].</w:t>
      </w:r>
    </w:p>
    <w:p>
      <w:pPr>
        <w:sectPr>
          <w:pgSz w:w="11900" w:h="16838" w:orient="portrait"/>
          <w:cols w:equalWidth="0" w:num="1">
            <w:col w:w="10900"/>
          </w:cols>
          <w:pgMar w:left="660" w:top="1428" w:right="339" w:bottom="1440" w:gutter="0" w:footer="0" w:header="0"/>
        </w:sectPr>
      </w:pPr>
    </w:p>
    <w:bookmarkStart w:id="238" w:name="page239"/>
    <w:bookmarkEnd w:id="238"/>
    <w:p>
      <w:pPr>
        <w:jc w:val="both"/>
        <w:ind w:left="-940" w:firstLine="1286"/>
        <w:spacing w:after="0" w:line="302" w:lineRule="auto"/>
        <w:tabs>
          <w:tab w:leader="none" w:pos="840" w:val="left"/>
        </w:tabs>
        <w:numPr>
          <w:ilvl w:val="0"/>
          <w:numId w:val="153"/>
        </w:numPr>
        <w:rPr>
          <w:rFonts w:ascii="Arial" w:cs="Arial" w:eastAsia="Arial" w:hAnsi="Arial"/>
          <w:sz w:val="18"/>
          <w:szCs w:val="18"/>
          <w:color w:val="auto"/>
        </w:rPr>
      </w:pPr>
      <w:r>
        <w:rPr>
          <w:rFonts w:ascii="Arial" w:cs="Arial" w:eastAsia="Arial" w:hAnsi="Arial"/>
          <w:sz w:val="19"/>
          <w:szCs w:val="19"/>
          <w:u w:val="single" w:color="auto"/>
          <w:color w:val="auto"/>
        </w:rPr>
        <w:t>Litigation</w:t>
      </w:r>
      <w:r>
        <w:rPr>
          <w:rFonts w:ascii="Arial" w:cs="Arial" w:eastAsia="Arial" w:hAnsi="Arial"/>
          <w:sz w:val="19"/>
          <w:szCs w:val="19"/>
          <w:color w:val="auto"/>
        </w:rPr>
        <w:t>. To Agent in writing, promptly upon learning thereof, notice of any Litigation commenced or threatened in writing against any Credit Party that (i) would reasonably be expected to result in damages in excess of $90,000,000 (net of insurance coverages for such damages), (ii) seeks injunctive relief which, if granted, would reasonably be expected to have a Material Adverse Effect or (iii) would otherwise reasonably be expected to have a Material Adverse Effect.</w:t>
      </w:r>
    </w:p>
    <w:p>
      <w:pPr>
        <w:spacing w:after="0" w:line="142" w:lineRule="exact"/>
        <w:rPr>
          <w:rFonts w:ascii="Arial" w:cs="Arial" w:eastAsia="Arial" w:hAnsi="Arial"/>
          <w:sz w:val="18"/>
          <w:szCs w:val="18"/>
          <w:color w:val="auto"/>
        </w:rPr>
      </w:pPr>
    </w:p>
    <w:p>
      <w:pPr>
        <w:ind w:left="-940" w:firstLine="1286"/>
        <w:spacing w:after="0" w:line="263" w:lineRule="auto"/>
        <w:tabs>
          <w:tab w:leader="none" w:pos="840" w:val="left"/>
        </w:tabs>
        <w:numPr>
          <w:ilvl w:val="0"/>
          <w:numId w:val="153"/>
        </w:numPr>
        <w:rPr>
          <w:rFonts w:ascii="Arial" w:cs="Arial" w:eastAsia="Arial" w:hAnsi="Arial"/>
          <w:sz w:val="20"/>
          <w:szCs w:val="20"/>
          <w:color w:val="auto"/>
        </w:rPr>
      </w:pPr>
      <w:r>
        <w:rPr>
          <w:rFonts w:ascii="Arial" w:cs="Arial" w:eastAsia="Arial" w:hAnsi="Arial"/>
          <w:sz w:val="22"/>
          <w:szCs w:val="22"/>
          <w:u w:val="single" w:color="auto"/>
          <w:color w:val="auto"/>
        </w:rPr>
        <w:t>Insurance Notices</w:t>
      </w:r>
      <w:r>
        <w:rPr>
          <w:rFonts w:ascii="Arial" w:cs="Arial" w:eastAsia="Arial" w:hAnsi="Arial"/>
          <w:sz w:val="22"/>
          <w:szCs w:val="22"/>
          <w:color w:val="auto"/>
        </w:rPr>
        <w:t>. To Agent, disclosure of losses or casualties of Borrowing Base Collateral with a value in excess of $25,000,000 covered by insurance.</w:t>
      </w:r>
    </w:p>
    <w:p>
      <w:pPr>
        <w:spacing w:after="0" w:line="174" w:lineRule="exact"/>
        <w:rPr>
          <w:rFonts w:ascii="Arial" w:cs="Arial" w:eastAsia="Arial" w:hAnsi="Arial"/>
          <w:sz w:val="20"/>
          <w:szCs w:val="20"/>
          <w:color w:val="auto"/>
        </w:rPr>
      </w:pPr>
    </w:p>
    <w:p>
      <w:pPr>
        <w:jc w:val="both"/>
        <w:ind w:left="-940" w:firstLine="1286"/>
        <w:spacing w:after="0" w:line="253" w:lineRule="auto"/>
        <w:tabs>
          <w:tab w:leader="none" w:pos="830" w:val="left"/>
        </w:tabs>
        <w:numPr>
          <w:ilvl w:val="0"/>
          <w:numId w:val="153"/>
        </w:numPr>
        <w:rPr>
          <w:rFonts w:ascii="Arial" w:cs="Arial" w:eastAsia="Arial" w:hAnsi="Arial"/>
          <w:sz w:val="20"/>
          <w:szCs w:val="20"/>
          <w:color w:val="auto"/>
        </w:rPr>
      </w:pPr>
      <w:r>
        <w:rPr>
          <w:rFonts w:ascii="Arial" w:cs="Arial" w:eastAsia="Arial" w:hAnsi="Arial"/>
          <w:sz w:val="22"/>
          <w:szCs w:val="22"/>
          <w:u w:val="single" w:color="auto"/>
          <w:color w:val="auto"/>
        </w:rPr>
        <w:t>Other Documents</w:t>
      </w:r>
      <w:r>
        <w:rPr>
          <w:rFonts w:ascii="Arial" w:cs="Arial" w:eastAsia="Arial" w:hAnsi="Arial"/>
          <w:sz w:val="22"/>
          <w:szCs w:val="22"/>
          <w:color w:val="auto"/>
        </w:rPr>
        <w:t>. To Agent for distribution to Lenders, such other financial and other information respecting any Credit Party’s or any Subsidiary of any Credit Party’s business or financial condition as Agent shall from time to time reasonably request.</w:t>
      </w:r>
    </w:p>
    <w:p>
      <w:pPr>
        <w:spacing w:after="0" w:line="185" w:lineRule="exact"/>
        <w:rPr>
          <w:rFonts w:ascii="Arial" w:cs="Arial" w:eastAsia="Arial" w:hAnsi="Arial"/>
          <w:sz w:val="20"/>
          <w:szCs w:val="20"/>
          <w:color w:val="auto"/>
        </w:rPr>
      </w:pPr>
    </w:p>
    <w:p>
      <w:pPr>
        <w:jc w:val="both"/>
        <w:ind w:left="-940" w:firstLine="1286"/>
        <w:spacing w:after="0" w:line="248" w:lineRule="auto"/>
        <w:tabs>
          <w:tab w:leader="none" w:pos="840" w:val="left"/>
        </w:tabs>
        <w:numPr>
          <w:ilvl w:val="0"/>
          <w:numId w:val="153"/>
        </w:numPr>
        <w:rPr>
          <w:rFonts w:ascii="Arial" w:cs="Arial" w:eastAsia="Arial" w:hAnsi="Arial"/>
          <w:sz w:val="20"/>
          <w:szCs w:val="20"/>
          <w:color w:val="auto"/>
        </w:rPr>
      </w:pPr>
      <w:r>
        <w:rPr>
          <w:rFonts w:ascii="Arial" w:cs="Arial" w:eastAsia="Arial" w:hAnsi="Arial"/>
          <w:sz w:val="22"/>
          <w:szCs w:val="22"/>
          <w:u w:val="single" w:color="auto"/>
          <w:color w:val="auto"/>
        </w:rPr>
        <w:t>Lender Calls</w:t>
      </w:r>
      <w:r>
        <w:rPr>
          <w:rFonts w:ascii="Arial" w:cs="Arial" w:eastAsia="Arial" w:hAnsi="Arial"/>
          <w:sz w:val="22"/>
          <w:szCs w:val="22"/>
          <w:color w:val="auto"/>
        </w:rPr>
        <w:t>. Upon request of Agent (but no more frequently than annually), at a time mutually agreed with Agent and Parent Borrower that is promptly after the delivery of the information required pursuant to clause (c) above, unless otherwise agreed by the Requisite Lenders, participate in a conference call for Lenders to discuss the financial condition and results of operations of Borrowers and their Subsidiaries for the most recently-ended Fiscal Year for which financial statements have been delivered.</w:t>
      </w:r>
    </w:p>
    <w:p>
      <w:pPr>
        <w:spacing w:after="0" w:line="191" w:lineRule="exact"/>
        <w:rPr>
          <w:rFonts w:ascii="Arial" w:cs="Arial" w:eastAsia="Arial" w:hAnsi="Arial"/>
          <w:sz w:val="20"/>
          <w:szCs w:val="20"/>
          <w:color w:val="auto"/>
        </w:rPr>
      </w:pPr>
    </w:p>
    <w:p>
      <w:pPr>
        <w:jc w:val="both"/>
        <w:ind w:left="-940" w:firstLine="1286"/>
        <w:spacing w:after="0" w:line="250" w:lineRule="auto"/>
        <w:tabs>
          <w:tab w:leader="none" w:pos="831" w:val="left"/>
        </w:tabs>
        <w:numPr>
          <w:ilvl w:val="0"/>
          <w:numId w:val="153"/>
        </w:numPr>
        <w:rPr>
          <w:rFonts w:ascii="Arial" w:cs="Arial" w:eastAsia="Arial" w:hAnsi="Arial"/>
          <w:sz w:val="20"/>
          <w:szCs w:val="20"/>
          <w:color w:val="auto"/>
        </w:rPr>
      </w:pPr>
      <w:r>
        <w:rPr>
          <w:rFonts w:ascii="Arial" w:cs="Arial" w:eastAsia="Arial" w:hAnsi="Arial"/>
          <w:sz w:val="22"/>
          <w:szCs w:val="22"/>
          <w:u w:val="single" w:color="auto"/>
          <w:color w:val="auto"/>
        </w:rPr>
        <w:t>Environmental Matters</w:t>
      </w:r>
      <w:r>
        <w:rPr>
          <w:rFonts w:ascii="Arial" w:cs="Arial" w:eastAsia="Arial" w:hAnsi="Arial"/>
          <w:sz w:val="22"/>
          <w:szCs w:val="22"/>
          <w:color w:val="auto"/>
        </w:rPr>
        <w:t>. To Agent, notice of any matter under any Environmental Law that has resulted or is reasonably expected to result in a Material Adverse Effect, including arising out of or resulting from the commencement of, or any material adverse development in, any litigation or proceeding affecting any Credit Party or any Restricted Subsidiary and arising under any Environmental Law.</w:t>
      </w:r>
    </w:p>
    <w:p>
      <w:pPr>
        <w:spacing w:after="0" w:line="187" w:lineRule="exact"/>
        <w:rPr>
          <w:rFonts w:ascii="Arial" w:cs="Arial" w:eastAsia="Arial" w:hAnsi="Arial"/>
          <w:sz w:val="20"/>
          <w:szCs w:val="20"/>
          <w:color w:val="auto"/>
        </w:rPr>
      </w:pPr>
    </w:p>
    <w:p>
      <w:pPr>
        <w:jc w:val="both"/>
        <w:ind w:left="-940" w:firstLine="1286"/>
        <w:spacing w:after="0" w:line="297" w:lineRule="auto"/>
        <w:tabs>
          <w:tab w:leader="none" w:pos="830" w:val="left"/>
        </w:tabs>
        <w:numPr>
          <w:ilvl w:val="0"/>
          <w:numId w:val="153"/>
        </w:numPr>
        <w:rPr>
          <w:rFonts w:ascii="Arial" w:cs="Arial" w:eastAsia="Arial" w:hAnsi="Arial"/>
          <w:sz w:val="18"/>
          <w:szCs w:val="18"/>
          <w:color w:val="auto"/>
        </w:rPr>
      </w:pPr>
      <w:r>
        <w:rPr>
          <w:rFonts w:ascii="Arial" w:cs="Arial" w:eastAsia="Arial" w:hAnsi="Arial"/>
          <w:sz w:val="19"/>
          <w:szCs w:val="19"/>
          <w:u w:val="single" w:color="auto"/>
          <w:color w:val="auto"/>
        </w:rPr>
        <w:t>ERISA/Pension Matters</w:t>
      </w:r>
      <w:r>
        <w:rPr>
          <w:rFonts w:ascii="Arial" w:cs="Arial" w:eastAsia="Arial" w:hAnsi="Arial"/>
          <w:sz w:val="19"/>
          <w:szCs w:val="19"/>
          <w:color w:val="auto"/>
        </w:rPr>
        <w:t>. To Agent, notice of the occurrence of any ERISA Event that has resulted or would reasonably be expected to result in a liability of any Credit Party and the Restricted Subsidiaries in an aggregate amount exceeding $90,000,000 and a statement of a Financial Officer of Borrower setting forth details as to such ERISA Event and the action, if any, that Borrower proposes to take with respect thereto and, upon Agent’s request, copies of each Schedule SB (Actuarial Information) to the Annual Report (Form 5500 Series) with respect to each Title IV Plan.</w:t>
      </w:r>
    </w:p>
    <w:p>
      <w:pPr>
        <w:spacing w:after="0" w:line="146" w:lineRule="exact"/>
        <w:rPr>
          <w:rFonts w:ascii="Arial" w:cs="Arial" w:eastAsia="Arial" w:hAnsi="Arial"/>
          <w:sz w:val="18"/>
          <w:szCs w:val="18"/>
          <w:color w:val="auto"/>
        </w:rPr>
      </w:pPr>
    </w:p>
    <w:p>
      <w:pPr>
        <w:jc w:val="both"/>
        <w:ind w:left="-940" w:firstLine="1286"/>
        <w:spacing w:after="0" w:line="253" w:lineRule="auto"/>
        <w:tabs>
          <w:tab w:leader="none" w:pos="830" w:val="left"/>
        </w:tabs>
        <w:numPr>
          <w:ilvl w:val="0"/>
          <w:numId w:val="153"/>
        </w:numPr>
        <w:rPr>
          <w:rFonts w:ascii="Arial" w:cs="Arial" w:eastAsia="Arial" w:hAnsi="Arial"/>
          <w:sz w:val="20"/>
          <w:szCs w:val="20"/>
          <w:color w:val="auto"/>
        </w:rPr>
      </w:pPr>
      <w:r>
        <w:rPr>
          <w:rFonts w:ascii="Arial" w:cs="Arial" w:eastAsia="Arial" w:hAnsi="Arial"/>
          <w:sz w:val="22"/>
          <w:szCs w:val="22"/>
          <w:u w:val="single" w:color="auto"/>
          <w:color w:val="auto"/>
        </w:rPr>
        <w:t>Lease Default Notices</w:t>
      </w:r>
      <w:r>
        <w:rPr>
          <w:rFonts w:ascii="Arial" w:cs="Arial" w:eastAsia="Arial" w:hAnsi="Arial"/>
          <w:sz w:val="22"/>
          <w:szCs w:val="22"/>
          <w:color w:val="auto"/>
        </w:rPr>
        <w:t>. To Agent, within five (5) Business Days after receipt thereof, copies of any and all default notices received under or with respect to any leased location or warehouse where Eligible Equipment Collateral is located.</w:t>
      </w:r>
    </w:p>
    <w:p>
      <w:pPr>
        <w:spacing w:after="0" w:line="185" w:lineRule="exact"/>
        <w:rPr>
          <w:rFonts w:ascii="Arial" w:cs="Arial" w:eastAsia="Arial" w:hAnsi="Arial"/>
          <w:sz w:val="20"/>
          <w:szCs w:val="20"/>
          <w:color w:val="auto"/>
        </w:rPr>
      </w:pPr>
    </w:p>
    <w:p>
      <w:pPr>
        <w:jc w:val="both"/>
        <w:ind w:left="-940" w:firstLine="1286"/>
        <w:spacing w:after="0" w:line="250" w:lineRule="auto"/>
        <w:tabs>
          <w:tab w:leader="none" w:pos="830" w:val="left"/>
        </w:tabs>
        <w:numPr>
          <w:ilvl w:val="0"/>
          <w:numId w:val="153"/>
        </w:numPr>
        <w:rPr>
          <w:rFonts w:ascii="Arial" w:cs="Arial" w:eastAsia="Arial" w:hAnsi="Arial"/>
          <w:sz w:val="20"/>
          <w:szCs w:val="20"/>
          <w:color w:val="auto"/>
        </w:rPr>
      </w:pPr>
      <w:r>
        <w:rPr>
          <w:rFonts w:ascii="Arial" w:cs="Arial" w:eastAsia="Arial" w:hAnsi="Arial"/>
          <w:sz w:val="22"/>
          <w:szCs w:val="22"/>
          <w:u w:val="single" w:color="auto"/>
          <w:color w:val="auto"/>
        </w:rPr>
        <w:t>Change of Name; etc.</w:t>
      </w:r>
      <w:r>
        <w:rPr>
          <w:rFonts w:ascii="Arial" w:cs="Arial" w:eastAsia="Arial" w:hAnsi="Arial"/>
          <w:sz w:val="22"/>
          <w:szCs w:val="22"/>
          <w:color w:val="auto"/>
        </w:rPr>
        <w:t xml:space="preserve"> Parent Borrower agrees to notify Agent in writing, promptly, but in any event within 15 Business Days (or such longer period as Agent may agree in its discretion) after any change in (i) the legal name of any Credit Party, (ii) the identity or type of organization or corporate structure of such Credit Party, or (iii) the jurisdiction of organization of such Credit Party.</w:t>
      </w:r>
    </w:p>
    <w:p>
      <w:pPr>
        <w:sectPr>
          <w:pgSz w:w="11900" w:h="16838" w:orient="portrait"/>
          <w:cols w:equalWidth="0" w:num="1">
            <w:col w:w="10120"/>
          </w:cols>
          <w:pgMar w:left="1440" w:top="1428" w:right="339" w:bottom="1440" w:gutter="0" w:footer="0" w:header="0"/>
        </w:sectPr>
      </w:pPr>
    </w:p>
    <w:bookmarkStart w:id="239" w:name="page240"/>
    <w:bookmarkEnd w:id="239"/>
    <w:p>
      <w:pPr>
        <w:jc w:val="both"/>
        <w:ind w:firstLine="648"/>
        <w:spacing w:after="0" w:line="250"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Collateral Reporting</w:t>
      </w:r>
      <w:r>
        <w:rPr>
          <w:rFonts w:ascii="Arial" w:cs="Arial" w:eastAsia="Arial" w:hAnsi="Arial"/>
          <w:sz w:val="22"/>
          <w:szCs w:val="22"/>
          <w:color w:val="auto"/>
        </w:rPr>
        <w:t xml:space="preserve">. Each Credit Party executing this Agreement hereby agrees that, from and after the Amendment No. 3 Effective Date and until the Termination Date, it shall deliver (or cause to be delivered) to Agent, as required, the following documents and reports (including Borrowing Base Certificates in the form of </w:t>
      </w:r>
      <w:r>
        <w:rPr>
          <w:rFonts w:ascii="Arial" w:cs="Arial" w:eastAsia="Arial" w:hAnsi="Arial"/>
          <w:sz w:val="22"/>
          <w:szCs w:val="22"/>
          <w:u w:val="single" w:color="auto"/>
          <w:color w:val="auto"/>
        </w:rPr>
        <w:t>Exhibit 5.2</w:t>
      </w:r>
      <w:r>
        <w:rPr>
          <w:rFonts w:ascii="Arial" w:cs="Arial" w:eastAsia="Arial" w:hAnsi="Arial"/>
          <w:sz w:val="22"/>
          <w:szCs w:val="22"/>
          <w:color w:val="auto"/>
        </w:rPr>
        <w:t>) at the times, to the Persons and in the manner set forth below:</w:t>
      </w:r>
    </w:p>
    <w:p>
      <w:pPr>
        <w:spacing w:after="0" w:line="188" w:lineRule="exact"/>
        <w:rPr>
          <w:sz w:val="20"/>
          <w:szCs w:val="20"/>
          <w:color w:val="auto"/>
        </w:rPr>
      </w:pPr>
    </w:p>
    <w:p>
      <w:pPr>
        <w:jc w:val="both"/>
        <w:ind w:left="340" w:firstLine="1288"/>
        <w:spacing w:after="0" w:line="246" w:lineRule="auto"/>
        <w:tabs>
          <w:tab w:leader="none" w:pos="1957" w:val="left"/>
        </w:tabs>
        <w:numPr>
          <w:ilvl w:val="1"/>
          <w:numId w:val="154"/>
        </w:numPr>
        <w:rPr>
          <w:rFonts w:ascii="Arial" w:cs="Arial" w:eastAsia="Arial" w:hAnsi="Arial"/>
          <w:sz w:val="22"/>
          <w:szCs w:val="22"/>
          <w:color w:val="auto"/>
        </w:rPr>
      </w:pPr>
      <w:r>
        <w:rPr>
          <w:rFonts w:ascii="Arial" w:cs="Arial" w:eastAsia="Arial" w:hAnsi="Arial"/>
          <w:sz w:val="22"/>
          <w:szCs w:val="22"/>
          <w:color w:val="auto"/>
        </w:rPr>
        <w:t xml:space="preserve">To Agent, and in any event no less frequently than on the twentieth day of each Fiscal Month commencing with the first full Fiscal Month during the term of this Agreement, each of the following reports, each of which shall be prepared by the Credit Parties as of the last day of the immediately preceding month;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if a Cash Dominion Period has occurred and is continuing (or if Parent Borrower elects, so long as the frequency of delivery is maintained by Parent Borrower for the immediately following twenty (20) calendar day period after the delivery of the first Borrowing Base Certificate so delivered), then the following shall be delivered no less frequently than 12:00 p.m. (New York time) on the third Business Day of each week:</w:t>
      </w:r>
    </w:p>
    <w:p>
      <w:pPr>
        <w:spacing w:after="0" w:line="196" w:lineRule="exact"/>
        <w:rPr>
          <w:rFonts w:ascii="Arial" w:cs="Arial" w:eastAsia="Arial" w:hAnsi="Arial"/>
          <w:sz w:val="22"/>
          <w:szCs w:val="22"/>
          <w:color w:val="auto"/>
        </w:rPr>
      </w:pPr>
    </w:p>
    <w:p>
      <w:pPr>
        <w:ind w:left="340" w:firstLine="1732"/>
        <w:spacing w:after="0" w:line="263" w:lineRule="auto"/>
        <w:tabs>
          <w:tab w:leader="none" w:pos="2608" w:val="left"/>
        </w:tabs>
        <w:numPr>
          <w:ilvl w:val="2"/>
          <w:numId w:val="154"/>
        </w:numPr>
        <w:rPr>
          <w:rFonts w:ascii="Arial" w:cs="Arial" w:eastAsia="Arial" w:hAnsi="Arial"/>
          <w:sz w:val="22"/>
          <w:szCs w:val="22"/>
          <w:color w:val="auto"/>
        </w:rPr>
      </w:pPr>
      <w:r>
        <w:rPr>
          <w:rFonts w:ascii="Arial" w:cs="Arial" w:eastAsia="Arial" w:hAnsi="Arial"/>
          <w:sz w:val="22"/>
          <w:szCs w:val="22"/>
          <w:color w:val="auto"/>
        </w:rPr>
        <w:t>a Borrowing Base Certificate accompanied by such supporting detail and documentation as shall be reasonably requested by Agent, in its Permitted Discretion; and</w:t>
      </w:r>
    </w:p>
    <w:p>
      <w:pPr>
        <w:spacing w:after="0" w:line="174" w:lineRule="exact"/>
        <w:rPr>
          <w:rFonts w:ascii="Arial" w:cs="Arial" w:eastAsia="Arial" w:hAnsi="Arial"/>
          <w:sz w:val="22"/>
          <w:szCs w:val="22"/>
          <w:color w:val="auto"/>
        </w:rPr>
      </w:pPr>
    </w:p>
    <w:p>
      <w:pPr>
        <w:jc w:val="both"/>
        <w:ind w:left="340" w:firstLine="1672"/>
        <w:spacing w:after="0" w:line="250" w:lineRule="auto"/>
        <w:tabs>
          <w:tab w:leader="none" w:pos="2608" w:val="left"/>
        </w:tabs>
        <w:numPr>
          <w:ilvl w:val="2"/>
          <w:numId w:val="154"/>
        </w:numPr>
        <w:rPr>
          <w:rFonts w:ascii="Arial" w:cs="Arial" w:eastAsia="Arial" w:hAnsi="Arial"/>
          <w:sz w:val="22"/>
          <w:szCs w:val="22"/>
          <w:color w:val="auto"/>
        </w:rPr>
      </w:pPr>
      <w:r>
        <w:rPr>
          <w:rFonts w:ascii="Arial" w:cs="Arial" w:eastAsia="Arial" w:hAnsi="Arial"/>
          <w:sz w:val="22"/>
          <w:szCs w:val="22"/>
          <w:color w:val="auto"/>
        </w:rPr>
        <w:t>on the date of the delivery of monthly Borrowing Base Certificates only a monthly trial balance showing Accounts outstanding aged from due date as follows: 1 to 90 days, 91 to 120 days and 121 days or more, accompanied by such supporting detail (including invoice date) and documentation as shall be reasonably requested by Agent in its Permitted Discretion;</w:t>
      </w:r>
    </w:p>
    <w:p>
      <w:pPr>
        <w:spacing w:after="0" w:line="187" w:lineRule="exact"/>
        <w:rPr>
          <w:rFonts w:ascii="Arial" w:cs="Arial" w:eastAsia="Arial" w:hAnsi="Arial"/>
          <w:sz w:val="22"/>
          <w:szCs w:val="22"/>
          <w:color w:val="auto"/>
        </w:rPr>
      </w:pPr>
    </w:p>
    <w:p>
      <w:pPr>
        <w:ind w:left="1940" w:hanging="312"/>
        <w:spacing w:after="0"/>
        <w:tabs>
          <w:tab w:leader="none" w:pos="1940" w:val="left"/>
        </w:tabs>
        <w:numPr>
          <w:ilvl w:val="1"/>
          <w:numId w:val="154"/>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left="340" w:firstLine="1288"/>
        <w:spacing w:after="0" w:line="253" w:lineRule="auto"/>
        <w:tabs>
          <w:tab w:leader="none" w:pos="1957" w:val="left"/>
        </w:tabs>
        <w:numPr>
          <w:ilvl w:val="1"/>
          <w:numId w:val="154"/>
        </w:numPr>
        <w:rPr>
          <w:rFonts w:ascii="Arial" w:cs="Arial" w:eastAsia="Arial" w:hAnsi="Arial"/>
          <w:sz w:val="22"/>
          <w:szCs w:val="22"/>
          <w:color w:val="auto"/>
        </w:rPr>
      </w:pPr>
      <w:r>
        <w:rPr>
          <w:rFonts w:ascii="Arial" w:cs="Arial" w:eastAsia="Arial" w:hAnsi="Arial"/>
          <w:sz w:val="22"/>
          <w:szCs w:val="22"/>
          <w:color w:val="auto"/>
        </w:rPr>
        <w:t xml:space="preserve">To Agent, at the time of delivery of each of the Financial Statements delivered pursuant to </w:t>
      </w:r>
      <w:r>
        <w:rPr>
          <w:rFonts w:ascii="Arial" w:cs="Arial" w:eastAsia="Arial" w:hAnsi="Arial"/>
          <w:sz w:val="22"/>
          <w:szCs w:val="22"/>
          <w:u w:val="single" w:color="auto"/>
          <w:color w:val="auto"/>
        </w:rPr>
        <w:t>Section 5.1</w:t>
      </w:r>
      <w:r>
        <w:rPr>
          <w:rFonts w:ascii="Arial" w:cs="Arial" w:eastAsia="Arial" w:hAnsi="Arial"/>
          <w:sz w:val="22"/>
          <w:szCs w:val="22"/>
          <w:color w:val="auto"/>
        </w:rPr>
        <w:t>, an aging of accounts payable, accompanied by such supporting detail and documentation as shall be reasonably requested by Agent in its Permitted Discretion.</w:t>
      </w:r>
    </w:p>
    <w:p>
      <w:pPr>
        <w:spacing w:after="0" w:line="185" w:lineRule="exact"/>
        <w:rPr>
          <w:rFonts w:ascii="Arial" w:cs="Arial" w:eastAsia="Arial" w:hAnsi="Arial"/>
          <w:sz w:val="22"/>
          <w:szCs w:val="22"/>
          <w:color w:val="auto"/>
        </w:rPr>
      </w:pPr>
    </w:p>
    <w:p>
      <w:pPr>
        <w:jc w:val="both"/>
        <w:ind w:left="340" w:firstLine="1288"/>
        <w:spacing w:after="0" w:line="250" w:lineRule="auto"/>
        <w:tabs>
          <w:tab w:leader="none" w:pos="1955" w:val="left"/>
        </w:tabs>
        <w:numPr>
          <w:ilvl w:val="1"/>
          <w:numId w:val="154"/>
        </w:numPr>
        <w:rPr>
          <w:rFonts w:ascii="Arial" w:cs="Arial" w:eastAsia="Arial" w:hAnsi="Arial"/>
          <w:sz w:val="22"/>
          <w:szCs w:val="22"/>
          <w:color w:val="auto"/>
        </w:rPr>
      </w:pPr>
      <w:r>
        <w:rPr>
          <w:rFonts w:ascii="Arial" w:cs="Arial" w:eastAsia="Arial" w:hAnsi="Arial"/>
          <w:sz w:val="22"/>
          <w:szCs w:val="22"/>
          <w:color w:val="auto"/>
        </w:rPr>
        <w:t xml:space="preserve">To Agent, at the time of delivery of each of the quarterly or annual Financial Statements delivered pursuant to </w:t>
      </w:r>
      <w:r>
        <w:rPr>
          <w:rFonts w:ascii="Arial" w:cs="Arial" w:eastAsia="Arial" w:hAnsi="Arial"/>
          <w:sz w:val="22"/>
          <w:szCs w:val="22"/>
          <w:u w:val="single" w:color="auto"/>
          <w:color w:val="auto"/>
        </w:rPr>
        <w:t>Section 5.1</w:t>
      </w:r>
      <w:r>
        <w:rPr>
          <w:rFonts w:ascii="Arial" w:cs="Arial" w:eastAsia="Arial" w:hAnsi="Arial"/>
          <w:sz w:val="22"/>
          <w:szCs w:val="22"/>
          <w:color w:val="auto"/>
        </w:rPr>
        <w:t>, a list of any application for the registration of any Patent, Trademark or Copyright filed by any Credit Party with the United States Patent and Trademark Office, or United States Copyright Office, respectively, or any successor office or agency in the prior Fiscal Quarter;</w:t>
      </w:r>
    </w:p>
    <w:p>
      <w:pPr>
        <w:spacing w:after="0" w:line="187" w:lineRule="exact"/>
        <w:rPr>
          <w:rFonts w:ascii="Arial" w:cs="Arial" w:eastAsia="Arial" w:hAnsi="Arial"/>
          <w:sz w:val="22"/>
          <w:szCs w:val="22"/>
          <w:color w:val="auto"/>
        </w:rPr>
      </w:pPr>
    </w:p>
    <w:p>
      <w:pPr>
        <w:jc w:val="both"/>
        <w:ind w:left="340" w:firstLine="1288"/>
        <w:spacing w:after="0" w:line="288" w:lineRule="auto"/>
        <w:tabs>
          <w:tab w:leader="none" w:pos="1957" w:val="left"/>
        </w:tabs>
        <w:numPr>
          <w:ilvl w:val="1"/>
          <w:numId w:val="154"/>
        </w:numPr>
        <w:rPr>
          <w:rFonts w:ascii="Arial" w:cs="Arial" w:eastAsia="Arial" w:hAnsi="Arial"/>
          <w:sz w:val="19"/>
          <w:szCs w:val="19"/>
          <w:color w:val="auto"/>
        </w:rPr>
      </w:pPr>
      <w:r>
        <w:rPr>
          <w:rFonts w:ascii="Arial" w:cs="Arial" w:eastAsia="Arial" w:hAnsi="Arial"/>
          <w:sz w:val="19"/>
          <w:szCs w:val="19"/>
          <w:color w:val="auto"/>
        </w:rPr>
        <w:t>Parent Borrower shall pay (or cause to be paid) all reasonable fees incurred by Agent and Co-Collateral Agents in connection with (i) one (1) appraisal of Equipment and Rolling Stock (which, with respect to Railcars will be in the nature of limited inspections consistent with past practices) that is part of the Borrowing Base per calendar year and (ii) one</w:t>
      </w:r>
    </w:p>
    <w:p>
      <w:pPr>
        <w:jc w:val="both"/>
        <w:ind w:left="340" w:right="20" w:hanging="8"/>
        <w:spacing w:after="0" w:line="245" w:lineRule="auto"/>
        <w:tabs>
          <w:tab w:leader="none" w:pos="653" w:val="left"/>
        </w:tabs>
        <w:numPr>
          <w:ilvl w:val="0"/>
          <w:numId w:val="155"/>
        </w:numPr>
        <w:rPr>
          <w:rFonts w:ascii="Arial" w:cs="Arial" w:eastAsia="Arial" w:hAnsi="Arial"/>
          <w:sz w:val="22"/>
          <w:szCs w:val="22"/>
          <w:color w:val="auto"/>
        </w:rPr>
      </w:pPr>
      <w:r>
        <w:rPr>
          <w:rFonts w:ascii="Arial" w:cs="Arial" w:eastAsia="Arial" w:hAnsi="Arial"/>
          <w:sz w:val="22"/>
          <w:szCs w:val="22"/>
          <w:color w:val="auto"/>
        </w:rPr>
        <w:t xml:space="preserve">field examination per calendar year; </w:t>
      </w:r>
      <w:r>
        <w:rPr>
          <w:rFonts w:ascii="Arial" w:cs="Arial" w:eastAsia="Arial" w:hAnsi="Arial"/>
          <w:sz w:val="22"/>
          <w:szCs w:val="22"/>
          <w:u w:val="single" w:color="auto"/>
          <w:color w:val="auto"/>
        </w:rPr>
        <w:t>provided</w:t>
      </w:r>
      <w:r>
        <w:rPr>
          <w:rFonts w:ascii="Arial" w:cs="Arial" w:eastAsia="Arial" w:hAnsi="Arial"/>
          <w:sz w:val="22"/>
          <w:szCs w:val="22"/>
          <w:color w:val="auto"/>
        </w:rPr>
        <w:t>, that at any time after the date on which Availability has been less than the greater of 15.0% of the Available Credit and $100,000,000, for five consecutive Business Days during such calendar year, one (1)</w:t>
      </w:r>
    </w:p>
    <w:p>
      <w:pPr>
        <w:sectPr>
          <w:pgSz w:w="11900" w:h="16838" w:orient="portrait"/>
          <w:cols w:equalWidth="0" w:num="1">
            <w:col w:w="11240"/>
          </w:cols>
          <w:pgMar w:left="320" w:top="1428" w:right="339" w:bottom="1440" w:gutter="0" w:footer="0" w:header="0"/>
        </w:sectPr>
      </w:pPr>
    </w:p>
    <w:bookmarkStart w:id="240" w:name="page241"/>
    <w:bookmarkEnd w:id="240"/>
    <w:p>
      <w:pPr>
        <w:jc w:val="both"/>
        <w:ind w:left="340"/>
        <w:spacing w:after="0" w:line="246" w:lineRule="auto"/>
        <w:rPr>
          <w:sz w:val="20"/>
          <w:szCs w:val="20"/>
          <w:color w:val="auto"/>
        </w:rPr>
      </w:pPr>
      <w:r>
        <w:rPr>
          <w:rFonts w:ascii="Arial" w:cs="Arial" w:eastAsia="Arial" w:hAnsi="Arial"/>
          <w:sz w:val="22"/>
          <w:szCs w:val="22"/>
          <w:color w:val="auto"/>
        </w:rPr>
        <w:t xml:space="preserve">additional field exam and one (1) additional appraisal of Equipment and Rolling Stock that is part of the Borrowing Base will be permitted in such calendar year (each at the expense of Borrowers) and at any time during the continuation of an Event of Default, field examinations and appraisals of Equipment and Rolling Stock that is part of the Borrowing Base may be conducted (each at the expense of Borrowers) as frequently as determined by Agent and Co-Collateral Agents in their reasonable discretion;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notwithstanding anything to the contrary Agent and Co-Collateral Agents may conduct additional appraisals and field examinations in the exercise of their Permitted Discretion at each of their own cost and expense;</w:t>
      </w:r>
    </w:p>
    <w:p>
      <w:pPr>
        <w:spacing w:after="0" w:line="196" w:lineRule="exact"/>
        <w:rPr>
          <w:sz w:val="20"/>
          <w:szCs w:val="20"/>
          <w:color w:val="auto"/>
        </w:rPr>
      </w:pPr>
    </w:p>
    <w:p>
      <w:pPr>
        <w:ind w:left="1960" w:hanging="332"/>
        <w:spacing w:after="0"/>
        <w:tabs>
          <w:tab w:leader="none" w:pos="196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219" w:lineRule="exact"/>
        <w:rPr>
          <w:rFonts w:ascii="Arial" w:cs="Arial" w:eastAsia="Arial" w:hAnsi="Arial"/>
          <w:sz w:val="22"/>
          <w:szCs w:val="22"/>
          <w:color w:val="auto"/>
        </w:rPr>
      </w:pPr>
    </w:p>
    <w:p>
      <w:pPr>
        <w:jc w:val="both"/>
        <w:ind w:left="340" w:firstLine="1288"/>
        <w:spacing w:after="0" w:line="312" w:lineRule="auto"/>
        <w:tabs>
          <w:tab w:leader="none" w:pos="1955" w:val="left"/>
        </w:tabs>
        <w:numPr>
          <w:ilvl w:val="1"/>
          <w:numId w:val="156"/>
        </w:numPr>
        <w:rPr>
          <w:rFonts w:ascii="Arial" w:cs="Arial" w:eastAsia="Arial" w:hAnsi="Arial"/>
          <w:sz w:val="19"/>
          <w:szCs w:val="19"/>
          <w:color w:val="auto"/>
        </w:rPr>
      </w:pPr>
      <w:r>
        <w:rPr>
          <w:rFonts w:ascii="Arial" w:cs="Arial" w:eastAsia="Arial" w:hAnsi="Arial"/>
          <w:sz w:val="19"/>
          <w:szCs w:val="19"/>
          <w:color w:val="auto"/>
        </w:rPr>
        <w:t>Such other reports, statements and reconciliations (including reconciliations of Accounts, Equipment and Rolling Stock from general ledger to financial statements to Borrowing Base) with respect to the Borrowing Base, Collateral or Obligations of any or all Credit Parties as Agent or any Co-Collateral Agent shall from time to time reasonably request.</w:t>
      </w:r>
    </w:p>
    <w:p>
      <w:pPr>
        <w:spacing w:after="0" w:line="133" w:lineRule="exact"/>
        <w:rPr>
          <w:rFonts w:ascii="Arial" w:cs="Arial" w:eastAsia="Arial" w:hAnsi="Arial"/>
          <w:sz w:val="19"/>
          <w:szCs w:val="19"/>
          <w:color w:val="auto"/>
        </w:rPr>
      </w:pPr>
    </w:p>
    <w:p>
      <w:pPr>
        <w:jc w:val="both"/>
        <w:ind w:left="340" w:firstLine="1288"/>
        <w:spacing w:after="0" w:line="253" w:lineRule="auto"/>
        <w:tabs>
          <w:tab w:leader="none" w:pos="1955" w:val="left"/>
        </w:tabs>
        <w:numPr>
          <w:ilvl w:val="1"/>
          <w:numId w:val="156"/>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upon written notice to Agent by Parent Borrower, any Borrowing Base assets identified by Parent Borrower in such notice shall be excluded from the Borrowing Base until such notice is withdrawn.</w:t>
      </w:r>
    </w:p>
    <w:p>
      <w:pPr>
        <w:spacing w:after="0" w:line="185" w:lineRule="exact"/>
        <w:rPr>
          <w:rFonts w:ascii="Arial" w:cs="Arial" w:eastAsia="Arial" w:hAnsi="Arial"/>
          <w:sz w:val="22"/>
          <w:szCs w:val="22"/>
          <w:color w:val="auto"/>
        </w:rPr>
      </w:pPr>
    </w:p>
    <w:p>
      <w:pPr>
        <w:ind w:left="540" w:hanging="208"/>
        <w:spacing w:after="0"/>
        <w:tabs>
          <w:tab w:leader="none" w:pos="54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AFFIRMATIVE COVENANTS</w:t>
      </w:r>
    </w:p>
    <w:p>
      <w:pPr>
        <w:spacing w:after="0" w:line="220"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Each Credit Party executing this Agreement agrees as to itself and its Restricted Subsidiaries that from and after the Amendment No. 3 Effective Date and until the Termination Date:</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Maintenance of Existence and Conduct of Business</w:t>
      </w:r>
      <w:r>
        <w:rPr>
          <w:rFonts w:ascii="Arial" w:cs="Arial" w:eastAsia="Arial" w:hAnsi="Arial"/>
          <w:sz w:val="19"/>
          <w:szCs w:val="19"/>
          <w:color w:val="auto"/>
        </w:rPr>
        <w:t xml:space="preserve">. Except as otherwise permitted under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each Credit Party shall, and shall cause each Restricted Subsidiary to, do or cause to be done all things necessary to (a) preserve and keep in full force and effect (i) its corporate existence (except, as to Persons other than Credit Parties, where the failure to do so would not reasonably be expected to result in a Material Adverse Effect) and (ii) its material rights and franchises; (b) continue to conduct its business substantially as now conducted or as otherwise permitted hereunder; and (c) at all times maintain, preserve and protect all of its assets and properties used or useful in the conduct of its business and keep the same in good repair, working order and condition in all material respects (taking into consideration ordinary wear and tear and except for casualties and condemnations) and from time to time make, or cause to be made, all necessary or appropriate repairs, replacements and improvements thereto consistent with industry practices, except, in each case, referred to in this </w:t>
      </w:r>
      <w:r>
        <w:rPr>
          <w:rFonts w:ascii="Arial" w:cs="Arial" w:eastAsia="Arial" w:hAnsi="Arial"/>
          <w:sz w:val="19"/>
          <w:szCs w:val="19"/>
          <w:u w:val="single" w:color="auto"/>
          <w:color w:val="auto"/>
        </w:rPr>
        <w:t>Section 6.1(a)(ii)</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where the failure to do so would not reasonably be expected to have a Material Adverse Effect.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8"/>
          <w:szCs w:val="18"/>
          <w:u w:val="single" w:color="auto"/>
          <w:color w:val="auto"/>
        </w:rPr>
        <w:t>Payment of Charges and Taxes</w:t>
      </w:r>
      <w:r>
        <w:rPr>
          <w:rFonts w:ascii="Arial" w:cs="Arial" w:eastAsia="Arial" w:hAnsi="Arial"/>
          <w:sz w:val="18"/>
          <w:szCs w:val="18"/>
          <w:color w:val="auto"/>
        </w:rPr>
        <w:t>.</w:t>
      </w:r>
    </w:p>
    <w:p>
      <w:pPr>
        <w:spacing w:after="0" w:line="220" w:lineRule="exact"/>
        <w:rPr>
          <w:sz w:val="20"/>
          <w:szCs w:val="20"/>
          <w:color w:val="auto"/>
        </w:rPr>
      </w:pPr>
    </w:p>
    <w:p>
      <w:pPr>
        <w:ind w:left="340" w:firstLine="1288"/>
        <w:spacing w:after="0" w:line="263" w:lineRule="auto"/>
        <w:tabs>
          <w:tab w:leader="none" w:pos="1957" w:val="left"/>
        </w:tabs>
        <w:numPr>
          <w:ilvl w:val="0"/>
          <w:numId w:val="158"/>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6.2(b)</w:t>
      </w:r>
      <w:r>
        <w:rPr>
          <w:rFonts w:ascii="Arial" w:cs="Arial" w:eastAsia="Arial" w:hAnsi="Arial"/>
          <w:sz w:val="22"/>
          <w:szCs w:val="22"/>
          <w:color w:val="auto"/>
        </w:rPr>
        <w:t>, each Credit Party shall pay and discharge or cause to be paid and discharged promptly all material Charges, Taxes and claims payable by</w:t>
      </w:r>
    </w:p>
    <w:p>
      <w:pPr>
        <w:sectPr>
          <w:pgSz w:w="11900" w:h="16838" w:orient="portrait"/>
          <w:cols w:equalWidth="0" w:num="1">
            <w:col w:w="11240"/>
          </w:cols>
          <w:pgMar w:left="320" w:top="1428" w:right="339" w:bottom="1440" w:gutter="0" w:footer="0" w:header="0"/>
        </w:sectPr>
      </w:pPr>
    </w:p>
    <w:bookmarkStart w:id="241" w:name="page242"/>
    <w:bookmarkEnd w:id="241"/>
    <w:p>
      <w:pPr>
        <w:jc w:val="both"/>
        <w:ind w:left="340"/>
        <w:spacing w:after="0" w:line="294" w:lineRule="auto"/>
        <w:rPr>
          <w:sz w:val="20"/>
          <w:szCs w:val="20"/>
          <w:color w:val="auto"/>
        </w:rPr>
      </w:pPr>
      <w:r>
        <w:rPr>
          <w:rFonts w:ascii="Arial" w:cs="Arial" w:eastAsia="Arial" w:hAnsi="Arial"/>
          <w:sz w:val="19"/>
          <w:szCs w:val="19"/>
          <w:color w:val="auto"/>
        </w:rPr>
        <w:t>it, including: (i) material Charges and Taxes imposed upon it, its income and profits, or any of its property (real, personal or mixed) and all material Charges with respect to Tax, social security, employer contributions and unemployment withholding with respect to its employees; (ii) lawful material claims for labor, materials, supplies and services or otherwise, in each case, before any thereof shall become past due and (iii) all material storage or rental charges payable to warehousemen or bailees at which Eligible Equipment is located, in each case, where the non-payment of such Charge, Tax or claim could give rise to a material Lien (other than Permitted Liens) or a Material Adverse Effect.</w:t>
      </w:r>
    </w:p>
    <w:p>
      <w:pPr>
        <w:spacing w:after="0" w:line="149" w:lineRule="exact"/>
        <w:rPr>
          <w:sz w:val="20"/>
          <w:szCs w:val="20"/>
          <w:color w:val="auto"/>
        </w:rPr>
      </w:pPr>
    </w:p>
    <w:p>
      <w:pPr>
        <w:jc w:val="both"/>
        <w:ind w:left="340" w:firstLine="1288"/>
        <w:spacing w:after="0" w:line="248" w:lineRule="auto"/>
        <w:tabs>
          <w:tab w:leader="none" w:pos="1955" w:val="left"/>
        </w:tabs>
        <w:numPr>
          <w:ilvl w:val="0"/>
          <w:numId w:val="159"/>
        </w:numPr>
        <w:rPr>
          <w:rFonts w:ascii="Arial" w:cs="Arial" w:eastAsia="Arial" w:hAnsi="Arial"/>
          <w:sz w:val="22"/>
          <w:szCs w:val="22"/>
          <w:color w:val="auto"/>
        </w:rPr>
      </w:pPr>
      <w:r>
        <w:rPr>
          <w:rFonts w:ascii="Arial" w:cs="Arial" w:eastAsia="Arial" w:hAnsi="Arial"/>
          <w:sz w:val="22"/>
          <w:szCs w:val="22"/>
          <w:color w:val="auto"/>
        </w:rPr>
        <w:t xml:space="preserve">Each Credit Party may in good faith contest, by appropriate proceedings, the validity or amount of any Charges, Taxes or claims described in </w:t>
      </w:r>
      <w:r>
        <w:rPr>
          <w:rFonts w:ascii="Arial" w:cs="Arial" w:eastAsia="Arial" w:hAnsi="Arial"/>
          <w:sz w:val="22"/>
          <w:szCs w:val="22"/>
          <w:u w:val="single" w:color="auto"/>
          <w:color w:val="auto"/>
        </w:rPr>
        <w:t>Section 6.2(a)</w:t>
      </w:r>
      <w:r>
        <w:rPr>
          <w:rFonts w:ascii="Arial" w:cs="Arial" w:eastAsia="Arial" w:hAnsi="Arial"/>
          <w:sz w:val="22"/>
          <w:szCs w:val="22"/>
          <w:color w:val="auto"/>
        </w:rPr>
        <w:t xml:space="preserve"> and not pay or discharge such Charges, Taxes or claims while so contested; </w:t>
      </w:r>
      <w:r>
        <w:rPr>
          <w:rFonts w:ascii="Arial" w:cs="Arial" w:eastAsia="Arial" w:hAnsi="Arial"/>
          <w:sz w:val="22"/>
          <w:szCs w:val="22"/>
          <w:u w:val="single" w:color="auto"/>
          <w:color w:val="auto"/>
        </w:rPr>
        <w:t>provided</w:t>
      </w:r>
      <w:r>
        <w:rPr>
          <w:rFonts w:ascii="Arial" w:cs="Arial" w:eastAsia="Arial" w:hAnsi="Arial"/>
          <w:sz w:val="22"/>
          <w:szCs w:val="22"/>
          <w:color w:val="auto"/>
        </w:rPr>
        <w:t>, that (i) adequate reserves with respect to such contest are maintained on the books of such Credit Party, in accordance with GAAP and (ii) the failure to make such payment would not reasonably be expected to result in a Material Adverse Effect.</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Books and Records</w:t>
      </w:r>
      <w:r>
        <w:rPr>
          <w:rFonts w:ascii="Arial" w:cs="Arial" w:eastAsia="Arial" w:hAnsi="Arial"/>
          <w:sz w:val="22"/>
          <w:szCs w:val="22"/>
          <w:color w:val="auto"/>
        </w:rPr>
        <w:t xml:space="preserve">. Each Credit Party shall keep adequate books and records with respect to its business activities in which proper entries, reflecting all material financial transactions, are made in accordance with GAAP and on a basis consistent with the Financial Statements delivered pursuant to </w:t>
      </w:r>
      <w:r>
        <w:rPr>
          <w:rFonts w:ascii="Arial" w:cs="Arial" w:eastAsia="Arial" w:hAnsi="Arial"/>
          <w:sz w:val="22"/>
          <w:szCs w:val="22"/>
          <w:u w:val="single" w:color="auto"/>
          <w:color w:val="auto"/>
        </w:rPr>
        <w:t>Section 4.4</w:t>
      </w:r>
      <w:r>
        <w:rPr>
          <w:rFonts w:ascii="Arial" w:cs="Arial" w:eastAsia="Arial" w:hAnsi="Arial"/>
          <w:sz w:val="22"/>
          <w:szCs w:val="22"/>
          <w:color w:val="auto"/>
        </w:rPr>
        <w: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6.4</w:t>
      </w:r>
      <w:r>
        <w:rPr>
          <w:sz w:val="20"/>
          <w:szCs w:val="20"/>
          <w:color w:val="auto"/>
        </w:rPr>
        <w:tab/>
      </w:r>
      <w:r>
        <w:rPr>
          <w:rFonts w:ascii="Arial" w:cs="Arial" w:eastAsia="Arial" w:hAnsi="Arial"/>
          <w:sz w:val="19"/>
          <w:szCs w:val="19"/>
          <w:u w:val="single" w:color="auto"/>
          <w:color w:val="auto"/>
        </w:rPr>
        <w:t>Insurance; Damage to or Destruction of Collateral</w:t>
      </w:r>
      <w:r>
        <w:rPr>
          <w:rFonts w:ascii="Arial" w:cs="Arial" w:eastAsia="Arial" w:hAnsi="Arial"/>
          <w:sz w:val="19"/>
          <w:szCs w:val="19"/>
          <w:color w:val="auto"/>
        </w:rPr>
        <w:t>.</w:t>
      </w:r>
    </w:p>
    <w:p>
      <w:pPr>
        <w:spacing w:after="0" w:line="220" w:lineRule="exact"/>
        <w:rPr>
          <w:sz w:val="20"/>
          <w:szCs w:val="20"/>
          <w:color w:val="auto"/>
        </w:rPr>
      </w:pPr>
    </w:p>
    <w:p>
      <w:pPr>
        <w:jc w:val="both"/>
        <w:ind w:left="340" w:firstLine="1288"/>
        <w:spacing w:after="0" w:line="260" w:lineRule="auto"/>
        <w:tabs>
          <w:tab w:leader="none" w:pos="1957" w:val="left"/>
        </w:tabs>
        <w:numPr>
          <w:ilvl w:val="0"/>
          <w:numId w:val="160"/>
        </w:numPr>
        <w:rPr>
          <w:rFonts w:ascii="Arial" w:cs="Arial" w:eastAsia="Arial" w:hAnsi="Arial"/>
          <w:sz w:val="21"/>
          <w:szCs w:val="21"/>
          <w:color w:val="auto"/>
        </w:rPr>
      </w:pPr>
      <w:r>
        <w:rPr>
          <w:rFonts w:ascii="Arial" w:cs="Arial" w:eastAsia="Arial" w:hAnsi="Arial"/>
          <w:sz w:val="21"/>
          <w:szCs w:val="21"/>
          <w:color w:val="auto"/>
        </w:rPr>
        <w:t xml:space="preserve">Borrowers will, and will cause each Restricted Subsidiary to, maintain, with financially sound and reputable insurance companies insurance in such amounts and against such risks, as are customarily maintained by similarly situated companies engaged in the same or similar businesses operating in the same or similar locations (after giving effect to any self-insurance reasonable and customary for similarly situated companies). Borrowers will furnish to Agent, upon written request, information in reasonable detail as to the insurance so maintained. It is understood and agreed that Borrowers shall be deemed to be in compliance with this </w:t>
      </w:r>
      <w:r>
        <w:rPr>
          <w:rFonts w:ascii="Arial" w:cs="Arial" w:eastAsia="Arial" w:hAnsi="Arial"/>
          <w:sz w:val="21"/>
          <w:szCs w:val="21"/>
          <w:u w:val="single" w:color="auto"/>
          <w:color w:val="auto"/>
        </w:rPr>
        <w:t>Section 6.4(a)</w:t>
      </w:r>
      <w:r>
        <w:rPr>
          <w:rFonts w:ascii="Arial" w:cs="Arial" w:eastAsia="Arial" w:hAnsi="Arial"/>
          <w:sz w:val="21"/>
          <w:szCs w:val="21"/>
          <w:color w:val="auto"/>
        </w:rPr>
        <w:t xml:space="preserve"> so long as Borrowers and their Restricted Subsidiaries shall maintain all insurance in effect as of the date hereof.</w:t>
      </w:r>
    </w:p>
    <w:p>
      <w:pPr>
        <w:spacing w:after="0" w:line="180" w:lineRule="exact"/>
        <w:rPr>
          <w:rFonts w:ascii="Arial" w:cs="Arial" w:eastAsia="Arial" w:hAnsi="Arial"/>
          <w:sz w:val="21"/>
          <w:szCs w:val="21"/>
          <w:color w:val="auto"/>
        </w:rPr>
      </w:pPr>
    </w:p>
    <w:p>
      <w:pPr>
        <w:jc w:val="both"/>
        <w:ind w:left="340" w:firstLine="1288"/>
        <w:spacing w:after="0" w:line="260" w:lineRule="auto"/>
        <w:tabs>
          <w:tab w:leader="none" w:pos="1955" w:val="left"/>
        </w:tabs>
        <w:numPr>
          <w:ilvl w:val="0"/>
          <w:numId w:val="160"/>
        </w:numPr>
        <w:rPr>
          <w:rFonts w:ascii="Arial" w:cs="Arial" w:eastAsia="Arial" w:hAnsi="Arial"/>
          <w:sz w:val="21"/>
          <w:szCs w:val="21"/>
          <w:color w:val="auto"/>
        </w:rPr>
      </w:pPr>
      <w:r>
        <w:rPr>
          <w:rFonts w:ascii="Arial" w:cs="Arial" w:eastAsia="Arial" w:hAnsi="Arial"/>
          <w:sz w:val="21"/>
          <w:szCs w:val="21"/>
          <w:color w:val="auto"/>
        </w:rPr>
        <w:t xml:space="preserve">All insurance policies insuring the Collateral, or certificates (or certified copies thereof) with respect to such insurance, (i) shall be endorsed to Agent’s reasonable satisfaction for the benefit of Agent (including, without limitation, by naming Agent as loss payee and/or additional insured) and (ii) shall state that such insurance policies shall not be canceled without at least thirty (30) days’ prior written notice thereof by the respective insurer to Agent (or at least ten (10) days’ prior written notice in the case of non-payment of premium);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Parent Borrower shall have 15 Business Days following the Restatement Date (or such later date as may be agreed by Agent in its Permitted Discretion) to comply with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6.4(b)</w:t>
      </w:r>
      <w:r>
        <w:rPr>
          <w:rFonts w:ascii="Arial" w:cs="Arial" w:eastAsia="Arial" w:hAnsi="Arial"/>
          <w:sz w:val="21"/>
          <w:szCs w:val="21"/>
          <w:color w:val="auto"/>
        </w:rPr>
        <w:t xml:space="preserve"> in respect of insurance in effect as of the Restatement Date.</w:t>
      </w:r>
    </w:p>
    <w:p>
      <w:pPr>
        <w:spacing w:after="0" w:line="180" w:lineRule="exact"/>
        <w:rPr>
          <w:rFonts w:ascii="Arial" w:cs="Arial" w:eastAsia="Arial" w:hAnsi="Arial"/>
          <w:sz w:val="21"/>
          <w:szCs w:val="21"/>
          <w:color w:val="auto"/>
        </w:rPr>
      </w:pPr>
    </w:p>
    <w:p>
      <w:pPr>
        <w:ind w:left="340" w:firstLine="1288"/>
        <w:spacing w:after="0" w:line="263" w:lineRule="auto"/>
        <w:tabs>
          <w:tab w:leader="none" w:pos="1957" w:val="left"/>
        </w:tabs>
        <w:numPr>
          <w:ilvl w:val="0"/>
          <w:numId w:val="160"/>
        </w:numPr>
        <w:rPr>
          <w:rFonts w:ascii="Arial" w:cs="Arial" w:eastAsia="Arial" w:hAnsi="Arial"/>
          <w:sz w:val="22"/>
          <w:szCs w:val="22"/>
          <w:color w:val="auto"/>
        </w:rPr>
      </w:pPr>
      <w:r>
        <w:rPr>
          <w:rFonts w:ascii="Arial" w:cs="Arial" w:eastAsia="Arial" w:hAnsi="Arial"/>
          <w:sz w:val="22"/>
          <w:szCs w:val="22"/>
          <w:color w:val="auto"/>
        </w:rPr>
        <w:t xml:space="preserve">If Borrowers or any Credit Party shall fail to maintain insurance in accordance with this </w:t>
      </w:r>
      <w:r>
        <w:rPr>
          <w:rFonts w:ascii="Arial" w:cs="Arial" w:eastAsia="Arial" w:hAnsi="Arial"/>
          <w:sz w:val="22"/>
          <w:szCs w:val="22"/>
          <w:u w:val="single" w:color="auto"/>
          <w:color w:val="auto"/>
        </w:rPr>
        <w:t>Section 6.4</w:t>
      </w:r>
      <w:r>
        <w:rPr>
          <w:rFonts w:ascii="Arial" w:cs="Arial" w:eastAsia="Arial" w:hAnsi="Arial"/>
          <w:sz w:val="22"/>
          <w:szCs w:val="22"/>
          <w:color w:val="auto"/>
        </w:rPr>
        <w:t>, Agent shall have the right, upon ten (10) days’ prior notice</w:t>
      </w:r>
    </w:p>
    <w:p>
      <w:pPr>
        <w:sectPr>
          <w:pgSz w:w="11900" w:h="16838" w:orient="portrait"/>
          <w:cols w:equalWidth="0" w:num="1">
            <w:col w:w="11240"/>
          </w:cols>
          <w:pgMar w:left="320" w:top="1428" w:right="339" w:bottom="1440" w:gutter="0" w:footer="0" w:header="0"/>
        </w:sectPr>
      </w:pPr>
    </w:p>
    <w:bookmarkStart w:id="242" w:name="page243"/>
    <w:bookmarkEnd w:id="242"/>
    <w:p>
      <w:pPr>
        <w:ind w:left="340" w:right="20"/>
        <w:spacing w:after="0" w:line="287" w:lineRule="auto"/>
        <w:rPr>
          <w:sz w:val="20"/>
          <w:szCs w:val="20"/>
          <w:color w:val="auto"/>
        </w:rPr>
      </w:pPr>
      <w:r>
        <w:rPr>
          <w:rFonts w:ascii="Arial" w:cs="Arial" w:eastAsia="Arial" w:hAnsi="Arial"/>
          <w:sz w:val="21"/>
          <w:szCs w:val="21"/>
          <w:color w:val="auto"/>
        </w:rPr>
        <w:t>to Borrowers (but shall be under no obligation), to procure such insurance and Borrowers agree to reimburse Agent for all reasonable costs and reasonable out-of-pocket expenses of procuring and maintaining such insurance.</w:t>
      </w:r>
    </w:p>
    <w:p>
      <w:pPr>
        <w:spacing w:after="0" w:line="151" w:lineRule="exact"/>
        <w:rPr>
          <w:sz w:val="20"/>
          <w:szCs w:val="20"/>
          <w:color w:val="auto"/>
        </w:rPr>
      </w:pPr>
    </w:p>
    <w:p>
      <w:pPr>
        <w:ind w:left="340" w:firstLine="1288"/>
        <w:spacing w:after="0" w:line="263" w:lineRule="auto"/>
        <w:tabs>
          <w:tab w:leader="none" w:pos="1955"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Sections 6.4(b)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shall only apply to insurance in respect of assets included in the Collateral;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Sections 6.4(b)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(c)</w:t>
      </w:r>
      <w:r>
        <w:rPr>
          <w:rFonts w:ascii="Arial" w:cs="Arial" w:eastAsia="Arial" w:hAnsi="Arial"/>
          <w:sz w:val="22"/>
          <w:szCs w:val="22"/>
          <w:color w:val="auto"/>
        </w:rPr>
        <w:t xml:space="preserve"> shall not apply to credit insurance.</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Credit Party shall, and shall cause each Restricted Subsidiary to, comply in all material respects with all applicable provisions of law of any Governmental Authority, unless such failure of compliance would not reasonably be expected to result in a Material Adverse Effect or a material adverse effect on the specific property affected by such non-compliance.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PATRIOT Act</w:t>
      </w:r>
      <w:r>
        <w:rPr>
          <w:rFonts w:ascii="Arial" w:cs="Arial" w:eastAsia="Arial" w:hAnsi="Arial"/>
          <w:sz w:val="22"/>
          <w:szCs w:val="22"/>
          <w:color w:val="auto"/>
        </w:rPr>
        <w:t>. No Credit Party or any Subsidiary thereof is in breach of or is the subject of any action or investigation under the PATRIOT Act.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Each Credit Party shall, and shall cause each Restricted Subsidiary to, (a) conduct its business without knowingly infringing any Intellectual Property of any other Person which infringement would reasonably be expected to result in a Material Adverse Effect, and (b) comply in all material respects with the obligations under its material Intellectual Property licenses.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19"/>
          <w:szCs w:val="19"/>
          <w:u w:val="single" w:color="auto"/>
          <w:color w:val="auto"/>
        </w:rPr>
        <w:t>Environmental Matters</w:t>
      </w:r>
      <w:r>
        <w:rPr>
          <w:rFonts w:ascii="Arial" w:cs="Arial" w:eastAsia="Arial" w:hAnsi="Arial"/>
          <w:sz w:val="19"/>
          <w:szCs w:val="19"/>
          <w:color w:val="auto"/>
        </w:rPr>
        <w:t>. Except where the failure to do so would not result in a Material Adverse Effect, each</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Credit Party shall, and shall cause the Restricted Subsidiaries to:</w:t>
      </w:r>
    </w:p>
    <w:p>
      <w:pPr>
        <w:spacing w:after="0" w:line="202" w:lineRule="exact"/>
        <w:rPr>
          <w:sz w:val="20"/>
          <w:szCs w:val="20"/>
          <w:color w:val="auto"/>
        </w:rPr>
      </w:pPr>
    </w:p>
    <w:p>
      <w:pPr>
        <w:jc w:val="both"/>
        <w:ind w:left="340" w:firstLine="1288"/>
        <w:spacing w:after="0" w:line="297" w:lineRule="auto"/>
        <w:tabs>
          <w:tab w:leader="none" w:pos="1957" w:val="left"/>
        </w:tabs>
        <w:numPr>
          <w:ilvl w:val="0"/>
          <w:numId w:val="162"/>
        </w:numPr>
        <w:rPr>
          <w:rFonts w:ascii="Arial" w:cs="Arial" w:eastAsia="Arial" w:hAnsi="Arial"/>
          <w:sz w:val="19"/>
          <w:szCs w:val="19"/>
          <w:color w:val="auto"/>
        </w:rPr>
      </w:pPr>
      <w:r>
        <w:rPr>
          <w:rFonts w:ascii="Arial" w:cs="Arial" w:eastAsia="Arial" w:hAnsi="Arial"/>
          <w:sz w:val="19"/>
          <w:szCs w:val="19"/>
          <w:color w:val="auto"/>
        </w:rPr>
        <w:t>comply in all material respects with, and use commercially reasonable efforts to ensure compliance in all material respects by all tenants and subtenants, if any, with, all applicable Environmental Laws, and obtain and comply in all material respects with and maintain, and use commercially reasonable efforts to ensure that all tenants and subtenants obtain and comply in all material respects with and maintain, any and all Environmental Permits, except in each case, where the failure to do so would not reasonably be expected to have a Material Adverse Effect, and</w:t>
      </w:r>
    </w:p>
    <w:p>
      <w:pPr>
        <w:spacing w:after="0" w:line="146" w:lineRule="exact"/>
        <w:rPr>
          <w:rFonts w:ascii="Arial" w:cs="Arial" w:eastAsia="Arial" w:hAnsi="Arial"/>
          <w:sz w:val="19"/>
          <w:szCs w:val="19"/>
          <w:color w:val="auto"/>
        </w:rPr>
      </w:pPr>
    </w:p>
    <w:p>
      <w:pPr>
        <w:jc w:val="both"/>
        <w:ind w:left="340" w:firstLine="1288"/>
        <w:spacing w:after="0" w:line="253" w:lineRule="auto"/>
        <w:tabs>
          <w:tab w:leader="none" w:pos="1955" w:val="left"/>
        </w:tabs>
        <w:numPr>
          <w:ilvl w:val="0"/>
          <w:numId w:val="162"/>
        </w:numPr>
        <w:rPr>
          <w:rFonts w:ascii="Arial" w:cs="Arial" w:eastAsia="Arial" w:hAnsi="Arial"/>
          <w:sz w:val="22"/>
          <w:szCs w:val="22"/>
          <w:color w:val="auto"/>
        </w:rPr>
      </w:pPr>
      <w:r>
        <w:rPr>
          <w:rFonts w:ascii="Arial" w:cs="Arial" w:eastAsia="Arial" w:hAnsi="Arial"/>
          <w:sz w:val="22"/>
          <w:szCs w:val="22"/>
          <w:color w:val="auto"/>
        </w:rPr>
        <w:t>conduct and complete all investigations, studies, sampling and testing, and all remedial, removal and other actions required under Environmental Laws and comply in all material respects with all lawful orders and directives of all Governmental Authorities regarding Environmental Laws.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6.9</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19"/>
          <w:szCs w:val="19"/>
          <w:u w:val="single" w:color="auto"/>
          <w:color w:val="auto"/>
        </w:rPr>
        <w:t>Further Assurances</w:t>
      </w:r>
      <w:r>
        <w:rPr>
          <w:rFonts w:ascii="Arial" w:cs="Arial" w:eastAsia="Arial" w:hAnsi="Arial"/>
          <w:sz w:val="19"/>
          <w:szCs w:val="19"/>
          <w:color w:val="auto"/>
        </w:rPr>
        <w:t>.</w:t>
      </w:r>
    </w:p>
    <w:p>
      <w:pPr>
        <w:spacing w:after="0" w:line="220" w:lineRule="exact"/>
        <w:rPr>
          <w:sz w:val="20"/>
          <w:szCs w:val="20"/>
          <w:color w:val="auto"/>
        </w:rPr>
      </w:pPr>
    </w:p>
    <w:p>
      <w:pPr>
        <w:jc w:val="both"/>
        <w:ind w:left="340" w:firstLine="1288"/>
        <w:spacing w:after="0" w:line="253" w:lineRule="auto"/>
        <w:tabs>
          <w:tab w:leader="none" w:pos="1957" w:val="left"/>
        </w:tabs>
        <w:numPr>
          <w:ilvl w:val="0"/>
          <w:numId w:val="163"/>
        </w:numPr>
        <w:rPr>
          <w:rFonts w:ascii="Arial" w:cs="Arial" w:eastAsia="Arial" w:hAnsi="Arial"/>
          <w:sz w:val="22"/>
          <w:szCs w:val="22"/>
          <w:color w:val="auto"/>
        </w:rPr>
      </w:pPr>
      <w:r>
        <w:rPr>
          <w:rFonts w:ascii="Arial" w:cs="Arial" w:eastAsia="Arial" w:hAnsi="Arial"/>
          <w:sz w:val="22"/>
          <w:szCs w:val="22"/>
          <w:color w:val="auto"/>
        </w:rPr>
        <w:t>Each Credit Party executing this Agreement agrees that it shall and shall cause each applicable Subsidiary to, at such Credit Party’s reasonable expense and upon the reasonable request of Agent, duly execute and deliver, or cause to be duly executed and</w:t>
      </w:r>
    </w:p>
    <w:p>
      <w:pPr>
        <w:sectPr>
          <w:pgSz w:w="11900" w:h="16838" w:orient="portrait"/>
          <w:cols w:equalWidth="0" w:num="1">
            <w:col w:w="11240"/>
          </w:cols>
          <w:pgMar w:left="320" w:top="1428" w:right="339" w:bottom="1440" w:gutter="0" w:footer="0" w:header="0"/>
        </w:sectPr>
      </w:pPr>
    </w:p>
    <w:bookmarkStart w:id="243" w:name="page244"/>
    <w:bookmarkEnd w:id="243"/>
    <w:p>
      <w:pPr>
        <w:jc w:val="both"/>
        <w:spacing w:after="0" w:line="285" w:lineRule="auto"/>
        <w:rPr>
          <w:sz w:val="20"/>
          <w:szCs w:val="20"/>
          <w:color w:val="auto"/>
        </w:rPr>
      </w:pPr>
      <w:r>
        <w:rPr>
          <w:rFonts w:ascii="Arial" w:cs="Arial" w:eastAsia="Arial" w:hAnsi="Arial"/>
          <w:sz w:val="19"/>
          <w:szCs w:val="19"/>
          <w:color w:val="auto"/>
        </w:rPr>
        <w:t>delivered, to Agent such further instruments and take all such further actions (including the authorization of filing and recording of Code and PPSA financing statements, fixture filings, and other documents, in each case to the extent reasonably requested by Agent), which may be required under any applicable law, or which Agent may reasonably request, to effectuate the transactions contemplated by the Loan Documents or to grant, preserve, protect or perfect the Liens created by the Collateral Documents or the validity or priority of any such Liens (subject to Permitted Liens), all at the reasonable expense of the Credit Parties and to the extent required by the Loan Documents. With respect to any Acquisition of assets, if any asset acquired therein or thereby is requested to be included in the Borrowing Base, Agent and Co-Collateral Agents shall have completed its review of such assets, including, without limitation, field examinations, audits, appraisals and other due diligence as Agent and Co-Collateral Agents shall in their Permitted Discretion require; it being acknowledged and agreed that, (1) such additional assets, if any, to be included in the Borrowing Base may be subject to Reserves with respect thereto in the Co-Collateral Agents’ Permitted Discretion, and (2) prior to the inclusion of any additional assets in the Borrowing Base, all actions shall have been taken to ensure that Agent has a perfected and continuing first-priority security interest in and Lien on such assets (subject to a Permitted Lien which does not have priority over the Lien in favor of Agent (other than with respect to Equipment and Rolling Stock, Liens in favor of any bailee, landlord, warehouseman, mechanic or other non-consensual Lien arising by operation of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either (x) the holder of such Permitted Lien has waived or subordinated such Permitted Lien to Agent’s reasonable satisfaction pursuant to a landlord waiver, bailee letter or comparable agreement or (y) a rent or other reserve has been established by the Co-Collateral Agents in the exercise of their Permitted Discretion, which reserve, with respect to landlord Liens shall not be in excess of three (3) months’ rent (or for such longer time period that is determined by the Co-Collateral Agents in their Permitted Discretion as reasonably necessary to protect and/or realize upon the Collateral)).</w:t>
      </w:r>
    </w:p>
    <w:p>
      <w:pPr>
        <w:spacing w:after="0" w:line="200" w:lineRule="exact"/>
        <w:rPr>
          <w:sz w:val="20"/>
          <w:szCs w:val="20"/>
          <w:color w:val="auto"/>
        </w:rPr>
      </w:pPr>
    </w:p>
    <w:p>
      <w:pPr>
        <w:spacing w:after="0" w:line="216" w:lineRule="exact"/>
        <w:rPr>
          <w:sz w:val="20"/>
          <w:szCs w:val="20"/>
          <w:color w:val="auto"/>
        </w:rPr>
      </w:pPr>
    </w:p>
    <w:p>
      <w:pPr>
        <w:jc w:val="both"/>
        <w:ind w:left="-160" w:firstLine="1286"/>
        <w:spacing w:after="0" w:line="292" w:lineRule="auto"/>
        <w:tabs>
          <w:tab w:leader="none" w:pos="1610" w:val="left"/>
        </w:tabs>
        <w:numPr>
          <w:ilvl w:val="0"/>
          <w:numId w:val="164"/>
        </w:numPr>
        <w:rPr>
          <w:rFonts w:ascii="Arial" w:cs="Arial" w:eastAsia="Arial" w:hAnsi="Arial"/>
          <w:sz w:val="18"/>
          <w:szCs w:val="18"/>
          <w:color w:val="auto"/>
        </w:rPr>
      </w:pPr>
      <w:r>
        <w:rPr>
          <w:rFonts w:ascii="Arial" w:cs="Arial" w:eastAsia="Arial" w:hAnsi="Arial"/>
          <w:sz w:val="19"/>
          <w:szCs w:val="19"/>
          <w:color w:val="auto"/>
        </w:rPr>
        <w:t>In the case of any Material Real Property, each applicable U.S. Credit Party shall provide Agent with Mortgages with respect to such Material Real Property within 90 days (or such longer period as may be reasonably required with diligence and dispatch for the applicable Credit Party to secure compliance with the provisions of subdivisions (ii), (iii) and/or (iv) below not to exceed an additional 45 days in the aggregate, unless further extended by Agent as Agent may agree in its sole discretion) of (x) the date hereof with respect to all Material Real Property on Schedule 6.10(b) which lists completely and correctly each Material Real Property owned by Borrower or Guarantor on the date hereof, and (y) the acquisition of Material Real Property which is acquired after the date hereof, in each case together with:</w:t>
      </w:r>
    </w:p>
    <w:p>
      <w:pPr>
        <w:spacing w:after="0" w:line="150" w:lineRule="exact"/>
        <w:rPr>
          <w:rFonts w:ascii="Arial" w:cs="Arial" w:eastAsia="Arial" w:hAnsi="Arial"/>
          <w:sz w:val="18"/>
          <w:szCs w:val="18"/>
          <w:color w:val="auto"/>
        </w:rPr>
      </w:pPr>
    </w:p>
    <w:p>
      <w:pPr>
        <w:jc w:val="both"/>
        <w:ind w:firstLine="1732"/>
        <w:spacing w:after="0" w:line="263" w:lineRule="auto"/>
        <w:tabs>
          <w:tab w:leader="none" w:pos="2268" w:val="left"/>
        </w:tabs>
        <w:numPr>
          <w:ilvl w:val="1"/>
          <w:numId w:val="164"/>
        </w:numPr>
        <w:rPr>
          <w:rFonts w:ascii="Arial" w:cs="Arial" w:eastAsia="Arial" w:hAnsi="Arial"/>
          <w:sz w:val="21"/>
          <w:szCs w:val="21"/>
          <w:color w:val="auto"/>
        </w:rPr>
      </w:pPr>
      <w:r>
        <w:rPr>
          <w:rFonts w:ascii="Arial" w:cs="Arial" w:eastAsia="Arial" w:hAnsi="Arial"/>
          <w:sz w:val="21"/>
          <w:szCs w:val="21"/>
          <w:color w:val="auto"/>
        </w:rPr>
        <w:t>evidence that counterparts of the Mortgages have been duly executed, acknowledged and delivered and are in form suitable for filing or recording in all filing or recording offices that Agent may deem reasonably necessary or desirable in order to create a valid and subsisting perfected Lien on the property and/or rights described therein in favor of Agent for the benefit of the Secured Parties and that all filing and recording taxes and fees have been paid or otherwise provided for in a manner reasonably satisfactory to Agent;</w:t>
      </w:r>
    </w:p>
    <w:p>
      <w:pPr>
        <w:sectPr>
          <w:pgSz w:w="11900" w:h="16838" w:orient="portrait"/>
          <w:cols w:equalWidth="0" w:num="1">
            <w:col w:w="10900"/>
          </w:cols>
          <w:pgMar w:left="660" w:top="1428" w:right="339" w:bottom="1440" w:gutter="0" w:footer="0" w:header="0"/>
        </w:sectPr>
      </w:pPr>
    </w:p>
    <w:bookmarkStart w:id="244" w:name="page245"/>
    <w:bookmarkEnd w:id="244"/>
    <w:p>
      <w:pPr>
        <w:jc w:val="both"/>
        <w:ind w:left="-780" w:firstLine="1672"/>
        <w:spacing w:after="0" w:line="259" w:lineRule="auto"/>
        <w:tabs>
          <w:tab w:leader="none" w:pos="1488" w:val="left"/>
        </w:tabs>
        <w:numPr>
          <w:ilvl w:val="0"/>
          <w:numId w:val="165"/>
        </w:numPr>
        <w:rPr>
          <w:rFonts w:ascii="Arial" w:cs="Arial" w:eastAsia="Arial" w:hAnsi="Arial"/>
          <w:sz w:val="21"/>
          <w:szCs w:val="21"/>
          <w:color w:val="auto"/>
        </w:rPr>
      </w:pPr>
      <w:r>
        <w:rPr>
          <w:rFonts w:ascii="Arial" w:cs="Arial" w:eastAsia="Arial" w:hAnsi="Arial"/>
          <w:sz w:val="21"/>
          <w:szCs w:val="21"/>
          <w:color w:val="auto"/>
        </w:rPr>
        <w:t>fully paid American Land Title Association Lender’s Extended Coverage title insurance policies or the equivalent or other form available in each applicable jurisdiction (the “</w:t>
      </w:r>
      <w:r>
        <w:rPr>
          <w:rFonts w:ascii="Arial" w:cs="Arial" w:eastAsia="Arial" w:hAnsi="Arial"/>
          <w:sz w:val="21"/>
          <w:szCs w:val="21"/>
          <w:u w:val="single" w:color="auto"/>
          <w:color w:val="auto"/>
        </w:rPr>
        <w:t>Mortgage Policies</w:t>
      </w:r>
      <w:r>
        <w:rPr>
          <w:rFonts w:ascii="Arial" w:cs="Arial" w:eastAsia="Arial" w:hAnsi="Arial"/>
          <w:sz w:val="21"/>
          <w:szCs w:val="21"/>
          <w:color w:val="auto"/>
        </w:rPr>
        <w:t xml:space="preserve">”) in form and substance, with endorsements available in the applicable jurisdiction and in amount, reasonably acceptable to Agent (not to exceed the value of the real properties covered thereby), issued, coinsured and reinsured by title insurers reasonably acceptable to Agent, insuring the Mortgages to be valid subsisting Liens on the property described therein, subject only to Permitted Liens, and providing for such other affirmative insurance (including endorsements for future advances under the Loan Documents) and such coinsurance and direct access reinsurance as Agent may reasonably request and is available in the applicable jurisdiction;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zoning reports from a nationally recognized provider may be substituted for any zoning endorsement;</w:t>
      </w:r>
    </w:p>
    <w:p>
      <w:pPr>
        <w:spacing w:after="0" w:line="179" w:lineRule="exact"/>
        <w:rPr>
          <w:rFonts w:ascii="Arial" w:cs="Arial" w:eastAsia="Arial" w:hAnsi="Arial"/>
          <w:sz w:val="21"/>
          <w:szCs w:val="21"/>
          <w:color w:val="auto"/>
        </w:rPr>
      </w:pPr>
    </w:p>
    <w:p>
      <w:pPr>
        <w:jc w:val="both"/>
        <w:ind w:left="-780" w:firstLine="1612"/>
        <w:spacing w:after="0" w:line="288" w:lineRule="auto"/>
        <w:tabs>
          <w:tab w:leader="none" w:pos="1488"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 American Land Title Association/American Congress on Surveying and Mapping form surveys for which all necessary fees have been paid, dated no more than 90 days before the date of acquisition of the property by the applicable Credit Party, certified to Agent and the issuer of the Mortgage Policies in a manner reasonably satisfactory to Agent by a land surveyor duly registered and licensed in the states in which the property described in such surveys is located and reasonably acceptable to Agent, showing all buildings and other improvements, any off-site improvements, the location of any easements, parking spaces, rights of way, building set-back lines and other dimensional regulations and the absence of encroachments, either by such improvements or on to such property, and other defects, other than encroachments and other defects reasonably acceptable to Agent, or (B) existing surveys in lieu thereof so long as each such survey is accompanied by an affidavit of no material change, reasonably satisfactory to Agent and sufficient for the applicable title insurer to eliminate all standard survey-related exceptions to the applicable Mortgage Policy;</w:t>
      </w:r>
    </w:p>
    <w:p>
      <w:pPr>
        <w:spacing w:after="0" w:line="159" w:lineRule="exact"/>
        <w:rPr>
          <w:rFonts w:ascii="Arial" w:cs="Arial" w:eastAsia="Arial" w:hAnsi="Arial"/>
          <w:sz w:val="19"/>
          <w:szCs w:val="19"/>
          <w:color w:val="auto"/>
        </w:rPr>
      </w:pPr>
    </w:p>
    <w:p>
      <w:pPr>
        <w:jc w:val="both"/>
        <w:ind w:left="-780" w:firstLine="1624"/>
        <w:spacing w:after="0" w:line="292" w:lineRule="auto"/>
        <w:tabs>
          <w:tab w:leader="none" w:pos="1561" w:val="left"/>
        </w:tabs>
        <w:numPr>
          <w:ilvl w:val="0"/>
          <w:numId w:val="165"/>
        </w:numPr>
        <w:rPr>
          <w:rFonts w:ascii="Arial" w:cs="Arial" w:eastAsia="Arial" w:hAnsi="Arial"/>
          <w:sz w:val="19"/>
          <w:szCs w:val="19"/>
          <w:color w:val="auto"/>
        </w:rPr>
      </w:pPr>
      <w:r>
        <w:rPr>
          <w:rFonts w:ascii="Arial" w:cs="Arial" w:eastAsia="Arial" w:hAnsi="Arial"/>
          <w:sz w:val="19"/>
          <w:szCs w:val="19"/>
          <w:color w:val="auto"/>
        </w:rPr>
        <w:t>evidence as to whether each Material Real Property that is subject to a Mortgage (a “</w:t>
      </w:r>
      <w:r>
        <w:rPr>
          <w:rFonts w:ascii="Arial" w:cs="Arial" w:eastAsia="Arial" w:hAnsi="Arial"/>
          <w:sz w:val="19"/>
          <w:szCs w:val="19"/>
          <w:u w:val="single" w:color="auto"/>
          <w:color w:val="auto"/>
        </w:rPr>
        <w:t>Mortgaged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Property</w:t>
      </w:r>
      <w:r>
        <w:rPr>
          <w:rFonts w:ascii="Arial" w:cs="Arial" w:eastAsia="Arial" w:hAnsi="Arial"/>
          <w:sz w:val="19"/>
          <w:szCs w:val="19"/>
          <w:color w:val="auto"/>
        </w:rPr>
        <w:t>”) is in an area designated by the Federal Emergency Management Agency as having special flood hazard (a “</w:t>
      </w:r>
      <w:r>
        <w:rPr>
          <w:rFonts w:ascii="Arial" w:cs="Arial" w:eastAsia="Arial" w:hAnsi="Arial"/>
          <w:sz w:val="19"/>
          <w:szCs w:val="19"/>
          <w:u w:val="single" w:color="auto"/>
          <w:color w:val="auto"/>
        </w:rPr>
        <w:t>Flood</w:t>
      </w:r>
      <w:r>
        <w:rPr>
          <w:rFonts w:ascii="Arial" w:cs="Arial" w:eastAsia="Arial" w:hAnsi="Arial"/>
          <w:sz w:val="19"/>
          <w:szCs w:val="19"/>
          <w:color w:val="auto"/>
        </w:rPr>
        <w:t xml:space="preserve"> </w:t>
      </w:r>
      <w:r>
        <w:rPr>
          <w:rFonts w:ascii="Arial" w:cs="Arial" w:eastAsia="Arial" w:hAnsi="Arial"/>
          <w:sz w:val="19"/>
          <w:szCs w:val="19"/>
          <w:u w:val="single" w:color="auto"/>
          <w:color w:val="auto"/>
        </w:rPr>
        <w:t>Hazard Property</w:t>
      </w:r>
      <w:r>
        <w:rPr>
          <w:rFonts w:ascii="Arial" w:cs="Arial" w:eastAsia="Arial" w:hAnsi="Arial"/>
          <w:sz w:val="19"/>
          <w:szCs w:val="19"/>
          <w:color w:val="auto"/>
        </w:rPr>
        <w:t>”) pursuant to a standard “life-of-loan” flood hazard determination form ordered and received by Agent (together with a notice about special flood hazard area status and flood disaster assistance duly executed by Parent Borrower and each Credit Party relating thereto), and (B) if such Mortgaged Property is a Flood Hazard Property, a declaration page confirming that flood insurance has been issued, or such other evidence of flood insurance satisfactory to Agent, in each case sufficient to comply with the Flood Insurance Laws;</w:t>
      </w:r>
    </w:p>
    <w:p>
      <w:pPr>
        <w:spacing w:after="0" w:line="150" w:lineRule="exact"/>
        <w:rPr>
          <w:rFonts w:ascii="Arial" w:cs="Arial" w:eastAsia="Arial" w:hAnsi="Arial"/>
          <w:sz w:val="19"/>
          <w:szCs w:val="19"/>
          <w:color w:val="auto"/>
        </w:rPr>
      </w:pPr>
    </w:p>
    <w:p>
      <w:pPr>
        <w:jc w:val="both"/>
        <w:ind w:left="-780" w:firstLine="1684"/>
        <w:spacing w:after="0" w:line="253" w:lineRule="auto"/>
        <w:tabs>
          <w:tab w:leader="none" w:pos="1488" w:val="left"/>
        </w:tabs>
        <w:numPr>
          <w:ilvl w:val="0"/>
          <w:numId w:val="165"/>
        </w:numPr>
        <w:rPr>
          <w:rFonts w:ascii="Arial" w:cs="Arial" w:eastAsia="Arial" w:hAnsi="Arial"/>
          <w:sz w:val="22"/>
          <w:szCs w:val="22"/>
          <w:color w:val="auto"/>
        </w:rPr>
      </w:pPr>
      <w:r>
        <w:rPr>
          <w:rFonts w:ascii="Arial" w:cs="Arial" w:eastAsia="Arial" w:hAnsi="Arial"/>
          <w:sz w:val="22"/>
          <w:szCs w:val="22"/>
          <w:color w:val="auto"/>
        </w:rPr>
        <w:t>opinions of local counsel for the Credit Parties in states in which the real properties are located, with respect to the enforceability and perfection of the Mortgages and any related fixture filings in form and substance reasonably satisfactory to Agent; and</w:t>
      </w:r>
    </w:p>
    <w:p>
      <w:pPr>
        <w:spacing w:after="0" w:line="185" w:lineRule="exact"/>
        <w:rPr>
          <w:rFonts w:ascii="Arial" w:cs="Arial" w:eastAsia="Arial" w:hAnsi="Arial"/>
          <w:sz w:val="22"/>
          <w:szCs w:val="22"/>
          <w:color w:val="auto"/>
        </w:rPr>
      </w:pPr>
    </w:p>
    <w:p>
      <w:pPr>
        <w:jc w:val="both"/>
        <w:ind w:left="-780" w:firstLine="1624"/>
        <w:spacing w:after="0" w:line="343" w:lineRule="auto"/>
        <w:tabs>
          <w:tab w:leader="none" w:pos="1488" w:val="left"/>
        </w:tabs>
        <w:numPr>
          <w:ilvl w:val="0"/>
          <w:numId w:val="165"/>
        </w:numPr>
        <w:rPr>
          <w:rFonts w:ascii="Arial" w:cs="Arial" w:eastAsia="Arial" w:hAnsi="Arial"/>
          <w:sz w:val="19"/>
          <w:szCs w:val="19"/>
          <w:color w:val="auto"/>
        </w:rPr>
      </w:pPr>
      <w:r>
        <w:rPr>
          <w:rFonts w:ascii="Arial" w:cs="Arial" w:eastAsia="Arial" w:hAnsi="Arial"/>
          <w:sz w:val="19"/>
          <w:szCs w:val="19"/>
          <w:color w:val="auto"/>
        </w:rPr>
        <w:t>such other reasonably satisfactory evidence that all other actions that Agent may reasonably deem necessary or desirable in order to create valid and subsisting Liens on the property described in the Mortgages has been taken.</w:t>
      </w:r>
    </w:p>
    <w:p>
      <w:pPr>
        <w:sectPr>
          <w:pgSz w:w="11900" w:h="16838" w:orient="portrait"/>
          <w:cols w:equalWidth="0" w:num="1">
            <w:col w:w="10120"/>
          </w:cols>
          <w:pgMar w:left="1440" w:top="1428" w:right="339" w:bottom="1440" w:gutter="0" w:footer="0" w:header="0"/>
        </w:sectPr>
      </w:pPr>
    </w:p>
    <w:bookmarkStart w:id="245" w:name="page246"/>
    <w:bookmarkEnd w:id="245"/>
    <w:p>
      <w:pPr>
        <w:jc w:val="both"/>
        <w:ind w:left="180" w:firstLine="1286"/>
        <w:spacing w:after="0" w:line="287" w:lineRule="auto"/>
        <w:tabs>
          <w:tab w:leader="none" w:pos="1952" w:val="left"/>
        </w:tabs>
        <w:numPr>
          <w:ilvl w:val="0"/>
          <w:numId w:val="166"/>
        </w:numPr>
        <w:rPr>
          <w:rFonts w:ascii="Arial" w:cs="Arial" w:eastAsia="Arial" w:hAnsi="Arial"/>
          <w:sz w:val="18"/>
          <w:szCs w:val="18"/>
          <w:color w:val="auto"/>
        </w:rPr>
      </w:pPr>
      <w:r>
        <w:rPr>
          <w:rFonts w:ascii="Arial" w:cs="Arial" w:eastAsia="Arial" w:hAnsi="Arial"/>
          <w:sz w:val="19"/>
          <w:szCs w:val="19"/>
          <w:color w:val="auto"/>
        </w:rPr>
        <w:t>Notwithstanding anything to the contrary contained herein, neither Parent Borrower nor any Subsidiary of Parent Borrower shall be required to execute and deliver any joinder agreement, Collateral Document or any other document or grant a Lien in any Capital Stock or other property held by it if such action (A) is restricted or prohibited by general statutory limitations, financial assistance, corporate benefit, fraudulent preference, “thin capitalization” rules or similar principles, (B) is not within the legal capacity of Parent Borrower or such Subsidiary or would conflict with the fiduciary duties of its directors or contravene any legal prohibition or result in personal or criminal liability on the part of any officer, (C) for reasons of cost, legal limitations or other matters is unreasonably burdensome in relation to the benefits to the Lenders of Parent Borrower’s or such Subsidiary’s guaranty or security or (D) in the case of Con-way or any Subsidiary of Con-way, if the Con-way Existing Indebtedness is outstanding, would result in the breach of, or require the equal and ratable securing of, such outstanding Con-way Existing Indebtedness or the documents governing such Con-way Existing Indebtedness (as in effect on the Amendment No. 3 Effective Date).</w:t>
      </w:r>
    </w:p>
    <w:p>
      <w:pPr>
        <w:spacing w:after="0" w:line="163" w:lineRule="exact"/>
        <w:rPr>
          <w:rFonts w:ascii="Arial" w:cs="Arial" w:eastAsia="Arial" w:hAnsi="Arial"/>
          <w:sz w:val="18"/>
          <w:szCs w:val="18"/>
          <w:color w:val="auto"/>
        </w:rPr>
      </w:pPr>
    </w:p>
    <w:p>
      <w:pPr>
        <w:jc w:val="both"/>
        <w:ind w:left="180" w:firstLine="1286"/>
        <w:spacing w:after="0" w:line="248" w:lineRule="auto"/>
        <w:tabs>
          <w:tab w:leader="none" w:pos="1950" w:val="left"/>
        </w:tabs>
        <w:numPr>
          <w:ilvl w:val="0"/>
          <w:numId w:val="166"/>
        </w:numPr>
        <w:rPr>
          <w:rFonts w:ascii="Arial" w:cs="Arial" w:eastAsia="Arial" w:hAnsi="Arial"/>
          <w:sz w:val="20"/>
          <w:szCs w:val="20"/>
          <w:color w:val="auto"/>
        </w:rPr>
      </w:pPr>
      <w:r>
        <w:rPr>
          <w:rFonts w:ascii="Arial" w:cs="Arial" w:eastAsia="Arial" w:hAnsi="Arial"/>
          <w:sz w:val="22"/>
          <w:szCs w:val="22"/>
          <w:color w:val="auto"/>
        </w:rPr>
        <w:t>In each jurisdiction in which there is a mortgage recording tax, intangible tax or other tax, levy, charge or assessment imposed with respect to the delivery or recordation of any Mortgage based upon the amount secured thereby, each such Mortgage shall not secure the amount of Indebtedness under this Agreement, but shall expressly state that the maximum amount secured thereby shall be an amount equal to the fair market value of the respective Material Real Property as determined hereunder.</w:t>
      </w:r>
    </w:p>
    <w:p>
      <w:pPr>
        <w:spacing w:after="0" w:line="191" w:lineRule="exact"/>
        <w:rPr>
          <w:rFonts w:ascii="Arial" w:cs="Arial" w:eastAsia="Arial" w:hAnsi="Arial"/>
          <w:sz w:val="20"/>
          <w:szCs w:val="20"/>
          <w:color w:val="auto"/>
        </w:rPr>
      </w:pPr>
    </w:p>
    <w:p>
      <w:pPr>
        <w:jc w:val="both"/>
        <w:ind w:left="340" w:firstLine="1288"/>
        <w:spacing w:after="0" w:line="289" w:lineRule="auto"/>
        <w:tabs>
          <w:tab w:leader="none" w:pos="1957" w:val="left"/>
        </w:tabs>
        <w:numPr>
          <w:ilvl w:val="1"/>
          <w:numId w:val="166"/>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Loan Document, no Credit Party shall be required to amend, modify, or otherwise revise the Mortgage relating to the property owned thereby and located at 2220 Claremont Court, Hayward, CA, to update title or obtain any title policy endorsement, or to take any other step with respect to such property described in Section 6.10(b) above or otherwise, to the extent that Parent Borrower reasonably concludes that any such amendment, modification, revision or other step described herein cannot be obtained or completed in spite of Parent Borrower’s commercially reasonable efforts, and Agent and Lenders hereby acknowledge that, as of the Amendment No. 3 Effective Date, Parent Borrower has made such determination. In addition, no Credit Party shall be deemed to be in breach of any representation, warranty, covenant, or other provision of this Agreement or any other Loan Document by virtue of any failure to grant or maintain a perfected lien on such property.</w:t>
      </w:r>
    </w:p>
    <w:p>
      <w:pPr>
        <w:spacing w:after="0" w:line="15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6.11 </w:t>
      </w:r>
      <w:r>
        <w:rPr>
          <w:rFonts w:ascii="Arial" w:cs="Arial" w:eastAsia="Arial" w:hAnsi="Arial"/>
          <w:sz w:val="19"/>
          <w:szCs w:val="19"/>
          <w:u w:val="single" w:color="auto"/>
          <w:color w:val="auto"/>
        </w:rPr>
        <w:t>ERISA Matters</w:t>
      </w:r>
      <w:r>
        <w:rPr>
          <w:rFonts w:ascii="Arial" w:cs="Arial" w:eastAsia="Arial" w:hAnsi="Arial"/>
          <w:sz w:val="19"/>
          <w:szCs w:val="19"/>
          <w:color w:val="auto"/>
        </w:rPr>
        <w:t>. Each Credit Party executing this Agreement agrees that it shall and shall cause each other Credit Party and each Restricted Subsidiary to timely make all contributions, pay all amounts due, and otherwise perform such actions necessary to prevent the imposition of any Liens under ERISA or Section 412 of the IRC (each an “</w:t>
      </w:r>
      <w:r>
        <w:rPr>
          <w:rFonts w:ascii="Arial" w:cs="Arial" w:eastAsia="Arial" w:hAnsi="Arial"/>
          <w:sz w:val="19"/>
          <w:szCs w:val="19"/>
          <w:u w:val="single" w:color="auto"/>
          <w:color w:val="auto"/>
        </w:rPr>
        <w:t>ERISA Lien</w:t>
      </w:r>
      <w:r>
        <w:rPr>
          <w:rFonts w:ascii="Arial" w:cs="Arial" w:eastAsia="Arial" w:hAnsi="Arial"/>
          <w:sz w:val="19"/>
          <w:szCs w:val="19"/>
          <w:color w:val="auto"/>
        </w:rPr>
        <w:t>”).</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19"/>
          <w:szCs w:val="19"/>
          <w:u w:val="single" w:color="auto"/>
          <w:color w:val="auto"/>
        </w:rPr>
        <w:t>New Subsidiaries</w:t>
      </w:r>
      <w:r>
        <w:rPr>
          <w:rFonts w:ascii="Arial" w:cs="Arial" w:eastAsia="Arial" w:hAnsi="Arial"/>
          <w:sz w:val="19"/>
          <w:szCs w:val="19"/>
          <w:color w:val="auto"/>
        </w:rPr>
        <w:t>.</w:t>
      </w:r>
    </w:p>
    <w:p>
      <w:pPr>
        <w:spacing w:after="0" w:line="220" w:lineRule="exact"/>
        <w:rPr>
          <w:sz w:val="20"/>
          <w:szCs w:val="20"/>
          <w:color w:val="auto"/>
        </w:rPr>
      </w:pPr>
    </w:p>
    <w:p>
      <w:pPr>
        <w:jc w:val="both"/>
        <w:ind w:left="340" w:firstLine="1288"/>
        <w:spacing w:after="0" w:line="312" w:lineRule="auto"/>
        <w:tabs>
          <w:tab w:leader="none" w:pos="1957" w:val="left"/>
        </w:tabs>
        <w:numPr>
          <w:ilvl w:val="0"/>
          <w:numId w:val="167"/>
        </w:numPr>
        <w:rPr>
          <w:rFonts w:ascii="Arial" w:cs="Arial" w:eastAsia="Arial" w:hAnsi="Arial"/>
          <w:sz w:val="19"/>
          <w:szCs w:val="19"/>
          <w:color w:val="auto"/>
        </w:rPr>
      </w:pPr>
      <w:r>
        <w:rPr>
          <w:rFonts w:ascii="Arial" w:cs="Arial" w:eastAsia="Arial" w:hAnsi="Arial"/>
          <w:sz w:val="19"/>
          <w:szCs w:val="19"/>
          <w:color w:val="auto"/>
        </w:rPr>
        <w:t>Within thirty (30) Business Days of the formation of any Restricted Subsidiary, acquisition of a Restricted Subsidiary</w:t>
      </w:r>
      <w:r>
        <w:rPr>
          <w:rFonts w:ascii="Arial" w:cs="Arial" w:eastAsia="Arial" w:hAnsi="Arial"/>
          <w:sz w:val="19"/>
          <w:szCs w:val="19"/>
          <w:u w:val="single" w:color="auto"/>
          <w:color w:val="0000FF"/>
        </w:rPr>
        <w:t>, the designation of a Designated Guarantor</w:t>
      </w:r>
      <w:r>
        <w:rPr>
          <w:rFonts w:ascii="Arial" w:cs="Arial" w:eastAsia="Arial" w:hAnsi="Arial"/>
          <w:sz w:val="19"/>
          <w:szCs w:val="19"/>
          <w:color w:val="auto"/>
        </w:rPr>
        <w:t xml:space="preserve"> or at any time a Subsidiary becomes a Restricted Subsidiary, Borrowers shall notify Agent of such event and, promptly thereafter (and in any event within 30 days or such longer period as</w:t>
      </w:r>
    </w:p>
    <w:p>
      <w:pPr>
        <w:sectPr>
          <w:pgSz w:w="11900" w:h="16838" w:orient="portrait"/>
          <w:cols w:equalWidth="0" w:num="1">
            <w:col w:w="11240"/>
          </w:cols>
          <w:pgMar w:left="320" w:top="1428" w:right="339" w:bottom="1440" w:gutter="0" w:footer="0" w:header="0"/>
        </w:sectPr>
      </w:pPr>
    </w:p>
    <w:bookmarkStart w:id="246" w:name="page247"/>
    <w:bookmarkEnd w:id="246"/>
    <w:p>
      <w:pPr>
        <w:jc w:val="both"/>
        <w:ind w:left="8"/>
        <w:spacing w:after="0" w:line="284" w:lineRule="auto"/>
        <w:rPr>
          <w:sz w:val="20"/>
          <w:szCs w:val="20"/>
          <w:color w:val="auto"/>
        </w:rPr>
      </w:pPr>
      <w:r>
        <w:rPr>
          <w:rFonts w:ascii="Arial" w:cs="Arial" w:eastAsia="Arial" w:hAnsi="Arial"/>
          <w:sz w:val="19"/>
          <w:szCs w:val="19"/>
          <w:color w:val="auto"/>
        </w:rPr>
        <w:t xml:space="preserve">Agent may agree) (i) cause each such new Restricted Subsidiary that is not an Excluded Subsidiary to deliver to Agent (A) a Joinder Agreement (which Joinder Agreement will specify whether such new Credit Party will be a “Borrower” hereunder) and (B) a supplemental Guaranty in the form attached hereto as Exhibit 1.1(a), and to deliver to Agent such security documents related to personalty, together with appropriate financing statements, reasonably requested by Agent, all in form and substance reasonably satisfactory to Agent, (ii) with respect to all new Restricted Subsidiaries that are directly owned in whole or in part by a U.S. Credit Party or a Canadian Credit Party, cause such Credit Party to provide to Agent a supplement to the U.S. Security Agreement or the Canadian Security Agreement, as applicable, providing for the pledge of the Capital Stock in such new Restricted Subsidiary owned by it (or, in the case of a Foreign Subsidiary (other than a Foreign Subsidiary of a Credit Party organized under the laws of Canada (or any province or territory thereof) that is not a Specified Entity), sixty-five percent (65%) of the total combined voting power of all classes of the voting Capital Stock of such Foreign Subsidiary and one-hundred percent (100%) of the non-voting Capital Stock of such Foreign Subsidiary, in each case to the extent that such Capital Stock does not constitute Excluded Property or Excluded Principal Property), as shall be requested by Agent together with appropriate certificates and powers or financing statements under the Code or the PPSA, as applicable, or other applicable personal property or moveable property registries or other documents necessary to perfect such pledge, in form and substance reasonably satisfactory to Agent, and (iii) provide or cause to be provided to Agent all other customary and reasonable documentation requested thereby, including, to the extent requested by Agent, one or more opinions of counsel reasonably satisfactory to Agent, which in its opinion is appropriate and customary with respect to such execution and delivery of the applicable documentation referred to above. Upon execution and delivery of the Joinder Agreement by each such new Restricted Subsidiary, such Restricted Subsidiary shall become a Credit Party hereunder with the same force and effect as if originally named as a Credit Party herein. The execution and delivery of the Joinder Agreement shall not require the consent of any Credit Party or Lender hereunder. The rights and obligations of each Credit Party hereunder shall remain in full force and effect notwithstanding the addition of any Credit Party hereunder. For the avoidance of doubt and notwithstanding anything herein or in any other Loan Document to the contrary, no Excluded Subsidiary </w:t>
      </w:r>
      <w:r>
        <w:rPr>
          <w:rFonts w:ascii="Arial" w:cs="Arial" w:eastAsia="Arial" w:hAnsi="Arial"/>
          <w:sz w:val="19"/>
          <w:szCs w:val="19"/>
          <w:color w:val="0000FF"/>
        </w:rPr>
        <w:t>(other than a</w:t>
      </w:r>
      <w:r>
        <w:rPr>
          <w:rFonts w:ascii="Arial" w:cs="Arial" w:eastAsia="Arial" w:hAnsi="Arial"/>
          <w:sz w:val="19"/>
          <w:szCs w:val="19"/>
          <w:color w:val="auto"/>
        </w:rPr>
        <w:t xml:space="preserve"> </w:t>
      </w:r>
      <w:r>
        <w:rPr>
          <w:rFonts w:ascii="Arial" w:cs="Arial" w:eastAsia="Arial" w:hAnsi="Arial"/>
          <w:sz w:val="19"/>
          <w:szCs w:val="19"/>
          <w:u w:val="single" w:color="auto"/>
          <w:color w:val="0000FF"/>
        </w:rPr>
        <w:t>Designated Guarantor)</w:t>
      </w:r>
      <w:r>
        <w:rPr>
          <w:rFonts w:ascii="Arial" w:cs="Arial" w:eastAsia="Arial" w:hAnsi="Arial"/>
          <w:sz w:val="19"/>
          <w:szCs w:val="19"/>
          <w:color w:val="0000FF"/>
        </w:rPr>
        <w:t xml:space="preserve"> </w:t>
      </w:r>
      <w:r>
        <w:rPr>
          <w:rFonts w:ascii="Arial" w:cs="Arial" w:eastAsia="Arial" w:hAnsi="Arial"/>
          <w:sz w:val="19"/>
          <w:szCs w:val="19"/>
          <w:color w:val="000000"/>
        </w:rPr>
        <w:t>shall execute a Guaranty or any Collateral Document in respect of, or otherwise guaranty or grant any</w:t>
      </w:r>
      <w:r>
        <w:rPr>
          <w:rFonts w:ascii="Arial" w:cs="Arial" w:eastAsia="Arial" w:hAnsi="Arial"/>
          <w:sz w:val="19"/>
          <w:szCs w:val="19"/>
          <w:color w:val="0000FF"/>
        </w:rPr>
        <w:t xml:space="preserve"> </w:t>
      </w:r>
      <w:r>
        <w:rPr>
          <w:rFonts w:ascii="Arial" w:cs="Arial" w:eastAsia="Arial" w:hAnsi="Arial"/>
          <w:sz w:val="19"/>
          <w:szCs w:val="19"/>
          <w:color w:val="000000"/>
        </w:rPr>
        <w:t>Lien to secure, any Obligation of a U.S. Borrower or other U.S. Credit Party or of any “United States person” as defined in section 7701(a)(30) of the IRC.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6116320</wp:posOffset>
            </wp:positionH>
            <wp:positionV relativeFrom="paragraph">
              <wp:posOffset>-378460</wp:posOffset>
            </wp:positionV>
            <wp:extent cx="8045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804545"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left="8" w:firstLine="1288"/>
        <w:spacing w:after="0" w:line="285" w:lineRule="auto"/>
        <w:tabs>
          <w:tab w:leader="none" w:pos="1623" w:val="left"/>
        </w:tabs>
        <w:numPr>
          <w:ilvl w:val="1"/>
          <w:numId w:val="168"/>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neither Borrower nor any Subsidiary of any Borrower shall be required to execute and deliver any joinder agreement, Guaranty, Collateral Document or any other document or grant a Lien in any Capital Stock or other property held by it if such action (A) is restricted or prohibited by general statutory limitations, financial assistance, corporate benefit, fraudulent preference, “thin capitalization” rules or similar principles, (B) is not within the legal capacity of Borrowers or such Subsidiary or would conflict with the fiduciary duties of its directors or contravene any legal prohibition or result in personal or criminal liability on the part of any officer,</w:t>
      </w:r>
    </w:p>
    <w:p>
      <w:pPr>
        <w:ind w:left="348" w:hanging="348"/>
        <w:spacing w:after="0"/>
        <w:tabs>
          <w:tab w:leader="none" w:pos="348" w:val="left"/>
        </w:tabs>
        <w:numPr>
          <w:ilvl w:val="0"/>
          <w:numId w:val="169"/>
        </w:numPr>
        <w:rPr>
          <w:rFonts w:ascii="Arial" w:cs="Arial" w:eastAsia="Arial" w:hAnsi="Arial"/>
          <w:sz w:val="22"/>
          <w:szCs w:val="22"/>
          <w:color w:val="auto"/>
        </w:rPr>
      </w:pPr>
      <w:r>
        <w:rPr>
          <w:rFonts w:ascii="Arial" w:cs="Arial" w:eastAsia="Arial" w:hAnsi="Arial"/>
          <w:sz w:val="22"/>
          <w:szCs w:val="22"/>
          <w:color w:val="auto"/>
        </w:rPr>
        <w:t>for reasons of cost, legal limitations or other matters is unreasonably burdensome</w:t>
      </w:r>
    </w:p>
    <w:p>
      <w:pPr>
        <w:sectPr>
          <w:pgSz w:w="11900" w:h="16838" w:orient="portrait"/>
          <w:cols w:equalWidth="0" w:num="1">
            <w:col w:w="10908"/>
          </w:cols>
          <w:pgMar w:left="652" w:top="1428" w:right="339" w:bottom="1440" w:gutter="0" w:footer="0" w:header="0"/>
        </w:sectPr>
      </w:pPr>
    </w:p>
    <w:bookmarkStart w:id="247" w:name="page248"/>
    <w:bookmarkEnd w:id="247"/>
    <w:p>
      <w:pPr>
        <w:jc w:val="both"/>
        <w:ind w:right="20"/>
        <w:spacing w:after="0" w:line="312" w:lineRule="auto"/>
        <w:rPr>
          <w:sz w:val="20"/>
          <w:szCs w:val="20"/>
          <w:color w:val="auto"/>
        </w:rPr>
      </w:pPr>
      <w:r>
        <w:rPr>
          <w:rFonts w:ascii="Arial" w:cs="Arial" w:eastAsia="Arial" w:hAnsi="Arial"/>
          <w:sz w:val="19"/>
          <w:szCs w:val="19"/>
          <w:color w:val="auto"/>
        </w:rPr>
        <w:t>in relation to the benefits to the Lenders of such Borrower’s or such Subsidiary’s guaranty or security as reasonably determined by Parent Borrower and Agent or (D) is Excluded Property or Excluded Principal Property or otherwise would not be required with respect to the Collateral owned by a Credit Party pursuant to the terms of the Collateral Documents.</w:t>
      </w:r>
    </w:p>
    <w:p>
      <w:pPr>
        <w:spacing w:after="0" w:line="133"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2"/>
          <w:szCs w:val="22"/>
          <w:color w:val="auto"/>
        </w:rPr>
        <w:t>6.13</w:t>
      </w:r>
      <w:r>
        <w:rPr>
          <w:sz w:val="20"/>
          <w:szCs w:val="20"/>
          <w:color w:val="auto"/>
        </w:rPr>
        <w:tab/>
      </w:r>
      <w:r>
        <w:rPr>
          <w:rFonts w:ascii="Arial" w:cs="Arial" w:eastAsia="Arial" w:hAnsi="Arial"/>
          <w:sz w:val="19"/>
          <w:szCs w:val="19"/>
          <w:u w:val="single" w:color="auto"/>
          <w:color w:val="auto"/>
        </w:rPr>
        <w:t xml:space="preserve">Designation of Subsidiaries </w:t>
      </w:r>
      <w:r>
        <w:rPr>
          <w:rFonts w:ascii="Arial" w:cs="Arial" w:eastAsia="Arial" w:hAnsi="Arial"/>
          <w:sz w:val="19"/>
          <w:szCs w:val="19"/>
          <w:color w:val="0000FF"/>
        </w:rPr>
        <w:t>and Designated Guarantors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-17780</wp:posOffset>
            </wp:positionV>
            <wp:extent cx="152717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1527175" cy="8255"/>
                    </a:xfrm>
                    <a:prstGeom prst="rect">
                      <a:avLst/>
                    </a:prstGeom>
                    <a:noFill/>
                  </pic:spPr>
                </pic:pic>
              </a:graphicData>
            </a:graphic>
          </wp:anchor>
        </w:drawing>
      </w:r>
    </w:p>
    <w:p>
      <w:pPr>
        <w:spacing w:after="0" w:line="200" w:lineRule="exact"/>
        <w:rPr>
          <w:sz w:val="20"/>
          <w:szCs w:val="20"/>
          <w:color w:val="auto"/>
        </w:rPr>
      </w:pPr>
    </w:p>
    <w:p>
      <w:pPr>
        <w:jc w:val="both"/>
        <w:ind w:firstLine="1288"/>
        <w:spacing w:after="0" w:line="287" w:lineRule="auto"/>
        <w:tabs>
          <w:tab w:leader="none" w:pos="1617" w:val="left"/>
        </w:tabs>
        <w:numPr>
          <w:ilvl w:val="0"/>
          <w:numId w:val="170"/>
        </w:numPr>
        <w:rPr>
          <w:rFonts w:ascii="Arial" w:cs="Arial" w:eastAsia="Arial" w:hAnsi="Arial"/>
          <w:sz w:val="19"/>
          <w:szCs w:val="19"/>
          <w:u w:val="single" w:color="auto"/>
          <w:color w:val="0000FF"/>
        </w:rPr>
      </w:pPr>
      <w:r>
        <w:rPr>
          <w:rFonts w:ascii="Arial" w:cs="Arial" w:eastAsia="Arial" w:hAnsi="Arial"/>
          <w:sz w:val="19"/>
          <w:szCs w:val="19"/>
          <w:color w:val="auto"/>
        </w:rPr>
        <w:t xml:space="preserve">A Financial Officer of Borrower Representative may at any time designate any Restricted Subsidiary as an Unrestricted Subsidiary or any Unrestricted Subsidiary as a Restricted Subsidiary in accordance with the definition of “Unrestricted Subsidiary”. With respect to the assets of Unrestricted Subsidiaries and Restricted Subsidiaries that are Credit Parties being included in the calculation of the Borrowing Base, (a) if a Restricted Subsidiary is designated by Borrowers as an Unrestricted Subsidiary, the assets of such Subsidiary shall immediately be excluded from the Borrowing Base, and (b) if an Unrestricted Subsidiary is designated by Borrowers as a Restricted Subsidiary after the Amendment No. 3 Effective Date, then the assets of such Subsidiary shall not be included in the calculation of the Borrowing Base until (i) Agent consents (such consent not to be unreasonably withheld) to such inclusion (except to the extent such Subsidiary’s assets were previously included in the Borrowing Base) and (ii) Agent has received satisfactory appraisals and field exams with respect to the assets of such Subsidiary, if applicable, as reasonably required by Agent and (iii) the Credit Parties have complied with </w:t>
      </w:r>
      <w:r>
        <w:rPr>
          <w:rFonts w:ascii="Arial" w:cs="Arial" w:eastAsia="Arial" w:hAnsi="Arial"/>
          <w:sz w:val="19"/>
          <w:szCs w:val="19"/>
          <w:u w:val="single" w:color="auto"/>
          <w:color w:val="auto"/>
        </w:rPr>
        <w:t>Section 6.12(a)</w:t>
      </w:r>
      <w:r>
        <w:rPr>
          <w:rFonts w:ascii="Arial" w:cs="Arial" w:eastAsia="Arial" w:hAnsi="Arial"/>
          <w:sz w:val="19"/>
          <w:szCs w:val="19"/>
          <w:color w:val="auto"/>
        </w:rPr>
        <w:t xml:space="preserve"> with respect to such Subsidiary. As of the Restatement Date, the Unrestricted Subsidiaries of Borrowers are set forth on </w:t>
      </w:r>
      <w:r>
        <w:rPr>
          <w:rFonts w:ascii="Arial" w:cs="Arial" w:eastAsia="Arial" w:hAnsi="Arial"/>
          <w:sz w:val="19"/>
          <w:szCs w:val="19"/>
          <w:u w:val="single" w:color="auto"/>
          <w:color w:val="auto"/>
        </w:rPr>
        <w:t>Schedule 6.13</w:t>
      </w:r>
      <w:r>
        <w:rPr>
          <w:rFonts w:ascii="Arial" w:cs="Arial" w:eastAsia="Arial" w:hAnsi="Arial"/>
          <w:sz w:val="19"/>
          <w:szCs w:val="19"/>
          <w:color w:val="auto"/>
        </w:rPr>
        <w:t>.</w:t>
      </w:r>
    </w:p>
    <w:p>
      <w:pPr>
        <w:spacing w:after="0" w:line="200" w:lineRule="exact"/>
        <w:rPr>
          <w:rFonts w:ascii="Arial" w:cs="Arial" w:eastAsia="Arial" w:hAnsi="Arial"/>
          <w:sz w:val="19"/>
          <w:szCs w:val="19"/>
          <w:u w:val="single" w:color="auto"/>
          <w:color w:val="0000FF"/>
        </w:rPr>
      </w:pPr>
    </w:p>
    <w:p>
      <w:pPr>
        <w:spacing w:after="0" w:line="219" w:lineRule="exact"/>
        <w:rPr>
          <w:rFonts w:ascii="Arial" w:cs="Arial" w:eastAsia="Arial" w:hAnsi="Arial"/>
          <w:sz w:val="19"/>
          <w:szCs w:val="19"/>
          <w:u w:val="single" w:color="auto"/>
          <w:color w:val="0000FF"/>
        </w:rPr>
      </w:pPr>
    </w:p>
    <w:p>
      <w:pPr>
        <w:jc w:val="both"/>
        <w:ind w:firstLine="1288"/>
        <w:spacing w:after="0" w:line="286" w:lineRule="auto"/>
        <w:tabs>
          <w:tab w:leader="none" w:pos="1615" w:val="left"/>
        </w:tabs>
        <w:numPr>
          <w:ilvl w:val="0"/>
          <w:numId w:val="170"/>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If an Excluded Subsidiary is designated by Parent Borrower as a Designated Guarantor in accordance with the definition of “Excluded Subsidiary”, then the assets of such Subsidiary shall be included in the calculation of the Borrowing Base upon satisfaction of the following conditions: (i) Agent and Co-Collateral Agents shall have consented (such consent not to be unreasonably withheld or delayed) to such inclusion (except to the extent such Subsidiary’s assets were previously included in such Borrowing Base), (ii) Agent and Co-Collateral Agents shall have received satisfactory appraisals and field exams with respect to the assets of such Subsidiary, if applicable, as reasonably required by Agent and Co-Collateral Agents, and (iii) the Credit Parties shall have complied with Section 6.12(a) with respect to such Subsidiary. As of the Amendment No. 5 Effective Date, the Designated Guarantors are Jacobson Transportation Company, Inc., an Iowa corporation, Jacobson Warehouse Company, Inc., an Iowa corporation, Jacobson Logistics Company, L.C., an Iowa limited liability company, and Jacobson Packing Company, L.C., an Iowa limited liability company. Notwithstanding the foregoing, upon satisfaction of the requirements in respect of the foregoing Designated Guarantors set forth in Section 6.12(a), the U.S. Borrowing Base shall be increased by an amount equal to the sum of (I) the product of (A) 75% multiplied by (B) the Eligible Billed Accounts of such Designated Guarantors plus (II) the product of (A) 70% multiplied by (B) the Eligible Unbilled Accounts of such Designated Guarantors, in each case, calculated as of the Amendment No. 5 Effective Date (the “Temporary U.S. Borrowing Base Adjustment”), until the earliest of (x) 90 days after the Amendment No. 5 Effective Date, (y) Agent and Co-Collateral Agents having received</w:t>
      </w:r>
    </w:p>
    <w:p>
      <w:pPr>
        <w:sectPr>
          <w:pgSz w:w="11900" w:h="16838" w:orient="portrait"/>
          <w:cols w:equalWidth="0" w:num="1">
            <w:col w:w="10900"/>
          </w:cols>
          <w:pgMar w:left="660" w:top="1428" w:right="339" w:bottom="1440" w:gutter="0" w:footer="0" w:header="0"/>
        </w:sectPr>
      </w:pPr>
    </w:p>
    <w:bookmarkStart w:id="248" w:name="page249"/>
    <w:bookmarkEnd w:id="248"/>
    <w:p>
      <w:pPr>
        <w:ind w:left="340"/>
        <w:spacing w:after="0" w:line="343" w:lineRule="auto"/>
        <w:rPr>
          <w:sz w:val="20"/>
          <w:szCs w:val="20"/>
          <w:color w:val="auto"/>
        </w:rPr>
      </w:pPr>
      <w:r>
        <w:rPr>
          <w:rFonts w:ascii="Arial" w:cs="Arial" w:eastAsia="Arial" w:hAnsi="Arial"/>
          <w:sz w:val="19"/>
          <w:szCs w:val="19"/>
          <w:u w:val="single" w:color="auto"/>
          <w:color w:val="0000FF"/>
        </w:rPr>
        <w:t>satisfactory appraisals and field exams with respect to the assets of such Subsidiary, if applicable, as reasonably required by Agent and Co-Collateral Agents, and (z) any such Designated Guarantor ceasing to be a Guarantor hereunder.</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6.14 </w:t>
      </w:r>
      <w:r>
        <w:rPr>
          <w:rFonts w:ascii="Arial" w:cs="Arial" w:eastAsia="Arial" w:hAnsi="Arial"/>
          <w:sz w:val="22"/>
          <w:szCs w:val="22"/>
          <w:u w:val="single" w:color="auto"/>
          <w:color w:val="auto"/>
        </w:rPr>
        <w:t>Post-Closing Matters</w:t>
      </w:r>
      <w:r>
        <w:rPr>
          <w:rFonts w:ascii="Arial" w:cs="Arial" w:eastAsia="Arial" w:hAnsi="Arial"/>
          <w:sz w:val="22"/>
          <w:szCs w:val="22"/>
          <w:color w:val="auto"/>
        </w:rPr>
        <w:t xml:space="preserve">. Execute and deliver the documents and complete the tasks set forth on </w:t>
      </w:r>
      <w:r>
        <w:rPr>
          <w:rFonts w:ascii="Arial" w:cs="Arial" w:eastAsia="Arial" w:hAnsi="Arial"/>
          <w:sz w:val="22"/>
          <w:szCs w:val="22"/>
          <w:u w:val="single" w:color="auto"/>
          <w:color w:val="auto"/>
        </w:rPr>
        <w:t>Schedule 6.14</w:t>
      </w:r>
      <w:r>
        <w:rPr>
          <w:rFonts w:ascii="Arial" w:cs="Arial" w:eastAsia="Arial" w:hAnsi="Arial"/>
          <w:sz w:val="22"/>
          <w:szCs w:val="22"/>
          <w:color w:val="auto"/>
        </w:rPr>
        <w:t>, in each case within the time limits specified on such schedule, as such time limits may be extended from time to time by Agent in its reasonable discretion.</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6.15</w:t>
      </w:r>
      <w:r>
        <w:rPr>
          <w:sz w:val="20"/>
          <w:szCs w:val="20"/>
          <w:color w:val="auto"/>
        </w:rPr>
        <w:tab/>
      </w:r>
      <w:r>
        <w:rPr>
          <w:rFonts w:ascii="Arial" w:cs="Arial" w:eastAsia="Arial" w:hAnsi="Arial"/>
          <w:sz w:val="19"/>
          <w:szCs w:val="19"/>
          <w:u w:val="single" w:color="auto"/>
          <w:color w:val="auto"/>
        </w:rPr>
        <w:t>Use of Proceeds</w:t>
      </w:r>
      <w:r>
        <w:rPr>
          <w:rFonts w:ascii="Arial" w:cs="Arial" w:eastAsia="Arial" w:hAnsi="Arial"/>
          <w:sz w:val="19"/>
          <w:szCs w:val="19"/>
          <w:color w:val="auto"/>
        </w:rPr>
        <w:t>. All proceeds of the Loans shall be used as provided in</w:t>
      </w:r>
      <w:r>
        <w:rPr>
          <w:rFonts w:ascii="Arial" w:cs="Arial" w:eastAsia="Arial" w:hAnsi="Arial"/>
          <w:sz w:val="19"/>
          <w:szCs w:val="19"/>
          <w:u w:val="single" w:color="auto"/>
          <w:color w:val="auto"/>
        </w:rPr>
        <w:t xml:space="preserve"> Section 2.4</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6.16 </w:t>
      </w:r>
      <w:r>
        <w:rPr>
          <w:rFonts w:ascii="Arial" w:cs="Arial" w:eastAsia="Arial" w:hAnsi="Arial"/>
          <w:sz w:val="22"/>
          <w:szCs w:val="22"/>
          <w:u w:val="single" w:color="auto"/>
          <w:color w:val="auto"/>
        </w:rPr>
        <w:t>Driver Payables</w:t>
      </w:r>
      <w:r>
        <w:rPr>
          <w:rFonts w:ascii="Arial" w:cs="Arial" w:eastAsia="Arial" w:hAnsi="Arial"/>
          <w:sz w:val="22"/>
          <w:szCs w:val="22"/>
          <w:color w:val="auto"/>
        </w:rPr>
        <w:t>. Pay before the same become delinquent all Driver Payables, except to the extent that the non-payment thereof would not reasonably be expected to give rise to a Lien in an aggregate amount in excess of $20,000,000 (it being understood that Agent may establish a Reserve for any such delinquent Driver Payables which would result in a Lien in an aggregate amount in excess of $10,000,000).</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6.17</w:t>
      </w:r>
      <w:r>
        <w:rPr>
          <w:sz w:val="20"/>
          <w:szCs w:val="20"/>
          <w:color w:val="auto"/>
        </w:rPr>
        <w:tab/>
      </w:r>
      <w:r>
        <w:rPr>
          <w:rFonts w:ascii="Arial" w:cs="Arial" w:eastAsia="Arial" w:hAnsi="Arial"/>
          <w:sz w:val="19"/>
          <w:szCs w:val="19"/>
          <w:u w:val="single" w:color="auto"/>
          <w:color w:val="auto"/>
        </w:rPr>
        <w:t>Rolling Stock</w:t>
      </w:r>
      <w:r>
        <w:rPr>
          <w:rFonts w:ascii="Arial" w:cs="Arial" w:eastAsia="Arial" w:hAnsi="Arial"/>
          <w:sz w:val="19"/>
          <w:szCs w:val="19"/>
          <w:color w:val="auto"/>
        </w:rPr>
        <w:t>.</w:t>
      </w:r>
    </w:p>
    <w:p>
      <w:pPr>
        <w:spacing w:after="0" w:line="220" w:lineRule="exact"/>
        <w:rPr>
          <w:sz w:val="20"/>
          <w:szCs w:val="20"/>
          <w:color w:val="auto"/>
        </w:rPr>
      </w:pPr>
    </w:p>
    <w:p>
      <w:pPr>
        <w:jc w:val="both"/>
        <w:ind w:left="340" w:firstLine="1288"/>
        <w:spacing w:after="0" w:line="261" w:lineRule="auto"/>
        <w:tabs>
          <w:tab w:leader="none" w:pos="1957" w:val="left"/>
        </w:tabs>
        <w:numPr>
          <w:ilvl w:val="0"/>
          <w:numId w:val="171"/>
        </w:numPr>
        <w:rPr>
          <w:rFonts w:ascii="Arial" w:cs="Arial" w:eastAsia="Arial" w:hAnsi="Arial"/>
          <w:sz w:val="21"/>
          <w:szCs w:val="21"/>
          <w:color w:val="auto"/>
        </w:rPr>
      </w:pPr>
      <w:r>
        <w:rPr>
          <w:rFonts w:ascii="Arial" w:cs="Arial" w:eastAsia="Arial" w:hAnsi="Arial"/>
          <w:sz w:val="21"/>
          <w:szCs w:val="21"/>
          <w:color w:val="auto"/>
        </w:rPr>
        <w:t>Each U.S. Credit Party shall at all times maintain records with respect to Rolling Stock Collateral reasonably satisfactory to Agent, keeping correct, detailed and accurate records describing the Rolling Stock Collateral and such U.S. Credit Party’s cost therefor. With respect to each Railcar, U.S. Credit Parties shall maintain (i) the documents and other written information originally furnished by the manufacturer and/or seller thereof, (ii) the documents or other data maintained (or required to be maintained) pursuant to the terms of the lease thereof and (iii) the documents or other data maintained (or required to be maintained) pursuant to the terms of applicable laws.</w:t>
      </w:r>
    </w:p>
    <w:p>
      <w:pPr>
        <w:spacing w:after="0" w:line="179" w:lineRule="exact"/>
        <w:rPr>
          <w:rFonts w:ascii="Arial" w:cs="Arial" w:eastAsia="Arial" w:hAnsi="Arial"/>
          <w:sz w:val="21"/>
          <w:szCs w:val="21"/>
          <w:color w:val="auto"/>
        </w:rPr>
      </w:pPr>
    </w:p>
    <w:p>
      <w:pPr>
        <w:jc w:val="both"/>
        <w:ind w:left="340" w:firstLine="1288"/>
        <w:spacing w:after="0" w:line="289" w:lineRule="auto"/>
        <w:tabs>
          <w:tab w:leader="none" w:pos="1955"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Prior to the date that any Rolling Stock Collateral is included in the U.S. Borrowing Base, with respect to the Rolling Stock Collateral subject to certificates of title, the U.S. Credit Parties shall have submitted applications to the relevant state agencies for lien notations in Agent’s name with respect to such certificates of title of such Rolling Stock Collateral and delivered, promptly after its receipt of certificates of title noting Agent’s interest, all such certificates of title to Agent, unless Agent consents that a third-party administrator acceptable to Agent may retain such certificates of title after having entered into a required custody agreement in favor of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those states where submitting an application to have a Lien noted on a certificate of title for any Rolling Stock Collateral is not sufficient to perfect such Lien under the applicable state law, then in addition, Agent shall have received evidence that Agent’s Lien with respect to such Rolling Stock Collateral has been noted on the certificate of title, except as Agent may otherwise agree.</w:t>
      </w:r>
    </w:p>
    <w:p>
      <w:pPr>
        <w:spacing w:after="0" w:line="156" w:lineRule="exact"/>
        <w:rPr>
          <w:rFonts w:ascii="Arial" w:cs="Arial" w:eastAsia="Arial" w:hAnsi="Arial"/>
          <w:sz w:val="19"/>
          <w:szCs w:val="19"/>
          <w:color w:val="auto"/>
        </w:rPr>
      </w:pPr>
    </w:p>
    <w:p>
      <w:pPr>
        <w:jc w:val="both"/>
        <w:ind w:left="340" w:firstLine="1288"/>
        <w:spacing w:after="0" w:line="312" w:lineRule="auto"/>
        <w:tabs>
          <w:tab w:leader="none" w:pos="1957" w:val="left"/>
        </w:tabs>
        <w:numPr>
          <w:ilvl w:val="0"/>
          <w:numId w:val="171"/>
        </w:numPr>
        <w:rPr>
          <w:rFonts w:ascii="Arial" w:cs="Arial" w:eastAsia="Arial" w:hAnsi="Arial"/>
          <w:sz w:val="19"/>
          <w:szCs w:val="19"/>
          <w:color w:val="auto"/>
        </w:rPr>
      </w:pPr>
      <w:r>
        <w:rPr>
          <w:rFonts w:ascii="Arial" w:cs="Arial" w:eastAsia="Arial" w:hAnsi="Arial"/>
          <w:sz w:val="19"/>
          <w:szCs w:val="19"/>
          <w:color w:val="auto"/>
        </w:rPr>
        <w:t>Unless and until Agent may direct otherwise, the following items of Rolling Stock Collateral shall be located only at any office or facility of Parent Borrower or any of its Subsidiaries or such other location that is reasonably acceptable to Agent: (i) any manufacturers’ statements of origin or manufacturers’ certificates of origin and other</w:t>
      </w:r>
    </w:p>
    <w:p>
      <w:pPr>
        <w:sectPr>
          <w:pgSz w:w="11900" w:h="16838" w:orient="portrait"/>
          <w:cols w:equalWidth="0" w:num="1">
            <w:col w:w="11240"/>
          </w:cols>
          <w:pgMar w:left="320" w:top="1428" w:right="339" w:bottom="1440" w:gutter="0" w:footer="0" w:header="0"/>
        </w:sectPr>
      </w:pPr>
    </w:p>
    <w:bookmarkStart w:id="249" w:name="page250"/>
    <w:bookmarkEnd w:id="249"/>
    <w:p>
      <w:pPr>
        <w:jc w:val="both"/>
        <w:ind w:left="340"/>
        <w:spacing w:after="0" w:line="248" w:lineRule="auto"/>
        <w:rPr>
          <w:sz w:val="20"/>
          <w:szCs w:val="20"/>
          <w:color w:val="auto"/>
        </w:rPr>
      </w:pPr>
      <w:r>
        <w:rPr>
          <w:rFonts w:ascii="Arial" w:cs="Arial" w:eastAsia="Arial" w:hAnsi="Arial"/>
          <w:sz w:val="22"/>
          <w:szCs w:val="22"/>
          <w:color w:val="auto"/>
        </w:rPr>
        <w:t>certificates, statements, bills of sale or other evidence of the transfer to or ownership of any U.S. Credit Party of any of the Rolling Stock Collateral; and (ii) any certificates of title at any time issued under the laws of any State or other jurisdiction with respect to any of the Rolling Stock Collateral. In addition, and not in limitation of the rights of Agent hereunder, promptly upon Agent’s request, Agent may require delivery of the documents identified in the prior sentence to it or to such third party as Agent may specify.</w:t>
      </w:r>
    </w:p>
    <w:p>
      <w:pPr>
        <w:spacing w:after="0" w:line="192" w:lineRule="exact"/>
        <w:rPr>
          <w:sz w:val="20"/>
          <w:szCs w:val="20"/>
          <w:color w:val="auto"/>
        </w:rPr>
      </w:pPr>
    </w:p>
    <w:p>
      <w:pPr>
        <w:jc w:val="both"/>
        <w:ind w:left="340" w:firstLine="1288"/>
        <w:spacing w:after="0" w:line="248" w:lineRule="auto"/>
        <w:tabs>
          <w:tab w:leader="none" w:pos="1955" w:val="left"/>
        </w:tabs>
        <w:numPr>
          <w:ilvl w:val="1"/>
          <w:numId w:val="172"/>
        </w:numPr>
        <w:rPr>
          <w:rFonts w:ascii="Arial" w:cs="Arial" w:eastAsia="Arial" w:hAnsi="Arial"/>
          <w:sz w:val="22"/>
          <w:szCs w:val="22"/>
          <w:color w:val="auto"/>
        </w:rPr>
      </w:pPr>
      <w:r>
        <w:rPr>
          <w:rFonts w:ascii="Arial" w:cs="Arial" w:eastAsia="Arial" w:hAnsi="Arial"/>
          <w:sz w:val="22"/>
          <w:szCs w:val="22"/>
          <w:color w:val="auto"/>
        </w:rPr>
        <w:t>Each U.S. Credit Party will keep the Rolling Stock Collateral of such Credit Party only at the locations reasonably acceptable to Agent (except for, in each case: (i) Rolling Stock out for repair; (ii) Rolling Stock in transit between locations; (iii) Rolling Stock Collateral in “over the road use” or “over the rail use” retained for the purpose of loading or unloading, fueling, driver scheduling and compliance with hours of service, and other customary trucking or rail use and (iv) Railcars placed in the Interchange System).</w:t>
      </w:r>
    </w:p>
    <w:p>
      <w:pPr>
        <w:spacing w:after="0" w:line="191" w:lineRule="exact"/>
        <w:rPr>
          <w:rFonts w:ascii="Arial" w:cs="Arial" w:eastAsia="Arial" w:hAnsi="Arial"/>
          <w:sz w:val="22"/>
          <w:szCs w:val="22"/>
          <w:color w:val="auto"/>
        </w:rPr>
      </w:pPr>
    </w:p>
    <w:p>
      <w:pPr>
        <w:jc w:val="both"/>
        <w:ind w:left="340" w:right="20" w:firstLine="1288"/>
        <w:spacing w:after="0" w:line="253" w:lineRule="auto"/>
        <w:tabs>
          <w:tab w:leader="none" w:pos="1957" w:val="left"/>
        </w:tabs>
        <w:numPr>
          <w:ilvl w:val="1"/>
          <w:numId w:val="172"/>
        </w:numPr>
        <w:rPr>
          <w:rFonts w:ascii="Arial" w:cs="Arial" w:eastAsia="Arial" w:hAnsi="Arial"/>
          <w:sz w:val="22"/>
          <w:szCs w:val="22"/>
          <w:color w:val="auto"/>
        </w:rPr>
      </w:pPr>
      <w:r>
        <w:rPr>
          <w:rFonts w:ascii="Arial" w:cs="Arial" w:eastAsia="Arial" w:hAnsi="Arial"/>
          <w:sz w:val="22"/>
          <w:szCs w:val="22"/>
          <w:color w:val="auto"/>
        </w:rPr>
        <w:t>The U.S. Credit Parties shall not allow the name of any Person (other than the name “BRAN”) to be placed on any Railcar or Chassis as a designation that might be interpreted as a claim of ownership without the consent of Agent, which consent shall not be unreasonably withheld.</w:t>
      </w:r>
    </w:p>
    <w:p>
      <w:pPr>
        <w:spacing w:after="0" w:line="185" w:lineRule="exact"/>
        <w:rPr>
          <w:rFonts w:ascii="Arial" w:cs="Arial" w:eastAsia="Arial" w:hAnsi="Arial"/>
          <w:sz w:val="22"/>
          <w:szCs w:val="22"/>
          <w:color w:val="auto"/>
        </w:rPr>
      </w:pPr>
    </w:p>
    <w:p>
      <w:pPr>
        <w:jc w:val="both"/>
        <w:ind w:left="340" w:firstLine="1288"/>
        <w:spacing w:after="0" w:line="248" w:lineRule="auto"/>
        <w:tabs>
          <w:tab w:leader="none" w:pos="1960" w:val="left"/>
        </w:tabs>
        <w:numPr>
          <w:ilvl w:val="1"/>
          <w:numId w:val="172"/>
        </w:numPr>
        <w:rPr>
          <w:rFonts w:ascii="Arial" w:cs="Arial" w:eastAsia="Arial" w:hAnsi="Arial"/>
          <w:sz w:val="22"/>
          <w:szCs w:val="22"/>
          <w:color w:val="auto"/>
        </w:rPr>
      </w:pPr>
      <w:r>
        <w:rPr>
          <w:rFonts w:ascii="Arial" w:cs="Arial" w:eastAsia="Arial" w:hAnsi="Arial"/>
          <w:sz w:val="22"/>
          <w:szCs w:val="22"/>
          <w:color w:val="auto"/>
        </w:rPr>
        <w:t>In the event a U.S. Credit Party acquires a Railcar from a seller other than the relevant manufacturer thereof and other than from a lessor of such Railcar under a sale-leaseback with such Credit Party upon the termination of the related lease, deliver to Agent a physical inspection report of an independent inspector, which report shall set forth, among other things, any material unrepaired damage or maintenance deficiencies and the total number of hours and miles with respect to such Railcar.</w:t>
      </w:r>
    </w:p>
    <w:p>
      <w:pPr>
        <w:spacing w:after="0" w:line="191" w:lineRule="exact"/>
        <w:rPr>
          <w:rFonts w:ascii="Arial" w:cs="Arial" w:eastAsia="Arial" w:hAnsi="Arial"/>
          <w:sz w:val="22"/>
          <w:szCs w:val="22"/>
          <w:color w:val="auto"/>
        </w:rPr>
      </w:pPr>
    </w:p>
    <w:p>
      <w:pPr>
        <w:ind w:left="540" w:hanging="208"/>
        <w:spacing w:after="0"/>
        <w:tabs>
          <w:tab w:leader="none" w:pos="54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NEGATIVE COVENANTS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Each Credit Party executing this Agreement agrees as to itself and all of its Restricted Subsidiaries that from and after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Amendment No. 3 Effective Date until the Termination Date:</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8"/>
          <w:szCs w:val="18"/>
          <w:u w:val="single" w:color="auto"/>
          <w:color w:val="auto"/>
        </w:rPr>
        <w:t>Indebtedness</w:t>
      </w:r>
      <w:r>
        <w:rPr>
          <w:rFonts w:ascii="Arial" w:cs="Arial" w:eastAsia="Arial" w:hAnsi="Arial"/>
          <w:sz w:val="18"/>
          <w:szCs w:val="18"/>
          <w:color w:val="auto"/>
        </w:rPr>
        <w:t>.</w:t>
      </w:r>
    </w:p>
    <w:p>
      <w:pPr>
        <w:spacing w:after="0" w:line="220" w:lineRule="exact"/>
        <w:rPr>
          <w:sz w:val="20"/>
          <w:szCs w:val="20"/>
          <w:color w:val="auto"/>
        </w:rPr>
      </w:pPr>
    </w:p>
    <w:p>
      <w:pPr>
        <w:jc w:val="both"/>
        <w:ind w:left="340" w:firstLine="1288"/>
        <w:spacing w:after="0" w:line="291" w:lineRule="auto"/>
        <w:tabs>
          <w:tab w:leader="none" w:pos="1957" w:val="left"/>
        </w:tabs>
        <w:numPr>
          <w:ilvl w:val="1"/>
          <w:numId w:val="174"/>
        </w:numPr>
        <w:rPr>
          <w:rFonts w:ascii="Arial" w:cs="Arial" w:eastAsia="Arial" w:hAnsi="Arial"/>
          <w:sz w:val="19"/>
          <w:szCs w:val="19"/>
          <w:color w:val="auto"/>
        </w:rPr>
      </w:pPr>
      <w:r>
        <w:rPr>
          <w:rFonts w:ascii="Arial" w:cs="Arial" w:eastAsia="Arial" w:hAnsi="Arial"/>
          <w:sz w:val="19"/>
          <w:szCs w:val="19"/>
          <w:color w:val="auto"/>
        </w:rPr>
        <w:t>(i) Parent Borrower shall not, and shall not permit any of the Restricted Subsidiaries to, directly or indirectly, Incur any Indebtedness (including Acquired Indebtedness) or issue any shares of Disqualified Capital Stock; and</w:t>
      </w:r>
    </w:p>
    <w:p>
      <w:pPr>
        <w:spacing w:after="0" w:line="1" w:lineRule="exact"/>
        <w:rPr>
          <w:rFonts w:ascii="Arial" w:cs="Arial" w:eastAsia="Arial" w:hAnsi="Arial"/>
          <w:sz w:val="19"/>
          <w:szCs w:val="19"/>
          <w:color w:val="auto"/>
        </w:rPr>
      </w:pPr>
    </w:p>
    <w:p>
      <w:pPr>
        <w:ind w:left="340" w:right="20" w:hanging="8"/>
        <w:spacing w:after="0" w:line="246" w:lineRule="auto"/>
        <w:tabs>
          <w:tab w:leader="none" w:pos="675" w:val="left"/>
        </w:tabs>
        <w:numPr>
          <w:ilvl w:val="0"/>
          <w:numId w:val="175"/>
        </w:numPr>
        <w:rPr>
          <w:rFonts w:ascii="Arial" w:cs="Arial" w:eastAsia="Arial" w:hAnsi="Arial"/>
          <w:sz w:val="22"/>
          <w:szCs w:val="22"/>
          <w:color w:val="auto"/>
        </w:rPr>
      </w:pPr>
      <w:r>
        <w:rPr>
          <w:rFonts w:ascii="Arial" w:cs="Arial" w:eastAsia="Arial" w:hAnsi="Arial"/>
          <w:sz w:val="22"/>
          <w:szCs w:val="22"/>
          <w:color w:val="auto"/>
        </w:rPr>
        <w:t>Parent Borrower shall not permit any of the Restricted Subsidiaries (other than any Credit Party) to issue any shares of Preferred Stock;</w:t>
      </w:r>
    </w:p>
    <w:p>
      <w:pPr>
        <w:spacing w:after="0" w:line="192" w:lineRule="exact"/>
        <w:rPr>
          <w:rFonts w:ascii="Arial" w:cs="Arial" w:eastAsia="Arial" w:hAnsi="Arial"/>
          <w:sz w:val="22"/>
          <w:szCs w:val="22"/>
          <w:color w:val="auto"/>
        </w:rPr>
      </w:pPr>
    </w:p>
    <w:p>
      <w:pPr>
        <w:ind w:left="1940" w:hanging="312"/>
        <w:spacing w:after="0"/>
        <w:tabs>
          <w:tab w:leader="none" w:pos="1940" w:val="left"/>
        </w:tabs>
        <w:numPr>
          <w:ilvl w:val="1"/>
          <w:numId w:val="175"/>
        </w:numPr>
        <w:rPr>
          <w:rFonts w:ascii="Arial" w:cs="Arial" w:eastAsia="Arial" w:hAnsi="Arial"/>
          <w:sz w:val="22"/>
          <w:szCs w:val="22"/>
          <w:color w:val="auto"/>
        </w:rPr>
      </w:pPr>
      <w:r>
        <w:rPr>
          <w:rFonts w:ascii="Arial" w:cs="Arial" w:eastAsia="Arial" w:hAnsi="Arial"/>
          <w:sz w:val="22"/>
          <w:szCs w:val="22"/>
          <w:color w:val="auto"/>
        </w:rPr>
        <w:t xml:space="preserve">The limitations set forth in </w:t>
      </w:r>
      <w:r>
        <w:rPr>
          <w:rFonts w:ascii="Arial" w:cs="Arial" w:eastAsia="Arial" w:hAnsi="Arial"/>
          <w:sz w:val="22"/>
          <w:szCs w:val="22"/>
          <w:u w:val="single" w:color="auto"/>
          <w:color w:val="auto"/>
        </w:rPr>
        <w:t>Section 7.1(a)</w:t>
      </w:r>
      <w:r>
        <w:rPr>
          <w:rFonts w:ascii="Arial" w:cs="Arial" w:eastAsia="Arial" w:hAnsi="Arial"/>
          <w:sz w:val="22"/>
          <w:szCs w:val="22"/>
          <w:color w:val="auto"/>
        </w:rPr>
        <w:t xml:space="preserve"> shall not apply to:</w:t>
      </w:r>
    </w:p>
    <w:p>
      <w:pPr>
        <w:spacing w:after="0" w:line="219" w:lineRule="exact"/>
        <w:rPr>
          <w:rFonts w:ascii="Arial" w:cs="Arial" w:eastAsia="Arial" w:hAnsi="Arial"/>
          <w:sz w:val="22"/>
          <w:szCs w:val="22"/>
          <w:color w:val="auto"/>
        </w:rPr>
      </w:pPr>
    </w:p>
    <w:p>
      <w:pPr>
        <w:ind w:left="2600" w:hanging="528"/>
        <w:spacing w:after="0"/>
        <w:tabs>
          <w:tab w:leader="none" w:pos="2600" w:val="left"/>
        </w:tabs>
        <w:numPr>
          <w:ilvl w:val="2"/>
          <w:numId w:val="175"/>
        </w:numPr>
        <w:rPr>
          <w:rFonts w:ascii="Arial" w:cs="Arial" w:eastAsia="Arial" w:hAnsi="Arial"/>
          <w:sz w:val="19"/>
          <w:szCs w:val="19"/>
          <w:color w:val="auto"/>
        </w:rPr>
      </w:pPr>
      <w:r>
        <w:rPr>
          <w:rFonts w:ascii="Arial" w:cs="Arial" w:eastAsia="Arial" w:hAnsi="Arial"/>
          <w:sz w:val="19"/>
          <w:szCs w:val="19"/>
          <w:color w:val="auto"/>
        </w:rPr>
        <w:t>the Incurrence by Parent Borrower or any Restricted Subsidiary of Indebtedness pursuant to any</w:t>
      </w:r>
    </w:p>
    <w:p>
      <w:pPr>
        <w:spacing w:after="0" w:line="55" w:lineRule="exact"/>
        <w:rPr>
          <w:rFonts w:ascii="Arial" w:cs="Arial" w:eastAsia="Arial" w:hAnsi="Arial"/>
          <w:sz w:val="19"/>
          <w:szCs w:val="19"/>
          <w:color w:val="auto"/>
        </w:rPr>
      </w:pPr>
    </w:p>
    <w:p>
      <w:pPr>
        <w:ind w:left="340"/>
        <w:spacing w:after="0"/>
        <w:rPr>
          <w:rFonts w:ascii="Arial" w:cs="Arial" w:eastAsia="Arial" w:hAnsi="Arial"/>
          <w:sz w:val="19"/>
          <w:szCs w:val="19"/>
          <w:color w:val="auto"/>
        </w:rPr>
      </w:pPr>
      <w:r>
        <w:rPr>
          <w:rFonts w:ascii="Arial" w:cs="Arial" w:eastAsia="Arial" w:hAnsi="Arial"/>
          <w:sz w:val="22"/>
          <w:szCs w:val="22"/>
          <w:color w:val="auto"/>
        </w:rPr>
        <w:t>Loan Document;</w:t>
      </w:r>
    </w:p>
    <w:p>
      <w:pPr>
        <w:sectPr>
          <w:pgSz w:w="11900" w:h="16838" w:orient="portrait"/>
          <w:cols w:equalWidth="0" w:num="1">
            <w:col w:w="11240"/>
          </w:cols>
          <w:pgMar w:left="320" w:top="1428" w:right="339" w:bottom="1440" w:gutter="0" w:footer="0" w:header="0"/>
        </w:sectPr>
      </w:pPr>
    </w:p>
    <w:bookmarkStart w:id="250" w:name="page251"/>
    <w:bookmarkEnd w:id="250"/>
    <w:p>
      <w:pPr>
        <w:ind w:left="-780" w:firstLine="1672"/>
        <w:spacing w:after="0" w:line="287" w:lineRule="auto"/>
        <w:tabs>
          <w:tab w:leader="none" w:pos="1488" w:val="left"/>
        </w:tabs>
        <w:numPr>
          <w:ilvl w:val="0"/>
          <w:numId w:val="176"/>
        </w:numPr>
        <w:rPr>
          <w:rFonts w:ascii="Arial" w:cs="Arial" w:eastAsia="Arial" w:hAnsi="Arial"/>
          <w:sz w:val="21"/>
          <w:szCs w:val="21"/>
          <w:color w:val="auto"/>
        </w:rPr>
      </w:pPr>
      <w:r>
        <w:rPr>
          <w:rFonts w:ascii="Arial" w:cs="Arial" w:eastAsia="Arial" w:hAnsi="Arial"/>
          <w:sz w:val="21"/>
          <w:szCs w:val="21"/>
          <w:color w:val="auto"/>
        </w:rPr>
        <w:t>the Incurrence by Parent Borrower and the other Credit Parties of Indebtedness under the Term Credit Agreement (including any guarantees thereof) in an aggregate principal amount of $2,045,000,000;</w:t>
      </w:r>
    </w:p>
    <w:p>
      <w:pPr>
        <w:spacing w:after="0" w:line="151" w:lineRule="exact"/>
        <w:rPr>
          <w:rFonts w:ascii="Arial" w:cs="Arial" w:eastAsia="Arial" w:hAnsi="Arial"/>
          <w:sz w:val="21"/>
          <w:szCs w:val="21"/>
          <w:color w:val="auto"/>
        </w:rPr>
      </w:pPr>
    </w:p>
    <w:p>
      <w:pPr>
        <w:jc w:val="both"/>
        <w:ind w:left="-780" w:firstLine="1612"/>
        <w:spacing w:after="0" w:line="248" w:lineRule="auto"/>
        <w:tabs>
          <w:tab w:leader="none" w:pos="148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 xml:space="preserve">Indebtedness, Preferred Stock and Disqualified Capital Stock of Parent Borrower, the Credit Parties and their Restricted Subsidiaries (including, for the avoidance of doubt, Con-way and any Restricted Subsidiary which is a Subsidiary thereof) existing on the Amendment No. 3 Effective Date (other than Indebtedness described in clauses (i) and (ii) of this </w:t>
      </w:r>
      <w:r>
        <w:rPr>
          <w:rFonts w:ascii="Arial" w:cs="Arial" w:eastAsia="Arial" w:hAnsi="Arial"/>
          <w:sz w:val="22"/>
          <w:szCs w:val="22"/>
          <w:u w:val="single" w:color="auto"/>
          <w:color w:val="auto"/>
        </w:rPr>
        <w:t>Section 7.1(b)</w:t>
      </w:r>
      <w:r>
        <w:rPr>
          <w:rFonts w:ascii="Arial" w:cs="Arial" w:eastAsia="Arial" w:hAnsi="Arial"/>
          <w:sz w:val="22"/>
          <w:szCs w:val="22"/>
          <w:color w:val="auto"/>
        </w:rPr>
        <w:t>) and, if such Indebtedness is for borrowed money and is in excess of $100,000,000, listed on Schedule 7.1 hereto;</w:t>
      </w:r>
    </w:p>
    <w:p>
      <w:pPr>
        <w:spacing w:after="0" w:line="191" w:lineRule="exact"/>
        <w:rPr>
          <w:rFonts w:ascii="Arial" w:cs="Arial" w:eastAsia="Arial" w:hAnsi="Arial"/>
          <w:sz w:val="22"/>
          <w:szCs w:val="22"/>
          <w:color w:val="auto"/>
        </w:rPr>
      </w:pPr>
    </w:p>
    <w:p>
      <w:pPr>
        <w:jc w:val="both"/>
        <w:ind w:left="-780" w:firstLine="1624"/>
        <w:spacing w:after="0" w:line="289" w:lineRule="auto"/>
        <w:tabs>
          <w:tab w:leader="none" w:pos="1488" w:val="left"/>
        </w:tabs>
        <w:numPr>
          <w:ilvl w:val="0"/>
          <w:numId w:val="176"/>
        </w:numPr>
        <w:rPr>
          <w:rFonts w:ascii="Arial" w:cs="Arial" w:eastAsia="Arial" w:hAnsi="Arial"/>
          <w:sz w:val="19"/>
          <w:szCs w:val="19"/>
          <w:color w:val="auto"/>
        </w:rPr>
      </w:pPr>
      <w:r>
        <w:rPr>
          <w:rFonts w:ascii="Arial" w:cs="Arial" w:eastAsia="Arial" w:hAnsi="Arial"/>
          <w:sz w:val="19"/>
          <w:szCs w:val="19"/>
          <w:color w:val="auto"/>
        </w:rPr>
        <w:t>Indebtedness (including Capitalized Lease Obligations) Incurred by Parent Borrower or any Restricted Subsidiary, Disqualified Capital Stock issued by Parent Borrower or any Restricted Subsidiary and Preferred Stock issued by any Restricted Subsidiary to finance (whether prior to or within 270 days after) the acquisition, lease, construction, repair, replacement or improvement of property (real or personal) or equipment (whether through the direct purchase of assets or the Capital Stock of any Person owning such assets) that, when aggregated with the principal amount or liquidation preference of all other Indebtedness, Disqualified Capital Stock or Preferred Stock then outstanding and Incurred pursuant to this clause (iv), together with any Refinancing Indebtedness in respect thereof Incurred pursuant to clause (xv) below, does not exceed at any one time outstanding the greater of $800 million and 50% of Consolidated EBITDA as of the date such Indebtedness is Incurred (plus, in the case of any Refinancing Indebtedness, the Additional Refinancing Amount);</w:t>
      </w:r>
    </w:p>
    <w:p>
      <w:pPr>
        <w:spacing w:after="0" w:line="156" w:lineRule="exact"/>
        <w:rPr>
          <w:rFonts w:ascii="Arial" w:cs="Arial" w:eastAsia="Arial" w:hAnsi="Arial"/>
          <w:sz w:val="19"/>
          <w:szCs w:val="19"/>
          <w:color w:val="auto"/>
        </w:rPr>
      </w:pPr>
    </w:p>
    <w:p>
      <w:pPr>
        <w:jc w:val="both"/>
        <w:ind w:left="-780" w:firstLine="1684"/>
        <w:spacing w:after="0" w:line="246" w:lineRule="auto"/>
        <w:tabs>
          <w:tab w:leader="none" w:pos="148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Indebtedness Incurred by Parent Borrower or any Restricted Subsidiary constituting reimbursement obligations with respect to letters of credit and bank guarantees issued in the ordinary course of business, including without limitation letters of credit in respect of workers’ compensation claims, health, disability or other benefits to employees or former employees or their families or property, casualty or liability insurance or self-insurance, and letters of credit in connection with the maintenance of, or pursuant to the requirements of, environmental law or permits or licenses from governmental authorities, or other Indebtedness with respect to reimbursement type obligations regarding workers’ compensation claims;</w:t>
      </w:r>
    </w:p>
    <w:p>
      <w:pPr>
        <w:spacing w:after="0" w:line="196" w:lineRule="exact"/>
        <w:rPr>
          <w:rFonts w:ascii="Arial" w:cs="Arial" w:eastAsia="Arial" w:hAnsi="Arial"/>
          <w:sz w:val="22"/>
          <w:szCs w:val="22"/>
          <w:color w:val="auto"/>
        </w:rPr>
      </w:pPr>
    </w:p>
    <w:p>
      <w:pPr>
        <w:jc w:val="both"/>
        <w:ind w:left="-780" w:firstLine="1624"/>
        <w:spacing w:after="0" w:line="297" w:lineRule="auto"/>
        <w:tabs>
          <w:tab w:leader="none" w:pos="1488" w:val="left"/>
        </w:tabs>
        <w:numPr>
          <w:ilvl w:val="0"/>
          <w:numId w:val="176"/>
        </w:numPr>
        <w:rPr>
          <w:rFonts w:ascii="Arial" w:cs="Arial" w:eastAsia="Arial" w:hAnsi="Arial"/>
          <w:sz w:val="19"/>
          <w:szCs w:val="19"/>
          <w:color w:val="auto"/>
        </w:rPr>
      </w:pPr>
      <w:r>
        <w:rPr>
          <w:rFonts w:ascii="Arial" w:cs="Arial" w:eastAsia="Arial" w:hAnsi="Arial"/>
          <w:sz w:val="19"/>
          <w:szCs w:val="19"/>
          <w:color w:val="auto"/>
        </w:rPr>
        <w:t>Indebtedness arising from agreements of Parent Borrower or any Restricted Subsidiary providing for indemnification, adjustment of acquisition or purchase price or similar obligations (including earn-outs), in each case, Incurred or assumed in connection with the Transactions, any Investments or any acquisition or disposition of any business, assets or a Subsidiary not prohibited by this Agreement, other than guarantees of Indebtedness Incurred by any Person acquiring all or any portion of such business, assets or Subsidiary for the purpose of financing such acquisition;</w:t>
      </w:r>
    </w:p>
    <w:p>
      <w:pPr>
        <w:spacing w:after="0" w:line="146" w:lineRule="exact"/>
        <w:rPr>
          <w:rFonts w:ascii="Arial" w:cs="Arial" w:eastAsia="Arial" w:hAnsi="Arial"/>
          <w:sz w:val="19"/>
          <w:szCs w:val="19"/>
          <w:color w:val="auto"/>
        </w:rPr>
      </w:pPr>
    </w:p>
    <w:p>
      <w:pPr>
        <w:jc w:val="both"/>
        <w:ind w:left="-780" w:firstLine="1564"/>
        <w:spacing w:after="0" w:line="253" w:lineRule="auto"/>
        <w:tabs>
          <w:tab w:leader="none" w:pos="1488" w:val="left"/>
        </w:tabs>
        <w:numPr>
          <w:ilvl w:val="0"/>
          <w:numId w:val="176"/>
        </w:numPr>
        <w:rPr>
          <w:rFonts w:ascii="Arial" w:cs="Arial" w:eastAsia="Arial" w:hAnsi="Arial"/>
          <w:sz w:val="22"/>
          <w:szCs w:val="22"/>
          <w:color w:val="auto"/>
        </w:rPr>
      </w:pPr>
      <w:r>
        <w:rPr>
          <w:rFonts w:ascii="Arial" w:cs="Arial" w:eastAsia="Arial" w:hAnsi="Arial"/>
          <w:sz w:val="22"/>
          <w:szCs w:val="22"/>
          <w:color w:val="auto"/>
        </w:rPr>
        <w:t xml:space="preserve">Indebtedness of Parent Borrower to a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(except in respect of intercompany current liabilities incurred in the ordinary course of business in connection with the cash management, tax and accounting operations of</w:t>
      </w:r>
    </w:p>
    <w:p>
      <w:pPr>
        <w:sectPr>
          <w:pgSz w:w="11900" w:h="16838" w:orient="portrait"/>
          <w:cols w:equalWidth="0" w:num="1">
            <w:col w:w="10120"/>
          </w:cols>
          <w:pgMar w:left="1440" w:top="1428" w:right="339" w:bottom="1440" w:gutter="0" w:footer="0" w:header="0"/>
        </w:sectPr>
      </w:pPr>
    </w:p>
    <w:bookmarkStart w:id="251" w:name="page252"/>
    <w:bookmarkEnd w:id="251"/>
    <w:p>
      <w:pPr>
        <w:jc w:val="both"/>
        <w:ind w:left="8"/>
        <w:spacing w:after="0" w:line="247" w:lineRule="auto"/>
        <w:rPr>
          <w:sz w:val="20"/>
          <w:szCs w:val="20"/>
          <w:color w:val="auto"/>
        </w:rPr>
      </w:pPr>
      <w:r>
        <w:rPr>
          <w:rFonts w:ascii="Arial" w:cs="Arial" w:eastAsia="Arial" w:hAnsi="Arial"/>
          <w:sz w:val="22"/>
          <w:szCs w:val="22"/>
          <w:color w:val="auto"/>
        </w:rPr>
        <w:t xml:space="preserve">Parent Borrower and its Subsidiaries) any such Indebtedness owed to a Restricted Subsidiary that is not a Credit Party is subordinated in right of payment to the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further, that any subsequent issuance or transfer of any Capital Stock or any other event which results in any such Restricted Subsidiary ceasing to be a Restricted Subsidiary or any other subsequent transfer of any such Indebtedness (except any pledge of such Indebtedness constituting a Permitted Lien but not the transfer thereof upon foreclosure) shall be deemed, in each case, to be an Incurrence of such Indebtedness not permitted by this clause (vii);</w:t>
      </w:r>
    </w:p>
    <w:p>
      <w:pPr>
        <w:spacing w:after="0" w:line="193" w:lineRule="exact"/>
        <w:rPr>
          <w:sz w:val="20"/>
          <w:szCs w:val="20"/>
          <w:color w:val="auto"/>
        </w:rPr>
      </w:pPr>
    </w:p>
    <w:p>
      <w:pPr>
        <w:jc w:val="both"/>
        <w:ind w:left="8" w:firstLine="1504"/>
        <w:spacing w:after="0" w:line="247" w:lineRule="auto"/>
        <w:tabs>
          <w:tab w:leader="none" w:pos="2276" w:val="left"/>
        </w:tabs>
        <w:numPr>
          <w:ilvl w:val="1"/>
          <w:numId w:val="177"/>
        </w:numPr>
        <w:rPr>
          <w:rFonts w:ascii="Arial" w:cs="Arial" w:eastAsia="Arial" w:hAnsi="Arial"/>
          <w:sz w:val="22"/>
          <w:szCs w:val="22"/>
          <w:color w:val="auto"/>
        </w:rPr>
      </w:pPr>
      <w:r>
        <w:rPr>
          <w:rFonts w:ascii="Arial" w:cs="Arial" w:eastAsia="Arial" w:hAnsi="Arial"/>
          <w:sz w:val="22"/>
          <w:szCs w:val="22"/>
          <w:color w:val="auto"/>
        </w:rPr>
        <w:t xml:space="preserve">shares of Preferred Stock of a Restricted Subsidiary issued to Parent Borrower or another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subsequent issuance or transfer of any Capital Stock or any other event which results in any Restricted Subsidiary that holds such shares of Preferred Stock of another Restricted Subsidiary ceasing to be a Restricted Subsidiary or any other subsequent transfer of any such shares of Preferred Stock (except to Parent Borrower or another Restricted Subsidiary) shall be deemed, in each case, to be an issuance of shares of Preferred Stock not permitted by this clause (viii);</w:t>
      </w:r>
    </w:p>
    <w:p>
      <w:pPr>
        <w:spacing w:after="0" w:line="192" w:lineRule="exact"/>
        <w:rPr>
          <w:rFonts w:ascii="Arial" w:cs="Arial" w:eastAsia="Arial" w:hAnsi="Arial"/>
          <w:sz w:val="22"/>
          <w:szCs w:val="22"/>
          <w:color w:val="auto"/>
        </w:rPr>
      </w:pPr>
    </w:p>
    <w:p>
      <w:pPr>
        <w:jc w:val="both"/>
        <w:ind w:left="8" w:firstLine="1624"/>
        <w:spacing w:after="0" w:line="289" w:lineRule="auto"/>
        <w:tabs>
          <w:tab w:leader="none" w:pos="2276" w:val="left"/>
        </w:tabs>
        <w:numPr>
          <w:ilvl w:val="1"/>
          <w:numId w:val="177"/>
        </w:numPr>
        <w:rPr>
          <w:rFonts w:ascii="Arial" w:cs="Arial" w:eastAsia="Arial" w:hAnsi="Arial"/>
          <w:sz w:val="19"/>
          <w:szCs w:val="19"/>
          <w:color w:val="auto"/>
        </w:rPr>
      </w:pPr>
      <w:r>
        <w:rPr>
          <w:rFonts w:ascii="Arial" w:cs="Arial" w:eastAsia="Arial" w:hAnsi="Arial"/>
          <w:sz w:val="19"/>
          <w:szCs w:val="19"/>
          <w:color w:val="auto"/>
        </w:rPr>
        <w:t xml:space="preserve">Indebtedness of a Restricted Subsidiary to Parent Borrower or another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Credit Party incurs such Indebtedness to a Restricted Subsidiary that is not a Credit Party (except in respect of intercompany current liabilities incurred in the ordinary course of business in connection with the cash management, tax and accounting operations of Parent Borrower and its Subsidiaries), such Indebtedness is subordinated in right of payment to the Obligations;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subsequent issuance or transfer of any Capital Stock or any other event which results in any Restricted Subsidiary holding such Indebtedness ceasing to be a Restricted Subsidiary or any other subsequent transfer of any such Indebtedness (except to Parent Borrower or another Restricted Subsidiary or any pledge of such Indebtedness constituting a Permitted Lien but not the transfer thereof upon foreclosure) shall be deemed, in each case, to be an Incurrence of such Indebtedness not permitted by this clause (ix);</w:t>
      </w:r>
    </w:p>
    <w:p>
      <w:pPr>
        <w:spacing w:after="0" w:line="156" w:lineRule="exact"/>
        <w:rPr>
          <w:rFonts w:ascii="Arial" w:cs="Arial" w:eastAsia="Arial" w:hAnsi="Arial"/>
          <w:sz w:val="19"/>
          <w:szCs w:val="19"/>
          <w:color w:val="auto"/>
        </w:rPr>
      </w:pPr>
    </w:p>
    <w:p>
      <w:pPr>
        <w:jc w:val="both"/>
        <w:ind w:left="8" w:firstLine="1684"/>
        <w:spacing w:after="0" w:line="288" w:lineRule="auto"/>
        <w:tabs>
          <w:tab w:leader="none" w:pos="2276" w:val="left"/>
        </w:tabs>
        <w:numPr>
          <w:ilvl w:val="1"/>
          <w:numId w:val="177"/>
        </w:numPr>
        <w:rPr>
          <w:rFonts w:ascii="Arial" w:cs="Arial" w:eastAsia="Arial" w:hAnsi="Arial"/>
          <w:sz w:val="19"/>
          <w:szCs w:val="19"/>
          <w:color w:val="auto"/>
        </w:rPr>
      </w:pPr>
      <w:r>
        <w:rPr>
          <w:rFonts w:ascii="Arial" w:cs="Arial" w:eastAsia="Arial" w:hAnsi="Arial"/>
          <w:sz w:val="19"/>
          <w:szCs w:val="19"/>
          <w:color w:val="auto"/>
        </w:rPr>
        <w:t>Hedging Obligations that are not incurred for speculative purposes but (A) for the purpose of fixing or hedging interest rate risk with respect to any Indebtedness that is permitted by the terms of this Agreement to be outstanding; (B) for the purpose of fixing or hedging currency exchange rate risk with respect to any currency exchanges; or</w:t>
      </w:r>
    </w:p>
    <w:p>
      <w:pPr>
        <w:ind w:left="8" w:right="20" w:hanging="8"/>
        <w:spacing w:after="0" w:line="246" w:lineRule="auto"/>
        <w:tabs>
          <w:tab w:leader="none" w:pos="356" w:val="left"/>
        </w:tabs>
        <w:numPr>
          <w:ilvl w:val="0"/>
          <w:numId w:val="178"/>
        </w:numPr>
        <w:rPr>
          <w:rFonts w:ascii="Arial" w:cs="Arial" w:eastAsia="Arial" w:hAnsi="Arial"/>
          <w:sz w:val="22"/>
          <w:szCs w:val="22"/>
          <w:color w:val="auto"/>
        </w:rPr>
      </w:pPr>
      <w:r>
        <w:rPr>
          <w:rFonts w:ascii="Arial" w:cs="Arial" w:eastAsia="Arial" w:hAnsi="Arial"/>
          <w:sz w:val="22"/>
          <w:szCs w:val="22"/>
          <w:color w:val="auto"/>
        </w:rPr>
        <w:t>for the purpose of fixing or hedging commodity price risk with respect to any commodity purchases or sales and, in each case, extensions or replacements thereof;</w:t>
      </w:r>
    </w:p>
    <w:p>
      <w:pPr>
        <w:spacing w:after="0" w:line="192" w:lineRule="exact"/>
        <w:rPr>
          <w:rFonts w:ascii="Arial" w:cs="Arial" w:eastAsia="Arial" w:hAnsi="Arial"/>
          <w:sz w:val="22"/>
          <w:szCs w:val="22"/>
          <w:color w:val="auto"/>
        </w:rPr>
      </w:pPr>
    </w:p>
    <w:p>
      <w:pPr>
        <w:jc w:val="both"/>
        <w:ind w:left="8" w:firstLine="1624"/>
        <w:spacing w:after="0" w:line="250" w:lineRule="auto"/>
        <w:tabs>
          <w:tab w:leader="none" w:pos="2276" w:val="left"/>
        </w:tabs>
        <w:numPr>
          <w:ilvl w:val="1"/>
          <w:numId w:val="178"/>
        </w:numPr>
        <w:rPr>
          <w:rFonts w:ascii="Arial" w:cs="Arial" w:eastAsia="Arial" w:hAnsi="Arial"/>
          <w:sz w:val="22"/>
          <w:szCs w:val="22"/>
          <w:color w:val="auto"/>
        </w:rPr>
      </w:pPr>
      <w:r>
        <w:rPr>
          <w:rFonts w:ascii="Arial" w:cs="Arial" w:eastAsia="Arial" w:hAnsi="Arial"/>
          <w:sz w:val="22"/>
          <w:szCs w:val="22"/>
          <w:color w:val="auto"/>
        </w:rPr>
        <w:t>obligations (including reimbursement obligations with respect to letters of credit, bank guarantees, warehouse receipts and similar instruments) in respect of performance, bid, appeal and surety bonds, completion guarantees and similar obligations provided by Parent Borrower or any Restricted Subsidiary in the ordinary course of business or consistent with past practice or industry practice;</w:t>
      </w:r>
    </w:p>
    <w:p>
      <w:pPr>
        <w:spacing w:after="0" w:line="187" w:lineRule="exact"/>
        <w:rPr>
          <w:rFonts w:ascii="Arial" w:cs="Arial" w:eastAsia="Arial" w:hAnsi="Arial"/>
          <w:sz w:val="22"/>
          <w:szCs w:val="22"/>
          <w:color w:val="auto"/>
        </w:rPr>
      </w:pPr>
    </w:p>
    <w:p>
      <w:pPr>
        <w:jc w:val="both"/>
        <w:ind w:left="8" w:firstLine="1564"/>
        <w:spacing w:after="0" w:line="312" w:lineRule="auto"/>
        <w:tabs>
          <w:tab w:leader="none" w:pos="2276" w:val="left"/>
        </w:tabs>
        <w:numPr>
          <w:ilvl w:val="1"/>
          <w:numId w:val="178"/>
        </w:numPr>
        <w:rPr>
          <w:rFonts w:ascii="Arial" w:cs="Arial" w:eastAsia="Arial" w:hAnsi="Arial"/>
          <w:sz w:val="19"/>
          <w:szCs w:val="19"/>
          <w:color w:val="auto"/>
        </w:rPr>
      </w:pPr>
      <w:r>
        <w:rPr>
          <w:rFonts w:ascii="Arial" w:cs="Arial" w:eastAsia="Arial" w:hAnsi="Arial"/>
          <w:sz w:val="19"/>
          <w:szCs w:val="19"/>
          <w:color w:val="auto"/>
        </w:rPr>
        <w:t>Indebtedness or Disqualified Capital Stock of Parent Borrower or Indebtedness, Disqualified Capital Stock or Preferred Stock of any Restricted Subsidiary in an aggregate principal amount or liquidation preference, which when aggregated with the principal amount and liquidation preference of all other Indebtedness, Disqualified Capital</w:t>
      </w:r>
    </w:p>
    <w:p>
      <w:pPr>
        <w:sectPr>
          <w:pgSz w:w="11900" w:h="16838" w:orient="portrait"/>
          <w:cols w:equalWidth="0" w:num="1">
            <w:col w:w="10908"/>
          </w:cols>
          <w:pgMar w:left="652" w:top="1428" w:right="339" w:bottom="1440" w:gutter="0" w:footer="0" w:header="0"/>
        </w:sectPr>
      </w:pPr>
    </w:p>
    <w:bookmarkStart w:id="252" w:name="page253"/>
    <w:bookmarkEnd w:id="252"/>
    <w:p>
      <w:pPr>
        <w:jc w:val="both"/>
        <w:spacing w:after="0" w:line="265" w:lineRule="auto"/>
        <w:rPr>
          <w:sz w:val="20"/>
          <w:szCs w:val="20"/>
          <w:color w:val="auto"/>
        </w:rPr>
      </w:pPr>
      <w:r>
        <w:rPr>
          <w:rFonts w:ascii="Arial" w:cs="Arial" w:eastAsia="Arial" w:hAnsi="Arial"/>
          <w:sz w:val="21"/>
          <w:szCs w:val="21"/>
          <w:color w:val="auto"/>
        </w:rPr>
        <w:t>Stock and Preferred Stock then outstanding and Incurred pursuant to this clause (xii), together with any Refinancing Indebtedness in respect thereof incurred pursuant to clause (xv) below, does not exceed at any one time outstanding the greater of $160 million and 10% of Consolidated EBITDA as of the date such Indebtedness is Incurred (plus, in the case of any Refinancing Indebtedness, the Additional Refinancing Amount);</w:t>
      </w:r>
    </w:p>
    <w:p>
      <w:pPr>
        <w:spacing w:after="0" w:line="175" w:lineRule="exact"/>
        <w:rPr>
          <w:sz w:val="20"/>
          <w:szCs w:val="20"/>
          <w:color w:val="auto"/>
        </w:rPr>
      </w:pPr>
    </w:p>
    <w:p>
      <w:pPr>
        <w:ind w:left="2260" w:hanging="756"/>
        <w:spacing w:after="0"/>
        <w:tabs>
          <w:tab w:leader="none" w:pos="226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516"/>
        <w:spacing w:after="0" w:line="257" w:lineRule="auto"/>
        <w:tabs>
          <w:tab w:leader="none" w:pos="2268" w:val="left"/>
        </w:tabs>
        <w:numPr>
          <w:ilvl w:val="0"/>
          <w:numId w:val="179"/>
        </w:numPr>
        <w:rPr>
          <w:rFonts w:ascii="Arial" w:cs="Arial" w:eastAsia="Arial" w:hAnsi="Arial"/>
          <w:sz w:val="21"/>
          <w:szCs w:val="21"/>
          <w:color w:val="auto"/>
        </w:rPr>
      </w:pPr>
      <w:r>
        <w:rPr>
          <w:rFonts w:ascii="Arial" w:cs="Arial" w:eastAsia="Arial" w:hAnsi="Arial"/>
          <w:sz w:val="21"/>
          <w:szCs w:val="21"/>
          <w:color w:val="auto"/>
        </w:rPr>
        <w:t xml:space="preserve">any guarantee by Parent Borrower or any Restricted Subsidiary of Indebtedness or other obligations of Parent Borrower or any Restricted Subsidiary so long as the Incurrence of such Indebtedness Incurred by Parent Borrower or such Restricted Subsidiary is permitted under the terms of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if such Indebtedness is by its express terms subordinated in right of payment to the Obligations by such Restricted Subsidiary, as applicable, any such guarantee with respect to such Indebtedness shall be subordinated in right of payment to the Obligations, substantially to the same extent as such Indebtedness is subordinated to the Obligations, (B) if such guarantee is of Indebtedness of Parent Borrower, such guarantee is Incurred in accordance with, or not in contravention of, </w:t>
      </w:r>
      <w:r>
        <w:rPr>
          <w:rFonts w:ascii="Arial" w:cs="Arial" w:eastAsia="Arial" w:hAnsi="Arial"/>
          <w:sz w:val="21"/>
          <w:szCs w:val="21"/>
          <w:u w:val="single" w:color="auto"/>
          <w:color w:val="auto"/>
        </w:rPr>
        <w:t>Section 6.12</w:t>
      </w:r>
      <w:r>
        <w:rPr>
          <w:rFonts w:ascii="Arial" w:cs="Arial" w:eastAsia="Arial" w:hAnsi="Arial"/>
          <w:sz w:val="21"/>
          <w:szCs w:val="21"/>
          <w:color w:val="auto"/>
        </w:rPr>
        <w:t xml:space="preserve"> solely to the extent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6.12</w:t>
      </w:r>
      <w:r>
        <w:rPr>
          <w:rFonts w:ascii="Arial" w:cs="Arial" w:eastAsia="Arial" w:hAnsi="Arial"/>
          <w:sz w:val="21"/>
          <w:szCs w:val="21"/>
          <w:color w:val="auto"/>
        </w:rPr>
        <w:t xml:space="preserve"> is applicable and (C) the aggregate principal amount of Indebtedness or other obligations of a Subsidiary that is not a Credit Party guaranteed by a Credit Party in reliance on this clause (xiv) shall not exceed (when combined with the aggregate principal amount of Indebtedness incurred by Restricted Subsidiaries that are not Credit Parties in reliance on </w:t>
      </w:r>
      <w:r>
        <w:rPr>
          <w:rFonts w:ascii="Arial" w:cs="Arial" w:eastAsia="Arial" w:hAnsi="Arial"/>
          <w:sz w:val="21"/>
          <w:szCs w:val="21"/>
          <w:u w:val="single" w:color="auto"/>
          <w:color w:val="auto"/>
        </w:rPr>
        <w:t>Section 7.1(b)</w:t>
      </w:r>
      <w:r>
        <w:rPr>
          <w:rFonts w:ascii="Arial" w:cs="Arial" w:eastAsia="Arial" w:hAnsi="Arial"/>
          <w:sz w:val="21"/>
          <w:szCs w:val="21"/>
          <w:color w:val="auto"/>
        </w:rPr>
        <w:t xml:space="preserve"> </w:t>
      </w:r>
      <w:r>
        <w:rPr>
          <w:rFonts w:ascii="Arial" w:cs="Arial" w:eastAsia="Arial" w:hAnsi="Arial"/>
          <w:sz w:val="21"/>
          <w:szCs w:val="21"/>
          <w:u w:val="single" w:color="auto"/>
          <w:color w:val="auto"/>
        </w:rPr>
        <w:t>(xvi)</w:t>
      </w:r>
      <w:r>
        <w:rPr>
          <w:rFonts w:ascii="Arial" w:cs="Arial" w:eastAsia="Arial" w:hAnsi="Arial"/>
          <w:sz w:val="21"/>
          <w:szCs w:val="21"/>
          <w:color w:val="auto"/>
        </w:rPr>
        <w:t>) the greater of (x) $480 million and (y) 30% of Consolidated EBITDA as of the date of such Incurrence, at any time outstanding;</w:t>
      </w:r>
    </w:p>
    <w:p>
      <w:pPr>
        <w:spacing w:after="0" w:line="190" w:lineRule="exact"/>
        <w:rPr>
          <w:rFonts w:ascii="Arial" w:cs="Arial" w:eastAsia="Arial" w:hAnsi="Arial"/>
          <w:sz w:val="21"/>
          <w:szCs w:val="21"/>
          <w:color w:val="auto"/>
        </w:rPr>
      </w:pPr>
    </w:p>
    <w:p>
      <w:pPr>
        <w:jc w:val="both"/>
        <w:ind w:firstLine="1576"/>
        <w:spacing w:after="0" w:line="286" w:lineRule="auto"/>
        <w:tabs>
          <w:tab w:leader="none" w:pos="2268"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the Incurrence by Parent Borrower or any of the Restricted Subsidiaries of Indebtedness or Disqualified Capital Stock, or by any Restricted Subsidiary of Preferred Stock of a Restricted Subsidiary, that serves to refund, refinance or defease any Indebtedness Incurred or Disqualified Capital Stock or Preferred Stock issued as permitted under clauses (i), (ii), (iii), (iv), (xii), (xv), (xvi), (xxiv) and (xxviii) of this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up to the outstanding principal amount (or, if applicable, the liquidation preference, face amount, or the like) or, if greater, committed amount (only to the extent the committed amount could have been Incurred on the date of initial Incurrence and was deemed Incurred at such time for the purposes of this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of such Indebtedness or Disqualified Capital Stock or Preferred Stock, in each case at the time such Indebtedness was Incurred or Disqualified Capital Stock or Preferred Stock was issued pursuant to clauses (i), (ii), (iii), (iv), (xii), (xv), (xvi), (xxiv) and (xxviii) of this </w:t>
      </w:r>
      <w:r>
        <w:rPr>
          <w:rFonts w:ascii="Arial" w:cs="Arial" w:eastAsia="Arial" w:hAnsi="Arial"/>
          <w:sz w:val="19"/>
          <w:szCs w:val="19"/>
          <w:u w:val="single" w:color="auto"/>
          <w:color w:val="auto"/>
        </w:rPr>
        <w:t>Section 7.1(b)</w:t>
      </w:r>
      <w:r>
        <w:rPr>
          <w:rFonts w:ascii="Arial" w:cs="Arial" w:eastAsia="Arial" w:hAnsi="Arial"/>
          <w:sz w:val="19"/>
          <w:szCs w:val="19"/>
          <w:color w:val="auto"/>
        </w:rPr>
        <w:t>, or any Indebtedness, Disqualified Capital Stock or Preferred Stock Incurred to so refund or refinance such Indebtedness, Disqualified Capital Stock or Preferred Stock, plus any additional Indebtedness, Disqualified Capital Stock or Preferred Stock Incurred to pay premiums (including tender premiums), accrued and unpaid interest, expenses, defeasance costs and fees in connection therewith (subject to the following proviso, “</w:t>
      </w:r>
      <w:r>
        <w:rPr>
          <w:rFonts w:ascii="Arial" w:cs="Arial" w:eastAsia="Arial" w:hAnsi="Arial"/>
          <w:sz w:val="19"/>
          <w:szCs w:val="19"/>
          <w:u w:val="single" w:color="auto"/>
          <w:color w:val="auto"/>
        </w:rPr>
        <w:t>Refinancing Indebtedness</w:t>
      </w:r>
      <w:r>
        <w:rPr>
          <w:rFonts w:ascii="Arial" w:cs="Arial" w:eastAsia="Arial" w:hAnsi="Arial"/>
          <w:sz w:val="19"/>
          <w:szCs w:val="19"/>
          <w:color w:val="auto"/>
        </w:rPr>
        <w:t xml:space="preserve">”) prior to its respective maturity;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Refinancing Indebtedness:</w:t>
      </w:r>
    </w:p>
    <w:p>
      <w:pPr>
        <w:sectPr>
          <w:pgSz w:w="11900" w:h="16838" w:orient="portrait"/>
          <w:cols w:equalWidth="0" w:num="1">
            <w:col w:w="10900"/>
          </w:cols>
          <w:pgMar w:left="660" w:top="1428" w:right="339" w:bottom="1440" w:gutter="0" w:footer="0" w:header="0"/>
        </w:sectPr>
      </w:pPr>
    </w:p>
    <w:bookmarkStart w:id="253" w:name="page254"/>
    <w:bookmarkEnd w:id="253"/>
    <w:p>
      <w:pPr>
        <w:jc w:val="both"/>
        <w:ind w:left="8" w:firstLine="2592"/>
        <w:spacing w:after="0" w:line="247" w:lineRule="auto"/>
        <w:rPr>
          <w:sz w:val="20"/>
          <w:szCs w:val="20"/>
          <w:color w:val="auto"/>
        </w:rPr>
      </w:pPr>
      <w:r>
        <w:rPr>
          <w:rFonts w:ascii="Arial" w:cs="Arial" w:eastAsia="Arial" w:hAnsi="Arial"/>
          <w:sz w:val="22"/>
          <w:szCs w:val="22"/>
          <w:color w:val="auto"/>
        </w:rPr>
        <w:t>(A)has a Weighted Average Life to Maturity at the time such Refinancing Indebtedness is Incurred which is not less than the shorter of (x) the remaining Weighted Average Life to Maturity of the Indebtedness, Disqualified Capital Stock or Preferred Stock being refunded, refinanced or defeased and (y) the Weighted Average Life to Maturity that would result if all payments of principal on the Indebtedness, Disqualified Capital Stock and Preferred Stock being refunded or refinanced that were due on or after the date that is one year following the Latest Maturity Date were instead due on such date;</w:t>
      </w:r>
    </w:p>
    <w:p>
      <w:pPr>
        <w:spacing w:after="0" w:line="193" w:lineRule="exact"/>
        <w:rPr>
          <w:sz w:val="20"/>
          <w:szCs w:val="20"/>
          <w:color w:val="auto"/>
        </w:rPr>
      </w:pPr>
    </w:p>
    <w:p>
      <w:pPr>
        <w:jc w:val="both"/>
        <w:ind w:left="8" w:firstLine="2592"/>
        <w:spacing w:after="0" w:line="287" w:lineRule="auto"/>
        <w:rPr>
          <w:sz w:val="20"/>
          <w:szCs w:val="20"/>
          <w:color w:val="auto"/>
        </w:rPr>
      </w:pPr>
      <w:r>
        <w:rPr>
          <w:rFonts w:ascii="Arial" w:cs="Arial" w:eastAsia="Arial" w:hAnsi="Arial"/>
          <w:sz w:val="19"/>
          <w:szCs w:val="19"/>
          <w:color w:val="auto"/>
        </w:rPr>
        <w:t xml:space="preserve">(B)to the extent such Refinancing Indebtedness refinances (a) Indebtedness junior in right of payment to the Obligations, such Refinancing Indebtedness is junior in right of payment to the Obligations, (b) Disqualified Capital Stock or Preferred Stock, such Refinancing Indebtedness is Disqualified Capital Stock or Preferred Stock, (c) Indebtedness secured by a Lien on the Collateral that is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or junior to the Lien on the Collateral securing the Obligations, such Refinancing Indebtedness is secured by a Lien on the Collateral that is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or junior to the Lien on the Collateral securing the Obligations to the same extent as such Indebtedness, and a Senior Representative of such Refinancing Indebtedness acting on behalf of the holders of such Indebtedness shall have become party to or otherwise subject to the provisions of ABL Intercreditor Agreement and (d) obligations under the Term Credit Agreement, the Lien on the Collateral securing such Indebtedness shall have the priorities contemplated by the ABL Intercreditor Agreement (or priorities junior thereto), and a Senior Representative of such Refinancing Indebtedness acting on behalf of the holders of such Indebtedness shall have become party to or otherwise subject to the provisions of the ABL Intercreditor Agreement; and</w:t>
      </w:r>
    </w:p>
    <w:p>
      <w:pPr>
        <w:spacing w:after="0" w:line="163" w:lineRule="exact"/>
        <w:rPr>
          <w:sz w:val="20"/>
          <w:szCs w:val="20"/>
          <w:color w:val="auto"/>
        </w:rPr>
      </w:pPr>
    </w:p>
    <w:p>
      <w:pPr>
        <w:jc w:val="both"/>
        <w:ind w:left="8" w:firstLine="2592"/>
        <w:spacing w:after="0" w:line="253" w:lineRule="auto"/>
        <w:rPr>
          <w:sz w:val="20"/>
          <w:szCs w:val="20"/>
          <w:color w:val="auto"/>
        </w:rPr>
      </w:pPr>
      <w:r>
        <w:rPr>
          <w:rFonts w:ascii="Arial" w:cs="Arial" w:eastAsia="Arial" w:hAnsi="Arial"/>
          <w:sz w:val="22"/>
          <w:szCs w:val="22"/>
          <w:color w:val="auto"/>
        </w:rPr>
        <w:t>(C)shall not include (x) Indebtedness of a Restricted Subsidiary that is not a Credit Party that refinances Indebtedness of Parent Borrower or a Credit Party, or (y) Indebtedness of Parent Borrower or a Restricted Subsidiary that refinances Indebtedness of an Unrestricted Subsidiary;</w:t>
      </w:r>
    </w:p>
    <w:p>
      <w:pPr>
        <w:spacing w:after="0" w:line="185" w:lineRule="exact"/>
        <w:rPr>
          <w:sz w:val="20"/>
          <w:szCs w:val="20"/>
          <w:color w:val="auto"/>
        </w:rPr>
      </w:pPr>
    </w:p>
    <w:p>
      <w:pPr>
        <w:jc w:val="both"/>
        <w:ind w:left="8" w:firstLine="1516"/>
        <w:spacing w:after="0" w:line="283" w:lineRule="auto"/>
        <w:tabs>
          <w:tab w:leader="none" w:pos="2276" w:val="left"/>
        </w:tabs>
        <w:numPr>
          <w:ilvl w:val="1"/>
          <w:numId w:val="180"/>
        </w:numPr>
        <w:rPr>
          <w:rFonts w:ascii="Arial" w:cs="Arial" w:eastAsia="Arial" w:hAnsi="Arial"/>
          <w:sz w:val="19"/>
          <w:szCs w:val="19"/>
          <w:color w:val="auto"/>
        </w:rPr>
      </w:pPr>
      <w:r>
        <w:rPr>
          <w:rFonts w:ascii="Arial" w:cs="Arial" w:eastAsia="Arial" w:hAnsi="Arial"/>
          <w:sz w:val="19"/>
          <w:szCs w:val="19"/>
          <w:color w:val="auto"/>
        </w:rPr>
        <w:t xml:space="preserve">Indebtedness, Disqualified Capital Stock or Preferred Stock of (A) Parent Borrower or any Restricted Subsidiary incurred to finance an acquisition or (B) Persons that are acquired by Parent Borrower or any Restricted Subsidiary or are merged, consolidated or amalgamated with or into Parent Borrower or any Restricted Subsidiary in accordance with the terms of this Agreement (so long as such Indebtedness is not incurred in contemplation of such acquisition, merger, consolidation or amalgamation);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after giving effect to the Incurrence of any such Indebtedness, Borrowers shall be in Pro Forma Compliance with the Restricted Conditions and (B) the aggregate principal amount of Indebtedness Incurred by Restricted Subsidiaries in reliance on this clause (xvi) that are not Credit Parties shall not exceed (when combined with the aggregate principal amount of Indebtedness or other obligations of Restricted Subsidiaries that are not Credit Parties guaranteed by Credit Parties in reliance on </w:t>
      </w:r>
      <w:r>
        <w:rPr>
          <w:rFonts w:ascii="Arial" w:cs="Arial" w:eastAsia="Arial" w:hAnsi="Arial"/>
          <w:sz w:val="19"/>
          <w:szCs w:val="19"/>
          <w:u w:val="single" w:color="auto"/>
          <w:color w:val="auto"/>
        </w:rPr>
        <w:t>Section 7.1(b)(xiv)</w:t>
      </w:r>
      <w:r>
        <w:rPr>
          <w:rFonts w:ascii="Arial" w:cs="Arial" w:eastAsia="Arial" w:hAnsi="Arial"/>
          <w:sz w:val="19"/>
          <w:szCs w:val="19"/>
          <w:color w:val="auto"/>
        </w:rPr>
        <w:t>) the greater of (x) $480 million and</w:t>
      </w:r>
    </w:p>
    <w:p>
      <w:pPr>
        <w:spacing w:after="0" w:line="7" w:lineRule="exact"/>
        <w:rPr>
          <w:rFonts w:ascii="Arial" w:cs="Arial" w:eastAsia="Arial" w:hAnsi="Arial"/>
          <w:sz w:val="19"/>
          <w:szCs w:val="19"/>
          <w:color w:val="auto"/>
        </w:rPr>
      </w:pPr>
    </w:p>
    <w:p>
      <w:pPr>
        <w:ind w:left="308" w:hanging="308"/>
        <w:spacing w:after="0"/>
        <w:tabs>
          <w:tab w:leader="none" w:pos="308" w:val="left"/>
        </w:tabs>
        <w:numPr>
          <w:ilvl w:val="0"/>
          <w:numId w:val="181"/>
        </w:numPr>
        <w:rPr>
          <w:rFonts w:ascii="Arial" w:cs="Arial" w:eastAsia="Arial" w:hAnsi="Arial"/>
          <w:sz w:val="22"/>
          <w:szCs w:val="22"/>
          <w:color w:val="auto"/>
        </w:rPr>
      </w:pPr>
      <w:r>
        <w:rPr>
          <w:rFonts w:ascii="Arial" w:cs="Arial" w:eastAsia="Arial" w:hAnsi="Arial"/>
          <w:sz w:val="22"/>
          <w:szCs w:val="22"/>
          <w:color w:val="auto"/>
        </w:rPr>
        <w:t>30% of Consolidated EBITDA as of the date of such Incurrence, at any time outstanding;</w:t>
      </w:r>
    </w:p>
    <w:p>
      <w:pPr>
        <w:spacing w:after="0" w:line="201" w:lineRule="exact"/>
        <w:rPr>
          <w:rFonts w:ascii="Arial" w:cs="Arial" w:eastAsia="Arial" w:hAnsi="Arial"/>
          <w:sz w:val="22"/>
          <w:szCs w:val="22"/>
          <w:color w:val="auto"/>
        </w:rPr>
      </w:pPr>
    </w:p>
    <w:p>
      <w:pPr>
        <w:ind w:left="2268" w:hanging="804"/>
        <w:spacing w:after="0"/>
        <w:tabs>
          <w:tab w:leader="none" w:pos="2268" w:val="left"/>
        </w:tabs>
        <w:numPr>
          <w:ilvl w:val="1"/>
          <w:numId w:val="181"/>
        </w:numPr>
        <w:rPr>
          <w:rFonts w:ascii="Arial" w:cs="Arial" w:eastAsia="Arial" w:hAnsi="Arial"/>
          <w:sz w:val="22"/>
          <w:szCs w:val="22"/>
          <w:color w:val="auto"/>
        </w:rPr>
      </w:pPr>
      <w:r>
        <w:rPr>
          <w:rFonts w:ascii="Arial" w:cs="Arial" w:eastAsia="Arial" w:hAnsi="Arial"/>
          <w:sz w:val="22"/>
          <w:szCs w:val="22"/>
          <w:color w:val="auto"/>
        </w:rPr>
        <w:t>[Reserved];</w:t>
      </w:r>
    </w:p>
    <w:p>
      <w:pPr>
        <w:sectPr>
          <w:pgSz w:w="11900" w:h="16838" w:orient="portrait"/>
          <w:cols w:equalWidth="0" w:num="1">
            <w:col w:w="10908"/>
          </w:cols>
          <w:pgMar w:left="652" w:top="1428" w:right="339" w:bottom="1440" w:gutter="0" w:footer="0" w:header="0"/>
        </w:sectPr>
      </w:pPr>
    </w:p>
    <w:bookmarkStart w:id="254" w:name="page255"/>
    <w:bookmarkEnd w:id="254"/>
    <w:p>
      <w:pPr>
        <w:jc w:val="both"/>
        <w:ind w:left="8" w:firstLine="1396"/>
        <w:spacing w:after="0" w:line="253" w:lineRule="auto"/>
        <w:tabs>
          <w:tab w:leader="none" w:pos="2276" w:val="left"/>
        </w:tabs>
        <w:numPr>
          <w:ilvl w:val="1"/>
          <w:numId w:val="182"/>
        </w:numPr>
        <w:rPr>
          <w:rFonts w:ascii="Arial" w:cs="Arial" w:eastAsia="Arial" w:hAnsi="Arial"/>
          <w:sz w:val="22"/>
          <w:szCs w:val="22"/>
          <w:color w:val="auto"/>
        </w:rPr>
      </w:pPr>
      <w:r>
        <w:rPr>
          <w:rFonts w:ascii="Arial" w:cs="Arial" w:eastAsia="Arial" w:hAnsi="Arial"/>
          <w:sz w:val="22"/>
          <w:szCs w:val="22"/>
          <w:color w:val="auto"/>
        </w:rPr>
        <w:t xml:space="preserve">Indebtedness arising from the honoring by a bank or other financial institution of a check, draft or similar instrument drawn against insufficient funds in the ordinary course of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Indebtedness is extinguished within five Business Days of its Incurrence;</w:t>
      </w:r>
    </w:p>
    <w:p>
      <w:pPr>
        <w:spacing w:after="0" w:line="185" w:lineRule="exact"/>
        <w:rPr>
          <w:rFonts w:ascii="Arial" w:cs="Arial" w:eastAsia="Arial" w:hAnsi="Arial"/>
          <w:sz w:val="22"/>
          <w:szCs w:val="22"/>
          <w:color w:val="auto"/>
        </w:rPr>
      </w:pPr>
    </w:p>
    <w:p>
      <w:pPr>
        <w:ind w:left="8" w:right="20" w:firstLine="1516"/>
        <w:spacing w:after="0" w:line="263" w:lineRule="auto"/>
        <w:tabs>
          <w:tab w:leader="none" w:pos="2276" w:val="left"/>
        </w:tabs>
        <w:numPr>
          <w:ilvl w:val="1"/>
          <w:numId w:val="182"/>
        </w:numPr>
        <w:rPr>
          <w:rFonts w:ascii="Arial" w:cs="Arial" w:eastAsia="Arial" w:hAnsi="Arial"/>
          <w:sz w:val="22"/>
          <w:szCs w:val="22"/>
          <w:color w:val="auto"/>
        </w:rPr>
      </w:pPr>
      <w:r>
        <w:rPr>
          <w:rFonts w:ascii="Arial" w:cs="Arial" w:eastAsia="Arial" w:hAnsi="Arial"/>
          <w:sz w:val="22"/>
          <w:szCs w:val="22"/>
          <w:color w:val="auto"/>
        </w:rPr>
        <w:t>Indebtedness of Parent Borrower or any Restricted Subsidiary supported by a Letter of Credit, in a principal amount not in excess of the stated amount of such Letter of Credit;</w:t>
      </w:r>
    </w:p>
    <w:p>
      <w:pPr>
        <w:spacing w:after="0" w:line="174" w:lineRule="exact"/>
        <w:rPr>
          <w:rFonts w:ascii="Arial" w:cs="Arial" w:eastAsia="Arial" w:hAnsi="Arial"/>
          <w:sz w:val="22"/>
          <w:szCs w:val="22"/>
          <w:color w:val="auto"/>
        </w:rPr>
      </w:pPr>
    </w:p>
    <w:p>
      <w:pPr>
        <w:ind w:left="2268" w:hanging="684"/>
        <w:spacing w:after="0"/>
        <w:tabs>
          <w:tab w:leader="none" w:pos="2268" w:val="left"/>
        </w:tabs>
        <w:numPr>
          <w:ilvl w:val="1"/>
          <w:numId w:val="182"/>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left="8" w:firstLine="1516"/>
        <w:spacing w:after="0" w:line="253" w:lineRule="auto"/>
        <w:tabs>
          <w:tab w:leader="none" w:pos="2276" w:val="left"/>
        </w:tabs>
        <w:numPr>
          <w:ilvl w:val="1"/>
          <w:numId w:val="182"/>
        </w:numPr>
        <w:rPr>
          <w:rFonts w:ascii="Arial" w:cs="Arial" w:eastAsia="Arial" w:hAnsi="Arial"/>
          <w:sz w:val="22"/>
          <w:szCs w:val="22"/>
          <w:color w:val="auto"/>
        </w:rPr>
      </w:pPr>
      <w:r>
        <w:rPr>
          <w:rFonts w:ascii="Arial" w:cs="Arial" w:eastAsia="Arial" w:hAnsi="Arial"/>
          <w:sz w:val="22"/>
          <w:szCs w:val="22"/>
          <w:color w:val="auto"/>
        </w:rPr>
        <w:t>Indebtedness of Parent Borrower or any Restricted Subsidiary consisting of (A) the financing of insurance premiums or (B) take-or-pay obligations contained in supply arrangements, in each case, in the ordinary course of business;</w:t>
      </w:r>
    </w:p>
    <w:p>
      <w:pPr>
        <w:spacing w:after="0" w:line="185" w:lineRule="exact"/>
        <w:rPr>
          <w:rFonts w:ascii="Arial" w:cs="Arial" w:eastAsia="Arial" w:hAnsi="Arial"/>
          <w:sz w:val="22"/>
          <w:szCs w:val="22"/>
          <w:color w:val="auto"/>
        </w:rPr>
      </w:pPr>
    </w:p>
    <w:p>
      <w:pPr>
        <w:jc w:val="both"/>
        <w:ind w:left="8" w:firstLine="1456"/>
        <w:spacing w:after="0" w:line="265" w:lineRule="auto"/>
        <w:tabs>
          <w:tab w:leader="none" w:pos="2276" w:val="left"/>
        </w:tabs>
        <w:numPr>
          <w:ilvl w:val="1"/>
          <w:numId w:val="182"/>
        </w:numPr>
        <w:rPr>
          <w:rFonts w:ascii="Arial" w:cs="Arial" w:eastAsia="Arial" w:hAnsi="Arial"/>
          <w:sz w:val="21"/>
          <w:szCs w:val="21"/>
          <w:color w:val="auto"/>
        </w:rPr>
      </w:pPr>
      <w:r>
        <w:rPr>
          <w:rFonts w:ascii="Arial" w:cs="Arial" w:eastAsia="Arial" w:hAnsi="Arial"/>
          <w:sz w:val="21"/>
          <w:szCs w:val="21"/>
          <w:color w:val="auto"/>
        </w:rPr>
        <w:t xml:space="preserve">Indebtedness consisting of Indebtedness of Parent Borrower or a Restricted Subsidiary to current or former officers, directors and employees thereof or any direct or indirect parent thereof, their respective estates, spouses or former spouses, in each case to finance the purchase or redemption of Equity Interests of Parent Borrower or any direct or indirect parent of Parent Borrower to the extent described in </w:t>
      </w:r>
      <w:r>
        <w:rPr>
          <w:rFonts w:ascii="Arial" w:cs="Arial" w:eastAsia="Arial" w:hAnsi="Arial"/>
          <w:sz w:val="21"/>
          <w:szCs w:val="21"/>
          <w:u w:val="single" w:color="auto"/>
          <w:color w:val="auto"/>
        </w:rPr>
        <w:t>Section 7.2(b)(iv)</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left="8" w:firstLine="1396"/>
        <w:spacing w:after="0" w:line="302" w:lineRule="auto"/>
        <w:tabs>
          <w:tab w:leader="none" w:pos="2276" w:val="left"/>
        </w:tabs>
        <w:numPr>
          <w:ilvl w:val="1"/>
          <w:numId w:val="182"/>
        </w:numPr>
        <w:rPr>
          <w:rFonts w:ascii="Arial" w:cs="Arial" w:eastAsia="Arial" w:hAnsi="Arial"/>
          <w:sz w:val="19"/>
          <w:szCs w:val="19"/>
          <w:color w:val="auto"/>
        </w:rPr>
      </w:pPr>
      <w:r>
        <w:rPr>
          <w:rFonts w:ascii="Arial" w:cs="Arial" w:eastAsia="Arial" w:hAnsi="Arial"/>
          <w:sz w:val="19"/>
          <w:szCs w:val="19"/>
          <w:color w:val="auto"/>
        </w:rPr>
        <w:t xml:space="preserve">Indebtedness in respect of Obligations of Parent Borrower or any Restricted Subsidiary to pay the deferred purchase price of goods or services or progress payments in connection with such goods and services;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obligations are incurred in connection with open accounts extended by suppliers on customary trade terms in the ordinary course of business and not in connection with the borrowing of money or any Hedging Obligations;</w:t>
      </w:r>
    </w:p>
    <w:p>
      <w:pPr>
        <w:spacing w:after="0" w:line="142" w:lineRule="exact"/>
        <w:rPr>
          <w:rFonts w:ascii="Arial" w:cs="Arial" w:eastAsia="Arial" w:hAnsi="Arial"/>
          <w:sz w:val="19"/>
          <w:szCs w:val="19"/>
          <w:color w:val="auto"/>
        </w:rPr>
      </w:pPr>
    </w:p>
    <w:p>
      <w:pPr>
        <w:jc w:val="both"/>
        <w:ind w:left="8" w:firstLine="1408"/>
        <w:spacing w:after="0" w:line="286" w:lineRule="auto"/>
        <w:tabs>
          <w:tab w:leader="none" w:pos="2276" w:val="left"/>
        </w:tabs>
        <w:numPr>
          <w:ilvl w:val="1"/>
          <w:numId w:val="182"/>
        </w:numPr>
        <w:rPr>
          <w:rFonts w:ascii="Arial" w:cs="Arial" w:eastAsia="Arial" w:hAnsi="Arial"/>
          <w:sz w:val="19"/>
          <w:szCs w:val="19"/>
          <w:color w:val="auto"/>
        </w:rPr>
      </w:pPr>
      <w:r>
        <w:rPr>
          <w:rFonts w:ascii="Arial" w:cs="Arial" w:eastAsia="Arial" w:hAnsi="Arial"/>
          <w:sz w:val="19"/>
          <w:szCs w:val="19"/>
          <w:color w:val="auto"/>
        </w:rPr>
        <w:t xml:space="preserve">Indebtedness under asset-level financings, Capitalized Lease Obligations and purchase money indebtedness incurred by (1) Norbert or any of its Subsidiaries or (2) any Foreign Subsidiary of Parent Borrower, in each case in the ordinary course of business consistent with past practice;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Indebtedness outstanding under this </w:t>
      </w:r>
      <w:r>
        <w:rPr>
          <w:rFonts w:ascii="Arial" w:cs="Arial" w:eastAsia="Arial" w:hAnsi="Arial"/>
          <w:sz w:val="19"/>
          <w:szCs w:val="19"/>
          <w:u w:val="single" w:color="auto"/>
          <w:color w:val="auto"/>
        </w:rPr>
        <w:t>Section 7.1(b)(xxiv)</w:t>
      </w:r>
      <w:r>
        <w:rPr>
          <w:rFonts w:ascii="Arial" w:cs="Arial" w:eastAsia="Arial" w:hAnsi="Arial"/>
          <w:sz w:val="19"/>
          <w:szCs w:val="19"/>
          <w:color w:val="auto"/>
        </w:rPr>
        <w:t xml:space="preserve">, together with any Refinancing Indebtedness in respect thereof incurred pursuant to </w:t>
      </w:r>
      <w:r>
        <w:rPr>
          <w:rFonts w:ascii="Arial" w:cs="Arial" w:eastAsia="Arial" w:hAnsi="Arial"/>
          <w:sz w:val="19"/>
          <w:szCs w:val="19"/>
          <w:u w:val="single" w:color="auto"/>
          <w:color w:val="auto"/>
        </w:rPr>
        <w:t>Section 7.1(b)</w:t>
      </w:r>
    </w:p>
    <w:p>
      <w:pPr>
        <w:spacing w:after="0" w:line="2" w:lineRule="exact"/>
        <w:rPr>
          <w:rFonts w:ascii="Arial" w:cs="Arial" w:eastAsia="Arial" w:hAnsi="Arial"/>
          <w:sz w:val="19"/>
          <w:szCs w:val="19"/>
          <w:color w:val="auto"/>
        </w:rPr>
      </w:pPr>
    </w:p>
    <w:p>
      <w:pPr>
        <w:ind w:left="8" w:right="20" w:hanging="8"/>
        <w:spacing w:after="0" w:line="246" w:lineRule="auto"/>
        <w:tabs>
          <w:tab w:leader="none" w:pos="431" w:val="left"/>
        </w:tabs>
        <w:numPr>
          <w:ilvl w:val="0"/>
          <w:numId w:val="183"/>
        </w:numPr>
        <w:rPr>
          <w:rFonts w:ascii="Arial" w:cs="Arial" w:eastAsia="Arial" w:hAnsi="Arial"/>
          <w:sz w:val="22"/>
          <w:szCs w:val="22"/>
          <w:u w:val="single" w:color="auto"/>
          <w:color w:val="auto"/>
        </w:rPr>
      </w:pPr>
      <w:r>
        <w:rPr>
          <w:rFonts w:ascii="Arial" w:cs="Arial" w:eastAsia="Arial" w:hAnsi="Arial"/>
          <w:sz w:val="22"/>
          <w:szCs w:val="22"/>
          <w:color w:val="auto"/>
        </w:rPr>
        <w:t>shall not exceed, in the aggregate, the greater of $1,200 million and 75% of Consolidated EBITDA (plus, in the case of any Refinancing Indebtedness, the Additional Refinancing Amount);</w:t>
      </w:r>
    </w:p>
    <w:p>
      <w:pPr>
        <w:spacing w:after="0" w:line="192" w:lineRule="exact"/>
        <w:rPr>
          <w:rFonts w:ascii="Arial" w:cs="Arial" w:eastAsia="Arial" w:hAnsi="Arial"/>
          <w:sz w:val="22"/>
          <w:szCs w:val="22"/>
          <w:u w:val="single" w:color="auto"/>
          <w:color w:val="auto"/>
        </w:rPr>
      </w:pPr>
    </w:p>
    <w:p>
      <w:pPr>
        <w:ind w:left="2268" w:hanging="792"/>
        <w:spacing w:after="0"/>
        <w:tabs>
          <w:tab w:leader="none" w:pos="2268" w:val="left"/>
        </w:tabs>
        <w:numPr>
          <w:ilvl w:val="1"/>
          <w:numId w:val="183"/>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left="2268" w:hanging="852"/>
        <w:spacing w:after="0"/>
        <w:tabs>
          <w:tab w:leader="none" w:pos="2268" w:val="left"/>
        </w:tabs>
        <w:numPr>
          <w:ilvl w:val="1"/>
          <w:numId w:val="183"/>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left="8" w:firstLine="1348"/>
        <w:spacing w:after="0" w:line="253" w:lineRule="auto"/>
        <w:tabs>
          <w:tab w:leader="none" w:pos="2276" w:val="left"/>
        </w:tabs>
        <w:numPr>
          <w:ilvl w:val="1"/>
          <w:numId w:val="183"/>
        </w:numPr>
        <w:rPr>
          <w:rFonts w:ascii="Arial" w:cs="Arial" w:eastAsia="Arial" w:hAnsi="Arial"/>
          <w:sz w:val="22"/>
          <w:szCs w:val="22"/>
          <w:color w:val="auto"/>
        </w:rPr>
      </w:pPr>
      <w:r>
        <w:rPr>
          <w:rFonts w:ascii="Arial" w:cs="Arial" w:eastAsia="Arial" w:hAnsi="Arial"/>
          <w:sz w:val="22"/>
          <w:szCs w:val="22"/>
          <w:color w:val="auto"/>
        </w:rPr>
        <w:t xml:space="preserve">Capitalized Lease Obligations and purchase money Indebtedness;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after giving effect to the incurrence of such Indebtedness in each case, the Borrowers shall be in Pro Forma Compliance with the Restricted Conditions, and Refinancing Indebtedness in respect in respect thereof; and</w:t>
      </w:r>
    </w:p>
    <w:p>
      <w:pPr>
        <w:sectPr>
          <w:pgSz w:w="11900" w:h="16838" w:orient="portrait"/>
          <w:cols w:equalWidth="0" w:num="1">
            <w:col w:w="10908"/>
          </w:cols>
          <w:pgMar w:left="652" w:top="1428" w:right="339" w:bottom="1440" w:gutter="0" w:footer="0" w:header="0"/>
        </w:sectPr>
      </w:pPr>
    </w:p>
    <w:bookmarkStart w:id="255" w:name="page256"/>
    <w:bookmarkEnd w:id="255"/>
    <w:p>
      <w:pPr>
        <w:jc w:val="both"/>
        <w:ind w:left="340" w:firstLine="1288"/>
        <w:spacing w:after="0" w:line="253" w:lineRule="auto"/>
        <w:tabs>
          <w:tab w:leader="none" w:pos="2701" w:val="left"/>
        </w:tabs>
        <w:numPr>
          <w:ilvl w:val="0"/>
          <w:numId w:val="184"/>
        </w:numPr>
        <w:rPr>
          <w:rFonts w:ascii="Arial" w:cs="Arial" w:eastAsia="Arial" w:hAnsi="Arial"/>
          <w:sz w:val="22"/>
          <w:szCs w:val="22"/>
          <w:color w:val="auto"/>
        </w:rPr>
      </w:pPr>
      <w:r>
        <w:rPr>
          <w:rFonts w:ascii="Arial" w:cs="Arial" w:eastAsia="Arial" w:hAnsi="Arial"/>
          <w:sz w:val="22"/>
          <w:szCs w:val="22"/>
          <w:color w:val="auto"/>
        </w:rPr>
        <w:t xml:space="preserve">any Indebtedness of Parent Borrower or its Restricted Subsidiaries;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after giving effect to the incurrence of such Indebtedness in each case, Borrowers shall be in Pro Forma Compliance with the Restricted Conditions.</w:t>
      </w:r>
    </w:p>
    <w:p>
      <w:pPr>
        <w:spacing w:after="0" w:line="185" w:lineRule="exact"/>
        <w:rPr>
          <w:rFonts w:ascii="Arial" w:cs="Arial" w:eastAsia="Arial" w:hAnsi="Arial"/>
          <w:sz w:val="22"/>
          <w:szCs w:val="22"/>
          <w:color w:val="auto"/>
        </w:rPr>
      </w:pPr>
    </w:p>
    <w:p>
      <w:pPr>
        <w:jc w:val="both"/>
        <w:ind w:left="660" w:firstLine="2669"/>
        <w:spacing w:after="0" w:line="247" w:lineRule="auto"/>
        <w:tabs>
          <w:tab w:leader="none" w:pos="3897" w:val="left"/>
        </w:tabs>
        <w:numPr>
          <w:ilvl w:val="1"/>
          <w:numId w:val="184"/>
        </w:numPr>
        <w:rPr>
          <w:rFonts w:ascii="Arial" w:cs="Arial" w:eastAsia="Arial" w:hAnsi="Arial"/>
          <w:sz w:val="22"/>
          <w:szCs w:val="22"/>
          <w:color w:val="auto"/>
        </w:rPr>
      </w:pPr>
      <w:r>
        <w:rPr>
          <w:rFonts w:ascii="Arial" w:cs="Arial" w:eastAsia="Arial" w:hAnsi="Arial"/>
          <w:sz w:val="22"/>
          <w:szCs w:val="22"/>
          <w:color w:val="auto"/>
        </w:rPr>
        <w:t xml:space="preserve">For purposes of determining compliance with this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at the time of incurrence, the Parent Borrower will be entitled to divide and classify an item of Indebtedness in more than one of the categories of Indebtedness described (i) through (xxviii) of </w:t>
      </w:r>
      <w:r>
        <w:rPr>
          <w:rFonts w:ascii="Arial" w:cs="Arial" w:eastAsia="Arial" w:hAnsi="Arial"/>
          <w:sz w:val="22"/>
          <w:szCs w:val="22"/>
          <w:u w:val="single" w:color="auto"/>
          <w:color w:val="auto"/>
        </w:rPr>
        <w:t>Section 7.1(b)</w:t>
      </w:r>
      <w:r>
        <w:rPr>
          <w:rFonts w:ascii="Arial" w:cs="Arial" w:eastAsia="Arial" w:hAnsi="Arial"/>
          <w:sz w:val="22"/>
          <w:szCs w:val="22"/>
          <w:color w:val="auto"/>
        </w:rPr>
        <w:t xml:space="preserve"> (or any portion thereof) without giving pro forma effect to the Indebtedness Incurred pursuant to any other clause or paragraph of </w:t>
      </w:r>
      <w:r>
        <w:rPr>
          <w:rFonts w:ascii="Arial" w:cs="Arial" w:eastAsia="Arial" w:hAnsi="Arial"/>
          <w:sz w:val="22"/>
          <w:szCs w:val="22"/>
          <w:u w:val="single" w:color="auto"/>
          <w:color w:val="auto"/>
        </w:rPr>
        <w:t>Section 7.1(a)</w:t>
      </w:r>
      <w:r>
        <w:rPr>
          <w:rFonts w:ascii="Arial" w:cs="Arial" w:eastAsia="Arial" w:hAnsi="Arial"/>
          <w:sz w:val="22"/>
          <w:szCs w:val="22"/>
          <w:color w:val="auto"/>
        </w:rPr>
        <w:t xml:space="preserve"> (or any portion thereof) when calculating the amount of Indebtedness that may be Incurred pursuant to any such clause or paragraph (or any portion thereof).</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 xml:space="preserve">Accrual of interest, the accretion of accreted value, the payment of interest or dividends in the form of additional Indebtedness, Disqualified Capital Stock or Preferred Stock, as applicable, amortization of original issue discount, the accretion of liquidation preference and increases in the amount of Indebtedness outstanding solely as a result of fluctuations in the exchange rate of currencies will not be deemed to be an Incurrence of Indebtedness, Disqualified Capital Stock or Preferred Stock for purposes of this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In addition, Guaranties of, or obligations in respect of letters of credit relating to, Indebtedness which is otherwise included in the determination of a particular amount of Indebtedness shall not be included in the determination of such amount of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Incurrence of the Indebtedness represented by such guarantee or letter of credit, as the case may be, was in compliance with this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156"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For purposes of determining compliance with any Dollar-denominated restriction on the Incurrence of Indebtedness, the Dollar-equivalent principal amount of Indebtedness denominated in a foreign currency shall be calculated based on the relevant currency exchange rate in effect on the date such Indebtedness was Incurred, in the case of term debt, or first committed or first Incurred (whichever yields the lower Dollar equivalent), in the case of revolving credit debt. However, if the Indebtedness is Incurred to refinance other Indebtedness denominated in a foreign currency, and the refinancing would cause the applicable Dollar-denominated restriction to be exceeded if calculated at the relevant currency exchange rate in effect on the date of the refinancing, the Dollar-denominated restriction will be deemed not to have been exceeded so long as the principal amount of the refinancing Indebtedness does not exceed the principal amount of the Indebtedness being refinanced.</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 xml:space="preserve">Notwithstanding any other provision of this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the maximum amount of Indebtedness that Parent Borrower and the Restricted Subsidiaries may Incur pursuant to this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shall not be deemed to be exceeded, with respect to any outstanding Indebtedness, solely as a result of fluctuations in the exchange rate of currencies. The principal amount of any Indebtedness Incurred to refinance other Indebtedness, if Incurred in a different currency from the Indebtedness being refinanced, will be calculated based on the currency exchange rate applicable to the currencies in which the respective Indebtedness is denominated that is in effect on the date of the refinancing.</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19"/>
          <w:szCs w:val="19"/>
          <w:u w:val="single" w:color="auto"/>
          <w:color w:val="auto"/>
        </w:rPr>
        <w:t>Limitation on Restricted Payments</w:t>
      </w:r>
      <w:r>
        <w:rPr>
          <w:rFonts w:ascii="Arial" w:cs="Arial" w:eastAsia="Arial" w:hAnsi="Arial"/>
          <w:sz w:val="19"/>
          <w:szCs w:val="19"/>
          <w:color w:val="auto"/>
        </w:rPr>
        <w:t>.</w:t>
      </w:r>
    </w:p>
    <w:p>
      <w:pPr>
        <w:sectPr>
          <w:pgSz w:w="11900" w:h="16838" w:orient="portrait"/>
          <w:cols w:equalWidth="0" w:num="1">
            <w:col w:w="11240"/>
          </w:cols>
          <w:pgMar w:left="320" w:top="1428" w:right="339" w:bottom="1440" w:gutter="0" w:footer="0" w:header="0"/>
        </w:sectPr>
      </w:pPr>
    </w:p>
    <w:bookmarkStart w:id="256" w:name="page257"/>
    <w:bookmarkEnd w:id="256"/>
    <w:p>
      <w:pPr>
        <w:ind w:left="1940" w:hanging="312"/>
        <w:spacing w:after="0"/>
        <w:tabs>
          <w:tab w:leader="none" w:pos="1940" w:val="left"/>
        </w:tabs>
        <w:numPr>
          <w:ilvl w:val="1"/>
          <w:numId w:val="185"/>
        </w:numPr>
        <w:rPr>
          <w:rFonts w:ascii="Arial" w:cs="Arial" w:eastAsia="Arial" w:hAnsi="Arial"/>
          <w:sz w:val="19"/>
          <w:szCs w:val="19"/>
          <w:color w:val="auto"/>
        </w:rPr>
      </w:pPr>
      <w:r>
        <w:rPr>
          <w:rFonts w:ascii="Arial" w:cs="Arial" w:eastAsia="Arial" w:hAnsi="Arial"/>
          <w:sz w:val="19"/>
          <w:szCs w:val="19"/>
          <w:color w:val="auto"/>
        </w:rPr>
        <w:t>Parent Borrower shall not, and shall not permit any of the Restricted Subsidiaries to, directly or indirectly:</w:t>
      </w:r>
    </w:p>
    <w:p>
      <w:pPr>
        <w:spacing w:after="0" w:line="254" w:lineRule="exact"/>
        <w:rPr>
          <w:rFonts w:ascii="Arial" w:cs="Arial" w:eastAsia="Arial" w:hAnsi="Arial"/>
          <w:sz w:val="19"/>
          <w:szCs w:val="19"/>
          <w:color w:val="auto"/>
        </w:rPr>
      </w:pPr>
    </w:p>
    <w:p>
      <w:pPr>
        <w:jc w:val="both"/>
        <w:ind w:left="340" w:firstLine="1732"/>
        <w:spacing w:after="0" w:line="292" w:lineRule="auto"/>
        <w:tabs>
          <w:tab w:leader="none" w:pos="2608" w:val="left"/>
        </w:tabs>
        <w:numPr>
          <w:ilvl w:val="2"/>
          <w:numId w:val="185"/>
        </w:numPr>
        <w:rPr>
          <w:rFonts w:ascii="Arial" w:cs="Arial" w:eastAsia="Arial" w:hAnsi="Arial"/>
          <w:sz w:val="19"/>
          <w:szCs w:val="19"/>
          <w:color w:val="auto"/>
        </w:rPr>
      </w:pPr>
      <w:r>
        <w:rPr>
          <w:rFonts w:ascii="Arial" w:cs="Arial" w:eastAsia="Arial" w:hAnsi="Arial"/>
          <w:sz w:val="19"/>
          <w:szCs w:val="19"/>
          <w:color w:val="auto"/>
        </w:rPr>
        <w:t>declare or pay any dividend or make any distribution on account of any of Parent Borrower’s or any of the Restricted Subsidiaries’ Equity Interests, including any payment made in connection with any merger, amalgamation or consolidation involving Parent Borrower (other than (A) dividends or distributions payable solely in Equity Interests (other than Disqualified Capital Stock) of Parent Borrower; or (B) dividends or distributions by a Restricted Subsidiary so long as, in the case of any dividend or distribution payable on or in respect of any class or series of securities issued by a Restricted Subsidiary that is not a Wholly Owned Restricted Subsidiary, Parent Borrower or a Restricted Subsidiary receives at least its pro rata share of such dividend or distribution in accordance with its Equity Interests in such class or series of securities);</w:t>
      </w:r>
    </w:p>
    <w:p>
      <w:pPr>
        <w:spacing w:after="0" w:line="150" w:lineRule="exact"/>
        <w:rPr>
          <w:rFonts w:ascii="Arial" w:cs="Arial" w:eastAsia="Arial" w:hAnsi="Arial"/>
          <w:sz w:val="19"/>
          <w:szCs w:val="19"/>
          <w:color w:val="auto"/>
        </w:rPr>
      </w:pPr>
    </w:p>
    <w:p>
      <w:pPr>
        <w:ind w:left="340" w:firstLine="1672"/>
        <w:spacing w:after="0" w:line="263" w:lineRule="auto"/>
        <w:tabs>
          <w:tab w:leader="none" w:pos="2608" w:val="left"/>
        </w:tabs>
        <w:numPr>
          <w:ilvl w:val="2"/>
          <w:numId w:val="185"/>
        </w:numPr>
        <w:rPr>
          <w:rFonts w:ascii="Arial" w:cs="Arial" w:eastAsia="Arial" w:hAnsi="Arial"/>
          <w:sz w:val="22"/>
          <w:szCs w:val="22"/>
          <w:color w:val="auto"/>
        </w:rPr>
      </w:pPr>
      <w:r>
        <w:rPr>
          <w:rFonts w:ascii="Arial" w:cs="Arial" w:eastAsia="Arial" w:hAnsi="Arial"/>
          <w:sz w:val="22"/>
          <w:szCs w:val="22"/>
          <w:color w:val="auto"/>
        </w:rPr>
        <w:t>purchase or otherwise acquire or retire for value any Equity Interests of Parent Borrower or any direct or indirect parent of Parent Borrower;</w:t>
      </w:r>
    </w:p>
    <w:p>
      <w:pPr>
        <w:spacing w:after="0" w:line="174" w:lineRule="exact"/>
        <w:rPr>
          <w:rFonts w:ascii="Arial" w:cs="Arial" w:eastAsia="Arial" w:hAnsi="Arial"/>
          <w:sz w:val="22"/>
          <w:szCs w:val="22"/>
          <w:color w:val="auto"/>
        </w:rPr>
      </w:pPr>
    </w:p>
    <w:p>
      <w:pPr>
        <w:jc w:val="both"/>
        <w:ind w:left="340" w:firstLine="1612"/>
        <w:spacing w:after="0" w:line="285" w:lineRule="auto"/>
        <w:tabs>
          <w:tab w:leader="none" w:pos="2608" w:val="left"/>
        </w:tabs>
        <w:numPr>
          <w:ilvl w:val="2"/>
          <w:numId w:val="185"/>
        </w:numPr>
        <w:rPr>
          <w:rFonts w:ascii="Arial" w:cs="Arial" w:eastAsia="Arial" w:hAnsi="Arial"/>
          <w:sz w:val="19"/>
          <w:szCs w:val="19"/>
          <w:color w:val="auto"/>
        </w:rPr>
      </w:pPr>
      <w:r>
        <w:rPr>
          <w:rFonts w:ascii="Arial" w:cs="Arial" w:eastAsia="Arial" w:hAnsi="Arial"/>
          <w:sz w:val="19"/>
          <w:szCs w:val="19"/>
          <w:color w:val="auto"/>
        </w:rPr>
        <w:t>make any principal payment on, or redeem, repurchase, defease or otherwise acquire or retire for value, in each case prior to any scheduled repayment or scheduled maturity, any Subordinated Indebtedness of Parent Borrower, or any Credit Party (other than the payment, redemption, repurchase, defeasance, acquisition or retirement of (A) Subordinated Indebtedness in anticipation of satisfying a sinking fund obligation, principal installment or final maturity, in each case due within one year of the date of such payment, redemption, repurchase, defeasance, acquisition or retirement and</w:t>
      </w:r>
    </w:p>
    <w:p>
      <w:pPr>
        <w:spacing w:after="0" w:line="3" w:lineRule="exact"/>
        <w:rPr>
          <w:rFonts w:ascii="Arial" w:cs="Arial" w:eastAsia="Arial" w:hAnsi="Arial"/>
          <w:sz w:val="19"/>
          <w:szCs w:val="19"/>
          <w:color w:val="auto"/>
        </w:rPr>
      </w:pPr>
    </w:p>
    <w:p>
      <w:pPr>
        <w:ind w:left="680" w:hanging="348"/>
        <w:spacing w:after="0"/>
        <w:tabs>
          <w:tab w:leader="none" w:pos="680" w:val="left"/>
        </w:tabs>
        <w:numPr>
          <w:ilvl w:val="0"/>
          <w:numId w:val="186"/>
        </w:numPr>
        <w:rPr>
          <w:rFonts w:ascii="Arial" w:cs="Arial" w:eastAsia="Arial" w:hAnsi="Arial"/>
          <w:sz w:val="22"/>
          <w:szCs w:val="22"/>
          <w:color w:val="auto"/>
        </w:rPr>
      </w:pPr>
      <w:r>
        <w:rPr>
          <w:rFonts w:ascii="Arial" w:cs="Arial" w:eastAsia="Arial" w:hAnsi="Arial"/>
          <w:sz w:val="22"/>
          <w:szCs w:val="22"/>
          <w:color w:val="auto"/>
        </w:rPr>
        <w:t xml:space="preserve">Indebtedness permitted under clauses (vii) and (ix) of </w:t>
      </w:r>
      <w:r>
        <w:rPr>
          <w:rFonts w:ascii="Arial" w:cs="Arial" w:eastAsia="Arial" w:hAnsi="Arial"/>
          <w:sz w:val="22"/>
          <w:szCs w:val="22"/>
          <w:u w:val="single" w:color="auto"/>
          <w:color w:val="auto"/>
        </w:rPr>
        <w:t>Section 7.1(b)</w:t>
      </w:r>
      <w:r>
        <w:rPr>
          <w:rFonts w:ascii="Arial" w:cs="Arial" w:eastAsia="Arial" w:hAnsi="Arial"/>
          <w:sz w:val="22"/>
          <w:szCs w:val="22"/>
          <w:color w:val="auto"/>
        </w:rPr>
        <w:t>); or</w:t>
      </w:r>
    </w:p>
    <w:p>
      <w:pPr>
        <w:spacing w:after="0" w:line="201" w:lineRule="exact"/>
        <w:rPr>
          <w:rFonts w:ascii="Arial" w:cs="Arial" w:eastAsia="Arial" w:hAnsi="Arial"/>
          <w:sz w:val="22"/>
          <w:szCs w:val="22"/>
          <w:color w:val="auto"/>
        </w:rPr>
      </w:pPr>
    </w:p>
    <w:p>
      <w:pPr>
        <w:ind w:left="2600" w:hanging="636"/>
        <w:spacing w:after="0"/>
        <w:tabs>
          <w:tab w:leader="none" w:pos="2600" w:val="left"/>
        </w:tabs>
        <w:numPr>
          <w:ilvl w:val="2"/>
          <w:numId w:val="186"/>
        </w:numPr>
        <w:rPr>
          <w:rFonts w:ascii="Arial" w:cs="Arial" w:eastAsia="Arial" w:hAnsi="Arial"/>
          <w:sz w:val="22"/>
          <w:szCs w:val="22"/>
          <w:color w:val="auto"/>
        </w:rPr>
      </w:pPr>
      <w:r>
        <w:rPr>
          <w:rFonts w:ascii="Arial" w:cs="Arial" w:eastAsia="Arial" w:hAnsi="Arial"/>
          <w:sz w:val="22"/>
          <w:szCs w:val="22"/>
          <w:color w:val="auto"/>
        </w:rPr>
        <w:t>make any Restricted Investment</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(all such payments and other actions set forth in clauses (i) through (iv) above being collectively referred to as “</w:t>
      </w:r>
      <w:r>
        <w:rPr>
          <w:rFonts w:ascii="Arial" w:cs="Arial" w:eastAsia="Arial" w:hAnsi="Arial"/>
          <w:sz w:val="22"/>
          <w:szCs w:val="22"/>
          <w:u w:val="single" w:color="auto"/>
          <w:color w:val="auto"/>
        </w:rPr>
        <w:t>Restricted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Payments</w:t>
      </w:r>
      <w:r>
        <w:rPr>
          <w:rFonts w:ascii="Arial" w:cs="Arial" w:eastAsia="Arial" w:hAnsi="Arial"/>
          <w:sz w:val="22"/>
          <w:szCs w:val="22"/>
          <w:color w:val="auto"/>
        </w:rPr>
        <w:t>”).</w:t>
      </w:r>
    </w:p>
    <w:p>
      <w:pPr>
        <w:spacing w:after="0" w:line="175" w:lineRule="exact"/>
        <w:rPr>
          <w:sz w:val="20"/>
          <w:szCs w:val="20"/>
          <w:color w:val="auto"/>
        </w:rPr>
      </w:pPr>
    </w:p>
    <w:p>
      <w:pPr>
        <w:ind w:left="1940" w:hanging="312"/>
        <w:spacing w:after="0"/>
        <w:tabs>
          <w:tab w:leader="none" w:pos="194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 xml:space="preserve">The provisions of </w:t>
      </w:r>
      <w:r>
        <w:rPr>
          <w:rFonts w:ascii="Arial" w:cs="Arial" w:eastAsia="Arial" w:hAnsi="Arial"/>
          <w:sz w:val="22"/>
          <w:szCs w:val="22"/>
          <w:u w:val="single" w:color="auto"/>
          <w:color w:val="auto"/>
        </w:rPr>
        <w:t>Section 7.2(a)</w:t>
      </w:r>
      <w:r>
        <w:rPr>
          <w:rFonts w:ascii="Arial" w:cs="Arial" w:eastAsia="Arial" w:hAnsi="Arial"/>
          <w:sz w:val="22"/>
          <w:szCs w:val="22"/>
          <w:color w:val="auto"/>
        </w:rPr>
        <w:t xml:space="preserve"> shall not prohibit:</w:t>
      </w:r>
    </w:p>
    <w:p>
      <w:pPr>
        <w:spacing w:after="0" w:line="219" w:lineRule="exact"/>
        <w:rPr>
          <w:rFonts w:ascii="Arial" w:cs="Arial" w:eastAsia="Arial" w:hAnsi="Arial"/>
          <w:sz w:val="22"/>
          <w:szCs w:val="22"/>
          <w:color w:val="auto"/>
        </w:rPr>
      </w:pPr>
    </w:p>
    <w:p>
      <w:pPr>
        <w:jc w:val="both"/>
        <w:ind w:left="340" w:firstLine="1732"/>
        <w:spacing w:after="0" w:line="248" w:lineRule="auto"/>
        <w:tabs>
          <w:tab w:leader="none" w:pos="2608" w:val="left"/>
        </w:tabs>
        <w:numPr>
          <w:ilvl w:val="1"/>
          <w:numId w:val="187"/>
        </w:numPr>
        <w:rPr>
          <w:rFonts w:ascii="Arial" w:cs="Arial" w:eastAsia="Arial" w:hAnsi="Arial"/>
          <w:sz w:val="22"/>
          <w:szCs w:val="22"/>
          <w:color w:val="auto"/>
        </w:rPr>
      </w:pPr>
      <w:r>
        <w:rPr>
          <w:rFonts w:ascii="Arial" w:cs="Arial" w:eastAsia="Arial" w:hAnsi="Arial"/>
          <w:sz w:val="22"/>
          <w:szCs w:val="22"/>
          <w:color w:val="auto"/>
        </w:rPr>
        <w:t xml:space="preserve">the payment of any dividend or distribution or the consummation of any irrevocable redemption within 60 days after the date of declaration thereof, if at the date of declaration or the giving of notice of such irrevocable redemption, as applicable, such payment would have complied with the provisions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dividend, distribution or redemption is being made pursuant to </w:t>
      </w:r>
      <w:r>
        <w:rPr>
          <w:rFonts w:ascii="Arial" w:cs="Arial" w:eastAsia="Arial" w:hAnsi="Arial"/>
          <w:sz w:val="22"/>
          <w:szCs w:val="22"/>
          <w:u w:val="single" w:color="auto"/>
          <w:color w:val="auto"/>
        </w:rPr>
        <w:t>Section 7.2(b)(xix)</w:t>
      </w:r>
      <w:r>
        <w:rPr>
          <w:rFonts w:ascii="Arial" w:cs="Arial" w:eastAsia="Arial" w:hAnsi="Arial"/>
          <w:sz w:val="22"/>
          <w:szCs w:val="22"/>
          <w:color w:val="auto"/>
        </w:rPr>
        <w:t>, a Reserve shall be established by Agent in an amount equal to the Restricted Payment so declared;</w:t>
      </w:r>
    </w:p>
    <w:p>
      <w:pPr>
        <w:spacing w:after="0" w:line="191" w:lineRule="exact"/>
        <w:rPr>
          <w:rFonts w:ascii="Arial" w:cs="Arial" w:eastAsia="Arial" w:hAnsi="Arial"/>
          <w:sz w:val="22"/>
          <w:szCs w:val="22"/>
          <w:color w:val="auto"/>
        </w:rPr>
      </w:pPr>
    </w:p>
    <w:p>
      <w:pPr>
        <w:jc w:val="both"/>
        <w:ind w:left="340" w:firstLine="1672"/>
        <w:spacing w:after="0" w:line="248" w:lineRule="auto"/>
        <w:tabs>
          <w:tab w:leader="none" w:pos="2688" w:val="left"/>
        </w:tabs>
        <w:numPr>
          <w:ilvl w:val="1"/>
          <w:numId w:val="187"/>
        </w:numPr>
        <w:rPr>
          <w:rFonts w:ascii="Arial" w:cs="Arial" w:eastAsia="Arial" w:hAnsi="Arial"/>
          <w:sz w:val="22"/>
          <w:szCs w:val="22"/>
          <w:color w:val="auto"/>
        </w:rPr>
      </w:pPr>
      <w:r>
        <w:rPr>
          <w:rFonts w:ascii="Arial" w:cs="Arial" w:eastAsia="Arial" w:hAnsi="Arial"/>
          <w:sz w:val="22"/>
          <w:szCs w:val="22"/>
          <w:color w:val="auto"/>
        </w:rPr>
        <w:t>(a) the redemption, repurchase, retirement or other acquisition of any Equity Interests (“</w:t>
      </w:r>
      <w:r>
        <w:rPr>
          <w:rFonts w:ascii="Arial" w:cs="Arial" w:eastAsia="Arial" w:hAnsi="Arial"/>
          <w:sz w:val="22"/>
          <w:szCs w:val="22"/>
          <w:u w:val="single" w:color="auto"/>
          <w:color w:val="auto"/>
        </w:rPr>
        <w:t>Retired</w:t>
      </w:r>
      <w:r>
        <w:rPr>
          <w:rFonts w:ascii="Arial" w:cs="Arial" w:eastAsia="Arial" w:hAnsi="Arial"/>
          <w:sz w:val="22"/>
          <w:szCs w:val="22"/>
          <w:color w:val="auto"/>
        </w:rPr>
        <w:t xml:space="preserve"> </w:t>
      </w:r>
      <w:r>
        <w:rPr>
          <w:rFonts w:ascii="Arial" w:cs="Arial" w:eastAsia="Arial" w:hAnsi="Arial"/>
          <w:sz w:val="22"/>
          <w:szCs w:val="22"/>
          <w:u w:val="single" w:color="auto"/>
          <w:color w:val="auto"/>
        </w:rPr>
        <w:t>Capital Stock</w:t>
      </w:r>
      <w:r>
        <w:rPr>
          <w:rFonts w:ascii="Arial" w:cs="Arial" w:eastAsia="Arial" w:hAnsi="Arial"/>
          <w:sz w:val="22"/>
          <w:szCs w:val="22"/>
          <w:color w:val="auto"/>
        </w:rPr>
        <w:t>”) or Subordinated Indebtedness of Parent Borrower, any direct or indirect parent of Parent Borrower or any Credit Party in exchange for, or out of the proceeds of, the substantially concurrent sale of, Equity Interests of Parent Borrower or any direct or indirect parent of Parent Borrower or contributions to the equity capital of Parent Borrower (other than any Disqualified Capital Stock or any Equity Interests</w:t>
      </w:r>
    </w:p>
    <w:p>
      <w:pPr>
        <w:sectPr>
          <w:pgSz w:w="11900" w:h="16838" w:orient="portrait"/>
          <w:cols w:equalWidth="0" w:num="1">
            <w:col w:w="11240"/>
          </w:cols>
          <w:pgMar w:left="320" w:top="1428" w:right="339" w:bottom="1440" w:gutter="0" w:footer="0" w:header="0"/>
        </w:sectPr>
      </w:pPr>
    </w:p>
    <w:bookmarkStart w:id="257" w:name="page258"/>
    <w:bookmarkEnd w:id="257"/>
    <w:p>
      <w:pPr>
        <w:spacing w:after="0"/>
        <w:rPr>
          <w:sz w:val="20"/>
          <w:szCs w:val="20"/>
          <w:color w:val="auto"/>
        </w:rPr>
      </w:pPr>
      <w:r>
        <w:rPr>
          <w:rFonts w:ascii="Arial" w:cs="Arial" w:eastAsia="Arial" w:hAnsi="Arial"/>
          <w:sz w:val="21"/>
          <w:szCs w:val="21"/>
          <w:color w:val="auto"/>
        </w:rPr>
        <w:t>sold to a Subsidiary of Parent Borrower) (collectively, including any such contributions, “</w:t>
      </w:r>
      <w:r>
        <w:rPr>
          <w:rFonts w:ascii="Arial" w:cs="Arial" w:eastAsia="Arial" w:hAnsi="Arial"/>
          <w:sz w:val="21"/>
          <w:szCs w:val="21"/>
          <w:u w:val="single" w:color="auto"/>
          <w:color w:val="auto"/>
        </w:rPr>
        <w:t>Refunding Capital Stock</w:t>
      </w:r>
      <w:r>
        <w:rPr>
          <w:rFonts w:ascii="Arial" w:cs="Arial" w:eastAsia="Arial" w:hAnsi="Arial"/>
          <w:sz w:val="21"/>
          <w:szCs w:val="21"/>
          <w:color w:val="auto"/>
        </w:rPr>
        <w:t>”);</w:t>
      </w:r>
    </w:p>
    <w:p>
      <w:pPr>
        <w:spacing w:after="0" w:line="231" w:lineRule="exact"/>
        <w:rPr>
          <w:sz w:val="20"/>
          <w:szCs w:val="20"/>
          <w:color w:val="auto"/>
        </w:rPr>
      </w:pPr>
    </w:p>
    <w:p>
      <w:pPr>
        <w:jc w:val="both"/>
        <w:ind w:right="20" w:firstLine="2592"/>
        <w:spacing w:after="0" w:line="343" w:lineRule="auto"/>
        <w:rPr>
          <w:sz w:val="20"/>
          <w:szCs w:val="20"/>
          <w:color w:val="auto"/>
        </w:rPr>
      </w:pPr>
      <w:r>
        <w:rPr>
          <w:rFonts w:ascii="Arial" w:cs="Arial" w:eastAsia="Arial" w:hAnsi="Arial"/>
          <w:sz w:val="19"/>
          <w:szCs w:val="19"/>
          <w:color w:val="auto"/>
        </w:rPr>
        <w:t>(A)the declaration and payment of dividends on the Retired Capital Stock out of the proceeds of the substantially concurrent sale (other than to a Subsidiary of Parent Borrower) of Refunding Capital Stock; and</w:t>
      </w:r>
    </w:p>
    <w:p>
      <w:pPr>
        <w:spacing w:after="0" w:line="104" w:lineRule="exact"/>
        <w:rPr>
          <w:sz w:val="20"/>
          <w:szCs w:val="20"/>
          <w:color w:val="auto"/>
        </w:rPr>
      </w:pPr>
    </w:p>
    <w:p>
      <w:pPr>
        <w:jc w:val="both"/>
        <w:ind w:firstLine="2592"/>
        <w:spacing w:after="0" w:line="294" w:lineRule="auto"/>
        <w:rPr>
          <w:sz w:val="20"/>
          <w:szCs w:val="20"/>
          <w:color w:val="auto"/>
        </w:rPr>
      </w:pPr>
      <w:r>
        <w:rPr>
          <w:rFonts w:ascii="Arial" w:cs="Arial" w:eastAsia="Arial" w:hAnsi="Arial"/>
          <w:sz w:val="19"/>
          <w:szCs w:val="19"/>
          <w:color w:val="auto"/>
        </w:rPr>
        <w:t xml:space="preserve">(B)if immediately prior to the retirement of Retired Capital Stock, the declaration and payment of dividends thereon was permitted under clause (vi) of this </w:t>
      </w:r>
      <w:r>
        <w:rPr>
          <w:rFonts w:ascii="Arial" w:cs="Arial" w:eastAsia="Arial" w:hAnsi="Arial"/>
          <w:sz w:val="19"/>
          <w:szCs w:val="19"/>
          <w:u w:val="single" w:color="auto"/>
          <w:color w:val="auto"/>
        </w:rPr>
        <w:t>Section 7.2(b)</w:t>
      </w:r>
      <w:r>
        <w:rPr>
          <w:rFonts w:ascii="Arial" w:cs="Arial" w:eastAsia="Arial" w:hAnsi="Arial"/>
          <w:sz w:val="19"/>
          <w:szCs w:val="19"/>
          <w:color w:val="auto"/>
        </w:rPr>
        <w:t xml:space="preserve"> and not made pursuant to clause (ii)(B), the declaration and payment of dividends on the Refunding Capital Stock (other than Refunding Capital Stock the proceeds of which were used to redeem, repurchase, retire or otherwise acquire any Equity Interests of any direct or indirect parent of Parent Borrower) in an aggregate amount per year no greater than the aggregate amount of dividends per annum that were declarable and payable on such Retired Capital Stock immediately prior to such retirement;</w:t>
      </w:r>
    </w:p>
    <w:p>
      <w:pPr>
        <w:spacing w:after="0" w:line="149" w:lineRule="exact"/>
        <w:rPr>
          <w:sz w:val="20"/>
          <w:szCs w:val="20"/>
          <w:color w:val="auto"/>
        </w:rPr>
      </w:pPr>
    </w:p>
    <w:p>
      <w:pPr>
        <w:jc w:val="both"/>
        <w:ind w:firstLine="1612"/>
        <w:spacing w:after="0" w:line="250" w:lineRule="auto"/>
        <w:tabs>
          <w:tab w:leader="none" w:pos="2268"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the redemption, repurchase, defeasance, or other acquisition or retirement of Subordinated Indebtedness of Parent Borrower or any Credit Party made by exchange for, or out of the proceeds of the substantially concurrent sale of, new Indebtedness of Parent Borrower or a Credit Party, which is Incurred in accordance with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so long as:</w:t>
      </w:r>
    </w:p>
    <w:p>
      <w:pPr>
        <w:spacing w:after="0" w:line="188" w:lineRule="exact"/>
        <w:rPr>
          <w:sz w:val="20"/>
          <w:szCs w:val="20"/>
          <w:color w:val="auto"/>
        </w:rPr>
      </w:pPr>
    </w:p>
    <w:p>
      <w:pPr>
        <w:jc w:val="both"/>
        <w:ind w:firstLine="2592"/>
        <w:spacing w:after="0" w:line="247" w:lineRule="auto"/>
        <w:rPr>
          <w:sz w:val="20"/>
          <w:szCs w:val="20"/>
          <w:color w:val="auto"/>
        </w:rPr>
      </w:pPr>
      <w:r>
        <w:rPr>
          <w:rFonts w:ascii="Arial" w:cs="Arial" w:eastAsia="Arial" w:hAnsi="Arial"/>
          <w:sz w:val="22"/>
          <w:szCs w:val="22"/>
          <w:color w:val="auto"/>
        </w:rPr>
        <w:t xml:space="preserve">(A)the principal amount (or accreted value, if applicable) of such new Indebtedness does not exceed the principal amount (or accreted value, if applicable), </w:t>
      </w:r>
      <w:r>
        <w:rPr>
          <w:rFonts w:ascii="Arial" w:cs="Arial" w:eastAsia="Arial" w:hAnsi="Arial"/>
          <w:sz w:val="22"/>
          <w:szCs w:val="22"/>
          <w:i w:val="1"/>
          <w:iCs w:val="1"/>
          <w:color w:val="auto"/>
        </w:rPr>
        <w:t>plus</w:t>
      </w:r>
      <w:r>
        <w:rPr>
          <w:rFonts w:ascii="Arial" w:cs="Arial" w:eastAsia="Arial" w:hAnsi="Arial"/>
          <w:sz w:val="22"/>
          <w:szCs w:val="22"/>
          <w:color w:val="auto"/>
        </w:rPr>
        <w:t xml:space="preserve"> any accrued and unpaid interest, of the Subordinated Indebtedness being so redeemed, repurchased, defeased, acquired or retired for value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amount of any premium required to be paid under the terms of the instrument governing the Subordinated Indebtedness being so redeemed, repurchased, acquired or retired, </w:t>
      </w:r>
      <w:r>
        <w:rPr>
          <w:rFonts w:ascii="Arial" w:cs="Arial" w:eastAsia="Arial" w:hAnsi="Arial"/>
          <w:sz w:val="22"/>
          <w:szCs w:val="22"/>
          <w:i w:val="1"/>
          <w:iCs w:val="1"/>
          <w:color w:val="auto"/>
        </w:rPr>
        <w:t>plus</w:t>
      </w:r>
      <w:r>
        <w:rPr>
          <w:rFonts w:ascii="Arial" w:cs="Arial" w:eastAsia="Arial" w:hAnsi="Arial"/>
          <w:sz w:val="22"/>
          <w:szCs w:val="22"/>
          <w:color w:val="auto"/>
        </w:rPr>
        <w:t xml:space="preserve"> any tender premiums, </w:t>
      </w:r>
      <w:r>
        <w:rPr>
          <w:rFonts w:ascii="Arial" w:cs="Arial" w:eastAsia="Arial" w:hAnsi="Arial"/>
          <w:sz w:val="22"/>
          <w:szCs w:val="22"/>
          <w:i w:val="1"/>
          <w:iCs w:val="1"/>
          <w:color w:val="auto"/>
        </w:rPr>
        <w:t>plus</w:t>
      </w:r>
      <w:r>
        <w:rPr>
          <w:rFonts w:ascii="Arial" w:cs="Arial" w:eastAsia="Arial" w:hAnsi="Arial"/>
          <w:sz w:val="22"/>
          <w:szCs w:val="22"/>
          <w:color w:val="auto"/>
        </w:rPr>
        <w:t xml:space="preserve"> any defeasance costs, fees and expenses incurred in connection therewith);</w:t>
      </w:r>
    </w:p>
    <w:p>
      <w:pPr>
        <w:spacing w:after="0" w:line="193" w:lineRule="exact"/>
        <w:rPr>
          <w:sz w:val="20"/>
          <w:szCs w:val="20"/>
          <w:color w:val="auto"/>
        </w:rPr>
      </w:pPr>
    </w:p>
    <w:p>
      <w:pPr>
        <w:jc w:val="both"/>
        <w:ind w:firstLine="2592"/>
        <w:spacing w:after="0" w:line="253" w:lineRule="auto"/>
        <w:rPr>
          <w:sz w:val="20"/>
          <w:szCs w:val="20"/>
          <w:color w:val="auto"/>
        </w:rPr>
      </w:pPr>
      <w:r>
        <w:rPr>
          <w:rFonts w:ascii="Arial" w:cs="Arial" w:eastAsia="Arial" w:hAnsi="Arial"/>
          <w:sz w:val="22"/>
          <w:szCs w:val="22"/>
          <w:color w:val="auto"/>
        </w:rPr>
        <w:t>(B)such Indebtedness is subordinated to the Loans or the related Guarantee of such Credit Party, as the case may be, at least to the same extent as such Subordinated Indebtedness so purchased, exchanged, redeemed, repurchased, defeased, acquired or retired for value;</w:t>
      </w:r>
    </w:p>
    <w:p>
      <w:pPr>
        <w:spacing w:after="0" w:line="185" w:lineRule="exact"/>
        <w:rPr>
          <w:sz w:val="20"/>
          <w:szCs w:val="20"/>
          <w:color w:val="auto"/>
        </w:rPr>
      </w:pPr>
    </w:p>
    <w:p>
      <w:pPr>
        <w:jc w:val="both"/>
        <w:ind w:firstLine="2592"/>
        <w:spacing w:after="0" w:line="253" w:lineRule="auto"/>
        <w:rPr>
          <w:sz w:val="20"/>
          <w:szCs w:val="20"/>
          <w:color w:val="auto"/>
        </w:rPr>
      </w:pPr>
      <w:r>
        <w:rPr>
          <w:rFonts w:ascii="Arial" w:cs="Arial" w:eastAsia="Arial" w:hAnsi="Arial"/>
          <w:sz w:val="22"/>
          <w:szCs w:val="22"/>
          <w:color w:val="auto"/>
        </w:rPr>
        <w:t>(C)such Indebtedness has a final scheduled maturity date equal to or later than the earlier of (x) the final scheduled maturity date of the Subordinated Indebtedness being so redeemed, repurchased, acquired or retired and (y) 91 days following the Latest Maturity Date; and</w:t>
      </w:r>
    </w:p>
    <w:p>
      <w:pPr>
        <w:spacing w:after="0" w:line="185" w:lineRule="exact"/>
        <w:rPr>
          <w:sz w:val="20"/>
          <w:szCs w:val="20"/>
          <w:color w:val="auto"/>
        </w:rPr>
      </w:pPr>
    </w:p>
    <w:p>
      <w:pPr>
        <w:jc w:val="both"/>
        <w:ind w:firstLine="2592"/>
        <w:spacing w:after="0" w:line="302" w:lineRule="auto"/>
        <w:rPr>
          <w:sz w:val="20"/>
          <w:szCs w:val="20"/>
          <w:color w:val="auto"/>
        </w:rPr>
      </w:pPr>
      <w:r>
        <w:rPr>
          <w:rFonts w:ascii="Arial" w:cs="Arial" w:eastAsia="Arial" w:hAnsi="Arial"/>
          <w:sz w:val="19"/>
          <w:szCs w:val="19"/>
          <w:color w:val="auto"/>
        </w:rPr>
        <w:t>(D)such Indebtedness has a Weighted Average Life to Maturity at the time Incurred which is not less than the shorter of (x) the remaining Weighted Average Life to Maturity of the Subordinated Indebtedness being so redeemed, repurchased, defeased, acquired or retired and (y) the Weighted Average Life to Maturity that would result if all payments of principal on the Subordinated Indebtedness being redeemed, repurchased,</w:t>
      </w:r>
    </w:p>
    <w:p>
      <w:pPr>
        <w:sectPr>
          <w:pgSz w:w="11900" w:h="16838" w:orient="portrait"/>
          <w:cols w:equalWidth="0" w:num="1">
            <w:col w:w="10900"/>
          </w:cols>
          <w:pgMar w:left="660" w:top="1428" w:right="339" w:bottom="1440" w:gutter="0" w:footer="0" w:header="0"/>
        </w:sectPr>
      </w:pPr>
    </w:p>
    <w:bookmarkStart w:id="258" w:name="page259"/>
    <w:bookmarkEnd w:id="258"/>
    <w:p>
      <w:pPr>
        <w:ind w:left="340"/>
        <w:spacing w:after="0"/>
        <w:rPr>
          <w:sz w:val="20"/>
          <w:szCs w:val="20"/>
          <w:color w:val="auto"/>
        </w:rPr>
      </w:pPr>
      <w:r>
        <w:rPr>
          <w:rFonts w:ascii="Arial" w:cs="Arial" w:eastAsia="Arial" w:hAnsi="Arial"/>
          <w:sz w:val="21"/>
          <w:szCs w:val="21"/>
          <w:color w:val="auto"/>
        </w:rPr>
        <w:t>defeased, acquired or retired that were due on or after the date that is one year following the Latest Maturity Date;</w:t>
      </w:r>
    </w:p>
    <w:p>
      <w:pPr>
        <w:spacing w:after="0" w:line="231" w:lineRule="exact"/>
        <w:rPr>
          <w:sz w:val="20"/>
          <w:szCs w:val="20"/>
          <w:color w:val="auto"/>
        </w:rPr>
      </w:pPr>
    </w:p>
    <w:p>
      <w:pPr>
        <w:jc w:val="both"/>
        <w:ind w:left="340" w:firstLine="1624"/>
        <w:spacing w:after="0" w:line="289" w:lineRule="auto"/>
        <w:tabs>
          <w:tab w:leader="none" w:pos="2608"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so long as no Cash Dominion Period is continuing immediately before or after the making of such Restricted Payment, a Restricted Payment to pay for the repurchase, retirement or other acquisition for value of Equity Interests of Parent Borrower or any direct or indirect parent of Parent Borrower held by any future, present or former employee, director, officer or consultant of Parent Borrower or any Subsidiary of Parent Borrower or any direct or indirect parent of Parent Borrower pursuant to any management equity plan or stock option plan or any other management or employee benefit plan or other agreement or arrangement;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aggregate Restricted Payments made under this clause (iv) do not exceed $45 million in any calendar year, with unused amounts in any calendar year being permitted to be carried over to succeeding calendar years up to a maximum of $60 million in any calendar year;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amount in any calendar year may be increased by an amount not to exceed:</w:t>
      </w:r>
    </w:p>
    <w:p>
      <w:pPr>
        <w:spacing w:after="0" w:line="157" w:lineRule="exact"/>
        <w:rPr>
          <w:sz w:val="20"/>
          <w:szCs w:val="20"/>
          <w:color w:val="auto"/>
        </w:rPr>
      </w:pPr>
    </w:p>
    <w:p>
      <w:pPr>
        <w:jc w:val="both"/>
        <w:ind w:left="340" w:firstLine="2592"/>
        <w:spacing w:after="0" w:line="294" w:lineRule="auto"/>
        <w:rPr>
          <w:sz w:val="20"/>
          <w:szCs w:val="20"/>
          <w:color w:val="auto"/>
        </w:rPr>
      </w:pPr>
      <w:r>
        <w:rPr>
          <w:rFonts w:ascii="Arial" w:cs="Arial" w:eastAsia="Arial" w:hAnsi="Arial"/>
          <w:sz w:val="19"/>
          <w:szCs w:val="19"/>
          <w:color w:val="auto"/>
        </w:rPr>
        <w:t xml:space="preserve">(A)the cash proceeds received by Parent Borrower or any of the Restricted Subsidiaries from the sale of Equity Interests (other than Disqualified Capital Stock) of Parent Borrower or any direct or indirect parent of Parent Borrower (to the extent contributed to Parent Borrower) to employees, directors, officers or consultants of Parent Borrower and the Restricted Subsidiaries or any direct or indirect parent of Parent Borrower that occurs after the Restatement Date (provided that the amount of such cash proceeds utilized for any such repurchase, retirement, other acquisition or dividend will not increase the amount available for Restricted Payments under Section 7.2(b)(viii)), </w:t>
      </w:r>
      <w:r>
        <w:rPr>
          <w:rFonts w:ascii="Arial" w:cs="Arial" w:eastAsia="Arial" w:hAnsi="Arial"/>
          <w:sz w:val="19"/>
          <w:szCs w:val="19"/>
          <w:i w:val="1"/>
          <w:iCs w:val="1"/>
          <w:color w:val="auto"/>
        </w:rPr>
        <w:t>plus</w:t>
      </w:r>
    </w:p>
    <w:p>
      <w:pPr>
        <w:spacing w:after="0" w:line="149" w:lineRule="exact"/>
        <w:rPr>
          <w:sz w:val="20"/>
          <w:szCs w:val="20"/>
          <w:color w:val="auto"/>
        </w:rPr>
      </w:pPr>
    </w:p>
    <w:p>
      <w:pPr>
        <w:jc w:val="both"/>
        <w:ind w:left="340" w:firstLine="2592"/>
        <w:spacing w:after="0" w:line="253" w:lineRule="auto"/>
        <w:rPr>
          <w:sz w:val="20"/>
          <w:szCs w:val="20"/>
          <w:color w:val="auto"/>
        </w:rPr>
      </w:pPr>
      <w:r>
        <w:rPr>
          <w:rFonts w:ascii="Arial" w:cs="Arial" w:eastAsia="Arial" w:hAnsi="Arial"/>
          <w:sz w:val="22"/>
          <w:szCs w:val="22"/>
          <w:color w:val="auto"/>
        </w:rPr>
        <w:t>(B)the cash proceeds of key man life insurance policies received by Parent Borrower or any direct or indirect parent of Parent Borrower (to the extent contributed to Parent Borrower) or the Restricted Subsidiaries after the Restatement Date;</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Parent Borrower may elect to apply all or any portion of the aggregate increase contemplated by clauses (A) and</w:t>
      </w:r>
    </w:p>
    <w:p>
      <w:pPr>
        <w:spacing w:after="0" w:line="56" w:lineRule="exact"/>
        <w:rPr>
          <w:sz w:val="20"/>
          <w:szCs w:val="20"/>
          <w:color w:val="auto"/>
        </w:rPr>
      </w:pPr>
    </w:p>
    <w:p>
      <w:pPr>
        <w:jc w:val="both"/>
        <w:ind w:firstLine="8"/>
        <w:spacing w:after="0" w:line="244" w:lineRule="auto"/>
        <w:tabs>
          <w:tab w:leader="none" w:pos="384"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above in any calendar year; and </w:t>
      </w:r>
      <w:r>
        <w:rPr>
          <w:rFonts w:ascii="Arial" w:cs="Arial" w:eastAsia="Arial" w:hAnsi="Arial"/>
          <w:sz w:val="22"/>
          <w:szCs w:val="22"/>
          <w:u w:val="single" w:color="auto"/>
          <w:color w:val="auto"/>
        </w:rPr>
        <w:t>provided</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cancellation of Indebtedness owing to Parent Borrower or any Restricted Subsidiary from any present or former employees, directors, officers or consultants of Parent Borrower, any Restricted Subsidiary or the direct or indirect parents of Parent Borrower in connection with a repurchase of Equity Interests of Parent Borrower or any of its direct or indirect parents will not be deemed to constitute a Restricted Payment for purposes of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7.2</w:t>
      </w:r>
      <w:r>
        <w:rPr>
          <w:rFonts w:ascii="Arial" w:cs="Arial" w:eastAsia="Arial" w:hAnsi="Arial"/>
          <w:sz w:val="22"/>
          <w:szCs w:val="22"/>
          <w:color w:val="auto"/>
        </w:rPr>
        <w:t xml:space="preserve"> or any other provision of this Agreement;</w:t>
      </w:r>
    </w:p>
    <w:p>
      <w:pPr>
        <w:spacing w:after="0" w:line="194" w:lineRule="exact"/>
        <w:rPr>
          <w:rFonts w:ascii="Arial" w:cs="Arial" w:eastAsia="Arial" w:hAnsi="Arial"/>
          <w:sz w:val="22"/>
          <w:szCs w:val="22"/>
          <w:color w:val="auto"/>
        </w:rPr>
      </w:pPr>
    </w:p>
    <w:p>
      <w:pPr>
        <w:jc w:val="both"/>
        <w:ind w:left="340" w:firstLine="1684"/>
        <w:spacing w:after="0" w:line="343" w:lineRule="auto"/>
        <w:tabs>
          <w:tab w:leader="none" w:pos="2608" w:val="left"/>
        </w:tabs>
        <w:numPr>
          <w:ilvl w:val="1"/>
          <w:numId w:val="190"/>
        </w:numPr>
        <w:rPr>
          <w:rFonts w:ascii="Arial" w:cs="Arial" w:eastAsia="Arial" w:hAnsi="Arial"/>
          <w:sz w:val="19"/>
          <w:szCs w:val="19"/>
          <w:color w:val="auto"/>
        </w:rPr>
      </w:pPr>
      <w:r>
        <w:rPr>
          <w:rFonts w:ascii="Arial" w:cs="Arial" w:eastAsia="Arial" w:hAnsi="Arial"/>
          <w:sz w:val="19"/>
          <w:szCs w:val="19"/>
          <w:color w:val="auto"/>
        </w:rPr>
        <w:t xml:space="preserve">the declaration and payment of dividends or distributions to holders of any class or series of Disqualified Capital Stock of Parent Borrower or any Restricted Subsidiary issued or incurred in accordance with </w:t>
      </w:r>
      <w:r>
        <w:rPr>
          <w:rFonts w:ascii="Arial" w:cs="Arial" w:eastAsia="Arial" w:hAnsi="Arial"/>
          <w:sz w:val="19"/>
          <w:szCs w:val="19"/>
          <w:u w:val="single" w:color="auto"/>
          <w:color w:val="auto"/>
        </w:rPr>
        <w:t>Section 7.1</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left="340" w:firstLine="1624"/>
        <w:spacing w:after="0" w:line="263" w:lineRule="auto"/>
        <w:tabs>
          <w:tab w:leader="none" w:pos="2608" w:val="left"/>
        </w:tabs>
        <w:numPr>
          <w:ilvl w:val="1"/>
          <w:numId w:val="190"/>
        </w:numPr>
        <w:rPr>
          <w:rFonts w:ascii="Arial" w:cs="Arial" w:eastAsia="Arial" w:hAnsi="Arial"/>
          <w:sz w:val="22"/>
          <w:szCs w:val="22"/>
          <w:color w:val="auto"/>
        </w:rPr>
      </w:pPr>
      <w:r>
        <w:rPr>
          <w:rFonts w:ascii="Arial" w:cs="Arial" w:eastAsia="Arial" w:hAnsi="Arial"/>
          <w:sz w:val="22"/>
          <w:szCs w:val="22"/>
          <w:color w:val="auto"/>
        </w:rPr>
        <w:t>the declaration and payment of dividends or distributions to holders of any class or series of Designated Preferred Stock (other than Disqualified Capital Stock) issued after the Restatement Date;</w:t>
      </w:r>
    </w:p>
    <w:p>
      <w:pPr>
        <w:sectPr>
          <w:pgSz w:w="11900" w:h="16838" w:orient="portrait"/>
          <w:cols w:equalWidth="0" w:num="1">
            <w:col w:w="11240"/>
          </w:cols>
          <w:pgMar w:left="320" w:top="1428" w:right="339" w:bottom="1440" w:gutter="0" w:footer="0" w:header="0"/>
        </w:sectPr>
      </w:pPr>
    </w:p>
    <w:bookmarkStart w:id="259" w:name="page260"/>
    <w:bookmarkEnd w:id="259"/>
    <w:p>
      <w:pPr>
        <w:ind w:left="2260" w:hanging="696"/>
        <w:spacing w:after="0"/>
        <w:tabs>
          <w:tab w:leader="none" w:pos="226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firstLine="1504"/>
        <w:spacing w:after="0" w:line="253" w:lineRule="auto"/>
        <w:tabs>
          <w:tab w:leader="none" w:pos="226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so long as no Cash Dominion Period is continuing immediately before or after the making of such Restricted Payment, Restricted Payments that are made with (or in an aggregate amount that does not exceed the aggregate amount of) Excluded Contributions;</w:t>
      </w:r>
    </w:p>
    <w:p>
      <w:pPr>
        <w:spacing w:after="0" w:line="185" w:lineRule="exact"/>
        <w:rPr>
          <w:rFonts w:ascii="Arial" w:cs="Arial" w:eastAsia="Arial" w:hAnsi="Arial"/>
          <w:sz w:val="22"/>
          <w:szCs w:val="22"/>
          <w:color w:val="auto"/>
        </w:rPr>
      </w:pPr>
    </w:p>
    <w:p>
      <w:pPr>
        <w:jc w:val="both"/>
        <w:ind w:firstLine="1624"/>
        <w:spacing w:after="0" w:line="265" w:lineRule="auto"/>
        <w:tabs>
          <w:tab w:leader="none" w:pos="2268" w:val="left"/>
        </w:tabs>
        <w:numPr>
          <w:ilvl w:val="0"/>
          <w:numId w:val="191"/>
        </w:numPr>
        <w:rPr>
          <w:rFonts w:ascii="Arial" w:cs="Arial" w:eastAsia="Arial" w:hAnsi="Arial"/>
          <w:sz w:val="21"/>
          <w:szCs w:val="21"/>
          <w:color w:val="auto"/>
        </w:rPr>
      </w:pPr>
      <w:r>
        <w:rPr>
          <w:rFonts w:ascii="Arial" w:cs="Arial" w:eastAsia="Arial" w:hAnsi="Arial"/>
          <w:sz w:val="21"/>
          <w:szCs w:val="21"/>
          <w:color w:val="auto"/>
        </w:rPr>
        <w:t>other Restricted Payments in any calendar year not to exceed $150 million (it being understood that amounts under this clause (ix) are counted as of the date such Restricted Payment is made) in any calendar year so long as no Default or Event of Default has occurred and is continuing or would result therefrom and no Cash Dominion Period exists, in each case, after giving pro forma effect to such Restricted Payment;</w:t>
      </w:r>
    </w:p>
    <w:p>
      <w:pPr>
        <w:spacing w:after="0" w:line="175" w:lineRule="exact"/>
        <w:rPr>
          <w:rFonts w:ascii="Arial" w:cs="Arial" w:eastAsia="Arial" w:hAnsi="Arial"/>
          <w:sz w:val="21"/>
          <w:szCs w:val="21"/>
          <w:color w:val="auto"/>
        </w:rPr>
      </w:pPr>
    </w:p>
    <w:p>
      <w:pPr>
        <w:ind w:firstLine="1684"/>
        <w:spacing w:after="0" w:line="263" w:lineRule="auto"/>
        <w:tabs>
          <w:tab w:leader="none" w:pos="2268" w:val="left"/>
        </w:tabs>
        <w:numPr>
          <w:ilvl w:val="0"/>
          <w:numId w:val="191"/>
        </w:numPr>
        <w:rPr>
          <w:rFonts w:ascii="Arial" w:cs="Arial" w:eastAsia="Arial" w:hAnsi="Arial"/>
          <w:sz w:val="22"/>
          <w:szCs w:val="22"/>
          <w:color w:val="auto"/>
        </w:rPr>
      </w:pPr>
      <w:r>
        <w:rPr>
          <w:rFonts w:ascii="Arial" w:cs="Arial" w:eastAsia="Arial" w:hAnsi="Arial"/>
          <w:sz w:val="22"/>
          <w:szCs w:val="22"/>
          <w:color w:val="auto"/>
        </w:rPr>
        <w:t>the distribution, as a dividend or otherwise, of shares of Capital Stock of, or Indebtedness owed to Parent Borrower or a Restricted Subsidiary by, Unrestricted Subsidiaries;</w:t>
      </w:r>
    </w:p>
    <w:p>
      <w:pPr>
        <w:spacing w:after="0" w:line="174" w:lineRule="exact"/>
        <w:rPr>
          <w:rFonts w:ascii="Arial" w:cs="Arial" w:eastAsia="Arial" w:hAnsi="Arial"/>
          <w:sz w:val="22"/>
          <w:szCs w:val="22"/>
          <w:color w:val="auto"/>
        </w:rPr>
      </w:pPr>
    </w:p>
    <w:p>
      <w:pPr>
        <w:jc w:val="both"/>
        <w:ind w:firstLine="1624"/>
        <w:spacing w:after="0" w:line="288" w:lineRule="auto"/>
        <w:tabs>
          <w:tab w:leader="none" w:pos="2268" w:val="left"/>
        </w:tabs>
        <w:numPr>
          <w:ilvl w:val="0"/>
          <w:numId w:val="191"/>
        </w:numPr>
        <w:rPr>
          <w:rFonts w:ascii="Arial" w:cs="Arial" w:eastAsia="Arial" w:hAnsi="Arial"/>
          <w:sz w:val="19"/>
          <w:szCs w:val="19"/>
          <w:color w:val="auto"/>
        </w:rPr>
      </w:pPr>
      <w:r>
        <w:rPr>
          <w:rFonts w:ascii="Arial" w:cs="Arial" w:eastAsia="Arial" w:hAnsi="Arial"/>
          <w:sz w:val="19"/>
          <w:szCs w:val="19"/>
          <w:color w:val="auto"/>
        </w:rPr>
        <w:t>with respect to any taxable period for which Parent Borrower and/or any of its Subsidiaries are members of a consolidated, combined, affiliated, unitary or similar income tax group for U.S. federal and/or applicable state or local income tax purposes of which a direct or indirect parent of Parent Borrower is the common parent (a “</w:t>
      </w:r>
      <w:r>
        <w:rPr>
          <w:rFonts w:ascii="Arial" w:cs="Arial" w:eastAsia="Arial" w:hAnsi="Arial"/>
          <w:sz w:val="19"/>
          <w:szCs w:val="19"/>
          <w:u w:val="single" w:color="auto"/>
          <w:color w:val="auto"/>
        </w:rPr>
        <w:t>Tax Group</w:t>
      </w:r>
      <w:r>
        <w:rPr>
          <w:rFonts w:ascii="Arial" w:cs="Arial" w:eastAsia="Arial" w:hAnsi="Arial"/>
          <w:sz w:val="19"/>
          <w:szCs w:val="19"/>
          <w:color w:val="auto"/>
        </w:rPr>
        <w:t>”), distributions (“</w:t>
      </w:r>
      <w:r>
        <w:rPr>
          <w:rFonts w:ascii="Arial" w:cs="Arial" w:eastAsia="Arial" w:hAnsi="Arial"/>
          <w:sz w:val="19"/>
          <w:szCs w:val="19"/>
          <w:u w:val="single" w:color="auto"/>
          <w:color w:val="auto"/>
        </w:rPr>
        <w:t>Tax Distributions</w:t>
      </w:r>
      <w:r>
        <w:rPr>
          <w:rFonts w:ascii="Arial" w:cs="Arial" w:eastAsia="Arial" w:hAnsi="Arial"/>
          <w:sz w:val="19"/>
          <w:szCs w:val="19"/>
          <w:color w:val="auto"/>
        </w:rPr>
        <w:t xml:space="preserve">”) to any direct or indirect parent of Parent Borrower to pay the portion of the taxes of such Tax Group attributable to the income of Parent Borrower and/or its applicable Subsidiaries in an amount not to exceed the amount of any U.S. federal, state and/or local income taxes (as applicable) that Parent Borrower and/or its applicable Subsidiaries would have paid for such taxable period had Parent Borrower and/or its applicable Subsidiaries been a stand-alone corporate taxpayer or a stand-alone corporate group with respect to such taxes;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distributions attributable to the income of any Unrestricted Subsidiary shall be permitted only to the extent that such Unrestricted Subsidiary made distributions to Parent Borrower or any Restricted Subsidiary for such purpose;</w:t>
      </w:r>
    </w:p>
    <w:p>
      <w:pPr>
        <w:spacing w:after="0" w:line="159" w:lineRule="exact"/>
        <w:rPr>
          <w:rFonts w:ascii="Arial" w:cs="Arial" w:eastAsia="Arial" w:hAnsi="Arial"/>
          <w:sz w:val="19"/>
          <w:szCs w:val="19"/>
          <w:color w:val="auto"/>
        </w:rPr>
      </w:pPr>
    </w:p>
    <w:p>
      <w:pPr>
        <w:ind w:left="2260" w:hanging="696"/>
        <w:spacing w:after="0"/>
        <w:tabs>
          <w:tab w:leader="none" w:pos="226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any Restricted Payment, if applicable:</w:t>
      </w:r>
    </w:p>
    <w:p>
      <w:pPr>
        <w:spacing w:after="0" w:line="220" w:lineRule="exact"/>
        <w:rPr>
          <w:sz w:val="20"/>
          <w:szCs w:val="20"/>
          <w:color w:val="auto"/>
        </w:rPr>
      </w:pPr>
    </w:p>
    <w:p>
      <w:pPr>
        <w:jc w:val="both"/>
        <w:ind w:firstLine="2592"/>
        <w:spacing w:after="0" w:line="247" w:lineRule="auto"/>
        <w:rPr>
          <w:sz w:val="20"/>
          <w:szCs w:val="20"/>
          <w:color w:val="auto"/>
        </w:rPr>
      </w:pPr>
      <w:r>
        <w:rPr>
          <w:rFonts w:ascii="Arial" w:cs="Arial" w:eastAsia="Arial" w:hAnsi="Arial"/>
          <w:sz w:val="22"/>
          <w:szCs w:val="22"/>
          <w:color w:val="auto"/>
        </w:rPr>
        <w:t>(A)in amounts required for any direct or indirect parent of Parent Borrower to pay fees and expenses (including franchise or similar Taxes) required to maintain its corporate existence, customary salary, bonus and other benefits payable to, and indemnities provided on behalf of, officers and employees of any direct or indirect parent of Parent Borrower and general corporate operating and overhead expenses of any direct or indirect parent of Parent Borrower, in each case, to the extent such fees and expenses are attributable to the ownership or operation of Borrower, if applicable, and its Subsidiaries;</w:t>
      </w:r>
    </w:p>
    <w:p>
      <w:pPr>
        <w:spacing w:after="0" w:line="193"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(B)[reserved]; and</w:t>
      </w:r>
    </w:p>
    <w:p>
      <w:pPr>
        <w:sectPr>
          <w:pgSz w:w="11900" w:h="16838" w:orient="portrait"/>
          <w:cols w:equalWidth="0" w:num="1">
            <w:col w:w="10900"/>
          </w:cols>
          <w:pgMar w:left="660" w:top="1428" w:right="339" w:bottom="1440" w:gutter="0" w:footer="0" w:header="0"/>
        </w:sectPr>
      </w:pPr>
    </w:p>
    <w:bookmarkStart w:id="260" w:name="page261"/>
    <w:bookmarkEnd w:id="260"/>
    <w:p>
      <w:pPr>
        <w:ind w:left="340" w:firstLine="2592"/>
        <w:spacing w:after="0" w:line="263" w:lineRule="auto"/>
        <w:rPr>
          <w:sz w:val="20"/>
          <w:szCs w:val="20"/>
          <w:color w:val="auto"/>
        </w:rPr>
      </w:pPr>
      <w:r>
        <w:rPr>
          <w:rFonts w:ascii="Arial" w:cs="Arial" w:eastAsia="Arial" w:hAnsi="Arial"/>
          <w:sz w:val="22"/>
          <w:szCs w:val="22"/>
          <w:color w:val="auto"/>
        </w:rPr>
        <w:t>(C)in amounts required for any direct or indirect parent of Parent Borrower to pay fees and expenses related to any equity or debt offering of such parent (whether or not successful);</w:t>
      </w:r>
    </w:p>
    <w:p>
      <w:pPr>
        <w:spacing w:after="0" w:line="175" w:lineRule="exact"/>
        <w:rPr>
          <w:sz w:val="20"/>
          <w:szCs w:val="20"/>
          <w:color w:val="auto"/>
        </w:rPr>
      </w:pPr>
    </w:p>
    <w:p>
      <w:pPr>
        <w:ind w:left="340" w:firstLine="1504"/>
        <w:spacing w:after="0" w:line="287" w:lineRule="auto"/>
        <w:tabs>
          <w:tab w:leader="none" w:pos="2608" w:val="left"/>
        </w:tabs>
        <w:numPr>
          <w:ilvl w:val="0"/>
          <w:numId w:val="192"/>
        </w:numPr>
        <w:rPr>
          <w:rFonts w:ascii="Arial" w:cs="Arial" w:eastAsia="Arial" w:hAnsi="Arial"/>
          <w:sz w:val="21"/>
          <w:szCs w:val="21"/>
          <w:color w:val="auto"/>
        </w:rPr>
      </w:pPr>
      <w:r>
        <w:rPr>
          <w:rFonts w:ascii="Arial" w:cs="Arial" w:eastAsia="Arial" w:hAnsi="Arial"/>
          <w:sz w:val="21"/>
          <w:szCs w:val="21"/>
          <w:color w:val="auto"/>
        </w:rPr>
        <w:t>repurchases of Equity Interests that occur or are deemed to occur upon exercise of stock options or warrants if such Equity Interests represent a portion of the exercise price of such options or warrants;</w:t>
      </w:r>
    </w:p>
    <w:p>
      <w:pPr>
        <w:spacing w:after="0" w:line="151" w:lineRule="exact"/>
        <w:rPr>
          <w:rFonts w:ascii="Arial" w:cs="Arial" w:eastAsia="Arial" w:hAnsi="Arial"/>
          <w:sz w:val="21"/>
          <w:szCs w:val="21"/>
          <w:color w:val="auto"/>
        </w:rPr>
      </w:pPr>
    </w:p>
    <w:p>
      <w:pPr>
        <w:ind w:left="340" w:right="20" w:firstLine="1516"/>
        <w:spacing w:after="0" w:line="263" w:lineRule="auto"/>
        <w:tabs>
          <w:tab w:leader="none" w:pos="2608" w:val="left"/>
        </w:tabs>
        <w:numPr>
          <w:ilvl w:val="0"/>
          <w:numId w:val="192"/>
        </w:numPr>
        <w:rPr>
          <w:rFonts w:ascii="Arial" w:cs="Arial" w:eastAsia="Arial" w:hAnsi="Arial"/>
          <w:sz w:val="22"/>
          <w:szCs w:val="22"/>
          <w:color w:val="auto"/>
        </w:rPr>
      </w:pPr>
      <w:r>
        <w:rPr>
          <w:rFonts w:ascii="Arial" w:cs="Arial" w:eastAsia="Arial" w:hAnsi="Arial"/>
          <w:sz w:val="22"/>
          <w:szCs w:val="22"/>
          <w:color w:val="auto"/>
        </w:rPr>
        <w:t>purchases of Securitization Assets pursuant to a Securitization Repurchase Obligation in connection with a Qualified Securitization Financing and the payment or distribution of Securitization Fees;</w:t>
      </w:r>
    </w:p>
    <w:p>
      <w:pPr>
        <w:spacing w:after="0" w:line="174" w:lineRule="exact"/>
        <w:rPr>
          <w:rFonts w:ascii="Arial" w:cs="Arial" w:eastAsia="Arial" w:hAnsi="Arial"/>
          <w:sz w:val="22"/>
          <w:szCs w:val="22"/>
          <w:color w:val="auto"/>
        </w:rPr>
      </w:pPr>
    </w:p>
    <w:p>
      <w:pPr>
        <w:jc w:val="both"/>
        <w:ind w:left="340" w:firstLine="1576"/>
        <w:spacing w:after="0" w:line="253" w:lineRule="auto"/>
        <w:tabs>
          <w:tab w:leader="none" w:pos="2608" w:val="left"/>
        </w:tabs>
        <w:numPr>
          <w:ilvl w:val="0"/>
          <w:numId w:val="192"/>
        </w:numPr>
        <w:rPr>
          <w:rFonts w:ascii="Arial" w:cs="Arial" w:eastAsia="Arial" w:hAnsi="Arial"/>
          <w:sz w:val="22"/>
          <w:szCs w:val="22"/>
          <w:color w:val="auto"/>
        </w:rPr>
      </w:pPr>
      <w:r>
        <w:rPr>
          <w:rFonts w:ascii="Arial" w:cs="Arial" w:eastAsia="Arial" w:hAnsi="Arial"/>
          <w:sz w:val="22"/>
          <w:szCs w:val="22"/>
          <w:color w:val="auto"/>
        </w:rPr>
        <w:t>Restricted Payments by Parent Borrower or any Restricted Subsidiary to allow the payment of cash in lieu of the issuance of fractional shares upon the exercise of options or warrants or upon the conversion or exchange of Capital Stock of any such Person;</w:t>
      </w:r>
    </w:p>
    <w:p>
      <w:pPr>
        <w:spacing w:after="0" w:line="185" w:lineRule="exact"/>
        <w:rPr>
          <w:rFonts w:ascii="Arial" w:cs="Arial" w:eastAsia="Arial" w:hAnsi="Arial"/>
          <w:sz w:val="22"/>
          <w:szCs w:val="22"/>
          <w:color w:val="auto"/>
        </w:rPr>
      </w:pPr>
    </w:p>
    <w:p>
      <w:pPr>
        <w:ind w:left="2600" w:hanging="744"/>
        <w:spacing w:after="0"/>
        <w:tabs>
          <w:tab w:leader="none" w:pos="260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left="340" w:firstLine="1456"/>
        <w:spacing w:after="0" w:line="263" w:lineRule="auto"/>
        <w:tabs>
          <w:tab w:leader="none" w:pos="2608" w:val="left"/>
        </w:tabs>
        <w:numPr>
          <w:ilvl w:val="0"/>
          <w:numId w:val="192"/>
        </w:numPr>
        <w:rPr>
          <w:rFonts w:ascii="Arial" w:cs="Arial" w:eastAsia="Arial" w:hAnsi="Arial"/>
          <w:sz w:val="21"/>
          <w:szCs w:val="21"/>
          <w:color w:val="auto"/>
        </w:rPr>
      </w:pPr>
      <w:r>
        <w:rPr>
          <w:rFonts w:ascii="Arial" w:cs="Arial" w:eastAsia="Arial" w:hAnsi="Arial"/>
          <w:sz w:val="21"/>
          <w:szCs w:val="21"/>
          <w:color w:val="auto"/>
        </w:rPr>
        <w:t xml:space="preserve">payments or distributions to dissenting stockholders pursuant to applicable law, pursuant to or in connection with a consolidation, amalgamation, merger or transfer of all or substantially all of the assets of Parent Borrower and the Restricted Subsidiaries, taken as a whole, that complies with </w:t>
      </w:r>
      <w:r>
        <w:rPr>
          <w:rFonts w:ascii="Arial" w:cs="Arial" w:eastAsia="Arial" w:hAnsi="Arial"/>
          <w:sz w:val="21"/>
          <w:szCs w:val="21"/>
          <w:u w:val="single" w:color="auto"/>
          <w:color w:val="auto"/>
        </w:rPr>
        <w:t>Section 7.8</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such consolidation, amalgamation, merger or transfer of assets constitutes a Change of Control, all Obligations shall have been repaid in full (or the Event of Default specified in Section 9.1(i) shall have been waived);</w:t>
      </w:r>
    </w:p>
    <w:p>
      <w:pPr>
        <w:spacing w:after="0" w:line="175" w:lineRule="exact"/>
        <w:rPr>
          <w:rFonts w:ascii="Arial" w:cs="Arial" w:eastAsia="Arial" w:hAnsi="Arial"/>
          <w:sz w:val="21"/>
          <w:szCs w:val="21"/>
          <w:color w:val="auto"/>
        </w:rPr>
      </w:pPr>
    </w:p>
    <w:p>
      <w:pPr>
        <w:ind w:left="2600" w:hanging="864"/>
        <w:spacing w:after="0"/>
        <w:tabs>
          <w:tab w:leader="none" w:pos="260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[Reserved]; and</w:t>
      </w:r>
    </w:p>
    <w:p>
      <w:pPr>
        <w:spacing w:after="0" w:line="219" w:lineRule="exact"/>
        <w:rPr>
          <w:rFonts w:ascii="Arial" w:cs="Arial" w:eastAsia="Arial" w:hAnsi="Arial"/>
          <w:sz w:val="22"/>
          <w:szCs w:val="22"/>
          <w:color w:val="auto"/>
        </w:rPr>
      </w:pPr>
    </w:p>
    <w:p>
      <w:pPr>
        <w:ind w:left="340" w:firstLine="1516"/>
        <w:spacing w:after="0" w:line="263" w:lineRule="auto"/>
        <w:tabs>
          <w:tab w:leader="none" w:pos="2608" w:val="left"/>
        </w:tabs>
        <w:numPr>
          <w:ilvl w:val="0"/>
          <w:numId w:val="192"/>
        </w:numPr>
        <w:rPr>
          <w:rFonts w:ascii="Arial" w:cs="Arial" w:eastAsia="Arial" w:hAnsi="Arial"/>
          <w:sz w:val="22"/>
          <w:szCs w:val="22"/>
          <w:color w:val="auto"/>
        </w:rPr>
      </w:pPr>
      <w:r>
        <w:rPr>
          <w:rFonts w:ascii="Arial" w:cs="Arial" w:eastAsia="Arial" w:hAnsi="Arial"/>
          <w:sz w:val="22"/>
          <w:szCs w:val="22"/>
          <w:color w:val="auto"/>
        </w:rPr>
        <w:t>any Credit Party or their Restricted Subsidiaries may make Restricted Payments so long as Borrowers are in Pro Forma Compliance with the Restricted Conditions;</w:t>
      </w:r>
    </w:p>
    <w:p>
      <w:pPr>
        <w:spacing w:after="0" w:line="175" w:lineRule="exact"/>
        <w:rPr>
          <w:sz w:val="20"/>
          <w:szCs w:val="20"/>
          <w:color w:val="auto"/>
        </w:rPr>
      </w:pPr>
    </w:p>
    <w:p>
      <w:pPr>
        <w:jc w:val="both"/>
        <w:spacing w:after="0" w:line="294"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at the time of, and after giving effect to, any Restricted Payment permitted under clauses (ix), and (x) of this </w:t>
      </w:r>
      <w:r>
        <w:rPr>
          <w:rFonts w:ascii="Arial" w:cs="Arial" w:eastAsia="Arial" w:hAnsi="Arial"/>
          <w:sz w:val="19"/>
          <w:szCs w:val="19"/>
          <w:u w:val="single" w:color="auto"/>
          <w:color w:val="auto"/>
        </w:rPr>
        <w:t>Section 7.2(b)</w:t>
      </w:r>
      <w:r>
        <w:rPr>
          <w:rFonts w:ascii="Arial" w:cs="Arial" w:eastAsia="Arial" w:hAnsi="Arial"/>
          <w:sz w:val="19"/>
          <w:szCs w:val="19"/>
          <w:color w:val="auto"/>
        </w:rPr>
        <w:t>, no Default shall have occurred and be continuing or would occur as a consequence thereof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Borrower may make regularly-scheduled dividend payments on its existing Series A Preferred Stock in accordance with the terms thereof pursuant to </w:t>
      </w:r>
      <w:r>
        <w:rPr>
          <w:rFonts w:ascii="Arial" w:cs="Arial" w:eastAsia="Arial" w:hAnsi="Arial"/>
          <w:sz w:val="19"/>
          <w:szCs w:val="19"/>
          <w:u w:val="single" w:color="auto"/>
          <w:color w:val="auto"/>
        </w:rPr>
        <w:t>Section 7.2(b)(ix)</w:t>
      </w:r>
      <w:r>
        <w:rPr>
          <w:rFonts w:ascii="Arial" w:cs="Arial" w:eastAsia="Arial" w:hAnsi="Arial"/>
          <w:sz w:val="19"/>
          <w:szCs w:val="19"/>
          <w:color w:val="auto"/>
        </w:rPr>
        <w:t xml:space="preserve">, regardless of whether any Default has occurred or is continuing or would occur as a consequence thereof);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any Restricted Payments made with property other than cash shall be calculated using the Fair Market Value (as determined in good faith by Parent Borrower) of such property.</w:t>
      </w:r>
    </w:p>
    <w:p>
      <w:pPr>
        <w:spacing w:after="0" w:line="149" w:lineRule="exact"/>
        <w:rPr>
          <w:sz w:val="20"/>
          <w:szCs w:val="20"/>
          <w:color w:val="auto"/>
        </w:rPr>
      </w:pPr>
    </w:p>
    <w:p>
      <w:pPr>
        <w:jc w:val="both"/>
        <w:ind w:left="340" w:firstLine="1288"/>
        <w:spacing w:after="0" w:line="312" w:lineRule="auto"/>
        <w:tabs>
          <w:tab w:leader="none" w:pos="1957" w:val="left"/>
        </w:tabs>
        <w:numPr>
          <w:ilvl w:val="0"/>
          <w:numId w:val="193"/>
        </w:numPr>
        <w:rPr>
          <w:rFonts w:ascii="Arial" w:cs="Arial" w:eastAsia="Arial" w:hAnsi="Arial"/>
          <w:sz w:val="19"/>
          <w:szCs w:val="19"/>
          <w:color w:val="auto"/>
        </w:rPr>
      </w:pPr>
      <w:r>
        <w:rPr>
          <w:rFonts w:ascii="Arial" w:cs="Arial" w:eastAsia="Arial" w:hAnsi="Arial"/>
          <w:sz w:val="19"/>
          <w:szCs w:val="19"/>
          <w:color w:val="auto"/>
        </w:rPr>
        <w:t>As of the Amendment No. 3 Effective Date, all of the Subsidiaries of Parent Borrower other than XPO Escrow Sub, LLC will be Restricted Subsidiaries. For purposes of designating any Restricted Subsidiary as an Unrestricted Subsidiary, all outstanding Investments by Parent Borrower and the Restricted Subsidiaries (except to the</w:t>
      </w:r>
    </w:p>
    <w:p>
      <w:pPr>
        <w:sectPr>
          <w:pgSz w:w="11900" w:h="16838" w:orient="portrait"/>
          <w:cols w:equalWidth="0" w:num="1">
            <w:col w:w="11240"/>
          </w:cols>
          <w:pgMar w:left="320" w:top="1428" w:right="339" w:bottom="1440" w:gutter="0" w:footer="0" w:header="0"/>
        </w:sectPr>
      </w:pPr>
    </w:p>
    <w:bookmarkStart w:id="261" w:name="page262"/>
    <w:bookmarkEnd w:id="261"/>
    <w:p>
      <w:pPr>
        <w:jc w:val="both"/>
        <w:ind w:left="340"/>
        <w:spacing w:after="0" w:line="250" w:lineRule="auto"/>
        <w:rPr>
          <w:sz w:val="20"/>
          <w:szCs w:val="20"/>
          <w:color w:val="auto"/>
        </w:rPr>
      </w:pPr>
      <w:r>
        <w:rPr>
          <w:rFonts w:ascii="Arial" w:cs="Arial" w:eastAsia="Arial" w:hAnsi="Arial"/>
          <w:sz w:val="22"/>
          <w:szCs w:val="22"/>
          <w:color w:val="auto"/>
        </w:rPr>
        <w:t>extent repaid) in the Subsidiary so designated will be deemed to be Restricted Payments in an amount determined as set forth in the last sentence of the definition of “Investments.” Such designation will only be permitted if a Restricted Payment or Permitted Investment in such amount would be permitted at such time and if such Subsidiary otherwise meets the definition of an Unrestricted Subsidiary.</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Limitation of Restrictions Affecting Subsidiaries</w:t>
      </w:r>
      <w:r>
        <w:rPr>
          <w:rFonts w:ascii="Arial" w:cs="Arial" w:eastAsia="Arial" w:hAnsi="Arial"/>
          <w:sz w:val="22"/>
          <w:szCs w:val="22"/>
          <w:color w:val="auto"/>
        </w:rPr>
        <w:t>. No Credit Party shall, or shall permit any of its Restricted Subsidiaries to, directly or indirectly, create or otherwise cause or suffer to exist any consensual encumbrance or consensual restriction which prohibits or limits the ability of any Credit Party or Restricted Subsidiary to:</w:t>
      </w:r>
    </w:p>
    <w:p>
      <w:pPr>
        <w:spacing w:after="0" w:line="185" w:lineRule="exact"/>
        <w:rPr>
          <w:sz w:val="20"/>
          <w:szCs w:val="20"/>
          <w:color w:val="auto"/>
        </w:rPr>
      </w:pPr>
    </w:p>
    <w:p>
      <w:pPr>
        <w:ind w:left="340" w:right="20" w:firstLine="1288"/>
        <w:spacing w:after="0" w:line="263" w:lineRule="auto"/>
        <w:tabs>
          <w:tab w:leader="none" w:pos="1957" w:val="left"/>
        </w:tabs>
        <w:numPr>
          <w:ilvl w:val="0"/>
          <w:numId w:val="194"/>
        </w:numPr>
        <w:rPr>
          <w:rFonts w:ascii="Arial" w:cs="Arial" w:eastAsia="Arial" w:hAnsi="Arial"/>
          <w:sz w:val="22"/>
          <w:szCs w:val="22"/>
          <w:color w:val="auto"/>
        </w:rPr>
      </w:pPr>
      <w:r>
        <w:rPr>
          <w:rFonts w:ascii="Arial" w:cs="Arial" w:eastAsia="Arial" w:hAnsi="Arial"/>
          <w:sz w:val="22"/>
          <w:szCs w:val="22"/>
          <w:color w:val="auto"/>
        </w:rPr>
        <w:t>pay dividends or make any other distributions to Parent Borrower or any Restricted Subsidiary (1) on its Capital Stock; or (2) with respect to any other interest or participation in, or measured by, its profits; or</w:t>
      </w:r>
    </w:p>
    <w:p>
      <w:pPr>
        <w:spacing w:after="0" w:line="174" w:lineRule="exact"/>
        <w:rPr>
          <w:rFonts w:ascii="Arial" w:cs="Arial" w:eastAsia="Arial" w:hAnsi="Arial"/>
          <w:sz w:val="22"/>
          <w:szCs w:val="22"/>
          <w:color w:val="auto"/>
        </w:rPr>
      </w:pPr>
    </w:p>
    <w:p>
      <w:pPr>
        <w:ind w:left="340" w:firstLine="1288"/>
        <w:spacing w:after="0" w:line="263" w:lineRule="auto"/>
        <w:tabs>
          <w:tab w:leader="none" w:pos="1955" w:val="left"/>
        </w:tabs>
        <w:numPr>
          <w:ilvl w:val="0"/>
          <w:numId w:val="194"/>
        </w:numPr>
        <w:rPr>
          <w:rFonts w:ascii="Arial" w:cs="Arial" w:eastAsia="Arial" w:hAnsi="Arial"/>
          <w:sz w:val="22"/>
          <w:szCs w:val="22"/>
          <w:color w:val="auto"/>
        </w:rPr>
      </w:pPr>
      <w:r>
        <w:rPr>
          <w:rFonts w:ascii="Arial" w:cs="Arial" w:eastAsia="Arial" w:hAnsi="Arial"/>
          <w:sz w:val="22"/>
          <w:szCs w:val="22"/>
          <w:color w:val="auto"/>
        </w:rPr>
        <w:t>make loans or advances to Parent Borrower or any Restricted Subsidiary that is a direct or indirect parent of such Restricted Subsidiary;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except </w:t>
      </w:r>
      <w:r>
        <w:rPr>
          <w:rFonts w:ascii="Arial" w:cs="Arial" w:eastAsia="Arial" w:hAnsi="Arial"/>
          <w:sz w:val="22"/>
          <w:szCs w:val="22"/>
          <w:color w:val="auto"/>
        </w:rPr>
        <w:t>in each case for such encumbrances or restrictions existing under or by reason of:</w:t>
      </w:r>
    </w:p>
    <w:p>
      <w:pPr>
        <w:spacing w:after="0" w:line="220" w:lineRule="exact"/>
        <w:rPr>
          <w:sz w:val="20"/>
          <w:szCs w:val="20"/>
          <w:color w:val="auto"/>
        </w:rPr>
      </w:pPr>
    </w:p>
    <w:p>
      <w:pPr>
        <w:jc w:val="both"/>
        <w:ind w:left="340" w:firstLine="1732"/>
        <w:spacing w:after="0" w:line="247" w:lineRule="auto"/>
        <w:tabs>
          <w:tab w:leader="none" w:pos="2608" w:val="left"/>
        </w:tabs>
        <w:numPr>
          <w:ilvl w:val="0"/>
          <w:numId w:val="195"/>
        </w:numPr>
        <w:rPr>
          <w:rFonts w:ascii="Arial" w:cs="Arial" w:eastAsia="Arial" w:hAnsi="Arial"/>
          <w:sz w:val="22"/>
          <w:szCs w:val="22"/>
          <w:color w:val="auto"/>
        </w:rPr>
      </w:pPr>
      <w:r>
        <w:rPr>
          <w:rFonts w:ascii="Arial" w:cs="Arial" w:eastAsia="Arial" w:hAnsi="Arial"/>
          <w:sz w:val="22"/>
          <w:szCs w:val="22"/>
          <w:color w:val="auto"/>
        </w:rPr>
        <w:t>(1) contractual encumbrances or restrictions in effect on the Amendment No. 3 Effective Date (including encumbrances or restrictions imposed on Con-way and any Subsidiary thereof which is a Restricted Subsidiary) and (2) contractual encumbrances or restrictions pursuant to this Agreement, the other Loan Documents, the Term Credit Agreement (and all guarantee, security and other documents relating thereto) and, in each case, similar contractual encumbrances effected by any amendments, modifications, restatements, renewals, supplements, refundings, replacements or refinancings of such agreements or instruments;</w:t>
      </w:r>
    </w:p>
    <w:p>
      <w:pPr>
        <w:spacing w:after="0" w:line="192" w:lineRule="exact"/>
        <w:rPr>
          <w:rFonts w:ascii="Arial" w:cs="Arial" w:eastAsia="Arial" w:hAnsi="Arial"/>
          <w:sz w:val="22"/>
          <w:szCs w:val="22"/>
          <w:color w:val="auto"/>
        </w:rPr>
      </w:pPr>
    </w:p>
    <w:p>
      <w:pPr>
        <w:jc w:val="both"/>
        <w:ind w:left="340" w:firstLine="1672"/>
        <w:spacing w:after="0" w:line="253" w:lineRule="auto"/>
        <w:tabs>
          <w:tab w:leader="none" w:pos="2608" w:val="left"/>
        </w:tabs>
        <w:numPr>
          <w:ilvl w:val="0"/>
          <w:numId w:val="195"/>
        </w:numPr>
        <w:rPr>
          <w:rFonts w:ascii="Arial" w:cs="Arial" w:eastAsia="Arial" w:hAnsi="Arial"/>
          <w:sz w:val="22"/>
          <w:szCs w:val="22"/>
          <w:color w:val="auto"/>
        </w:rPr>
      </w:pPr>
      <w:r>
        <w:rPr>
          <w:rFonts w:ascii="Arial" w:cs="Arial" w:eastAsia="Arial" w:hAnsi="Arial"/>
          <w:sz w:val="22"/>
          <w:szCs w:val="22"/>
          <w:color w:val="auto"/>
        </w:rPr>
        <w:t>(x) the 2022 Notes Indenture, the 2022 Notes or the guarantees thereunder, (y) the 2023 Notes Indenture, the 2023 Notes or the guarantees thereunder or (z) the 2024 Notes Indenture, the 2024 Notes or the guarantees thereunder;</w:t>
      </w:r>
    </w:p>
    <w:p>
      <w:pPr>
        <w:spacing w:after="0" w:line="185" w:lineRule="exact"/>
        <w:rPr>
          <w:rFonts w:ascii="Arial" w:cs="Arial" w:eastAsia="Arial" w:hAnsi="Arial"/>
          <w:sz w:val="22"/>
          <w:szCs w:val="22"/>
          <w:color w:val="auto"/>
        </w:rPr>
      </w:pPr>
    </w:p>
    <w:p>
      <w:pPr>
        <w:ind w:left="2660" w:hanging="708"/>
        <w:spacing w:after="0"/>
        <w:tabs>
          <w:tab w:leader="none" w:pos="266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applicable law or any applicable rule, regulation or order;</w:t>
      </w:r>
    </w:p>
    <w:p>
      <w:pPr>
        <w:spacing w:after="0" w:line="219" w:lineRule="exact"/>
        <w:rPr>
          <w:rFonts w:ascii="Arial" w:cs="Arial" w:eastAsia="Arial" w:hAnsi="Arial"/>
          <w:sz w:val="22"/>
          <w:szCs w:val="22"/>
          <w:color w:val="auto"/>
        </w:rPr>
      </w:pPr>
    </w:p>
    <w:p>
      <w:pPr>
        <w:jc w:val="both"/>
        <w:ind w:left="340" w:firstLine="1624"/>
        <w:spacing w:after="0" w:line="263" w:lineRule="auto"/>
        <w:tabs>
          <w:tab w:leader="none" w:pos="2608" w:val="left"/>
        </w:tabs>
        <w:numPr>
          <w:ilvl w:val="0"/>
          <w:numId w:val="195"/>
        </w:numPr>
        <w:rPr>
          <w:rFonts w:ascii="Arial" w:cs="Arial" w:eastAsia="Arial" w:hAnsi="Arial"/>
          <w:sz w:val="21"/>
          <w:szCs w:val="21"/>
          <w:color w:val="auto"/>
        </w:rPr>
      </w:pPr>
      <w:r>
        <w:rPr>
          <w:rFonts w:ascii="Arial" w:cs="Arial" w:eastAsia="Arial" w:hAnsi="Arial"/>
          <w:sz w:val="21"/>
          <w:szCs w:val="21"/>
          <w:color w:val="auto"/>
        </w:rPr>
        <w:t>any agreement or other instrument of a Person acquired by Parent Borrower or any Restricted Subsidiary which was in existence at the time of such acquisition (but not created in contemplation thereof or to provide all or any portion of the funds or credit support utilized to consummate such acquisition), which encumbrance or restriction is not applicable to any Person, or the properties or assets of any Person, other than the Person and its Subsidiaries, or the property or assets of the Person and its Subsidiaries, so acquired;</w:t>
      </w:r>
    </w:p>
    <w:p>
      <w:pPr>
        <w:spacing w:after="0" w:line="175" w:lineRule="exact"/>
        <w:rPr>
          <w:rFonts w:ascii="Arial" w:cs="Arial" w:eastAsia="Arial" w:hAnsi="Arial"/>
          <w:sz w:val="21"/>
          <w:szCs w:val="21"/>
          <w:color w:val="auto"/>
        </w:rPr>
      </w:pPr>
    </w:p>
    <w:p>
      <w:pPr>
        <w:jc w:val="both"/>
        <w:ind w:left="340" w:firstLine="1684"/>
        <w:spacing w:after="0" w:line="253" w:lineRule="auto"/>
        <w:tabs>
          <w:tab w:leader="none" w:pos="2608" w:val="left"/>
        </w:tabs>
        <w:numPr>
          <w:ilvl w:val="0"/>
          <w:numId w:val="195"/>
        </w:numPr>
        <w:rPr>
          <w:rFonts w:ascii="Arial" w:cs="Arial" w:eastAsia="Arial" w:hAnsi="Arial"/>
          <w:sz w:val="22"/>
          <w:szCs w:val="22"/>
          <w:color w:val="auto"/>
        </w:rPr>
      </w:pPr>
      <w:r>
        <w:rPr>
          <w:rFonts w:ascii="Arial" w:cs="Arial" w:eastAsia="Arial" w:hAnsi="Arial"/>
          <w:sz w:val="22"/>
          <w:szCs w:val="22"/>
          <w:color w:val="auto"/>
        </w:rPr>
        <w:t>contracts or agreements for the sale of assets, including any restriction with respect to a Restricted Subsidiary imposed pursuant to an agreement entered into for the sale or disposition of the Capital Stock or assets of such Restricted Subsidiary;</w:t>
      </w:r>
    </w:p>
    <w:p>
      <w:pPr>
        <w:sectPr>
          <w:pgSz w:w="11900" w:h="16838" w:orient="portrait"/>
          <w:cols w:equalWidth="0" w:num="1">
            <w:col w:w="11240"/>
          </w:cols>
          <w:pgMar w:left="320" w:top="1428" w:right="339" w:bottom="1440" w:gutter="0" w:footer="0" w:header="0"/>
        </w:sectPr>
      </w:pPr>
    </w:p>
    <w:bookmarkStart w:id="262" w:name="page263"/>
    <w:bookmarkEnd w:id="262"/>
    <w:p>
      <w:pPr>
        <w:ind w:left="-780" w:firstLine="1624"/>
        <w:spacing w:after="0" w:line="263" w:lineRule="auto"/>
        <w:tabs>
          <w:tab w:leader="none" w:pos="148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xml:space="preserve">Secured Indebtedness otherwise permitted to be Incurred pursuant to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that limits the right of the debtor to dispose of the assets securing such Indebtedness;</w:t>
      </w:r>
    </w:p>
    <w:p>
      <w:pPr>
        <w:spacing w:after="0" w:line="174" w:lineRule="exact"/>
        <w:rPr>
          <w:rFonts w:ascii="Arial" w:cs="Arial" w:eastAsia="Arial" w:hAnsi="Arial"/>
          <w:sz w:val="22"/>
          <w:szCs w:val="22"/>
          <w:color w:val="auto"/>
        </w:rPr>
      </w:pPr>
    </w:p>
    <w:p>
      <w:pPr>
        <w:ind w:left="-780" w:firstLine="1564"/>
        <w:spacing w:after="0" w:line="263" w:lineRule="auto"/>
        <w:tabs>
          <w:tab w:leader="none" w:pos="148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restrictions on cash or other deposits or net worth imposed by customers under contracts entered into in the ordinary course of business;</w:t>
      </w:r>
    </w:p>
    <w:p>
      <w:pPr>
        <w:spacing w:after="0" w:line="174" w:lineRule="exact"/>
        <w:rPr>
          <w:rFonts w:ascii="Arial" w:cs="Arial" w:eastAsia="Arial" w:hAnsi="Arial"/>
          <w:sz w:val="22"/>
          <w:szCs w:val="22"/>
          <w:color w:val="auto"/>
        </w:rPr>
      </w:pPr>
    </w:p>
    <w:p>
      <w:pPr>
        <w:ind w:left="-780" w:right="20" w:firstLine="1504"/>
        <w:spacing w:after="0" w:line="263" w:lineRule="auto"/>
        <w:tabs>
          <w:tab w:leader="none" w:pos="148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customary provisions in joint venture agreements and other similar agreements entered into in the ordinary course of business;</w:t>
      </w:r>
    </w:p>
    <w:p>
      <w:pPr>
        <w:spacing w:after="0" w:line="174" w:lineRule="exact"/>
        <w:rPr>
          <w:rFonts w:ascii="Arial" w:cs="Arial" w:eastAsia="Arial" w:hAnsi="Arial"/>
          <w:sz w:val="22"/>
          <w:szCs w:val="22"/>
          <w:color w:val="auto"/>
        </w:rPr>
      </w:pPr>
    </w:p>
    <w:p>
      <w:pPr>
        <w:ind w:left="-780" w:firstLine="1624"/>
        <w:spacing w:after="0" w:line="263" w:lineRule="auto"/>
        <w:tabs>
          <w:tab w:leader="none" w:pos="148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purchase money obligations for property acquired and Capitalized Lease Obligations in the ordinary course of business;</w:t>
      </w:r>
    </w:p>
    <w:p>
      <w:pPr>
        <w:spacing w:after="0" w:line="174" w:lineRule="exact"/>
        <w:rPr>
          <w:rFonts w:ascii="Arial" w:cs="Arial" w:eastAsia="Arial" w:hAnsi="Arial"/>
          <w:sz w:val="22"/>
          <w:szCs w:val="22"/>
          <w:color w:val="auto"/>
        </w:rPr>
      </w:pPr>
    </w:p>
    <w:p>
      <w:pPr>
        <w:ind w:left="-780" w:right="20" w:firstLine="1684"/>
        <w:spacing w:after="0" w:line="263" w:lineRule="auto"/>
        <w:tabs>
          <w:tab w:leader="none" w:pos="148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customary provisions contained in leases, licenses and other similar agreements entered into in the ordinary course of business;</w:t>
      </w:r>
    </w:p>
    <w:p>
      <w:pPr>
        <w:spacing w:after="0" w:line="174" w:lineRule="exact"/>
        <w:rPr>
          <w:rFonts w:ascii="Arial" w:cs="Arial" w:eastAsia="Arial" w:hAnsi="Arial"/>
          <w:sz w:val="22"/>
          <w:szCs w:val="22"/>
          <w:color w:val="auto"/>
        </w:rPr>
      </w:pPr>
    </w:p>
    <w:p>
      <w:pPr>
        <w:jc w:val="both"/>
        <w:ind w:left="-780" w:firstLine="1624"/>
        <w:spacing w:after="0" w:line="312" w:lineRule="auto"/>
        <w:tabs>
          <w:tab w:leader="none" w:pos="1488" w:val="left"/>
        </w:tabs>
        <w:numPr>
          <w:ilvl w:val="0"/>
          <w:numId w:val="196"/>
        </w:numPr>
        <w:rPr>
          <w:rFonts w:ascii="Arial" w:cs="Arial" w:eastAsia="Arial" w:hAnsi="Arial"/>
          <w:sz w:val="19"/>
          <w:szCs w:val="19"/>
          <w:color w:val="auto"/>
        </w:rPr>
      </w:pPr>
      <w:r>
        <w:rPr>
          <w:rFonts w:ascii="Arial" w:cs="Arial" w:eastAsia="Arial" w:hAnsi="Arial"/>
          <w:sz w:val="19"/>
          <w:szCs w:val="19"/>
          <w:color w:val="auto"/>
        </w:rPr>
        <w:t>any encumbrance or restriction that restricts in a customary manner the subletting, assignment or transfer of any property or asset that is subject to a lease, license or similar contract, or the assignment or transfer of any such lease, license (including without limitation, licenses of intellectual property) or other contracts;</w:t>
      </w:r>
    </w:p>
    <w:p>
      <w:pPr>
        <w:spacing w:after="0" w:line="133" w:lineRule="exact"/>
        <w:rPr>
          <w:rFonts w:ascii="Arial" w:cs="Arial" w:eastAsia="Arial" w:hAnsi="Arial"/>
          <w:sz w:val="19"/>
          <w:szCs w:val="19"/>
          <w:color w:val="auto"/>
        </w:rPr>
      </w:pPr>
    </w:p>
    <w:p>
      <w:pPr>
        <w:ind w:left="-780" w:firstLine="1564"/>
        <w:spacing w:after="0" w:line="343" w:lineRule="auto"/>
        <w:tabs>
          <w:tab w:leader="none" w:pos="1488"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any encumbrance or restriction of a Securitization Subsidiary effected in connection with a Qualified Securitization Financing;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restrictions apply only to such Securitization Subsidiary;</w:t>
      </w:r>
    </w:p>
    <w:p>
      <w:pPr>
        <w:spacing w:after="0" w:line="104" w:lineRule="exact"/>
        <w:rPr>
          <w:rFonts w:ascii="Arial" w:cs="Arial" w:eastAsia="Arial" w:hAnsi="Arial"/>
          <w:sz w:val="19"/>
          <w:szCs w:val="19"/>
          <w:color w:val="auto"/>
        </w:rPr>
      </w:pPr>
    </w:p>
    <w:p>
      <w:pPr>
        <w:jc w:val="both"/>
        <w:ind w:left="-780" w:firstLine="1504"/>
        <w:spacing w:after="0" w:line="260" w:lineRule="auto"/>
        <w:tabs>
          <w:tab w:leader="none" w:pos="1488" w:val="left"/>
        </w:tabs>
        <w:numPr>
          <w:ilvl w:val="0"/>
          <w:numId w:val="196"/>
        </w:numPr>
        <w:rPr>
          <w:rFonts w:ascii="Arial" w:cs="Arial" w:eastAsia="Arial" w:hAnsi="Arial"/>
          <w:sz w:val="21"/>
          <w:szCs w:val="21"/>
          <w:color w:val="auto"/>
        </w:rPr>
      </w:pPr>
      <w:r>
        <w:rPr>
          <w:rFonts w:ascii="Arial" w:cs="Arial" w:eastAsia="Arial" w:hAnsi="Arial"/>
          <w:sz w:val="21"/>
          <w:szCs w:val="21"/>
          <w:color w:val="auto"/>
        </w:rPr>
        <w:t xml:space="preserve">other Indebtedness, Disqualified Capital Stock or Preferred Stock (a) of Parent Borrower or any Restricted Subsidiary that is a Credit Party or a Foreign Subsidiary or (b) of any Restricted Subsidiary that is not a Credit Party or a Foreign Subsidiary so long as such encumbrances and restrictions contained in any agreement or instrument will not materially affect Parent Borrower’s or any Credit Party’s ability to make anticipated principal or interest payments on the Loans (as determined in good faith by Parent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each of clauses (a) and (b), such Indebtedness, Disqualified Capital Stock or Preferred Stock is permitted to be Incurred subsequent to the Amendment No. 3 Effective Date pursuant to </w:t>
      </w:r>
      <w:r>
        <w:rPr>
          <w:rFonts w:ascii="Arial" w:cs="Arial" w:eastAsia="Arial" w:hAnsi="Arial"/>
          <w:sz w:val="21"/>
          <w:szCs w:val="21"/>
          <w:u w:val="single" w:color="auto"/>
          <w:color w:val="auto"/>
        </w:rPr>
        <w:t>Section 7.1</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ind w:left="1480" w:hanging="744"/>
        <w:spacing w:after="0"/>
        <w:tabs>
          <w:tab w:leader="none" w:pos="1480" w:val="left"/>
        </w:tabs>
        <w:numPr>
          <w:ilvl w:val="0"/>
          <w:numId w:val="196"/>
        </w:numPr>
        <w:rPr>
          <w:rFonts w:ascii="Arial" w:cs="Arial" w:eastAsia="Arial" w:hAnsi="Arial"/>
          <w:sz w:val="21"/>
          <w:szCs w:val="21"/>
          <w:color w:val="auto"/>
        </w:rPr>
      </w:pPr>
      <w:r>
        <w:rPr>
          <w:rFonts w:ascii="Arial" w:cs="Arial" w:eastAsia="Arial" w:hAnsi="Arial"/>
          <w:sz w:val="21"/>
          <w:szCs w:val="21"/>
          <w:color w:val="auto"/>
        </w:rPr>
        <w:t xml:space="preserve">any Restricted Investment not prohibited by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and any Permitted Investment; or</w:t>
      </w:r>
    </w:p>
    <w:p>
      <w:pPr>
        <w:spacing w:after="0" w:line="231" w:lineRule="exact"/>
        <w:rPr>
          <w:rFonts w:ascii="Arial" w:cs="Arial" w:eastAsia="Arial" w:hAnsi="Arial"/>
          <w:sz w:val="21"/>
          <w:szCs w:val="21"/>
          <w:color w:val="auto"/>
        </w:rPr>
      </w:pPr>
    </w:p>
    <w:p>
      <w:pPr>
        <w:jc w:val="both"/>
        <w:ind w:left="-780" w:firstLine="1576"/>
        <w:spacing w:after="0" w:line="247" w:lineRule="auto"/>
        <w:tabs>
          <w:tab w:leader="none" w:pos="148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 xml:space="preserve">any encumbrances or restrictions of the type referred to in </w:t>
      </w:r>
      <w:r>
        <w:rPr>
          <w:rFonts w:ascii="Arial" w:cs="Arial" w:eastAsia="Arial" w:hAnsi="Arial"/>
          <w:sz w:val="22"/>
          <w:szCs w:val="22"/>
          <w:u w:val="single" w:color="auto"/>
          <w:color w:val="auto"/>
        </w:rPr>
        <w:t>Section 7.3(a)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above imposed by any amendments, modifications, restatements, renewals, increases, supplements, refundings, replacements or refinancings of the contracts, instruments or obligations referred to in clauses (i) through (xiv) above;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amendments, modifications, restatements, renewals, increases, supplements, refundings, replacements or refinancings are, in the good faith judgment of Parent Borrower, no more restrictive with respect to such dividend and other payment restrictions than those contained</w:t>
      </w:r>
    </w:p>
    <w:p>
      <w:pPr>
        <w:sectPr>
          <w:pgSz w:w="11900" w:h="16838" w:orient="portrait"/>
          <w:cols w:equalWidth="0" w:num="1">
            <w:col w:w="10120"/>
          </w:cols>
          <w:pgMar w:left="1440" w:top="1428" w:right="339" w:bottom="1440" w:gutter="0" w:footer="0" w:header="0"/>
        </w:sectPr>
      </w:pPr>
    </w:p>
    <w:bookmarkStart w:id="263" w:name="page264"/>
    <w:bookmarkEnd w:id="263"/>
    <w:p>
      <w:pPr>
        <w:ind w:left="340"/>
        <w:spacing w:after="0" w:line="263" w:lineRule="auto"/>
        <w:rPr>
          <w:sz w:val="20"/>
          <w:szCs w:val="20"/>
          <w:color w:val="auto"/>
        </w:rPr>
      </w:pPr>
      <w:r>
        <w:rPr>
          <w:rFonts w:ascii="Arial" w:cs="Arial" w:eastAsia="Arial" w:hAnsi="Arial"/>
          <w:sz w:val="22"/>
          <w:szCs w:val="22"/>
          <w:color w:val="auto"/>
        </w:rPr>
        <w:t>in the dividend or other payment restrictions prior to such amendment, modification, restatement, renewal, increase, supplement, refunding, replacement or refinancing.</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 xml:space="preserve">For purposes of determining compliance with this </w:t>
      </w:r>
      <w:r>
        <w:rPr>
          <w:rFonts w:ascii="Arial" w:cs="Arial" w:eastAsia="Arial" w:hAnsi="Arial"/>
          <w:sz w:val="21"/>
          <w:szCs w:val="21"/>
          <w:u w:val="single" w:color="auto"/>
          <w:color w:val="auto"/>
        </w:rPr>
        <w:t>Section 7.3</w:t>
      </w:r>
      <w:r>
        <w:rPr>
          <w:rFonts w:ascii="Arial" w:cs="Arial" w:eastAsia="Arial" w:hAnsi="Arial"/>
          <w:sz w:val="21"/>
          <w:szCs w:val="21"/>
          <w:color w:val="auto"/>
        </w:rPr>
        <w:t>, (i) the priority of any Preferred Stock in receiving dividends or liquidating distributions prior to dividends or liquidating distributions being paid on common stock shall not be deemed a restriction on the ability to make distributions on Capital Stock and (ii) the subordination of loans or advances made to Parent Borrower or a Restricted Subsidiary to other Indebtedness Incurred by Parent Borrower or any such Restricted Subsidiary shall not be deemed a restriction on the ability to make loans or advances.</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Sale of Capital Stock and Assets</w:t>
      </w:r>
      <w:r>
        <w:rPr>
          <w:rFonts w:ascii="Arial" w:cs="Arial" w:eastAsia="Arial" w:hAnsi="Arial"/>
          <w:sz w:val="21"/>
          <w:szCs w:val="21"/>
          <w:color w:val="auto"/>
        </w:rPr>
        <w:t>. Except as set forth herein, no Credit Party shall, or shall permit any of its Restricted Subsidiaries to, sell, transfer, convey, assign or otherwise Dispose of any of its properties or other assets, including the Capital Stock of any of its Subsidiaries (whether in a public or a private offering or otherwise), other than:</w:t>
      </w:r>
    </w:p>
    <w:p>
      <w:pPr>
        <w:spacing w:after="0" w:line="167" w:lineRule="exact"/>
        <w:rPr>
          <w:sz w:val="20"/>
          <w:szCs w:val="20"/>
          <w:color w:val="auto"/>
        </w:rPr>
      </w:pPr>
    </w:p>
    <w:p>
      <w:pPr>
        <w:jc w:val="both"/>
        <w:ind w:left="340" w:firstLine="1288"/>
        <w:spacing w:after="0" w:line="250" w:lineRule="auto"/>
        <w:tabs>
          <w:tab w:leader="none" w:pos="1957" w:val="left"/>
        </w:tabs>
        <w:numPr>
          <w:ilvl w:val="1"/>
          <w:numId w:val="197"/>
        </w:numPr>
        <w:rPr>
          <w:rFonts w:ascii="Arial" w:cs="Arial" w:eastAsia="Arial" w:hAnsi="Arial"/>
          <w:sz w:val="22"/>
          <w:szCs w:val="22"/>
          <w:color w:val="auto"/>
        </w:rPr>
      </w:pPr>
      <w:r>
        <w:rPr>
          <w:rFonts w:ascii="Arial" w:cs="Arial" w:eastAsia="Arial" w:hAnsi="Arial"/>
          <w:sz w:val="22"/>
          <w:szCs w:val="22"/>
          <w:color w:val="auto"/>
        </w:rPr>
        <w:t>the Disposition (including the abandonment of any Copyright, Patent, Trademark or other intellectual property or surrender or transfer for no consideration) of obsolete, no longer used or useful, surplus, uneconomic, negligible or worn out property in the ordinary course of business or otherwise as may be required pursuant to the terms of any lease, sublease, license or sublicense;</w:t>
      </w:r>
    </w:p>
    <w:p>
      <w:pPr>
        <w:spacing w:after="0" w:line="187" w:lineRule="exact"/>
        <w:rPr>
          <w:rFonts w:ascii="Arial" w:cs="Arial" w:eastAsia="Arial" w:hAnsi="Arial"/>
          <w:sz w:val="22"/>
          <w:szCs w:val="22"/>
          <w:color w:val="auto"/>
        </w:rPr>
      </w:pPr>
    </w:p>
    <w:p>
      <w:pPr>
        <w:ind w:left="1940" w:hanging="312"/>
        <w:spacing w:after="0"/>
        <w:tabs>
          <w:tab w:leader="none" w:pos="1940" w:val="left"/>
        </w:tabs>
        <w:numPr>
          <w:ilvl w:val="1"/>
          <w:numId w:val="197"/>
        </w:numPr>
        <w:rPr>
          <w:rFonts w:ascii="Arial" w:cs="Arial" w:eastAsia="Arial" w:hAnsi="Arial"/>
          <w:sz w:val="22"/>
          <w:szCs w:val="22"/>
          <w:color w:val="auto"/>
        </w:rPr>
      </w:pPr>
      <w:r>
        <w:rPr>
          <w:rFonts w:ascii="Arial" w:cs="Arial" w:eastAsia="Arial" w:hAnsi="Arial"/>
          <w:sz w:val="22"/>
          <w:szCs w:val="22"/>
          <w:color w:val="auto"/>
        </w:rPr>
        <w:t>the sale of inventory or other assets in the ordinary course of business;</w:t>
      </w:r>
    </w:p>
    <w:p>
      <w:pPr>
        <w:spacing w:after="0" w:line="219" w:lineRule="exact"/>
        <w:rPr>
          <w:rFonts w:ascii="Arial" w:cs="Arial" w:eastAsia="Arial" w:hAnsi="Arial"/>
          <w:sz w:val="22"/>
          <w:szCs w:val="22"/>
          <w:color w:val="auto"/>
        </w:rPr>
      </w:pPr>
    </w:p>
    <w:p>
      <w:pPr>
        <w:ind w:left="1940" w:hanging="312"/>
        <w:spacing w:after="0"/>
        <w:tabs>
          <w:tab w:leader="none" w:pos="1940" w:val="left"/>
        </w:tabs>
        <w:numPr>
          <w:ilvl w:val="1"/>
          <w:numId w:val="197"/>
        </w:numPr>
        <w:rPr>
          <w:rFonts w:ascii="Arial" w:cs="Arial" w:eastAsia="Arial" w:hAnsi="Arial"/>
          <w:sz w:val="22"/>
          <w:szCs w:val="22"/>
          <w:color w:val="auto"/>
        </w:rPr>
      </w:pPr>
      <w:r>
        <w:rPr>
          <w:rFonts w:ascii="Arial" w:cs="Arial" w:eastAsia="Arial" w:hAnsi="Arial"/>
          <w:sz w:val="22"/>
          <w:szCs w:val="22"/>
          <w:color w:val="auto"/>
        </w:rPr>
        <w:t xml:space="preserve">Dispositions permitted by </w:t>
      </w:r>
      <w:r>
        <w:rPr>
          <w:rFonts w:ascii="Arial" w:cs="Arial" w:eastAsia="Arial" w:hAnsi="Arial"/>
          <w:sz w:val="22"/>
          <w:szCs w:val="22"/>
          <w:u w:val="single" w:color="auto"/>
          <w:color w:val="auto"/>
        </w:rPr>
        <w:t>Sections 7.2</w:t>
      </w:r>
      <w:r>
        <w:rPr>
          <w:rFonts w:ascii="Arial" w:cs="Arial" w:eastAsia="Arial" w:hAnsi="Arial"/>
          <w:sz w:val="22"/>
          <w:szCs w:val="22"/>
          <w:color w:val="auto"/>
        </w:rPr>
        <w:t xml:space="preserve">, </w:t>
      </w:r>
      <w:r>
        <w:rPr>
          <w:rFonts w:ascii="Arial" w:cs="Arial" w:eastAsia="Arial" w:hAnsi="Arial"/>
          <w:sz w:val="22"/>
          <w:szCs w:val="22"/>
          <w:u w:val="single" w:color="auto"/>
          <w:color w:val="auto"/>
        </w:rPr>
        <w:t>7.7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7.8</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340" w:firstLine="1288"/>
        <w:spacing w:after="0" w:line="271" w:lineRule="auto"/>
        <w:tabs>
          <w:tab w:leader="none" w:pos="1955" w:val="left"/>
        </w:tabs>
        <w:numPr>
          <w:ilvl w:val="1"/>
          <w:numId w:val="197"/>
        </w:numPr>
        <w:rPr>
          <w:rFonts w:ascii="Arial" w:cs="Arial" w:eastAsia="Arial" w:hAnsi="Arial"/>
          <w:sz w:val="21"/>
          <w:szCs w:val="21"/>
          <w:color w:val="auto"/>
        </w:rPr>
      </w:pPr>
      <w:r>
        <w:rPr>
          <w:rFonts w:ascii="Arial" w:cs="Arial" w:eastAsia="Arial" w:hAnsi="Arial"/>
          <w:sz w:val="21"/>
          <w:szCs w:val="21"/>
          <w:color w:val="auto"/>
        </w:rPr>
        <w:t>(i) the sale or issuance of any Subsidiary’s Capital Stock to Parent Borrower or any Restricted Subsidiary and (ii) the sale or issuance of Capital Stock of Parent Borrower to any employee (and, where required by law, to any officer or director) under any employment or compensation plans or to qualify such officers and directors;</w:t>
      </w:r>
    </w:p>
    <w:p>
      <w:pPr>
        <w:spacing w:after="0" w:line="167" w:lineRule="exact"/>
        <w:rPr>
          <w:rFonts w:ascii="Arial" w:cs="Arial" w:eastAsia="Arial" w:hAnsi="Arial"/>
          <w:sz w:val="21"/>
          <w:szCs w:val="21"/>
          <w:color w:val="auto"/>
        </w:rPr>
      </w:pPr>
    </w:p>
    <w:p>
      <w:pPr>
        <w:jc w:val="both"/>
        <w:ind w:left="340" w:firstLine="1288"/>
        <w:spacing w:after="0" w:line="288" w:lineRule="auto"/>
        <w:tabs>
          <w:tab w:leader="none" w:pos="1957" w:val="left"/>
        </w:tabs>
        <w:numPr>
          <w:ilvl w:val="1"/>
          <w:numId w:val="197"/>
        </w:numPr>
        <w:rPr>
          <w:rFonts w:ascii="Arial" w:cs="Arial" w:eastAsia="Arial" w:hAnsi="Arial"/>
          <w:sz w:val="19"/>
          <w:szCs w:val="19"/>
          <w:color w:val="auto"/>
        </w:rPr>
      </w:pPr>
      <w:r>
        <w:rPr>
          <w:rFonts w:ascii="Arial" w:cs="Arial" w:eastAsia="Arial" w:hAnsi="Arial"/>
          <w:sz w:val="19"/>
          <w:szCs w:val="19"/>
          <w:color w:val="auto"/>
        </w:rPr>
        <w:t>the sale of assets that do not constitute Borrowing Base assets subsequent to the Amendment No. 3 Effective Date, so long as (i) no Default or Event of Default then exists or would result therefrom, (ii) each such sale or other disposition is in an arm’s-length transaction and the respective Borrower or Subsidiary receives at least fair market value, and</w:t>
      </w:r>
    </w:p>
    <w:p>
      <w:pPr>
        <w:jc w:val="both"/>
        <w:ind w:left="340" w:hanging="8"/>
        <w:spacing w:after="0" w:line="256" w:lineRule="auto"/>
        <w:tabs>
          <w:tab w:leader="none" w:pos="731" w:val="left"/>
        </w:tabs>
        <w:numPr>
          <w:ilvl w:val="0"/>
          <w:numId w:val="198"/>
        </w:numPr>
        <w:rPr>
          <w:rFonts w:ascii="Arial" w:cs="Arial" w:eastAsia="Arial" w:hAnsi="Arial"/>
          <w:sz w:val="21"/>
          <w:szCs w:val="21"/>
          <w:color w:val="auto"/>
        </w:rPr>
      </w:pPr>
      <w:r>
        <w:rPr>
          <w:rFonts w:ascii="Arial" w:cs="Arial" w:eastAsia="Arial" w:hAnsi="Arial"/>
          <w:sz w:val="21"/>
          <w:szCs w:val="21"/>
          <w:color w:val="auto"/>
        </w:rPr>
        <w:t xml:space="preserve">the consideration received by such Borrower or such Subsidiary consists of at least 75% cash and is paid at the time of the closing of such sale;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following shall be deemed to be cash in respect of assets that are not ABL Priority Collateral: (A) the assumption by the transferee of Indebtedness or other liabilities contingent or otherwise of Parent Borrower or any of its Restricted Subsidiaries (other than Subordinated Indebtedness) and the valid release of Parent Borrower or such Restricted Subsidiary, by all applicable creditors in writing, from all liability on such Indebtedness or other liability in connection with such Disposition, (B) Indebtedness (other than Subordinated Indebtedness) of any Restricted Subsidiary that is no longer a Restricted Subsidiary as a result of such Disposition, to the extent that Parent Borrower and each other Restricted Subsidiary are released from any guarantee of payment of such Indebtedness in connection with such Disposition and (C) any</w:t>
      </w:r>
    </w:p>
    <w:p>
      <w:pPr>
        <w:sectPr>
          <w:pgSz w:w="11900" w:h="16838" w:orient="portrait"/>
          <w:cols w:equalWidth="0" w:num="1">
            <w:col w:w="11240"/>
          </w:cols>
          <w:pgMar w:left="320" w:top="1428" w:right="339" w:bottom="1440" w:gutter="0" w:footer="0" w:header="0"/>
        </w:sectPr>
      </w:pPr>
    </w:p>
    <w:bookmarkStart w:id="264" w:name="page265"/>
    <w:bookmarkEnd w:id="264"/>
    <w:p>
      <w:pPr>
        <w:jc w:val="both"/>
        <w:spacing w:after="0" w:line="261" w:lineRule="auto"/>
        <w:rPr>
          <w:sz w:val="20"/>
          <w:szCs w:val="20"/>
          <w:color w:val="auto"/>
        </w:rPr>
      </w:pPr>
      <w:r>
        <w:rPr>
          <w:rFonts w:ascii="Arial" w:cs="Arial" w:eastAsia="Arial" w:hAnsi="Arial"/>
          <w:sz w:val="21"/>
          <w:szCs w:val="21"/>
          <w:color w:val="auto"/>
        </w:rPr>
        <w:t xml:space="preserve">Designated Non-cash Consideration received by Parent Borrower or any Restricted Subsidiary in such asset sale having an aggregate Fair Market Value (as determined in good faith by Parent Borrower), taken together with all other Designated Non-cash Consideration received pursuant to this </w:t>
      </w:r>
      <w:r>
        <w:rPr>
          <w:rFonts w:ascii="Arial" w:cs="Arial" w:eastAsia="Arial" w:hAnsi="Arial"/>
          <w:sz w:val="21"/>
          <w:szCs w:val="21"/>
          <w:u w:val="single" w:color="auto"/>
          <w:color w:val="auto"/>
        </w:rPr>
        <w:t>Section 7.4(e)</w:t>
      </w:r>
      <w:r>
        <w:rPr>
          <w:rFonts w:ascii="Arial" w:cs="Arial" w:eastAsia="Arial" w:hAnsi="Arial"/>
          <w:sz w:val="21"/>
          <w:szCs w:val="21"/>
          <w:color w:val="auto"/>
        </w:rPr>
        <w:t xml:space="preserve"> that is at that time outstanding, not to exceed the greater of $400 million and 25% of Consolidated EBITDA at the time of the receipt of such Designated Non-cash Consideration (with the Fair Market Value of each item of Designated Non-cash Consideration being measured at the time received and without giving effect to subsequent changes in value);</w:t>
      </w:r>
    </w:p>
    <w:p>
      <w:pPr>
        <w:spacing w:after="0" w:line="179" w:lineRule="exact"/>
        <w:rPr>
          <w:sz w:val="20"/>
          <w:szCs w:val="20"/>
          <w:color w:val="auto"/>
        </w:rPr>
      </w:pPr>
    </w:p>
    <w:p>
      <w:pPr>
        <w:jc w:val="both"/>
        <w:ind w:firstLine="1288"/>
        <w:spacing w:after="0" w:line="263" w:lineRule="auto"/>
        <w:tabs>
          <w:tab w:leader="none" w:pos="1620" w:val="left"/>
        </w:tabs>
        <w:numPr>
          <w:ilvl w:val="0"/>
          <w:numId w:val="199"/>
        </w:numPr>
        <w:rPr>
          <w:rFonts w:ascii="Arial" w:cs="Arial" w:eastAsia="Arial" w:hAnsi="Arial"/>
          <w:sz w:val="21"/>
          <w:szCs w:val="21"/>
          <w:color w:val="auto"/>
        </w:rPr>
      </w:pPr>
      <w:r>
        <w:rPr>
          <w:rFonts w:ascii="Arial" w:cs="Arial" w:eastAsia="Arial" w:hAnsi="Arial"/>
          <w:sz w:val="21"/>
          <w:szCs w:val="21"/>
          <w:color w:val="auto"/>
        </w:rPr>
        <w:t>subject to compliance with Applicable Conditions, the sale of assets that constitute Borrowing Base assets subsequent to the Amendment No. 3 Effective Date, so long as (i) no Default or Event of Default then exists or would result therefrom, (ii) each such sale or other disposition is in an arm’s-length transaction and the respective Borrower or Subsidiary receives at least fair market value and (iii) the consideration received by such Borrower or such Subsidiary consists of at least 75% cash and is paid at the time of the closing of such sale;</w:t>
      </w:r>
    </w:p>
    <w:p>
      <w:pPr>
        <w:spacing w:after="0" w:line="175" w:lineRule="exact"/>
        <w:rPr>
          <w:rFonts w:ascii="Arial" w:cs="Arial" w:eastAsia="Arial" w:hAnsi="Arial"/>
          <w:sz w:val="21"/>
          <w:szCs w:val="21"/>
          <w:color w:val="auto"/>
        </w:rPr>
      </w:pPr>
    </w:p>
    <w:p>
      <w:pPr>
        <w:ind w:left="1600" w:hanging="312"/>
        <w:spacing w:after="0"/>
        <w:tabs>
          <w:tab w:leader="none" w:pos="160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Dispositions of cash and Cash Equivalents;</w:t>
      </w:r>
    </w:p>
    <w:p>
      <w:pPr>
        <w:spacing w:after="0" w:line="219" w:lineRule="exact"/>
        <w:rPr>
          <w:rFonts w:ascii="Arial" w:cs="Arial" w:eastAsia="Arial" w:hAnsi="Arial"/>
          <w:sz w:val="22"/>
          <w:szCs w:val="22"/>
          <w:color w:val="auto"/>
        </w:rPr>
      </w:pPr>
    </w:p>
    <w:p>
      <w:pPr>
        <w:ind w:firstLine="1288"/>
        <w:spacing w:after="0" w:line="263" w:lineRule="auto"/>
        <w:tabs>
          <w:tab w:leader="none" w:pos="1615" w:val="left"/>
        </w:tabs>
        <w:numPr>
          <w:ilvl w:val="0"/>
          <w:numId w:val="199"/>
        </w:numPr>
        <w:rPr>
          <w:rFonts w:ascii="Arial" w:cs="Arial" w:eastAsia="Arial" w:hAnsi="Arial"/>
          <w:sz w:val="22"/>
          <w:szCs w:val="22"/>
          <w:color w:val="auto"/>
        </w:rPr>
      </w:pPr>
      <w:r>
        <w:rPr>
          <w:rFonts w:ascii="Arial" w:cs="Arial" w:eastAsia="Arial" w:hAnsi="Arial"/>
          <w:sz w:val="22"/>
          <w:szCs w:val="22"/>
          <w:color w:val="auto"/>
        </w:rPr>
        <w:t>Dispositions of Accounts in connection with compromise, write down or collection thereof in the ordinary course of business and consistent with past practice;</w:t>
      </w:r>
    </w:p>
    <w:p>
      <w:pPr>
        <w:spacing w:after="0" w:line="174" w:lineRule="exact"/>
        <w:rPr>
          <w:rFonts w:ascii="Arial" w:cs="Arial" w:eastAsia="Arial" w:hAnsi="Arial"/>
          <w:sz w:val="22"/>
          <w:szCs w:val="22"/>
          <w:color w:val="auto"/>
        </w:rPr>
      </w:pPr>
    </w:p>
    <w:p>
      <w:pPr>
        <w:ind w:firstLine="1288"/>
        <w:spacing w:after="0" w:line="263" w:lineRule="auto"/>
        <w:tabs>
          <w:tab w:leader="none" w:pos="1608" w:val="left"/>
        </w:tabs>
        <w:numPr>
          <w:ilvl w:val="0"/>
          <w:numId w:val="199"/>
        </w:numPr>
        <w:rPr>
          <w:rFonts w:ascii="Arial" w:cs="Arial" w:eastAsia="Arial" w:hAnsi="Arial"/>
          <w:sz w:val="22"/>
          <w:szCs w:val="22"/>
          <w:color w:val="auto"/>
        </w:rPr>
      </w:pPr>
      <w:r>
        <w:rPr>
          <w:rFonts w:ascii="Arial" w:cs="Arial" w:eastAsia="Arial" w:hAnsi="Arial"/>
          <w:sz w:val="22"/>
          <w:szCs w:val="22"/>
          <w:color w:val="auto"/>
        </w:rPr>
        <w:t>leases, subleases, licenses or sublicenses of property in the ordinary course of business and which do not materially interfere with the business of Borrowers and their Restricted Subsidiaries;</w:t>
      </w:r>
    </w:p>
    <w:p>
      <w:pPr>
        <w:spacing w:after="0" w:line="174" w:lineRule="exact"/>
        <w:rPr>
          <w:rFonts w:ascii="Arial" w:cs="Arial" w:eastAsia="Arial" w:hAnsi="Arial"/>
          <w:sz w:val="22"/>
          <w:szCs w:val="22"/>
          <w:color w:val="auto"/>
        </w:rPr>
      </w:pPr>
    </w:p>
    <w:p>
      <w:pPr>
        <w:ind w:firstLine="1288"/>
        <w:spacing w:after="0" w:line="263" w:lineRule="auto"/>
        <w:tabs>
          <w:tab w:leader="none" w:pos="1608" w:val="left"/>
        </w:tabs>
        <w:numPr>
          <w:ilvl w:val="0"/>
          <w:numId w:val="199"/>
        </w:numPr>
        <w:rPr>
          <w:rFonts w:ascii="Arial" w:cs="Arial" w:eastAsia="Arial" w:hAnsi="Arial"/>
          <w:sz w:val="22"/>
          <w:szCs w:val="22"/>
          <w:color w:val="auto"/>
        </w:rPr>
      </w:pPr>
      <w:r>
        <w:rPr>
          <w:rFonts w:ascii="Arial" w:cs="Arial" w:eastAsia="Arial" w:hAnsi="Arial"/>
          <w:sz w:val="22"/>
          <w:szCs w:val="22"/>
          <w:color w:val="auto"/>
        </w:rPr>
        <w:t>Dispositions of Capital Stock to directors where required by applicable law or to satisfy other requirements of applicable law with respect to the ownership of Capital Stock of Foreign Subsidiaries;</w:t>
      </w:r>
    </w:p>
    <w:p>
      <w:pPr>
        <w:spacing w:after="0" w:line="174" w:lineRule="exact"/>
        <w:rPr>
          <w:rFonts w:ascii="Arial" w:cs="Arial" w:eastAsia="Arial" w:hAnsi="Arial"/>
          <w:sz w:val="22"/>
          <w:szCs w:val="22"/>
          <w:color w:val="auto"/>
        </w:rPr>
      </w:pPr>
    </w:p>
    <w:p>
      <w:pPr>
        <w:ind w:firstLine="1288"/>
        <w:spacing w:after="0" w:line="263" w:lineRule="auto"/>
        <w:tabs>
          <w:tab w:leader="none" w:pos="1615" w:val="left"/>
        </w:tabs>
        <w:numPr>
          <w:ilvl w:val="0"/>
          <w:numId w:val="199"/>
        </w:numPr>
        <w:rPr>
          <w:rFonts w:ascii="Arial" w:cs="Arial" w:eastAsia="Arial" w:hAnsi="Arial"/>
          <w:sz w:val="22"/>
          <w:szCs w:val="22"/>
          <w:color w:val="auto"/>
        </w:rPr>
      </w:pPr>
      <w:r>
        <w:rPr>
          <w:rFonts w:ascii="Arial" w:cs="Arial" w:eastAsia="Arial" w:hAnsi="Arial"/>
          <w:sz w:val="22"/>
          <w:szCs w:val="22"/>
          <w:color w:val="auto"/>
        </w:rPr>
        <w:t>Dispositions of the Capital Stock of any Joint Venture to the extent required by the terms of customary buy/sell type arrangements entered into in connection with the formation of such Joint Venture;</w:t>
      </w:r>
    </w:p>
    <w:p>
      <w:pPr>
        <w:spacing w:after="0" w:line="174" w:lineRule="exact"/>
        <w:rPr>
          <w:rFonts w:ascii="Arial" w:cs="Arial" w:eastAsia="Arial" w:hAnsi="Arial"/>
          <w:sz w:val="22"/>
          <w:szCs w:val="22"/>
          <w:color w:val="auto"/>
        </w:rPr>
      </w:pPr>
    </w:p>
    <w:p>
      <w:pPr>
        <w:jc w:val="both"/>
        <w:ind w:firstLine="1288"/>
        <w:spacing w:after="0" w:line="253" w:lineRule="auto"/>
        <w:tabs>
          <w:tab w:leader="none" w:pos="1608"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transfer or disposition of property subject to or as a result of a casualty or condemnation (or agreement in lieu of condemnation) (i) upon receipt of net cash proceeds of such casualty or (ii) to a Governmental Authority as a result of condemnation (or agreement in lieu of condemnation);</w:t>
      </w:r>
    </w:p>
    <w:p>
      <w:pPr>
        <w:spacing w:after="0" w:line="185"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auto"/>
        </w:rPr>
        <w:t>(m)Dispositions of property in connection with (i) Sale/Leaseback Transactions for fair value (as determined at the time of the consummation thereof in good faith by the applicable Credit Party or Restricted Subsidiary) so long as (x) 75% of the consideration received by such Credit Party or Restricted Subsidiary from such Sale/Leaseback Transaction is in the form of cash and (y) if such Sale/Leaseback Transaction involves Borrowing Base Collateral with a Fair Market Value in excess of $20,000,000, Parent Borrower shall have delivered to Agent on updated Borrowing Base Certificate giving</w:t>
      </w:r>
    </w:p>
    <w:p>
      <w:pPr>
        <w:sectPr>
          <w:pgSz w:w="11900" w:h="16838" w:orient="portrait"/>
          <w:cols w:equalWidth="0" w:num="1">
            <w:col w:w="10900"/>
          </w:cols>
          <w:pgMar w:left="660" w:top="1428" w:right="339" w:bottom="1440" w:gutter="0" w:footer="0" w:header="0"/>
        </w:sectPr>
      </w:pPr>
    </w:p>
    <w:bookmarkStart w:id="265" w:name="page266"/>
    <w:bookmarkEnd w:id="265"/>
    <w:p>
      <w:pPr>
        <w:jc w:val="both"/>
        <w:ind w:left="8"/>
        <w:spacing w:after="0" w:line="286" w:lineRule="auto"/>
        <w:rPr>
          <w:sz w:val="20"/>
          <w:szCs w:val="20"/>
          <w:color w:val="auto"/>
        </w:rPr>
      </w:pPr>
      <w:r>
        <w:rPr>
          <w:rFonts w:ascii="Arial" w:cs="Arial" w:eastAsia="Arial" w:hAnsi="Arial"/>
          <w:sz w:val="19"/>
          <w:szCs w:val="19"/>
          <w:color w:val="auto"/>
        </w:rPr>
        <w:t>pro forma effect to such Disposition, (ii) other Sale/Leaseback Transactions for fair value (as determined at the time of the consummation thereof in good faith by the applicable Credit Party or Restricted Subsidiary) consummated with respect to Railcars that such Credit Party or Restricted Subsidiary acquires from the original lessor thereof in connection with the termination of the related lease and with the intent of refinancing such Railcars under a new Sale/Leaseback Transactions and</w:t>
      </w:r>
    </w:p>
    <w:p>
      <w:pPr>
        <w:spacing w:after="0" w:line="3" w:lineRule="exact"/>
        <w:rPr>
          <w:sz w:val="20"/>
          <w:szCs w:val="20"/>
          <w:color w:val="auto"/>
        </w:rPr>
      </w:pPr>
    </w:p>
    <w:p>
      <w:pPr>
        <w:jc w:val="both"/>
        <w:ind w:left="8" w:hanging="8"/>
        <w:spacing w:after="0" w:line="244" w:lineRule="auto"/>
        <w:tabs>
          <w:tab w:leader="none" w:pos="375" w:val="left"/>
        </w:tabs>
        <w:numPr>
          <w:ilvl w:val="0"/>
          <w:numId w:val="200"/>
        </w:numPr>
        <w:rPr>
          <w:rFonts w:ascii="Arial" w:cs="Arial" w:eastAsia="Arial" w:hAnsi="Arial"/>
          <w:sz w:val="22"/>
          <w:szCs w:val="22"/>
          <w:color w:val="auto"/>
        </w:rPr>
      </w:pPr>
      <w:r>
        <w:rPr>
          <w:rFonts w:ascii="Arial" w:cs="Arial" w:eastAsia="Arial" w:hAnsi="Arial"/>
          <w:sz w:val="22"/>
          <w:szCs w:val="22"/>
          <w:color w:val="auto"/>
        </w:rPr>
        <w:t>such Sale/Leaseback Transactions is consummated within 60 days of acquisition of such Railcars, (B) the consideration received is not less than the consideration paid for such Railcars and (C) the cash consideration received for such Railcars is not less than the cash consideration actually paid by any such Borrower or its Restricted Subsidiary and (iii) Sale/Leaseback Transactions between Excluded Subsidiaries;</w:t>
      </w:r>
    </w:p>
    <w:p>
      <w:pPr>
        <w:spacing w:after="0" w:line="195" w:lineRule="exact"/>
        <w:rPr>
          <w:rFonts w:ascii="Arial" w:cs="Arial" w:eastAsia="Arial" w:hAnsi="Arial"/>
          <w:sz w:val="22"/>
          <w:szCs w:val="22"/>
          <w:color w:val="auto"/>
        </w:rPr>
      </w:pPr>
    </w:p>
    <w:p>
      <w:pPr>
        <w:jc w:val="both"/>
        <w:ind w:left="8" w:firstLine="1288"/>
        <w:spacing w:after="0" w:line="263" w:lineRule="auto"/>
        <w:tabs>
          <w:tab w:leader="none" w:pos="1623" w:val="left"/>
        </w:tabs>
        <w:numPr>
          <w:ilvl w:val="1"/>
          <w:numId w:val="200"/>
        </w:numPr>
        <w:rPr>
          <w:rFonts w:ascii="Arial" w:cs="Arial" w:eastAsia="Arial" w:hAnsi="Arial"/>
          <w:sz w:val="21"/>
          <w:szCs w:val="21"/>
          <w:color w:val="auto"/>
        </w:rPr>
      </w:pPr>
      <w:r>
        <w:rPr>
          <w:rFonts w:ascii="Arial" w:cs="Arial" w:eastAsia="Arial" w:hAnsi="Arial"/>
          <w:sz w:val="21"/>
          <w:szCs w:val="21"/>
          <w:color w:val="auto"/>
        </w:rPr>
        <w:t xml:space="preserve">(i) any Credit Party may Dispose of its property to another Credit Party, (ii) any Restricted Subsidiary that is not a Credit Party may Dispose of its property to another Restricted Subsidiary that is not a Credit Party and (iii) asset Dispositions among Credit Parties and their Restricted Subsidiaries in the ordinary course of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clauses (i) and (ii), no Credit Party that is a Non-Con-way Subsidiary may Dispose of its property to a Con-way Subsidiary if such Disposition would cause Collateral to be Excluded Property.</w:t>
      </w:r>
    </w:p>
    <w:p>
      <w:pPr>
        <w:spacing w:after="0" w:line="175" w:lineRule="exact"/>
        <w:rPr>
          <w:rFonts w:ascii="Arial" w:cs="Arial" w:eastAsia="Arial" w:hAnsi="Arial"/>
          <w:sz w:val="21"/>
          <w:szCs w:val="21"/>
          <w:color w:val="auto"/>
        </w:rPr>
      </w:pPr>
    </w:p>
    <w:p>
      <w:pPr>
        <w:jc w:val="both"/>
        <w:ind w:left="8" w:firstLine="1288"/>
        <w:spacing w:after="0" w:line="287" w:lineRule="auto"/>
        <w:tabs>
          <w:tab w:leader="none" w:pos="1623" w:val="left"/>
        </w:tabs>
        <w:numPr>
          <w:ilvl w:val="1"/>
          <w:numId w:val="200"/>
        </w:numPr>
        <w:rPr>
          <w:rFonts w:ascii="Arial" w:cs="Arial" w:eastAsia="Arial" w:hAnsi="Arial"/>
          <w:sz w:val="19"/>
          <w:szCs w:val="19"/>
          <w:color w:val="auto"/>
        </w:rPr>
      </w:pPr>
      <w:r>
        <w:rPr>
          <w:rFonts w:ascii="Arial" w:cs="Arial" w:eastAsia="Arial" w:hAnsi="Arial"/>
          <w:sz w:val="19"/>
          <w:szCs w:val="19"/>
          <w:color w:val="auto"/>
        </w:rPr>
        <w:t xml:space="preserve">Dispositions of any property to the extent that (i) (x) such property is exchanged for credit against the purchase price of similar replacement property or (y) such Disposition represents an exchange of assets (including a combination of Cash Equivalents and assets) for assets related to a Similar Business of comparable or greater market value or usefulness to the business of Parent Borrower and the Restricted Subsidiaries as a whole, as determined in good faith by Parent Borrower or (z) such Disposition represents a swap of assets or lease, assignment or sublease of any real of personal property in exchange for services (including in connection with any outsourcing arrangements) or comparable or greater value or usefulness to the business of Parent Borrower and its Restricted Subsidiaries as a whole, as determined in good faith by Parent Borrower, or (ii) the proceeds of such Disposition are reasonably promptly applied to the purchase price of such replacement property;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both clauses (i) and (ii), if such Disposition involves Borrowing Base Collateral with a Fair Market Value in excess of $20,000,000, Parent Borrower shall deliver to Agent an updated Borrowing Base Certificate giving pro forma effect to such Disposition;</w:t>
      </w:r>
    </w:p>
    <w:p>
      <w:pPr>
        <w:spacing w:after="0" w:line="163" w:lineRule="exact"/>
        <w:rPr>
          <w:rFonts w:ascii="Arial" w:cs="Arial" w:eastAsia="Arial" w:hAnsi="Arial"/>
          <w:sz w:val="19"/>
          <w:szCs w:val="19"/>
          <w:color w:val="auto"/>
        </w:rPr>
      </w:pPr>
    </w:p>
    <w:p>
      <w:pPr>
        <w:ind w:left="1608" w:hanging="312"/>
        <w:spacing w:after="0"/>
        <w:tabs>
          <w:tab w:leader="none" w:pos="1608" w:val="left"/>
        </w:tabs>
        <w:numPr>
          <w:ilvl w:val="1"/>
          <w:numId w:val="200"/>
        </w:numPr>
        <w:rPr>
          <w:rFonts w:ascii="Arial" w:cs="Arial" w:eastAsia="Arial" w:hAnsi="Arial"/>
          <w:sz w:val="22"/>
          <w:szCs w:val="22"/>
          <w:color w:val="auto"/>
        </w:rPr>
      </w:pPr>
      <w:r>
        <w:rPr>
          <w:rFonts w:ascii="Arial" w:cs="Arial" w:eastAsia="Arial" w:hAnsi="Arial"/>
          <w:sz w:val="22"/>
          <w:szCs w:val="22"/>
          <w:color w:val="auto"/>
        </w:rPr>
        <w:t xml:space="preserve">Dispositions of assets which constitute Investments permitted under </w:t>
      </w:r>
      <w:r>
        <w:rPr>
          <w:rFonts w:ascii="Arial" w:cs="Arial" w:eastAsia="Arial" w:hAnsi="Arial"/>
          <w:sz w:val="22"/>
          <w:szCs w:val="22"/>
          <w:u w:val="single" w:color="auto"/>
          <w:color w:val="auto"/>
        </w:rPr>
        <w:t>Section 7.2</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8" w:firstLine="1288"/>
        <w:spacing w:after="0" w:line="253" w:lineRule="auto"/>
        <w:tabs>
          <w:tab w:leader="none" w:pos="1623" w:val="left"/>
        </w:tabs>
        <w:numPr>
          <w:ilvl w:val="1"/>
          <w:numId w:val="200"/>
        </w:numPr>
        <w:rPr>
          <w:rFonts w:ascii="Arial" w:cs="Arial" w:eastAsia="Arial" w:hAnsi="Arial"/>
          <w:sz w:val="22"/>
          <w:szCs w:val="22"/>
          <w:color w:val="auto"/>
        </w:rPr>
      </w:pPr>
      <w:r>
        <w:rPr>
          <w:rFonts w:ascii="Arial" w:cs="Arial" w:eastAsia="Arial" w:hAnsi="Arial"/>
          <w:sz w:val="22"/>
          <w:szCs w:val="22"/>
          <w:color w:val="auto"/>
        </w:rPr>
        <w:t>making Chassis, containers and Railcars available, on a non-exclusive basis, to third parties in accordance with the UIIA and the Interchange System, as the case may be, in the ordinary course of business consistent with past practices and undertaken in good faith;</w:t>
      </w:r>
    </w:p>
    <w:p>
      <w:pPr>
        <w:spacing w:after="0" w:line="185" w:lineRule="exact"/>
        <w:rPr>
          <w:rFonts w:ascii="Arial" w:cs="Arial" w:eastAsia="Arial" w:hAnsi="Arial"/>
          <w:sz w:val="22"/>
          <w:szCs w:val="22"/>
          <w:color w:val="auto"/>
        </w:rPr>
      </w:pPr>
    </w:p>
    <w:p>
      <w:pPr>
        <w:jc w:val="both"/>
        <w:ind w:left="8" w:firstLine="1288"/>
        <w:spacing w:after="0" w:line="253" w:lineRule="auto"/>
        <w:tabs>
          <w:tab w:leader="none" w:pos="1628" w:val="left"/>
        </w:tabs>
        <w:numPr>
          <w:ilvl w:val="1"/>
          <w:numId w:val="200"/>
        </w:numPr>
        <w:rPr>
          <w:rFonts w:ascii="Arial" w:cs="Arial" w:eastAsia="Arial" w:hAnsi="Arial"/>
          <w:sz w:val="22"/>
          <w:szCs w:val="22"/>
          <w:color w:val="auto"/>
        </w:rPr>
      </w:pPr>
      <w:r>
        <w:rPr>
          <w:rFonts w:ascii="Arial" w:cs="Arial" w:eastAsia="Arial" w:hAnsi="Arial"/>
          <w:sz w:val="22"/>
          <w:szCs w:val="22"/>
          <w:color w:val="auto"/>
        </w:rPr>
        <w:t>(1) Dispositions of assets by a Restricted Subsidiary that is not a Credit Party of the type specified in the definition of “Securitization Financing” (or a fractional undivided interest therein), including by a Securitization Subsidiary in a Qualified</w:t>
      </w:r>
    </w:p>
    <w:p>
      <w:pPr>
        <w:sectPr>
          <w:pgSz w:w="11900" w:h="16838" w:orient="portrait"/>
          <w:cols w:equalWidth="0" w:num="1">
            <w:col w:w="10908"/>
          </w:cols>
          <w:pgMar w:left="652" w:top="1428" w:right="339" w:bottom="1440" w:gutter="0" w:footer="0" w:header="0"/>
        </w:sectPr>
      </w:pPr>
    </w:p>
    <w:bookmarkStart w:id="266" w:name="page267"/>
    <w:bookmarkEnd w:id="266"/>
    <w:p>
      <w:pPr>
        <w:jc w:val="both"/>
        <w:spacing w:after="0" w:line="261" w:lineRule="auto"/>
        <w:rPr>
          <w:sz w:val="20"/>
          <w:szCs w:val="20"/>
          <w:color w:val="auto"/>
        </w:rPr>
      </w:pPr>
      <w:r>
        <w:rPr>
          <w:rFonts w:ascii="Arial" w:cs="Arial" w:eastAsia="Arial" w:hAnsi="Arial"/>
          <w:sz w:val="21"/>
          <w:szCs w:val="21"/>
          <w:color w:val="auto"/>
        </w:rPr>
        <w:t xml:space="preserve">Securitization Financing and (2) Dispositions of assets by a Credit Party in connection with Securitization Financings;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aggregate outstanding balance of accounts receivable and other similar assets disposed of pursuant to this Section 7.4(r)(2) shall not exceed $200,000,000 at any one time outstanding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for the avoidance of doubt, accounts receivable and other similar assets so disposed of will no longer be considered outstanding for purposes of this clause (2) to the extent that the applicable obligor of such receivable or asset has made payment thereof, or to the extent such receivable has been repurchased by a Credit Party);</w:t>
      </w:r>
    </w:p>
    <w:p>
      <w:pPr>
        <w:spacing w:after="0" w:line="179" w:lineRule="exact"/>
        <w:rPr>
          <w:sz w:val="20"/>
          <w:szCs w:val="20"/>
          <w:color w:val="auto"/>
        </w:rPr>
      </w:pPr>
    </w:p>
    <w:p>
      <w:pPr>
        <w:jc w:val="both"/>
        <w:ind w:firstLine="1288"/>
        <w:spacing w:after="0" w:line="247" w:lineRule="auto"/>
        <w:tabs>
          <w:tab w:leader="none" w:pos="1618"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Dispositions of assets or issuances of Parent Borrower or any Restricted Subsidiary or sale of Capital Stock of Parent Borrower or any Restricted Subsidiary which assets or Capital Stock so Disposed or issued, in any single transaction or related series of transactions, have a fair market value (as determined in good faith by Parent Borrower) of less than $55,000,000;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such Disposition involves Borrowing Base Collateral with a Fair Market Value in excess of $25,000,000, Parent Borrower shall deliver to Agent an updated Borrowing Base Certificate giving pro forma effect to such Disposition;</w:t>
      </w:r>
    </w:p>
    <w:p>
      <w:pPr>
        <w:spacing w:after="0" w:line="192" w:lineRule="exact"/>
        <w:rPr>
          <w:rFonts w:ascii="Arial" w:cs="Arial" w:eastAsia="Arial" w:hAnsi="Arial"/>
          <w:sz w:val="22"/>
          <w:szCs w:val="22"/>
          <w:color w:val="auto"/>
        </w:rPr>
      </w:pPr>
    </w:p>
    <w:p>
      <w:pPr>
        <w:ind w:left="1600" w:hanging="312"/>
        <w:spacing w:after="0"/>
        <w:tabs>
          <w:tab w:leader="none" w:pos="160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foreclosure or any similar action with respect to any property or other asset of Parent Borrower or any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its Subsidiaries;</w:t>
      </w:r>
    </w:p>
    <w:p>
      <w:pPr>
        <w:spacing w:after="0" w:line="201" w:lineRule="exact"/>
        <w:rPr>
          <w:rFonts w:ascii="Arial" w:cs="Arial" w:eastAsia="Arial" w:hAnsi="Arial"/>
          <w:sz w:val="19"/>
          <w:szCs w:val="19"/>
          <w:color w:val="auto"/>
        </w:rPr>
      </w:pPr>
    </w:p>
    <w:p>
      <w:pPr>
        <w:ind w:left="1600" w:hanging="312"/>
        <w:spacing w:after="0"/>
        <w:tabs>
          <w:tab w:leader="none" w:pos="1600" w:val="left"/>
        </w:tabs>
        <w:numPr>
          <w:ilvl w:val="0"/>
          <w:numId w:val="201"/>
        </w:numPr>
        <w:rPr>
          <w:rFonts w:ascii="Arial" w:cs="Arial" w:eastAsia="Arial" w:hAnsi="Arial"/>
          <w:sz w:val="19"/>
          <w:szCs w:val="19"/>
          <w:color w:val="auto"/>
        </w:rPr>
      </w:pPr>
      <w:r>
        <w:rPr>
          <w:rFonts w:ascii="Arial" w:cs="Arial" w:eastAsia="Arial" w:hAnsi="Arial"/>
          <w:sz w:val="19"/>
          <w:szCs w:val="19"/>
          <w:color w:val="auto"/>
        </w:rPr>
        <w:t>any Disposition of Capital Stock in, or Indebtedness or other securities of, an Unrestricted Subsidiary;</w:t>
      </w:r>
    </w:p>
    <w:p>
      <w:pPr>
        <w:spacing w:after="0" w:line="254" w:lineRule="exact"/>
        <w:rPr>
          <w:rFonts w:ascii="Arial" w:cs="Arial" w:eastAsia="Arial" w:hAnsi="Arial"/>
          <w:sz w:val="19"/>
          <w:szCs w:val="19"/>
          <w:color w:val="auto"/>
        </w:rPr>
      </w:pPr>
    </w:p>
    <w:p>
      <w:pPr>
        <w:jc w:val="both"/>
        <w:ind w:firstLine="1288"/>
        <w:spacing w:after="0" w:line="248" w:lineRule="auto"/>
        <w:tabs>
          <w:tab w:leader="none" w:pos="1684"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any Disposition of Capital Stock of a Restricted Subsidiary pursuant to an agreement or other obligation with or to a Person (other than Parent Borrower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192" w:lineRule="exact"/>
        <w:rPr>
          <w:sz w:val="20"/>
          <w:szCs w:val="20"/>
          <w:color w:val="auto"/>
        </w:rPr>
      </w:pPr>
    </w:p>
    <w:p>
      <w:pPr>
        <w:ind w:firstLine="1296"/>
        <w:spacing w:after="0" w:line="343" w:lineRule="auto"/>
        <w:rPr>
          <w:sz w:val="20"/>
          <w:szCs w:val="20"/>
          <w:color w:val="auto"/>
        </w:rPr>
      </w:pPr>
      <w:r>
        <w:rPr>
          <w:rFonts w:ascii="Arial" w:cs="Arial" w:eastAsia="Arial" w:hAnsi="Arial"/>
          <w:sz w:val="19"/>
          <w:szCs w:val="19"/>
          <w:color w:val="auto"/>
        </w:rPr>
        <w:t>(w)Dispositions of receivables in connection with the compromise, settlement or collection thereof in the ordinary course of business or in bankruptcy or similar proceedings and exclusive of factoring or similar arrangements;</w:t>
      </w:r>
    </w:p>
    <w:p>
      <w:pPr>
        <w:spacing w:after="0" w:line="104" w:lineRule="exact"/>
        <w:rPr>
          <w:sz w:val="20"/>
          <w:szCs w:val="20"/>
          <w:color w:val="auto"/>
        </w:rPr>
      </w:pPr>
    </w:p>
    <w:p>
      <w:pPr>
        <w:ind w:firstLine="1288"/>
        <w:spacing w:after="0" w:line="263" w:lineRule="auto"/>
        <w:tabs>
          <w:tab w:leader="none" w:pos="1615"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any surrender, expiration or waiver of contract rights or the settlement, release, recovery on or surrender of contract, tort or other claims of any kind;</w:t>
      </w:r>
    </w:p>
    <w:p>
      <w:pPr>
        <w:spacing w:after="0" w:line="174" w:lineRule="exact"/>
        <w:rPr>
          <w:rFonts w:ascii="Arial" w:cs="Arial" w:eastAsia="Arial" w:hAnsi="Arial"/>
          <w:sz w:val="22"/>
          <w:szCs w:val="22"/>
          <w:color w:val="auto"/>
        </w:rPr>
      </w:pPr>
    </w:p>
    <w:p>
      <w:pPr>
        <w:jc w:val="both"/>
        <w:ind w:firstLine="1288"/>
        <w:spacing w:after="0" w:line="297" w:lineRule="auto"/>
        <w:tabs>
          <w:tab w:leader="none" w:pos="1615" w:val="left"/>
        </w:tabs>
        <w:numPr>
          <w:ilvl w:val="0"/>
          <w:numId w:val="202"/>
        </w:numPr>
        <w:rPr>
          <w:rFonts w:ascii="Arial" w:cs="Arial" w:eastAsia="Arial" w:hAnsi="Arial"/>
          <w:sz w:val="19"/>
          <w:szCs w:val="19"/>
          <w:color w:val="auto"/>
        </w:rPr>
      </w:pPr>
      <w:r>
        <w:rPr>
          <w:rFonts w:ascii="Arial" w:cs="Arial" w:eastAsia="Arial" w:hAnsi="Arial"/>
          <w:sz w:val="19"/>
          <w:szCs w:val="19"/>
          <w:color w:val="auto"/>
        </w:rPr>
        <w:t>Dispositions of real property for the purpose of (x) resolving minor title disputes or defects, including encroachments and lot line adjustments or, or (y) granting easements, rights of way or access and egress agreements, or (z) to any Governmental Authority in consideration of the grant, issuance, consent or approval of or to any development agreement, change of zoning or zoning variance, permit or authorization in connection with the conduct of any Credit Party’s business, in each case which does not materially interfere with the business conducted on such real property; and</w:t>
      </w:r>
    </w:p>
    <w:p>
      <w:pPr>
        <w:sectPr>
          <w:pgSz w:w="11900" w:h="16838" w:orient="portrait"/>
          <w:cols w:equalWidth="0" w:num="1">
            <w:col w:w="10900"/>
          </w:cols>
          <w:pgMar w:left="660" w:top="1428" w:right="339" w:bottom="1440" w:gutter="0" w:footer="0" w:header="0"/>
        </w:sectPr>
      </w:pPr>
    </w:p>
    <w:bookmarkStart w:id="267" w:name="page268"/>
    <w:bookmarkEnd w:id="267"/>
    <w:p>
      <w:pPr>
        <w:ind w:left="340" w:firstLine="1288"/>
        <w:spacing w:after="0" w:line="263" w:lineRule="auto"/>
        <w:tabs>
          <w:tab w:leader="none" w:pos="1957" w:val="left"/>
        </w:tabs>
        <w:numPr>
          <w:ilvl w:val="0"/>
          <w:numId w:val="203"/>
        </w:numPr>
        <w:rPr>
          <w:rFonts w:ascii="Arial" w:cs="Arial" w:eastAsia="Arial" w:hAnsi="Arial"/>
          <w:sz w:val="22"/>
          <w:szCs w:val="22"/>
          <w:color w:val="auto"/>
        </w:rPr>
      </w:pPr>
      <w:r>
        <w:rPr>
          <w:rFonts w:ascii="Arial" w:cs="Arial" w:eastAsia="Arial" w:hAnsi="Arial"/>
          <w:sz w:val="22"/>
          <w:szCs w:val="22"/>
          <w:color w:val="auto"/>
        </w:rPr>
        <w:t>Dispositions of assets that do not constitute Borrowing Base Collateral with an individual value of less than $100,000,000.</w:t>
      </w:r>
    </w:p>
    <w:p>
      <w:pPr>
        <w:spacing w:after="0" w:line="175" w:lineRule="exact"/>
        <w:rPr>
          <w:sz w:val="20"/>
          <w:szCs w:val="20"/>
          <w:color w:val="auto"/>
        </w:rPr>
      </w:pPr>
    </w:p>
    <w:p>
      <w:pPr>
        <w:jc w:val="both"/>
        <w:ind w:firstLine="562"/>
        <w:spacing w:after="0" w:line="248" w:lineRule="auto"/>
        <w:rPr>
          <w:sz w:val="20"/>
          <w:szCs w:val="20"/>
          <w:color w:val="auto"/>
        </w:rPr>
      </w:pPr>
      <w:r>
        <w:rPr>
          <w:rFonts w:ascii="Arial" w:cs="Arial" w:eastAsia="Arial" w:hAnsi="Arial"/>
          <w:sz w:val="22"/>
          <w:szCs w:val="22"/>
          <w:color w:val="auto"/>
        </w:rPr>
        <w:t xml:space="preserve">Notwithstanding the foregoing, if and for so long as the Capital Stock of Con-way constitutes “margin stock” within the meaning of Regulation U, this </w:t>
      </w:r>
      <w:r>
        <w:rPr>
          <w:rFonts w:ascii="Arial" w:cs="Arial" w:eastAsia="Arial" w:hAnsi="Arial"/>
          <w:sz w:val="22"/>
          <w:szCs w:val="22"/>
          <w:u w:val="single" w:color="auto"/>
          <w:color w:val="auto"/>
        </w:rPr>
        <w:t>Section 7.4</w:t>
      </w:r>
      <w:r>
        <w:rPr>
          <w:rFonts w:ascii="Arial" w:cs="Arial" w:eastAsia="Arial" w:hAnsi="Arial"/>
          <w:sz w:val="22"/>
          <w:szCs w:val="22"/>
          <w:color w:val="auto"/>
        </w:rPr>
        <w:t xml:space="preserve"> shall not apply to and shall not restrict Parent Borrower or any of its Subsidiaries’ ability to dispose of such Capital Stock to the extent that the value of such Capital Stock, together with the value of all other margin stock held by Parent Borrower and its Subsidiaries, exceeds 25% of the total value of their assets subject to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7.4</w:t>
      </w:r>
      <w:r>
        <w:rPr>
          <w:rFonts w:ascii="Arial" w:cs="Arial" w:eastAsia="Arial" w:hAnsi="Arial"/>
          <w:sz w:val="22"/>
          <w:szCs w:val="22"/>
          <w:color w:val="auto"/>
        </w:rPr>
        <w:t>.</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u w:val="single" w:color="auto"/>
          <w:color w:val="auto"/>
        </w:rPr>
        <w:t>Affiliate Transactions</w:t>
      </w:r>
      <w:r>
        <w:rPr>
          <w:rFonts w:ascii="Arial" w:cs="Arial" w:eastAsia="Arial" w:hAnsi="Arial"/>
          <w:sz w:val="19"/>
          <w:szCs w:val="19"/>
          <w:color w:val="auto"/>
        </w:rPr>
        <w:t>.</w:t>
      </w:r>
    </w:p>
    <w:p>
      <w:pPr>
        <w:spacing w:after="0" w:line="220" w:lineRule="exact"/>
        <w:rPr>
          <w:sz w:val="20"/>
          <w:szCs w:val="20"/>
          <w:color w:val="auto"/>
        </w:rPr>
      </w:pPr>
    </w:p>
    <w:p>
      <w:pPr>
        <w:jc w:val="both"/>
        <w:ind w:left="340" w:firstLine="1288"/>
        <w:spacing w:after="0" w:line="297" w:lineRule="auto"/>
        <w:tabs>
          <w:tab w:leader="none" w:pos="1957" w:val="left"/>
        </w:tabs>
        <w:numPr>
          <w:ilvl w:val="0"/>
          <w:numId w:val="204"/>
        </w:numPr>
        <w:rPr>
          <w:rFonts w:ascii="Arial" w:cs="Arial" w:eastAsia="Arial" w:hAnsi="Arial"/>
          <w:sz w:val="19"/>
          <w:szCs w:val="19"/>
          <w:color w:val="auto"/>
        </w:rPr>
      </w:pPr>
      <w:r>
        <w:rPr>
          <w:rFonts w:ascii="Arial" w:cs="Arial" w:eastAsia="Arial" w:hAnsi="Arial"/>
          <w:sz w:val="19"/>
          <w:szCs w:val="19"/>
          <w:color w:val="auto"/>
        </w:rPr>
        <w:t>Parent Borrower shall not, and shall not permit any of the Restricted Subsidiaries to, directly or indirectly, make any payment to, or sell, lease, transfer or otherwise dispose of any of its properties or assets to, or purchase any property or assets from, or enter into or make or amend any transaction or series of transactions, contract, agreement, understanding, loan, advance or guarantee with, or for the benefit of, any Affiliate of Parent Borrower (each of the foregoing, an “</w:t>
      </w:r>
      <w:r>
        <w:rPr>
          <w:rFonts w:ascii="Arial" w:cs="Arial" w:eastAsia="Arial" w:hAnsi="Arial"/>
          <w:sz w:val="19"/>
          <w:szCs w:val="19"/>
          <w:u w:val="single" w:color="auto"/>
          <w:color w:val="auto"/>
        </w:rPr>
        <w:t>Affiliate Transaction</w:t>
      </w:r>
      <w:r>
        <w:rPr>
          <w:rFonts w:ascii="Arial" w:cs="Arial" w:eastAsia="Arial" w:hAnsi="Arial"/>
          <w:sz w:val="19"/>
          <w:szCs w:val="19"/>
          <w:color w:val="auto"/>
        </w:rPr>
        <w:t>”) involving aggregate consideration in excess of $80 million, unless:</w:t>
      </w:r>
    </w:p>
    <w:p>
      <w:pPr>
        <w:spacing w:after="0" w:line="146" w:lineRule="exact"/>
        <w:rPr>
          <w:rFonts w:ascii="Arial" w:cs="Arial" w:eastAsia="Arial" w:hAnsi="Arial"/>
          <w:sz w:val="19"/>
          <w:szCs w:val="19"/>
          <w:color w:val="auto"/>
        </w:rPr>
      </w:pPr>
    </w:p>
    <w:p>
      <w:pPr>
        <w:jc w:val="both"/>
        <w:ind w:left="340" w:firstLine="1732"/>
        <w:spacing w:after="0" w:line="253" w:lineRule="auto"/>
        <w:tabs>
          <w:tab w:leader="none" w:pos="2608" w:val="left"/>
        </w:tabs>
        <w:numPr>
          <w:ilvl w:val="1"/>
          <w:numId w:val="204"/>
        </w:numPr>
        <w:rPr>
          <w:rFonts w:ascii="Arial" w:cs="Arial" w:eastAsia="Arial" w:hAnsi="Arial"/>
          <w:sz w:val="22"/>
          <w:szCs w:val="22"/>
          <w:color w:val="auto"/>
        </w:rPr>
      </w:pPr>
      <w:r>
        <w:rPr>
          <w:rFonts w:ascii="Arial" w:cs="Arial" w:eastAsia="Arial" w:hAnsi="Arial"/>
          <w:sz w:val="22"/>
          <w:szCs w:val="22"/>
          <w:color w:val="auto"/>
        </w:rPr>
        <w:t>such Affiliate Transaction is on terms that are not materially less favorable to Parent Borrower or the relevant Restricted Subsidiary than those that could have been obtained in a comparable transaction by Parent Borrower or such Restricted Subsidiary with an unrelated Person; and</w:t>
      </w:r>
    </w:p>
    <w:p>
      <w:pPr>
        <w:spacing w:after="0" w:line="185" w:lineRule="exact"/>
        <w:rPr>
          <w:rFonts w:ascii="Arial" w:cs="Arial" w:eastAsia="Arial" w:hAnsi="Arial"/>
          <w:sz w:val="22"/>
          <w:szCs w:val="22"/>
          <w:color w:val="auto"/>
        </w:rPr>
      </w:pPr>
    </w:p>
    <w:p>
      <w:pPr>
        <w:jc w:val="both"/>
        <w:ind w:left="340" w:firstLine="1672"/>
        <w:spacing w:after="0" w:line="265" w:lineRule="auto"/>
        <w:tabs>
          <w:tab w:leader="none" w:pos="2608" w:val="left"/>
        </w:tabs>
        <w:numPr>
          <w:ilvl w:val="1"/>
          <w:numId w:val="204"/>
        </w:numPr>
        <w:rPr>
          <w:rFonts w:ascii="Arial" w:cs="Arial" w:eastAsia="Arial" w:hAnsi="Arial"/>
          <w:sz w:val="21"/>
          <w:szCs w:val="21"/>
          <w:color w:val="auto"/>
        </w:rPr>
      </w:pPr>
      <w:r>
        <w:rPr>
          <w:rFonts w:ascii="Arial" w:cs="Arial" w:eastAsia="Arial" w:hAnsi="Arial"/>
          <w:sz w:val="21"/>
          <w:szCs w:val="21"/>
          <w:color w:val="auto"/>
        </w:rPr>
        <w:t>with respect to any Affiliate Transaction or series of related Affiliate Transactions involving aggregate consideration in excess of $112.5 million, Parent Borrower delivers to Agent a resolution adopted in good faith by the majority of the Board of Directors of Parent Borrower, approving such Affiliate Transaction and set forth in an Officer’s Certificate certifying that such Affiliate Transaction complies with clause (i) above.</w:t>
      </w:r>
    </w:p>
    <w:p>
      <w:pPr>
        <w:spacing w:after="0" w:line="175" w:lineRule="exact"/>
        <w:rPr>
          <w:rFonts w:ascii="Arial" w:cs="Arial" w:eastAsia="Arial" w:hAnsi="Arial"/>
          <w:sz w:val="21"/>
          <w:szCs w:val="21"/>
          <w:color w:val="auto"/>
        </w:rPr>
      </w:pPr>
    </w:p>
    <w:p>
      <w:pPr>
        <w:ind w:left="1940" w:hanging="312"/>
        <w:spacing w:after="0"/>
        <w:tabs>
          <w:tab w:leader="none" w:pos="194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 xml:space="preserve">The provisions of </w:t>
      </w:r>
      <w:r>
        <w:rPr>
          <w:rFonts w:ascii="Arial" w:cs="Arial" w:eastAsia="Arial" w:hAnsi="Arial"/>
          <w:sz w:val="22"/>
          <w:szCs w:val="22"/>
          <w:u w:val="single" w:color="auto"/>
          <w:color w:val="auto"/>
        </w:rPr>
        <w:t>Section 7.5(a)</w:t>
      </w:r>
      <w:r>
        <w:rPr>
          <w:rFonts w:ascii="Arial" w:cs="Arial" w:eastAsia="Arial" w:hAnsi="Arial"/>
          <w:sz w:val="22"/>
          <w:szCs w:val="22"/>
          <w:color w:val="auto"/>
        </w:rPr>
        <w:t xml:space="preserve"> shall not apply to the following:</w:t>
      </w:r>
    </w:p>
    <w:p>
      <w:pPr>
        <w:spacing w:after="0" w:line="219" w:lineRule="exact"/>
        <w:rPr>
          <w:rFonts w:ascii="Arial" w:cs="Arial" w:eastAsia="Arial" w:hAnsi="Arial"/>
          <w:sz w:val="22"/>
          <w:szCs w:val="22"/>
          <w:color w:val="auto"/>
        </w:rPr>
      </w:pPr>
    </w:p>
    <w:p>
      <w:pPr>
        <w:jc w:val="both"/>
        <w:ind w:left="340" w:firstLine="1732"/>
        <w:spacing w:after="0" w:line="297" w:lineRule="auto"/>
        <w:tabs>
          <w:tab w:leader="none" w:pos="2608" w:val="left"/>
        </w:tabs>
        <w:numPr>
          <w:ilvl w:val="1"/>
          <w:numId w:val="204"/>
        </w:numPr>
        <w:rPr>
          <w:rFonts w:ascii="Arial" w:cs="Arial" w:eastAsia="Arial" w:hAnsi="Arial"/>
          <w:sz w:val="19"/>
          <w:szCs w:val="19"/>
          <w:color w:val="auto"/>
        </w:rPr>
      </w:pPr>
      <w:r>
        <w:rPr>
          <w:rFonts w:ascii="Arial" w:cs="Arial" w:eastAsia="Arial" w:hAnsi="Arial"/>
          <w:sz w:val="19"/>
          <w:szCs w:val="19"/>
          <w:color w:val="auto"/>
        </w:rPr>
        <w:t xml:space="preserve">transactions between or among Parent Borrower and/or any of the Restricted Subsidiaries (or an entity that becomes a Restricted Subsidiary as a result of such transaction) and any merger, consolidation or amalgamation of Parent Borrower and any direct parent of Parent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parent shall have no material liabilities and no material assets other than cash, Cash Equivalents and the Capital Stock of Parent Borrower and such merger, consolidation or amalgamation is otherwise in compliance with the terms of this Agreement and effected for a bona fide business purpose;</w:t>
      </w:r>
    </w:p>
    <w:p>
      <w:pPr>
        <w:spacing w:after="0" w:line="146" w:lineRule="exact"/>
        <w:rPr>
          <w:rFonts w:ascii="Arial" w:cs="Arial" w:eastAsia="Arial" w:hAnsi="Arial"/>
          <w:sz w:val="19"/>
          <w:szCs w:val="19"/>
          <w:color w:val="auto"/>
        </w:rPr>
      </w:pPr>
    </w:p>
    <w:p>
      <w:pPr>
        <w:ind w:left="2600" w:hanging="588"/>
        <w:spacing w:after="0"/>
        <w:tabs>
          <w:tab w:leader="none" w:pos="260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 xml:space="preserve">Restricted Payments permitted by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and Permitted Investments;</w:t>
      </w:r>
    </w:p>
    <w:p>
      <w:pPr>
        <w:spacing w:after="0" w:line="219" w:lineRule="exact"/>
        <w:rPr>
          <w:rFonts w:ascii="Arial" w:cs="Arial" w:eastAsia="Arial" w:hAnsi="Arial"/>
          <w:sz w:val="22"/>
          <w:szCs w:val="22"/>
          <w:color w:val="auto"/>
        </w:rPr>
      </w:pPr>
    </w:p>
    <w:p>
      <w:pPr>
        <w:ind w:left="340" w:right="20" w:firstLine="1612"/>
        <w:spacing w:after="0" w:line="263" w:lineRule="auto"/>
        <w:tabs>
          <w:tab w:leader="none" w:pos="2608" w:val="left"/>
        </w:tabs>
        <w:numPr>
          <w:ilvl w:val="1"/>
          <w:numId w:val="204"/>
        </w:numPr>
        <w:rPr>
          <w:rFonts w:ascii="Arial" w:cs="Arial" w:eastAsia="Arial" w:hAnsi="Arial"/>
          <w:sz w:val="22"/>
          <w:szCs w:val="22"/>
          <w:color w:val="auto"/>
        </w:rPr>
      </w:pPr>
      <w:r>
        <w:rPr>
          <w:rFonts w:ascii="Arial" w:cs="Arial" w:eastAsia="Arial" w:hAnsi="Arial"/>
          <w:sz w:val="22"/>
          <w:szCs w:val="22"/>
          <w:color w:val="auto"/>
        </w:rPr>
        <w:t>the payment of reasonable and customary fees and reimbursement of expenses paid to, and indemnity provided on behalf of, officers, directors, employees or</w:t>
      </w:r>
    </w:p>
    <w:p>
      <w:pPr>
        <w:sectPr>
          <w:pgSz w:w="11900" w:h="16838" w:orient="portrait"/>
          <w:cols w:equalWidth="0" w:num="1">
            <w:col w:w="11240"/>
          </w:cols>
          <w:pgMar w:left="320" w:top="1428" w:right="339" w:bottom="1440" w:gutter="0" w:footer="0" w:header="0"/>
        </w:sectPr>
      </w:pPr>
    </w:p>
    <w:bookmarkStart w:id="268" w:name="page269"/>
    <w:bookmarkEnd w:id="268"/>
    <w:p>
      <w:pPr>
        <w:spacing w:after="0"/>
        <w:rPr>
          <w:sz w:val="20"/>
          <w:szCs w:val="20"/>
          <w:color w:val="auto"/>
        </w:rPr>
      </w:pPr>
      <w:r>
        <w:rPr>
          <w:rFonts w:ascii="Arial" w:cs="Arial" w:eastAsia="Arial" w:hAnsi="Arial"/>
          <w:sz w:val="22"/>
          <w:szCs w:val="22"/>
          <w:color w:val="auto"/>
        </w:rPr>
        <w:t>consultants of Parent Borrower, any Restricted Subsidiary, or any direct or indirect parent of Parent Borrower;</w:t>
      </w:r>
    </w:p>
    <w:p>
      <w:pPr>
        <w:spacing w:after="0" w:line="220" w:lineRule="exact"/>
        <w:rPr>
          <w:sz w:val="20"/>
          <w:szCs w:val="20"/>
          <w:color w:val="auto"/>
        </w:rPr>
      </w:pPr>
    </w:p>
    <w:p>
      <w:pPr>
        <w:jc w:val="both"/>
        <w:ind w:firstLine="1624"/>
        <w:spacing w:after="0" w:line="312" w:lineRule="auto"/>
        <w:tabs>
          <w:tab w:leader="none" w:pos="2268" w:val="left"/>
        </w:tabs>
        <w:numPr>
          <w:ilvl w:val="0"/>
          <w:numId w:val="205"/>
        </w:numPr>
        <w:rPr>
          <w:rFonts w:ascii="Arial" w:cs="Arial" w:eastAsia="Arial" w:hAnsi="Arial"/>
          <w:sz w:val="19"/>
          <w:szCs w:val="19"/>
          <w:color w:val="auto"/>
        </w:rPr>
      </w:pPr>
      <w:r>
        <w:rPr>
          <w:rFonts w:ascii="Arial" w:cs="Arial" w:eastAsia="Arial" w:hAnsi="Arial"/>
          <w:sz w:val="19"/>
          <w:szCs w:val="19"/>
          <w:color w:val="auto"/>
        </w:rPr>
        <w:t xml:space="preserve">transactions in which Parent Borrower or any Restricted Subsidiary, as the case may be, delivers to Agent a letter from an Independent Financial Advisor stating that such transaction is fair to Parent Borrower or such Restricted Subsidiary from a financial point of view or meets the requirements of clause (i) of </w:t>
      </w:r>
      <w:r>
        <w:rPr>
          <w:rFonts w:ascii="Arial" w:cs="Arial" w:eastAsia="Arial" w:hAnsi="Arial"/>
          <w:sz w:val="19"/>
          <w:szCs w:val="19"/>
          <w:u w:val="single" w:color="auto"/>
          <w:color w:val="auto"/>
        </w:rPr>
        <w:t>Section 7.5(a)</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firstLine="1684"/>
        <w:spacing w:after="0" w:line="263" w:lineRule="auto"/>
        <w:tabs>
          <w:tab w:leader="none" w:pos="2268" w:val="left"/>
        </w:tabs>
        <w:numPr>
          <w:ilvl w:val="0"/>
          <w:numId w:val="205"/>
        </w:numPr>
        <w:rPr>
          <w:rFonts w:ascii="Arial" w:cs="Arial" w:eastAsia="Arial" w:hAnsi="Arial"/>
          <w:sz w:val="22"/>
          <w:szCs w:val="22"/>
          <w:color w:val="auto"/>
        </w:rPr>
      </w:pPr>
      <w:r>
        <w:rPr>
          <w:rFonts w:ascii="Arial" w:cs="Arial" w:eastAsia="Arial" w:hAnsi="Arial"/>
          <w:sz w:val="22"/>
          <w:szCs w:val="22"/>
          <w:color w:val="auto"/>
        </w:rPr>
        <w:t>payments or loans (or cancellation of loans) to officers, directors, employees or consultants which are approved by a majority of the Board of Directors of Parent Borrower in good faith;</w:t>
      </w:r>
    </w:p>
    <w:p>
      <w:pPr>
        <w:spacing w:after="0" w:line="174" w:lineRule="exact"/>
        <w:rPr>
          <w:rFonts w:ascii="Arial" w:cs="Arial" w:eastAsia="Arial" w:hAnsi="Arial"/>
          <w:sz w:val="22"/>
          <w:szCs w:val="22"/>
          <w:color w:val="auto"/>
        </w:rPr>
      </w:pPr>
    </w:p>
    <w:p>
      <w:pPr>
        <w:jc w:val="both"/>
        <w:ind w:firstLine="1624"/>
        <w:spacing w:after="0" w:line="265" w:lineRule="auto"/>
        <w:tabs>
          <w:tab w:leader="none" w:pos="2268" w:val="left"/>
        </w:tabs>
        <w:numPr>
          <w:ilvl w:val="0"/>
          <w:numId w:val="205"/>
        </w:numPr>
        <w:rPr>
          <w:rFonts w:ascii="Arial" w:cs="Arial" w:eastAsia="Arial" w:hAnsi="Arial"/>
          <w:sz w:val="21"/>
          <w:szCs w:val="21"/>
          <w:color w:val="auto"/>
        </w:rPr>
      </w:pPr>
      <w:r>
        <w:rPr>
          <w:rFonts w:ascii="Arial" w:cs="Arial" w:eastAsia="Arial" w:hAnsi="Arial"/>
          <w:sz w:val="21"/>
          <w:szCs w:val="21"/>
          <w:color w:val="auto"/>
        </w:rPr>
        <w:t>any agreement as in effect as of the Amendment No. 3 Effective Date or any amendment thereto (so long as any such agreement together with all amendments thereto, taken as a whole, is not more disadvantageous to the Lenders in any material respect than the original agreement as in effect on the Amendment No. 3 Effective Date) or any transaction contemplated thereby as determined in good faith by Parent Borrower;</w:t>
      </w:r>
    </w:p>
    <w:p>
      <w:pPr>
        <w:spacing w:after="0" w:line="175" w:lineRule="exact"/>
        <w:rPr>
          <w:rFonts w:ascii="Arial" w:cs="Arial" w:eastAsia="Arial" w:hAnsi="Arial"/>
          <w:sz w:val="21"/>
          <w:szCs w:val="21"/>
          <w:color w:val="auto"/>
        </w:rPr>
      </w:pPr>
    </w:p>
    <w:p>
      <w:pPr>
        <w:jc w:val="both"/>
        <w:ind w:firstLine="1564"/>
        <w:spacing w:after="0" w:line="287" w:lineRule="auto"/>
        <w:tabs>
          <w:tab w:leader="none" w:pos="2268" w:val="left"/>
        </w:tabs>
        <w:numPr>
          <w:ilvl w:val="0"/>
          <w:numId w:val="205"/>
        </w:numPr>
        <w:rPr>
          <w:rFonts w:ascii="Arial" w:cs="Arial" w:eastAsia="Arial" w:hAnsi="Arial"/>
          <w:sz w:val="19"/>
          <w:szCs w:val="19"/>
          <w:color w:val="auto"/>
        </w:rPr>
      </w:pPr>
      <w:r>
        <w:rPr>
          <w:rFonts w:ascii="Arial" w:cs="Arial" w:eastAsia="Arial" w:hAnsi="Arial"/>
          <w:sz w:val="19"/>
          <w:szCs w:val="19"/>
          <w:color w:val="auto"/>
        </w:rPr>
        <w:t xml:space="preserve">the existence of, or the performance by Parent Borrower or any Restricted Subsidiary of its obligations under the terms of any stockholders or limited liability Parent Borrower agreement (including any registration rights agreement or purchase agreement related thereto) to which it is a party as of the Amendment No. 3 Effective Date, any transaction, agreement or arrangement described in the 2022 Notes Offering Memorandum and, in each case, any amendment thereto or similar transactions, agreements or arrangements which it may enter into thereafter;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existence of, or the performance by Parent Borrower or any Restricted Subsidiary of its obligations under, any future amendment to any such existing transaction, agreement or arrangement or under any similar transaction, agreement or arrangement entered into after the Amendment No. 3 Effective Date shall only be permitted by this clause (vii) to the extent that the terms of any such existing transaction, agreement or arrangement together with all amendments thereto, taken as a whole, or new transaction, agreement or arrangement are not otherwise more disadvantageous to the Lenders in any material respect than the original transaction, agreement or arrangement as in effect on the Amendment No. 3 Effective Date;</w:t>
      </w:r>
    </w:p>
    <w:p>
      <w:pPr>
        <w:spacing w:after="0" w:line="163" w:lineRule="exact"/>
        <w:rPr>
          <w:rFonts w:ascii="Arial" w:cs="Arial" w:eastAsia="Arial" w:hAnsi="Arial"/>
          <w:sz w:val="19"/>
          <w:szCs w:val="19"/>
          <w:color w:val="auto"/>
        </w:rPr>
      </w:pPr>
    </w:p>
    <w:p>
      <w:pPr>
        <w:jc w:val="both"/>
        <w:ind w:firstLine="1504"/>
        <w:spacing w:after="0" w:line="246" w:lineRule="auto"/>
        <w:tabs>
          <w:tab w:leader="none" w:pos="2268" w:val="left"/>
        </w:tabs>
        <w:numPr>
          <w:ilvl w:val="0"/>
          <w:numId w:val="205"/>
        </w:numPr>
        <w:rPr>
          <w:rFonts w:ascii="Arial" w:cs="Arial" w:eastAsia="Arial" w:hAnsi="Arial"/>
          <w:sz w:val="22"/>
          <w:szCs w:val="22"/>
          <w:color w:val="auto"/>
        </w:rPr>
      </w:pPr>
      <w:r>
        <w:rPr>
          <w:rFonts w:ascii="Arial" w:cs="Arial" w:eastAsia="Arial" w:hAnsi="Arial"/>
          <w:sz w:val="22"/>
          <w:szCs w:val="22"/>
          <w:color w:val="auto"/>
        </w:rPr>
        <w:t>(A) transactions with customers, clients, suppliers or purchasers or sellers of goods or services, or transactions otherwise relating to the purchase or sale of goods or services, in each case in the ordinary course of business and otherwise in compliance with the terms of this Agreement, which are fair to Parent Borrower and the Restricted Subsidiaries in the reasonable determination of the Board of Directors or the senior management of Parent Borrower, or are on terms at least as favorable as might reasonably have been obtained at such time from an unaffiliated party or (B) transactions with joint ventures or Unrestricted Subsidiaries entered into in the ordinary course of business and consistent with past practice or industry norm;</w:t>
      </w:r>
    </w:p>
    <w:p>
      <w:pPr>
        <w:spacing w:after="0" w:line="196" w:lineRule="exact"/>
        <w:rPr>
          <w:rFonts w:ascii="Arial" w:cs="Arial" w:eastAsia="Arial" w:hAnsi="Arial"/>
          <w:sz w:val="22"/>
          <w:szCs w:val="22"/>
          <w:color w:val="auto"/>
        </w:rPr>
      </w:pPr>
    </w:p>
    <w:p>
      <w:pPr>
        <w:ind w:left="2260" w:hanging="636"/>
        <w:spacing w:after="0"/>
        <w:tabs>
          <w:tab w:leader="none" w:pos="226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any transaction effected as part of a Qualified Securitization Financing;</w:t>
      </w:r>
    </w:p>
    <w:p>
      <w:pPr>
        <w:sectPr>
          <w:pgSz w:w="11900" w:h="16838" w:orient="portrait"/>
          <w:cols w:equalWidth="0" w:num="1">
            <w:col w:w="10900"/>
          </w:cols>
          <w:pgMar w:left="660" w:top="1428" w:right="339" w:bottom="1440" w:gutter="0" w:footer="0" w:header="0"/>
        </w:sectPr>
      </w:pPr>
    </w:p>
    <w:bookmarkStart w:id="269" w:name="page270"/>
    <w:bookmarkEnd w:id="269"/>
    <w:p>
      <w:pPr>
        <w:ind w:left="2600" w:hanging="576"/>
        <w:spacing w:after="0"/>
        <w:tabs>
          <w:tab w:leader="none" w:pos="260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the issuance of Equity Interests (other than Disqualified Capital Stock) of Parent Borrower to any</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Person;</w:t>
      </w:r>
    </w:p>
    <w:p>
      <w:pPr>
        <w:spacing w:after="0" w:line="202" w:lineRule="exact"/>
        <w:rPr>
          <w:sz w:val="20"/>
          <w:szCs w:val="20"/>
          <w:color w:val="auto"/>
        </w:rPr>
      </w:pPr>
    </w:p>
    <w:p>
      <w:pPr>
        <w:jc w:val="both"/>
        <w:ind w:left="340" w:firstLine="1624"/>
        <w:spacing w:after="0" w:line="302" w:lineRule="auto"/>
        <w:tabs>
          <w:tab w:leader="none" w:pos="2608"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issuances of securities or other payments, awards or grants in cash, securities or otherwise pursuant to, or the funding of, employment arrangements, management equity plans, stock option and stock ownership plans or similar employee benefit plans approved by the Board of Directors of Parent Borrower or the Board of Directors of any direct or indirect parent of Parent Borrower, or the Board of Directors of a Restricted Subsidiary, as applicable, in good faith;</w:t>
      </w:r>
    </w:p>
    <w:p>
      <w:pPr>
        <w:spacing w:after="0" w:line="142" w:lineRule="exact"/>
        <w:rPr>
          <w:rFonts w:ascii="Arial" w:cs="Arial" w:eastAsia="Arial" w:hAnsi="Arial"/>
          <w:sz w:val="19"/>
          <w:szCs w:val="19"/>
          <w:color w:val="auto"/>
        </w:rPr>
      </w:pPr>
    </w:p>
    <w:p>
      <w:pPr>
        <w:ind w:left="340" w:firstLine="1564"/>
        <w:spacing w:after="0" w:line="263" w:lineRule="auto"/>
        <w:tabs>
          <w:tab w:leader="none" w:pos="2608" w:val="left"/>
        </w:tabs>
        <w:numPr>
          <w:ilvl w:val="0"/>
          <w:numId w:val="207"/>
        </w:numPr>
        <w:rPr>
          <w:rFonts w:ascii="Arial" w:cs="Arial" w:eastAsia="Arial" w:hAnsi="Arial"/>
          <w:sz w:val="22"/>
          <w:szCs w:val="22"/>
          <w:color w:val="auto"/>
        </w:rPr>
      </w:pPr>
      <w:r>
        <w:rPr>
          <w:rFonts w:ascii="Arial" w:cs="Arial" w:eastAsia="Arial" w:hAnsi="Arial"/>
          <w:sz w:val="22"/>
          <w:szCs w:val="22"/>
          <w:color w:val="auto"/>
        </w:rPr>
        <w:t xml:space="preserve">the entering into of any tax sharing agreement or arrangement that complies with </w:t>
      </w:r>
      <w:r>
        <w:rPr>
          <w:rFonts w:ascii="Arial" w:cs="Arial" w:eastAsia="Arial" w:hAnsi="Arial"/>
          <w:sz w:val="22"/>
          <w:szCs w:val="22"/>
          <w:u w:val="single" w:color="auto"/>
          <w:color w:val="auto"/>
        </w:rPr>
        <w:t>Sections 7.2(b)(x)</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7.2(b)(xi)</w:t>
      </w:r>
      <w:r>
        <w:rPr>
          <w:rFonts w:ascii="Arial" w:cs="Arial" w:eastAsia="Arial" w:hAnsi="Arial"/>
          <w:sz w:val="22"/>
          <w:szCs w:val="22"/>
          <w:color w:val="auto"/>
        </w:rPr>
        <w:t xml:space="preserve"> and the performance under any such agreement or arrangement;</w:t>
      </w:r>
    </w:p>
    <w:p>
      <w:pPr>
        <w:spacing w:after="0" w:line="174" w:lineRule="exact"/>
        <w:rPr>
          <w:rFonts w:ascii="Arial" w:cs="Arial" w:eastAsia="Arial" w:hAnsi="Arial"/>
          <w:sz w:val="22"/>
          <w:szCs w:val="22"/>
          <w:color w:val="auto"/>
        </w:rPr>
      </w:pPr>
    </w:p>
    <w:p>
      <w:pPr>
        <w:ind w:left="2600" w:hanging="756"/>
        <w:spacing w:after="0"/>
        <w:tabs>
          <w:tab w:leader="none" w:pos="260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any contribution to the capital of Parent Borrower;</w:t>
      </w:r>
    </w:p>
    <w:p>
      <w:pPr>
        <w:spacing w:after="0" w:line="219" w:lineRule="exact"/>
        <w:rPr>
          <w:rFonts w:ascii="Arial" w:cs="Arial" w:eastAsia="Arial" w:hAnsi="Arial"/>
          <w:sz w:val="22"/>
          <w:szCs w:val="22"/>
          <w:color w:val="auto"/>
        </w:rPr>
      </w:pPr>
    </w:p>
    <w:p>
      <w:pPr>
        <w:ind w:left="2600" w:hanging="744"/>
        <w:spacing w:after="0"/>
        <w:tabs>
          <w:tab w:leader="none" w:pos="260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 xml:space="preserve">transactions permitted by, and complying with, </w:t>
      </w:r>
      <w:r>
        <w:rPr>
          <w:rFonts w:ascii="Arial" w:cs="Arial" w:eastAsia="Arial" w:hAnsi="Arial"/>
          <w:sz w:val="22"/>
          <w:szCs w:val="22"/>
          <w:u w:val="single" w:color="auto"/>
          <w:color w:val="auto"/>
        </w:rPr>
        <w:t>Section 7.8</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340" w:firstLine="1576"/>
        <w:spacing w:after="0" w:line="250" w:lineRule="auto"/>
        <w:tabs>
          <w:tab w:leader="none" w:pos="2608" w:val="left"/>
        </w:tabs>
        <w:numPr>
          <w:ilvl w:val="0"/>
          <w:numId w:val="207"/>
        </w:numPr>
        <w:rPr>
          <w:rFonts w:ascii="Arial" w:cs="Arial" w:eastAsia="Arial" w:hAnsi="Arial"/>
          <w:sz w:val="22"/>
          <w:szCs w:val="22"/>
          <w:color w:val="auto"/>
        </w:rPr>
      </w:pPr>
      <w:r>
        <w:rPr>
          <w:rFonts w:ascii="Arial" w:cs="Arial" w:eastAsia="Arial" w:hAnsi="Arial"/>
          <w:sz w:val="22"/>
          <w:szCs w:val="22"/>
          <w:color w:val="auto"/>
        </w:rPr>
        <w:t xml:space="preserve">transactions between Parent Borrower or any Restricted Subsidiary and any Person, a director of which is also a director of Parent Borrower or any direct or indirect parent of Parent Borrower; </w:t>
      </w:r>
      <w:r>
        <w:rPr>
          <w:rFonts w:ascii="Arial" w:cs="Arial" w:eastAsia="Arial" w:hAnsi="Arial"/>
          <w:sz w:val="22"/>
          <w:szCs w:val="22"/>
          <w:u w:val="single" w:color="auto"/>
          <w:color w:val="auto"/>
        </w:rPr>
        <w:t>provided</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director abstains from voting as a director of Parent Borrower or such direct or indirect parent of Parent Borrower, as the case may be, on any matter involving such other Person;</w:t>
      </w:r>
    </w:p>
    <w:p>
      <w:pPr>
        <w:spacing w:after="0" w:line="187" w:lineRule="exact"/>
        <w:rPr>
          <w:rFonts w:ascii="Arial" w:cs="Arial" w:eastAsia="Arial" w:hAnsi="Arial"/>
          <w:sz w:val="22"/>
          <w:szCs w:val="22"/>
          <w:color w:val="auto"/>
        </w:rPr>
      </w:pPr>
    </w:p>
    <w:p>
      <w:pPr>
        <w:ind w:left="2600" w:hanging="744"/>
        <w:spacing w:after="0"/>
        <w:tabs>
          <w:tab w:leader="none" w:pos="260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pledges of Equity Interests of Unrestricted Subsidiaries;</w:t>
      </w:r>
    </w:p>
    <w:p>
      <w:pPr>
        <w:spacing w:after="0" w:line="219" w:lineRule="exact"/>
        <w:rPr>
          <w:rFonts w:ascii="Arial" w:cs="Arial" w:eastAsia="Arial" w:hAnsi="Arial"/>
          <w:sz w:val="22"/>
          <w:szCs w:val="22"/>
          <w:color w:val="auto"/>
        </w:rPr>
      </w:pPr>
    </w:p>
    <w:p>
      <w:pPr>
        <w:ind w:left="340" w:firstLine="1456"/>
        <w:spacing w:after="0" w:line="263" w:lineRule="auto"/>
        <w:tabs>
          <w:tab w:leader="none" w:pos="2608" w:val="left"/>
        </w:tabs>
        <w:numPr>
          <w:ilvl w:val="0"/>
          <w:numId w:val="207"/>
        </w:numPr>
        <w:rPr>
          <w:rFonts w:ascii="Arial" w:cs="Arial" w:eastAsia="Arial" w:hAnsi="Arial"/>
          <w:sz w:val="22"/>
          <w:szCs w:val="22"/>
          <w:color w:val="auto"/>
        </w:rPr>
      </w:pPr>
      <w:r>
        <w:rPr>
          <w:rFonts w:ascii="Arial" w:cs="Arial" w:eastAsia="Arial" w:hAnsi="Arial"/>
          <w:sz w:val="22"/>
          <w:szCs w:val="22"/>
          <w:color w:val="auto"/>
        </w:rPr>
        <w:t>the formation and maintenance of any consolidated group or subgroup for tax, accounting or cash pooling or management purposes in the ordinary course of business;</w:t>
      </w:r>
    </w:p>
    <w:p>
      <w:pPr>
        <w:spacing w:after="0" w:line="174" w:lineRule="exact"/>
        <w:rPr>
          <w:rFonts w:ascii="Arial" w:cs="Arial" w:eastAsia="Arial" w:hAnsi="Arial"/>
          <w:sz w:val="22"/>
          <w:szCs w:val="22"/>
          <w:color w:val="auto"/>
        </w:rPr>
      </w:pPr>
    </w:p>
    <w:p>
      <w:pPr>
        <w:ind w:left="340" w:firstLine="1396"/>
        <w:spacing w:after="0" w:line="263" w:lineRule="auto"/>
        <w:tabs>
          <w:tab w:leader="none" w:pos="2608" w:val="left"/>
        </w:tabs>
        <w:numPr>
          <w:ilvl w:val="0"/>
          <w:numId w:val="207"/>
        </w:numPr>
        <w:rPr>
          <w:rFonts w:ascii="Arial" w:cs="Arial" w:eastAsia="Arial" w:hAnsi="Arial"/>
          <w:sz w:val="22"/>
          <w:szCs w:val="22"/>
          <w:color w:val="auto"/>
        </w:rPr>
      </w:pPr>
      <w:r>
        <w:rPr>
          <w:rFonts w:ascii="Arial" w:cs="Arial" w:eastAsia="Arial" w:hAnsi="Arial"/>
          <w:sz w:val="22"/>
          <w:szCs w:val="22"/>
          <w:color w:val="auto"/>
        </w:rPr>
        <w:t>any employment agreements entered into by Parent Borrower or any Restricted Subsidiary and their respective officers and employees in the ordinary course of business;</w:t>
      </w:r>
    </w:p>
    <w:p>
      <w:pPr>
        <w:spacing w:after="0" w:line="174" w:lineRule="exact"/>
        <w:rPr>
          <w:rFonts w:ascii="Arial" w:cs="Arial" w:eastAsia="Arial" w:hAnsi="Arial"/>
          <w:sz w:val="22"/>
          <w:szCs w:val="22"/>
          <w:color w:val="auto"/>
        </w:rPr>
      </w:pPr>
    </w:p>
    <w:p>
      <w:pPr>
        <w:jc w:val="both"/>
        <w:ind w:left="340" w:firstLine="1516"/>
        <w:spacing w:after="0" w:line="312" w:lineRule="auto"/>
        <w:tabs>
          <w:tab w:leader="none" w:pos="2608"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transactions undertaken in good faith (as certified by a responsible financial or accounting officer of Parent Borrower in an Officer’s Certificate) for the purpose of improving the consolidated tax efficiency of Parent Borrower and its Subsidiaries and not for the purpose of circumventing any covenant set forth in this Agreement; and</w:t>
      </w:r>
    </w:p>
    <w:p>
      <w:pPr>
        <w:spacing w:after="0" w:line="133" w:lineRule="exact"/>
        <w:rPr>
          <w:rFonts w:ascii="Arial" w:cs="Arial" w:eastAsia="Arial" w:hAnsi="Arial"/>
          <w:sz w:val="19"/>
          <w:szCs w:val="19"/>
          <w:color w:val="auto"/>
        </w:rPr>
      </w:pPr>
    </w:p>
    <w:p>
      <w:pPr>
        <w:ind w:left="340" w:firstLine="1576"/>
        <w:spacing w:after="0" w:line="263" w:lineRule="auto"/>
        <w:tabs>
          <w:tab w:leader="none" w:pos="2608" w:val="left"/>
        </w:tabs>
        <w:numPr>
          <w:ilvl w:val="0"/>
          <w:numId w:val="207"/>
        </w:numPr>
        <w:rPr>
          <w:rFonts w:ascii="Arial" w:cs="Arial" w:eastAsia="Arial" w:hAnsi="Arial"/>
          <w:sz w:val="22"/>
          <w:szCs w:val="22"/>
          <w:color w:val="auto"/>
        </w:rPr>
      </w:pPr>
      <w:r>
        <w:rPr>
          <w:rFonts w:ascii="Arial" w:cs="Arial" w:eastAsia="Arial" w:hAnsi="Arial"/>
          <w:sz w:val="22"/>
          <w:szCs w:val="22"/>
          <w:color w:val="auto"/>
        </w:rPr>
        <w:t>non-exclusive licenses of Intellectual Property to or among Borrowers, their respective Restricted Subsidiaries and their Affiliates.</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 xml:space="preserve">7.6 </w:t>
      </w:r>
      <w:r>
        <w:rPr>
          <w:rFonts w:ascii="Arial" w:cs="Arial" w:eastAsia="Arial" w:hAnsi="Arial"/>
          <w:sz w:val="21"/>
          <w:szCs w:val="21"/>
          <w:u w:val="single" w:color="auto"/>
          <w:color w:val="auto"/>
        </w:rPr>
        <w:t>Amendment of Certain Documents; Line of Business</w:t>
      </w:r>
      <w:r>
        <w:rPr>
          <w:rFonts w:ascii="Arial" w:cs="Arial" w:eastAsia="Arial" w:hAnsi="Arial"/>
          <w:sz w:val="21"/>
          <w:szCs w:val="21"/>
          <w:color w:val="auto"/>
        </w:rPr>
        <w:t>. No Credit Party shall amend its charter, bylaws or other organizational documents in any manner materially adverse to the interest of the Lenders or such Credit Party’s duty or ability to repay the Obligations. No Credit Party shall engage in any business other than the businesses currently engaged in by it on the Amendment No. 3 Effective Date or businesses that are similar, reasonably related, incidental</w:t>
      </w:r>
    </w:p>
    <w:p>
      <w:pPr>
        <w:sectPr>
          <w:pgSz w:w="11900" w:h="16838" w:orient="portrait"/>
          <w:cols w:equalWidth="0" w:num="1">
            <w:col w:w="11240"/>
          </w:cols>
          <w:pgMar w:left="320" w:top="1428" w:right="339" w:bottom="1440" w:gutter="0" w:footer="0" w:header="0"/>
        </w:sectPr>
      </w:pPr>
    </w:p>
    <w:bookmarkStart w:id="270" w:name="page271"/>
    <w:bookmarkEnd w:id="270"/>
    <w:p>
      <w:pPr>
        <w:spacing w:after="0"/>
        <w:rPr>
          <w:sz w:val="20"/>
          <w:szCs w:val="20"/>
          <w:color w:val="auto"/>
        </w:rPr>
      </w:pPr>
      <w:r>
        <w:rPr>
          <w:rFonts w:ascii="Arial" w:cs="Arial" w:eastAsia="Arial" w:hAnsi="Arial"/>
          <w:sz w:val="22"/>
          <w:szCs w:val="22"/>
          <w:color w:val="auto"/>
        </w:rPr>
        <w:t>or ancillary thereto or is a reasonable extension, development or expansion thereof (a “Similar Business”).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19"/>
          <w:szCs w:val="19"/>
          <w:u w:val="single" w:color="auto"/>
          <w:color w:val="auto"/>
        </w:rPr>
        <w:t>Liens</w:t>
      </w:r>
      <w:r>
        <w:rPr>
          <w:rFonts w:ascii="Arial" w:cs="Arial" w:eastAsia="Arial" w:hAnsi="Arial"/>
          <w:sz w:val="19"/>
          <w:szCs w:val="19"/>
          <w:color w:val="auto"/>
        </w:rPr>
        <w:t>.</w:t>
      </w:r>
    </w:p>
    <w:p>
      <w:pPr>
        <w:spacing w:after="0" w:line="220" w:lineRule="exact"/>
        <w:rPr>
          <w:sz w:val="20"/>
          <w:szCs w:val="20"/>
          <w:color w:val="auto"/>
        </w:rPr>
      </w:pPr>
    </w:p>
    <w:p>
      <w:pPr>
        <w:jc w:val="both"/>
        <w:ind w:left="180" w:right="20" w:firstLine="1296"/>
        <w:spacing w:after="0" w:line="253" w:lineRule="auto"/>
        <w:rPr>
          <w:sz w:val="20"/>
          <w:szCs w:val="20"/>
          <w:color w:val="auto"/>
        </w:rPr>
      </w:pPr>
      <w:r>
        <w:rPr>
          <w:rFonts w:ascii="Arial" w:cs="Arial" w:eastAsia="Arial" w:hAnsi="Arial"/>
          <w:sz w:val="22"/>
          <w:szCs w:val="22"/>
          <w:color w:val="auto"/>
        </w:rPr>
        <w:t>Parent Borrower shall not, and shall not permit any of its Restricted Subsidiaries to, directly or indirectly, create, Incur or suffer to exist any Lien securing Indebtedness of the Parent Borrower or any Restricted Subsidiary, other than Permitted Liens, on any asset or property of Borrower or such Restricted Subsidiary.</w:t>
      </w:r>
    </w:p>
    <w:p>
      <w:pPr>
        <w:spacing w:after="0" w:line="185" w:lineRule="exact"/>
        <w:rPr>
          <w:sz w:val="20"/>
          <w:szCs w:val="20"/>
          <w:color w:val="auto"/>
        </w:rPr>
      </w:pPr>
    </w:p>
    <w:p>
      <w:pPr>
        <w:jc w:val="both"/>
        <w:ind w:left="340" w:firstLine="1288"/>
        <w:spacing w:after="0" w:line="284" w:lineRule="auto"/>
        <w:tabs>
          <w:tab w:leader="none" w:pos="1957" w:val="left"/>
        </w:tabs>
        <w:numPr>
          <w:ilvl w:val="1"/>
          <w:numId w:val="208"/>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Borrower shall not, and shall not permit any of the Restricted Subsidiaries to, directly or indirectly, create, Incur or suffer to exist any Lien securing Indebtedness for borrowed money in excess of $100,000,000 on any Excluded Principal Property owned by any Credit Party without effectively providing that the Obligations (together with, if Borrower shall so determine, any other Indebtedness for borrowed money of Borrower or such Restricted Subsidiary existing at such time or thereafter created that is not subordinate to the Loans) shall be secured by Liens on such Excluded Principal Property (as and to the extent such assets would otherwise constitute Collateral were they not an Excluded Principal Property) (i) to the extent such Excluded Principal Property is Term Priority Collateral, on a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basis with, or on a senior or junior basis to, such secured Indebtedness for borrowed money and</w:t>
      </w:r>
    </w:p>
    <w:p>
      <w:pPr>
        <w:spacing w:after="0" w:line="1" w:lineRule="exact"/>
        <w:rPr>
          <w:rFonts w:ascii="Arial" w:cs="Arial" w:eastAsia="Arial" w:hAnsi="Arial"/>
          <w:sz w:val="19"/>
          <w:szCs w:val="19"/>
          <w:color w:val="auto"/>
        </w:rPr>
      </w:pPr>
    </w:p>
    <w:p>
      <w:pPr>
        <w:jc w:val="both"/>
        <w:ind w:left="340" w:hanging="8"/>
        <w:spacing w:after="0" w:line="244" w:lineRule="auto"/>
        <w:tabs>
          <w:tab w:leader="none" w:pos="663" w:val="left"/>
        </w:tabs>
        <w:numPr>
          <w:ilvl w:val="0"/>
          <w:numId w:val="209"/>
        </w:numPr>
        <w:rPr>
          <w:rFonts w:ascii="Arial" w:cs="Arial" w:eastAsia="Arial" w:hAnsi="Arial"/>
          <w:sz w:val="22"/>
          <w:szCs w:val="22"/>
          <w:color w:val="auto"/>
        </w:rPr>
      </w:pPr>
      <w:r>
        <w:rPr>
          <w:rFonts w:ascii="Arial" w:cs="Arial" w:eastAsia="Arial" w:hAnsi="Arial"/>
          <w:sz w:val="22"/>
          <w:szCs w:val="22"/>
          <w:color w:val="auto"/>
        </w:rPr>
        <w:t>to the extent such Excluded Principal Property is ABL Priority Collateral, on a senior basis to, such secured Indebtedness for borrowed money, in each case so long as such secured Indebtedness for borrowed money shall be so secured (and, for the avoidance of doubt, the Loans shall no longer be required to be secured by Liens on any such Excluded Principal Property at any time that such Excluded Principal Property ceases to be subject to Liens securing Indebtedness for borrowed money in excess of $100,000,000).</w:t>
      </w:r>
    </w:p>
    <w:p>
      <w:pPr>
        <w:spacing w:after="0" w:line="194" w:lineRule="exact"/>
        <w:rPr>
          <w:rFonts w:ascii="Arial" w:cs="Arial" w:eastAsia="Arial" w:hAnsi="Arial"/>
          <w:sz w:val="22"/>
          <w:szCs w:val="22"/>
          <w:color w:val="auto"/>
        </w:rPr>
      </w:pPr>
    </w:p>
    <w:p>
      <w:pPr>
        <w:ind w:left="1940" w:hanging="312"/>
        <w:spacing w:after="0"/>
        <w:tabs>
          <w:tab w:leader="none" w:pos="1940" w:val="left"/>
        </w:tabs>
        <w:numPr>
          <w:ilvl w:val="1"/>
          <w:numId w:val="209"/>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jc w:val="both"/>
        <w:ind w:left="340" w:firstLine="1288"/>
        <w:spacing w:after="0" w:line="259" w:lineRule="auto"/>
        <w:tabs>
          <w:tab w:leader="none" w:pos="1957" w:val="left"/>
        </w:tabs>
        <w:numPr>
          <w:ilvl w:val="1"/>
          <w:numId w:val="209"/>
        </w:numPr>
        <w:rPr>
          <w:rFonts w:ascii="Arial" w:cs="Arial" w:eastAsia="Arial" w:hAnsi="Arial"/>
          <w:sz w:val="21"/>
          <w:szCs w:val="21"/>
          <w:color w:val="auto"/>
        </w:rPr>
      </w:pPr>
      <w:r>
        <w:rPr>
          <w:rFonts w:ascii="Arial" w:cs="Arial" w:eastAsia="Arial" w:hAnsi="Arial"/>
          <w:sz w:val="21"/>
          <w:szCs w:val="21"/>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Arial" w:cs="Arial" w:eastAsia="Arial" w:hAnsi="Arial"/>
          <w:sz w:val="21"/>
          <w:szCs w:val="21"/>
          <w:u w:val="single" w:color="auto"/>
          <w:color w:val="auto"/>
        </w:rPr>
        <w:t>Increased Amount</w:t>
      </w:r>
      <w:r>
        <w:rPr>
          <w:rFonts w:ascii="Arial" w:cs="Arial" w:eastAsia="Arial" w:hAnsi="Arial"/>
          <w:sz w:val="21"/>
          <w:szCs w:val="21"/>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or in the form of common stock of Parent Borrower, the payment of dividends on Preferred Stock in the form of additional shares of Preferred Stock of the same class, accretion of original issue discount or liquidation preference and increases in the amount of Indebtedness outstanding solely as a result of fluctuations in the exchange rate of currencies or increases in the value of property securing Indebtedness described in clause (3) of the definition of “Indebtedness.”</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7.8 </w:t>
      </w:r>
      <w:r>
        <w:rPr>
          <w:rFonts w:ascii="Arial" w:cs="Arial" w:eastAsia="Arial" w:hAnsi="Arial"/>
          <w:sz w:val="22"/>
          <w:szCs w:val="22"/>
          <w:u w:val="single" w:color="auto"/>
          <w:color w:val="auto"/>
        </w:rPr>
        <w:t>Mergers, Fundamental Changes, Etc.</w:t>
      </w:r>
      <w:r>
        <w:rPr>
          <w:rFonts w:ascii="Arial" w:cs="Arial" w:eastAsia="Arial" w:hAnsi="Arial"/>
          <w:sz w:val="22"/>
          <w:szCs w:val="22"/>
          <w:color w:val="auto"/>
        </w:rPr>
        <w:t>. No Credit Party shall, or shall permit any of its Restricted Subsidiaries to, directly or indirectly, by operation of law or otherwise, enter into any merger, consolidation or amalgamation, or liquidate, wind up or dissolve itself (or suffer</w:t>
      </w:r>
    </w:p>
    <w:p>
      <w:pPr>
        <w:sectPr>
          <w:pgSz w:w="11900" w:h="16838" w:orient="portrait"/>
          <w:cols w:equalWidth="0" w:num="1">
            <w:col w:w="11240"/>
          </w:cols>
          <w:pgMar w:left="320" w:top="1428" w:right="339" w:bottom="1440" w:gutter="0" w:footer="0" w:header="0"/>
        </w:sectPr>
      </w:pPr>
    </w:p>
    <w:bookmarkStart w:id="271" w:name="page272"/>
    <w:bookmarkEnd w:id="271"/>
    <w:p>
      <w:pPr>
        <w:spacing w:after="0"/>
        <w:rPr>
          <w:sz w:val="20"/>
          <w:szCs w:val="20"/>
          <w:color w:val="auto"/>
        </w:rPr>
      </w:pPr>
      <w:r>
        <w:rPr>
          <w:rFonts w:ascii="Arial" w:cs="Arial" w:eastAsia="Arial" w:hAnsi="Arial"/>
          <w:sz w:val="22"/>
          <w:szCs w:val="22"/>
          <w:color w:val="auto"/>
        </w:rPr>
        <w:t>any liquidation or dissolution), or Dispose of all or substantially all of its property or business, except that:</w:t>
      </w:r>
    </w:p>
    <w:p>
      <w:pPr>
        <w:spacing w:after="0" w:line="220" w:lineRule="exact"/>
        <w:rPr>
          <w:sz w:val="20"/>
          <w:szCs w:val="20"/>
          <w:color w:val="auto"/>
        </w:rPr>
      </w:pPr>
    </w:p>
    <w:p>
      <w:pPr>
        <w:jc w:val="both"/>
        <w:ind w:left="340" w:firstLine="1288"/>
        <w:spacing w:after="0" w:line="253" w:lineRule="auto"/>
        <w:tabs>
          <w:tab w:leader="none" w:pos="1957" w:val="left"/>
        </w:tabs>
        <w:numPr>
          <w:ilvl w:val="0"/>
          <w:numId w:val="210"/>
        </w:numPr>
        <w:rPr>
          <w:rFonts w:ascii="Arial" w:cs="Arial" w:eastAsia="Arial" w:hAnsi="Arial"/>
          <w:sz w:val="22"/>
          <w:szCs w:val="22"/>
          <w:color w:val="auto"/>
        </w:rPr>
      </w:pPr>
      <w:r>
        <w:rPr>
          <w:rFonts w:ascii="Arial" w:cs="Arial" w:eastAsia="Arial" w:hAnsi="Arial"/>
          <w:sz w:val="22"/>
          <w:szCs w:val="22"/>
          <w:color w:val="FF0000"/>
          <w:strike w:val="1"/>
        </w:rPr>
        <w:t>Any</w:t>
      </w:r>
      <w:r>
        <w:rPr>
          <w:rFonts w:ascii="Arial" w:cs="Arial" w:eastAsia="Arial" w:hAnsi="Arial"/>
          <w:sz w:val="22"/>
          <w:szCs w:val="22"/>
          <w:u w:val="single" w:color="auto"/>
          <w:color w:val="0000FF"/>
        </w:rPr>
        <w:t>any</w:t>
      </w:r>
      <w:r>
        <w:rPr>
          <w:rFonts w:ascii="Arial" w:cs="Arial" w:eastAsia="Arial" w:hAnsi="Arial"/>
          <w:sz w:val="22"/>
          <w:szCs w:val="22"/>
          <w:color w:val="FF0000"/>
        </w:rPr>
        <w:t xml:space="preserve"> </w:t>
      </w:r>
      <w:r>
        <w:rPr>
          <w:rFonts w:ascii="Arial" w:cs="Arial" w:eastAsia="Arial" w:hAnsi="Arial"/>
          <w:sz w:val="22"/>
          <w:szCs w:val="22"/>
          <w:color w:val="000000"/>
        </w:rPr>
        <w:t>Borrower may be merged, amalgamated or consolidated with or into another Borrower;</w:t>
      </w:r>
      <w:r>
        <w:rPr>
          <w:rFonts w:ascii="Arial" w:cs="Arial" w:eastAsia="Arial" w:hAnsi="Arial"/>
          <w:sz w:val="22"/>
          <w:szCs w:val="22"/>
          <w:color w:val="FF0000"/>
        </w:rPr>
        <w:t xml:space="preserve"> </w:t>
      </w:r>
      <w:r>
        <w:rPr>
          <w:rFonts w:ascii="Arial" w:cs="Arial" w:eastAsia="Arial" w:hAnsi="Arial"/>
          <w:sz w:val="22"/>
          <w:szCs w:val="22"/>
          <w:u w:val="single" w:color="auto"/>
          <w:color w:val="000000"/>
        </w:rPr>
        <w:t>provided</w:t>
      </w:r>
      <w:r>
        <w:rPr>
          <w:rFonts w:ascii="Arial" w:cs="Arial" w:eastAsia="Arial" w:hAnsi="Arial"/>
          <w:sz w:val="22"/>
          <w:szCs w:val="22"/>
          <w:color w:val="FF0000"/>
        </w:rPr>
        <w:t xml:space="preserve"> </w:t>
      </w:r>
      <w:r>
        <w:rPr>
          <w:rFonts w:ascii="Arial" w:cs="Arial" w:eastAsia="Arial" w:hAnsi="Arial"/>
          <w:sz w:val="22"/>
          <w:szCs w:val="22"/>
          <w:color w:val="000000"/>
        </w:rPr>
        <w:t>that in all mergers, amalgamations or consolidations involving Parent Borrower, Parent Borrower shall be the continuing or surviving entity;</w:t>
      </w:r>
    </w:p>
    <w:p>
      <w:pPr>
        <w:spacing w:after="0" w:line="185" w:lineRule="exact"/>
        <w:rPr>
          <w:rFonts w:ascii="Arial" w:cs="Arial" w:eastAsia="Arial" w:hAnsi="Arial"/>
          <w:sz w:val="22"/>
          <w:szCs w:val="22"/>
          <w:color w:val="auto"/>
        </w:rPr>
      </w:pPr>
    </w:p>
    <w:p>
      <w:pPr>
        <w:jc w:val="both"/>
        <w:ind w:left="340" w:firstLine="1288"/>
        <w:spacing w:after="0" w:line="253" w:lineRule="auto"/>
        <w:tabs>
          <w:tab w:leader="none" w:pos="1955" w:val="left"/>
        </w:tabs>
        <w:numPr>
          <w:ilvl w:val="0"/>
          <w:numId w:val="210"/>
        </w:numPr>
        <w:rPr>
          <w:rFonts w:ascii="Arial" w:cs="Arial" w:eastAsia="Arial" w:hAnsi="Arial"/>
          <w:sz w:val="22"/>
          <w:szCs w:val="22"/>
          <w:color w:val="auto"/>
        </w:rPr>
      </w:pPr>
      <w:r>
        <w:rPr>
          <w:rFonts w:ascii="Arial" w:cs="Arial" w:eastAsia="Arial" w:hAnsi="Arial"/>
          <w:sz w:val="22"/>
          <w:szCs w:val="22"/>
          <w:color w:val="auto"/>
        </w:rPr>
        <w:t>any Restricted Subsidiary of a Borrower may be merged, amalgamated or consolidated with or into a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Borrower shall be the continuing or surviving entity) or with or into any Subsidiary Guarantor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Subsidiary Guarantor shall be the continuing or surviving entity);</w:t>
      </w:r>
    </w:p>
    <w:p>
      <w:pPr>
        <w:spacing w:after="0" w:line="185" w:lineRule="exact"/>
        <w:rPr>
          <w:rFonts w:ascii="Arial" w:cs="Arial" w:eastAsia="Arial" w:hAnsi="Arial"/>
          <w:sz w:val="22"/>
          <w:szCs w:val="22"/>
          <w:color w:val="auto"/>
        </w:rPr>
      </w:pPr>
    </w:p>
    <w:p>
      <w:pPr>
        <w:jc w:val="both"/>
        <w:ind w:left="340" w:firstLine="1288"/>
        <w:spacing w:after="0" w:line="302" w:lineRule="auto"/>
        <w:tabs>
          <w:tab w:leader="none" w:pos="1957" w:val="left"/>
        </w:tabs>
        <w:numPr>
          <w:ilvl w:val="0"/>
          <w:numId w:val="210"/>
        </w:numPr>
        <w:rPr>
          <w:rFonts w:ascii="Arial" w:cs="Arial" w:eastAsia="Arial" w:hAnsi="Arial"/>
          <w:sz w:val="19"/>
          <w:szCs w:val="19"/>
          <w:color w:val="auto"/>
        </w:rPr>
      </w:pPr>
      <w:r>
        <w:rPr>
          <w:rFonts w:ascii="Arial" w:cs="Arial" w:eastAsia="Arial" w:hAnsi="Arial"/>
          <w:sz w:val="19"/>
          <w:szCs w:val="19"/>
          <w:color w:val="auto"/>
        </w:rPr>
        <w:t xml:space="preserve">any Subsidiary of a Borrower that is not a Subsidiary Guarantor </w:t>
      </w:r>
      <w:r>
        <w:rPr>
          <w:rFonts w:ascii="Arial" w:cs="Arial" w:eastAsia="Arial" w:hAnsi="Arial"/>
          <w:sz w:val="19"/>
          <w:szCs w:val="19"/>
          <w:u w:val="single" w:color="auto"/>
          <w:color w:val="0000FF"/>
        </w:rPr>
        <w:t>(other than a Designated Guarantor for so</w:t>
      </w:r>
      <w:r>
        <w:rPr>
          <w:rFonts w:ascii="Arial" w:cs="Arial" w:eastAsia="Arial" w:hAnsi="Arial"/>
          <w:sz w:val="19"/>
          <w:szCs w:val="19"/>
          <w:color w:val="auto"/>
        </w:rPr>
        <w:t xml:space="preserve"> </w:t>
      </w:r>
      <w:r>
        <w:rPr>
          <w:rFonts w:ascii="Arial" w:cs="Arial" w:eastAsia="Arial" w:hAnsi="Arial"/>
          <w:sz w:val="19"/>
          <w:szCs w:val="19"/>
          <w:u w:val="single" w:color="auto"/>
          <w:color w:val="0000FF"/>
        </w:rPr>
        <w:t>long as such Subsidiary is designated as such)</w:t>
      </w:r>
      <w:r>
        <w:rPr>
          <w:rFonts w:ascii="Arial" w:cs="Arial" w:eastAsia="Arial" w:hAnsi="Arial"/>
          <w:sz w:val="19"/>
          <w:szCs w:val="19"/>
          <w:color w:val="0000FF"/>
        </w:rPr>
        <w:t xml:space="preserve"> </w:t>
      </w:r>
      <w:r>
        <w:rPr>
          <w:rFonts w:ascii="Arial" w:cs="Arial" w:eastAsia="Arial" w:hAnsi="Arial"/>
          <w:sz w:val="19"/>
          <w:szCs w:val="19"/>
          <w:color w:val="000000"/>
        </w:rPr>
        <w:t>may be merged, amalgamated or consolidated with or into any other Subsidiary</w:t>
      </w:r>
      <w:r>
        <w:rPr>
          <w:rFonts w:ascii="Arial" w:cs="Arial" w:eastAsia="Arial" w:hAnsi="Arial"/>
          <w:sz w:val="19"/>
          <w:szCs w:val="19"/>
          <w:color w:val="0000FF"/>
        </w:rPr>
        <w:t xml:space="preserve"> </w:t>
      </w:r>
      <w:r>
        <w:rPr>
          <w:rFonts w:ascii="Arial" w:cs="Arial" w:eastAsia="Arial" w:hAnsi="Arial"/>
          <w:sz w:val="19"/>
          <w:szCs w:val="19"/>
          <w:color w:val="000000"/>
        </w:rPr>
        <w:t xml:space="preserve">of a Borrower that is not a Subsidiary Guarantor;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if one Subsidiary to such merger, amalgamation or consolidation is a Wholly Owned Subsidiary, the Wholly Owned Subsidiary shall be the continuing or surviving entity;</w:t>
      </w:r>
    </w:p>
    <w:p>
      <w:pPr>
        <w:spacing w:after="0" w:line="142" w:lineRule="exact"/>
        <w:rPr>
          <w:rFonts w:ascii="Arial" w:cs="Arial" w:eastAsia="Arial" w:hAnsi="Arial"/>
          <w:sz w:val="19"/>
          <w:szCs w:val="19"/>
          <w:color w:val="auto"/>
        </w:rPr>
      </w:pPr>
    </w:p>
    <w:p>
      <w:pPr>
        <w:jc w:val="both"/>
        <w:ind w:left="340" w:firstLine="1288"/>
        <w:spacing w:after="0" w:line="246" w:lineRule="auto"/>
        <w:tabs>
          <w:tab w:leader="none" w:pos="1955" w:val="left"/>
        </w:tabs>
        <w:numPr>
          <w:ilvl w:val="0"/>
          <w:numId w:val="210"/>
        </w:numPr>
        <w:rPr>
          <w:rFonts w:ascii="Arial" w:cs="Arial" w:eastAsia="Arial" w:hAnsi="Arial"/>
          <w:sz w:val="22"/>
          <w:szCs w:val="22"/>
          <w:color w:val="auto"/>
        </w:rPr>
      </w:pPr>
      <w:r>
        <w:rPr>
          <w:rFonts w:ascii="Arial" w:cs="Arial" w:eastAsia="Arial" w:hAnsi="Arial"/>
          <w:sz w:val="22"/>
          <w:szCs w:val="22"/>
          <w:color w:val="auto"/>
        </w:rPr>
        <w:t xml:space="preserve">any U.S. Borrower may Dispose of any or all of its assets to another U.S. Borrower, any Canadian Borrower may Dispose of any or all of its assets to another Borrower and any Subsidiary of a Borrower may Dispose of any or all of its assets to, or enter into any merger, amalgamation or consolidation with, (i) a Borrower or any Subsidiary Guarantor (upon voluntary liquidation or otherwise), (ii) a Subsidiary that is not a Subsidiary Guarantor if the Subsidiary making the Disposition is not a Subsidiary </w:t>
      </w:r>
      <w:r>
        <w:rPr>
          <w:rFonts w:ascii="Arial" w:cs="Arial" w:eastAsia="Arial" w:hAnsi="Arial"/>
          <w:sz w:val="22"/>
          <w:szCs w:val="22"/>
          <w:u w:val="single" w:color="auto"/>
          <w:color w:val="0000FF"/>
        </w:rPr>
        <w:t>Guarantor or a Designated</w:t>
      </w:r>
      <w:r>
        <w:rPr>
          <w:rFonts w:ascii="Arial" w:cs="Arial" w:eastAsia="Arial" w:hAnsi="Arial"/>
          <w:sz w:val="22"/>
          <w:szCs w:val="22"/>
          <w:color w:val="auto"/>
        </w:rPr>
        <w:t xml:space="preserve"> Guarantor;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such Disposition by a Wholly Owned Subsidiary must be to a Wholly Owned Subsidiary, or (iii) pursuant to a Disposition otherwise permitted by </w:t>
      </w:r>
      <w:r>
        <w:rPr>
          <w:rFonts w:ascii="Arial" w:cs="Arial" w:eastAsia="Arial" w:hAnsi="Arial"/>
          <w:sz w:val="22"/>
          <w:szCs w:val="22"/>
          <w:u w:val="single" w:color="auto"/>
          <w:color w:val="auto"/>
        </w:rPr>
        <w:t>Section 7.4</w:t>
      </w:r>
      <w:r>
        <w:rPr>
          <w:rFonts w:ascii="Arial" w:cs="Arial" w:eastAsia="Arial" w:hAnsi="Arial"/>
          <w:sz w:val="22"/>
          <w:szCs w:val="22"/>
          <w:color w:val="auto"/>
        </w:rPr>
        <w:t>;</w:t>
      </w:r>
    </w:p>
    <w:p>
      <w:pPr>
        <w:spacing w:after="0" w:line="196" w:lineRule="exact"/>
        <w:rPr>
          <w:rFonts w:ascii="Arial" w:cs="Arial" w:eastAsia="Arial" w:hAnsi="Arial"/>
          <w:sz w:val="22"/>
          <w:szCs w:val="22"/>
          <w:color w:val="auto"/>
        </w:rPr>
      </w:pPr>
    </w:p>
    <w:p>
      <w:pPr>
        <w:ind w:left="1940" w:hanging="312"/>
        <w:spacing w:after="0"/>
        <w:tabs>
          <w:tab w:leader="none" w:pos="194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 xml:space="preserve">any Investment expressly permitted by </w:t>
      </w:r>
      <w:r>
        <w:rPr>
          <w:rFonts w:ascii="Arial" w:cs="Arial" w:eastAsia="Arial" w:hAnsi="Arial"/>
          <w:sz w:val="21"/>
          <w:szCs w:val="21"/>
          <w:u w:val="single" w:color="auto"/>
          <w:color w:val="auto"/>
        </w:rPr>
        <w:t>Section 7.2</w:t>
      </w:r>
      <w:r>
        <w:rPr>
          <w:rFonts w:ascii="Arial" w:cs="Arial" w:eastAsia="Arial" w:hAnsi="Arial"/>
          <w:sz w:val="21"/>
          <w:szCs w:val="21"/>
          <w:color w:val="auto"/>
        </w:rPr>
        <w:t xml:space="preserve"> may be structured as a merger, consolidation or</w:t>
      </w:r>
    </w:p>
    <w:p>
      <w:pPr>
        <w:spacing w:after="0" w:line="32" w:lineRule="exact"/>
        <w:rPr>
          <w:rFonts w:ascii="Arial" w:cs="Arial" w:eastAsia="Arial" w:hAnsi="Arial"/>
          <w:sz w:val="21"/>
          <w:szCs w:val="21"/>
          <w:color w:val="auto"/>
        </w:rPr>
      </w:pPr>
    </w:p>
    <w:p>
      <w:pPr>
        <w:ind w:left="340"/>
        <w:spacing w:after="0"/>
        <w:rPr>
          <w:rFonts w:ascii="Arial" w:cs="Arial" w:eastAsia="Arial" w:hAnsi="Arial"/>
          <w:sz w:val="21"/>
          <w:szCs w:val="21"/>
          <w:color w:val="auto"/>
        </w:rPr>
      </w:pPr>
      <w:r>
        <w:rPr>
          <w:rFonts w:ascii="Arial" w:cs="Arial" w:eastAsia="Arial" w:hAnsi="Arial"/>
          <w:sz w:val="22"/>
          <w:szCs w:val="22"/>
          <w:color w:val="auto"/>
        </w:rPr>
        <w:t>amalgamation;</w:t>
      </w:r>
    </w:p>
    <w:p>
      <w:pPr>
        <w:spacing w:after="0" w:line="201" w:lineRule="exact"/>
        <w:rPr>
          <w:rFonts w:ascii="Arial" w:cs="Arial" w:eastAsia="Arial" w:hAnsi="Arial"/>
          <w:sz w:val="21"/>
          <w:szCs w:val="21"/>
          <w:color w:val="auto"/>
        </w:rPr>
      </w:pPr>
    </w:p>
    <w:p>
      <w:pPr>
        <w:ind w:left="340" w:firstLine="1288"/>
        <w:spacing w:after="0" w:line="263" w:lineRule="auto"/>
        <w:tabs>
          <w:tab w:leader="none" w:pos="196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any Subsidiary may be dissolved or liquidated so long as any Dispositions of assets of such Person in connection with such liquidation or dissolution would be to Persons entitled to receive such assets;</w:t>
      </w:r>
    </w:p>
    <w:p>
      <w:pPr>
        <w:spacing w:after="0" w:line="174" w:lineRule="exact"/>
        <w:rPr>
          <w:rFonts w:ascii="Arial" w:cs="Arial" w:eastAsia="Arial" w:hAnsi="Arial"/>
          <w:sz w:val="22"/>
          <w:szCs w:val="22"/>
          <w:color w:val="auto"/>
        </w:rPr>
      </w:pPr>
    </w:p>
    <w:p>
      <w:pPr>
        <w:ind w:left="1940" w:hanging="312"/>
        <w:spacing w:after="0"/>
        <w:tabs>
          <w:tab w:leader="none" w:pos="1940" w:val="left"/>
        </w:tabs>
        <w:numPr>
          <w:ilvl w:val="0"/>
          <w:numId w:val="210"/>
        </w:numPr>
        <w:rPr>
          <w:rFonts w:ascii="Arial" w:cs="Arial" w:eastAsia="Arial" w:hAnsi="Arial"/>
          <w:sz w:val="19"/>
          <w:szCs w:val="19"/>
          <w:u w:val="single" w:color="auto"/>
          <w:color w:val="0000FF"/>
        </w:rPr>
      </w:pPr>
      <w:r>
        <w:rPr>
          <w:rFonts w:ascii="Arial" w:cs="Arial" w:eastAsia="Arial" w:hAnsi="Arial"/>
          <w:sz w:val="19"/>
          <w:szCs w:val="19"/>
          <w:u w:val="single" w:color="auto"/>
          <w:color w:val="0000FF"/>
        </w:rPr>
        <w:t>any Designated Guarantor may be merged, amalgamated or consolidated with or into any other Designated</w:t>
      </w:r>
    </w:p>
    <w:p>
      <w:pPr>
        <w:spacing w:after="0" w:line="55" w:lineRule="exact"/>
        <w:rPr>
          <w:rFonts w:ascii="Arial" w:cs="Arial" w:eastAsia="Arial" w:hAnsi="Arial"/>
          <w:sz w:val="19"/>
          <w:szCs w:val="19"/>
          <w:u w:val="single" w:color="auto"/>
          <w:color w:val="0000FF"/>
        </w:rPr>
      </w:pPr>
    </w:p>
    <w:p>
      <w:pPr>
        <w:ind w:left="340"/>
        <w:spacing w:after="0"/>
        <w:rPr>
          <w:rFonts w:ascii="Arial" w:cs="Arial" w:eastAsia="Arial" w:hAnsi="Arial"/>
          <w:sz w:val="19"/>
          <w:szCs w:val="19"/>
          <w:u w:val="single" w:color="auto"/>
          <w:color w:val="0000FF"/>
        </w:rPr>
      </w:pPr>
      <w:r>
        <w:rPr>
          <w:rFonts w:ascii="Arial" w:cs="Arial" w:eastAsia="Arial" w:hAnsi="Arial"/>
          <w:sz w:val="22"/>
          <w:szCs w:val="22"/>
          <w:u w:val="single" w:color="auto"/>
          <w:color w:val="0000FF"/>
        </w:rPr>
        <w:t>Guarantor;</w:t>
      </w:r>
    </w:p>
    <w:p>
      <w:pPr>
        <w:spacing w:after="0" w:line="201" w:lineRule="exact"/>
        <w:rPr>
          <w:rFonts w:ascii="Arial" w:cs="Arial" w:eastAsia="Arial" w:hAnsi="Arial"/>
          <w:sz w:val="19"/>
          <w:szCs w:val="19"/>
          <w:u w:val="single" w:color="auto"/>
          <w:color w:val="0000FF"/>
        </w:rPr>
      </w:pPr>
    </w:p>
    <w:p>
      <w:pPr>
        <w:jc w:val="both"/>
        <w:ind w:left="340" w:right="20" w:firstLine="1288"/>
        <w:spacing w:after="0" w:line="253" w:lineRule="auto"/>
        <w:tabs>
          <w:tab w:leader="none" w:pos="1955" w:val="left"/>
        </w:tabs>
        <w:numPr>
          <w:ilvl w:val="0"/>
          <w:numId w:val="210"/>
        </w:numPr>
        <w:rPr>
          <w:rFonts w:ascii="Arial" w:cs="Arial" w:eastAsia="Arial" w:hAnsi="Arial"/>
          <w:sz w:val="22"/>
          <w:szCs w:val="22"/>
          <w:u w:val="single" w:color="auto"/>
          <w:color w:val="0000FF"/>
        </w:rPr>
      </w:pPr>
      <w:r>
        <w:rPr>
          <w:rFonts w:ascii="Arial" w:cs="Arial" w:eastAsia="Arial" w:hAnsi="Arial"/>
          <w:sz w:val="22"/>
          <w:szCs w:val="22"/>
          <w:u w:val="single" w:color="auto"/>
          <w:color w:val="0000FF"/>
        </w:rPr>
        <w:t>any Subsidiary of a Borrower that is not a Subsidiary Guarantor (other than a Designated Guarantor for so long as such Subsidiary is designated as such) may be merged, amalgamated or consolidated with or into any Designated Guarantor; and</w:t>
      </w:r>
    </w:p>
    <w:p>
      <w:pPr>
        <w:spacing w:after="0" w:line="185" w:lineRule="exact"/>
        <w:rPr>
          <w:rFonts w:ascii="Arial" w:cs="Arial" w:eastAsia="Arial" w:hAnsi="Arial"/>
          <w:sz w:val="22"/>
          <w:szCs w:val="22"/>
          <w:u w:val="single" w:color="auto"/>
          <w:color w:val="0000FF"/>
        </w:rPr>
      </w:pPr>
    </w:p>
    <w:p>
      <w:pPr>
        <w:ind w:left="340" w:firstLine="1288"/>
        <w:spacing w:after="0" w:line="263" w:lineRule="auto"/>
        <w:tabs>
          <w:tab w:leader="none" w:pos="1948" w:val="left"/>
        </w:tabs>
        <w:numPr>
          <w:ilvl w:val="0"/>
          <w:numId w:val="210"/>
        </w:numPr>
        <w:rPr>
          <w:rFonts w:ascii="Arial" w:cs="Arial" w:eastAsia="Arial" w:hAnsi="Arial"/>
          <w:sz w:val="22"/>
          <w:szCs w:val="22"/>
          <w:u w:val="single" w:color="auto"/>
          <w:color w:val="0000FF"/>
        </w:rPr>
      </w:pPr>
      <w:r>
        <w:rPr>
          <w:rFonts w:ascii="Arial" w:cs="Arial" w:eastAsia="Arial" w:hAnsi="Arial"/>
          <w:sz w:val="22"/>
          <w:szCs w:val="22"/>
          <w:color w:val="FF0000"/>
          <w:strike w:val="1"/>
        </w:rPr>
        <w:t>(g)</w:t>
      </w:r>
      <w:r>
        <w:rPr>
          <w:rFonts w:ascii="Arial" w:cs="Arial" w:eastAsia="Arial" w:hAnsi="Arial"/>
          <w:sz w:val="22"/>
          <w:szCs w:val="22"/>
          <w:color w:val="FF0000"/>
        </w:rPr>
        <w:t xml:space="preserve"> </w:t>
      </w:r>
      <w:r>
        <w:rPr>
          <w:rFonts w:ascii="Arial" w:cs="Arial" w:eastAsia="Arial" w:hAnsi="Arial"/>
          <w:sz w:val="22"/>
          <w:szCs w:val="22"/>
          <w:color w:val="000000"/>
        </w:rPr>
        <w:t>any Subsidiary may enter into any merger, amalgamation or consolidation in connection with a</w:t>
      </w:r>
      <w:r>
        <w:rPr>
          <w:rFonts w:ascii="Arial" w:cs="Arial" w:eastAsia="Arial" w:hAnsi="Arial"/>
          <w:sz w:val="22"/>
          <w:szCs w:val="22"/>
          <w:color w:val="FF0000"/>
        </w:rPr>
        <w:t xml:space="preserve"> </w:t>
      </w:r>
      <w:r>
        <w:rPr>
          <w:rFonts w:ascii="Arial" w:cs="Arial" w:eastAsia="Arial" w:hAnsi="Arial"/>
          <w:sz w:val="22"/>
          <w:szCs w:val="22"/>
          <w:color w:val="000000"/>
        </w:rPr>
        <w:t>Disposition otherwise permitted by Section 7.4.</w:t>
      </w:r>
    </w:p>
    <w:p>
      <w:pPr>
        <w:sectPr>
          <w:pgSz w:w="11900" w:h="16838" w:orient="portrait"/>
          <w:cols w:equalWidth="0" w:num="1">
            <w:col w:w="11240"/>
          </w:cols>
          <w:pgMar w:left="320" w:top="1428" w:right="339" w:bottom="1440" w:gutter="0" w:footer="0" w:header="0"/>
        </w:sectPr>
      </w:pPr>
    </w:p>
    <w:bookmarkStart w:id="272" w:name="page273"/>
    <w:bookmarkEnd w:id="272"/>
    <w:p>
      <w:pPr>
        <w:jc w:val="both"/>
        <w:spacing w:after="0" w:line="302" w:lineRule="auto"/>
        <w:rPr>
          <w:sz w:val="20"/>
          <w:szCs w:val="20"/>
          <w:color w:val="auto"/>
        </w:rPr>
      </w:pPr>
      <w:r>
        <w:rPr>
          <w:rFonts w:ascii="Arial" w:cs="Arial" w:eastAsia="Arial" w:hAnsi="Arial"/>
          <w:sz w:val="19"/>
          <w:szCs w:val="19"/>
          <w:color w:val="auto"/>
        </w:rPr>
        <w:t>Notwithstanding the foregoing, in no event shall any Credit Party that is a Non-Con-way Subsidiary be merged, amalgamated or consolidated with or into, or transfer all or substantially all of its property or business to, a Con-way Subsidiary if such transaction would cause Equity Interests or any Principal Property owned by a Non-Con-way Subsidiary to become Excluded Principal Property, unless Parent Borrower agrees that such property will not constitute Excluded Property.</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7.9 </w:t>
      </w:r>
      <w:r>
        <w:rPr>
          <w:rFonts w:ascii="Arial" w:cs="Arial" w:eastAsia="Arial" w:hAnsi="Arial"/>
          <w:sz w:val="22"/>
          <w:szCs w:val="22"/>
          <w:u w:val="single" w:color="auto"/>
          <w:color w:val="auto"/>
        </w:rPr>
        <w:t>OFAC and Patriot Act Use of Proceeds</w:t>
      </w:r>
      <w:r>
        <w:rPr>
          <w:rFonts w:ascii="Arial" w:cs="Arial" w:eastAsia="Arial" w:hAnsi="Arial"/>
          <w:sz w:val="22"/>
          <w:szCs w:val="22"/>
          <w:color w:val="auto"/>
        </w:rPr>
        <w:t xml:space="preserve">. No Credit Party shall, and no Credit Party shall permit any of its Subsidiaries to, fail to comply in all material respects with the laws, regulations and executive orders referred to in </w:t>
      </w:r>
      <w:r>
        <w:rPr>
          <w:rFonts w:ascii="Arial" w:cs="Arial" w:eastAsia="Arial" w:hAnsi="Arial"/>
          <w:sz w:val="22"/>
          <w:szCs w:val="22"/>
          <w:u w:val="single" w:color="auto"/>
          <w:color w:val="auto"/>
        </w:rPr>
        <w:t>Section 4.23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4.24</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7.10 </w:t>
      </w:r>
      <w:r>
        <w:rPr>
          <w:rFonts w:ascii="Arial" w:cs="Arial" w:eastAsia="Arial" w:hAnsi="Arial"/>
          <w:sz w:val="22"/>
          <w:szCs w:val="22"/>
          <w:u w:val="single" w:color="auto"/>
          <w:color w:val="auto"/>
        </w:rPr>
        <w:t>Change of Jurisdiction of Incorporation; Change of Fiscal Year</w:t>
      </w:r>
      <w:r>
        <w:rPr>
          <w:rFonts w:ascii="Arial" w:cs="Arial" w:eastAsia="Arial" w:hAnsi="Arial"/>
          <w:sz w:val="22"/>
          <w:szCs w:val="22"/>
          <w:color w:val="auto"/>
        </w:rPr>
        <w:t>. No Credit Party shall change its jurisdiction of incorporation or organization to a jurisdiction outside of the country in which it is currently incorporated or organized. Parent Borrower shall not change its Fiscal Year.</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7.11 </w:t>
      </w:r>
      <w:r>
        <w:rPr>
          <w:rFonts w:ascii="Arial" w:cs="Arial" w:eastAsia="Arial" w:hAnsi="Arial"/>
          <w:sz w:val="19"/>
          <w:szCs w:val="19"/>
          <w:u w:val="single" w:color="auto"/>
          <w:color w:val="auto"/>
        </w:rPr>
        <w:t>ERISA, Etc.</w:t>
      </w:r>
      <w:r>
        <w:rPr>
          <w:rFonts w:ascii="Arial" w:cs="Arial" w:eastAsia="Arial" w:hAnsi="Arial"/>
          <w:sz w:val="19"/>
          <w:szCs w:val="19"/>
          <w:color w:val="auto"/>
        </w:rPr>
        <w:t>. No Credit Party shall, or shall cause or permit any ERISA Affiliate to, cause or permit to occur (i) an event that could result in the imposition of an ERISA Lien or (ii) an ERISA Event, to the extent such ERISA Lien or ERISA Event either alone or together with all such other ERISA Events would reasonably be expected to have a Material Adverse Effect.</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7.12 </w:t>
      </w:r>
      <w:r>
        <w:rPr>
          <w:rFonts w:ascii="Arial" w:cs="Arial" w:eastAsia="Arial" w:hAnsi="Arial"/>
          <w:sz w:val="21"/>
          <w:szCs w:val="21"/>
          <w:u w:val="single" w:color="auto"/>
          <w:color w:val="auto"/>
        </w:rPr>
        <w:t>Financial Covenants</w:t>
      </w:r>
      <w:r>
        <w:rPr>
          <w:rFonts w:ascii="Arial" w:cs="Arial" w:eastAsia="Arial" w:hAnsi="Arial"/>
          <w:sz w:val="21"/>
          <w:szCs w:val="21"/>
          <w:color w:val="auto"/>
        </w:rPr>
        <w:t>. If a Covenant Trigger Period exists, the Credit Parties and their Restricted Subsidiaries, on a consolidated basis, shall not permit the Fixed Charge Coverage Ratio, determined as of the last day of the most recent Fiscal Quarter immediately preceding the commencement of a Covenant Trigger Period and as of the last day of each Fiscal Quarter ending prior to the expiration of such Covenant Trigger Period and, in each case, calculated for the 12 month period then ended (taken as a single accounting period) to be less than 1.00 to 1.00.</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7.13 </w:t>
      </w:r>
      <w:r>
        <w:rPr>
          <w:rFonts w:ascii="Arial" w:cs="Arial" w:eastAsia="Arial" w:hAnsi="Arial"/>
          <w:sz w:val="22"/>
          <w:szCs w:val="22"/>
          <w:u w:val="single" w:color="auto"/>
          <w:color w:val="auto"/>
        </w:rPr>
        <w:t>Hazardous Materials</w:t>
      </w:r>
      <w:r>
        <w:rPr>
          <w:rFonts w:ascii="Arial" w:cs="Arial" w:eastAsia="Arial" w:hAnsi="Arial"/>
          <w:sz w:val="22"/>
          <w:szCs w:val="22"/>
          <w:color w:val="auto"/>
        </w:rPr>
        <w:t>. No Credit Party shall, or shall authorize any of the Restricted Subsidiaries to, cause or permit a Release of any Hazardous Material on, at, in, under, above, to, from or about any of the real estate where such Release would violate in any respect, or form the basis for any Environmental Liabilities under, any Environmental Laws or Environmental Permits other than such Releases, violations or Environmental Liabilities that could not reasonably be expected to have a Material Adverse Effect.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8. TERM</w:t>
      </w:r>
    </w:p>
    <w:p>
      <w:pPr>
        <w:spacing w:after="0" w:line="22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 xml:space="preserve">8.1 </w:t>
      </w:r>
      <w:r>
        <w:rPr>
          <w:rFonts w:ascii="Arial" w:cs="Arial" w:eastAsia="Arial" w:hAnsi="Arial"/>
          <w:sz w:val="21"/>
          <w:szCs w:val="21"/>
          <w:u w:val="single" w:color="auto"/>
          <w:color w:val="auto"/>
        </w:rPr>
        <w:t>Termination</w:t>
      </w:r>
      <w:r>
        <w:rPr>
          <w:rFonts w:ascii="Arial" w:cs="Arial" w:eastAsia="Arial" w:hAnsi="Arial"/>
          <w:sz w:val="21"/>
          <w:szCs w:val="21"/>
          <w:color w:val="auto"/>
        </w:rPr>
        <w:t>. The financing arrangements contemplated hereby shall be in effect until the Commitment Termination Date, and the Loans and all other Obligations shall be automatically due and payable in full on such date.</w:t>
      </w:r>
    </w:p>
    <w:p>
      <w:pPr>
        <w:spacing w:after="0" w:line="15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Survival of Obligations Upon Termination of Financing Arrangements</w:t>
      </w:r>
      <w:r>
        <w:rPr>
          <w:rFonts w:ascii="Arial" w:cs="Arial" w:eastAsia="Arial" w:hAnsi="Arial"/>
          <w:sz w:val="19"/>
          <w:szCs w:val="19"/>
          <w:color w:val="auto"/>
        </w:rPr>
        <w:t>. Except as otherwise expressly provided for in the Loan Documents, no termination or cancellation (regardless of cause or procedure) of any financing arrangement under this Agreement shall in any way affect or impair the obligations, duties and liabilities of the Credit Parties or the rights of</w:t>
      </w:r>
    </w:p>
    <w:p>
      <w:pPr>
        <w:sectPr>
          <w:pgSz w:w="11900" w:h="16838" w:orient="portrait"/>
          <w:cols w:equalWidth="0" w:num="1">
            <w:col w:w="11240"/>
          </w:cols>
          <w:pgMar w:left="320" w:top="1428" w:right="339" w:bottom="1440" w:gutter="0" w:footer="0" w:header="0"/>
        </w:sectPr>
      </w:pPr>
    </w:p>
    <w:bookmarkStart w:id="273" w:name="page274"/>
    <w:bookmarkEnd w:id="273"/>
    <w:p>
      <w:pPr>
        <w:jc w:val="both"/>
        <w:spacing w:after="0" w:line="290" w:lineRule="auto"/>
        <w:rPr>
          <w:sz w:val="20"/>
          <w:szCs w:val="20"/>
          <w:color w:val="auto"/>
        </w:rPr>
      </w:pPr>
      <w:r>
        <w:rPr>
          <w:rFonts w:ascii="Arial" w:cs="Arial" w:eastAsia="Arial" w:hAnsi="Arial"/>
          <w:sz w:val="19"/>
          <w:szCs w:val="19"/>
          <w:color w:val="auto"/>
        </w:rPr>
        <w:t xml:space="preserve">Agent, Co-Collateral Agents, L/C Issuers and Lenders relating to any unpaid portion of the Loans or any other Obligations, due or not due, liquidated, contingent or unliquidated, or any transaction or event occurring prior to such termination, or any transaction or event, the performance of which is required after the Commitment Termination Date. Except as otherwise expressly provided herein or in any other Loan Document, all undertakings, agreements, covenants, warranties and representations of or binding upon the Credit Parties, and all rights of Agent, each Co-Collateral Agent, L/C Issuers and each Lender, all as contained in the Loan Documents, shall not terminate or expire, but rather shall survive any such termination or cancellation and shall continue in full force and effect until the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payment obligations under </w:t>
      </w:r>
      <w:r>
        <w:rPr>
          <w:rFonts w:ascii="Arial" w:cs="Arial" w:eastAsia="Arial" w:hAnsi="Arial"/>
          <w:sz w:val="19"/>
          <w:szCs w:val="19"/>
          <w:u w:val="single" w:color="auto"/>
          <w:color w:val="auto"/>
        </w:rPr>
        <w:t>Sections 2.13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w:t>
      </w:r>
      <w:r>
        <w:rPr>
          <w:rFonts w:ascii="Arial" w:cs="Arial" w:eastAsia="Arial" w:hAnsi="Arial"/>
          <w:sz w:val="19"/>
          <w:szCs w:val="19"/>
          <w:color w:val="auto"/>
        </w:rPr>
        <w:t>, and the indemnities contained in the Loan Documents shall survive the Termination Date.</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9. EVENTS OF DEFAULT; RIGHTS AND REMEDIES</w:t>
      </w:r>
    </w:p>
    <w:p>
      <w:pPr>
        <w:spacing w:after="0" w:line="2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1"/>
          <w:szCs w:val="21"/>
          <w:u w:val="single" w:color="auto"/>
          <w:color w:val="auto"/>
        </w:rPr>
        <w:t>Events of Default</w:t>
      </w:r>
      <w:r>
        <w:rPr>
          <w:rFonts w:ascii="Arial" w:cs="Arial" w:eastAsia="Arial" w:hAnsi="Arial"/>
          <w:sz w:val="21"/>
          <w:szCs w:val="21"/>
          <w:color w:val="auto"/>
        </w:rPr>
        <w:t>. The occurrence of any one or more of the following events shall constitute an “</w:t>
      </w:r>
      <w:r>
        <w:rPr>
          <w:rFonts w:ascii="Arial" w:cs="Arial" w:eastAsia="Arial" w:hAnsi="Arial"/>
          <w:sz w:val="21"/>
          <w:szCs w:val="21"/>
          <w:u w:val="single" w:color="auto"/>
          <w:color w:val="auto"/>
        </w:rPr>
        <w:t>Event of</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Default</w:t>
      </w:r>
      <w:r>
        <w:rPr>
          <w:rFonts w:ascii="Arial" w:cs="Arial" w:eastAsia="Arial" w:hAnsi="Arial"/>
          <w:sz w:val="22"/>
          <w:szCs w:val="22"/>
          <w:color w:val="auto"/>
        </w:rPr>
        <w:t>” hereunder:</w:t>
      </w:r>
    </w:p>
    <w:p>
      <w:pPr>
        <w:spacing w:after="0" w:line="202" w:lineRule="exact"/>
        <w:rPr>
          <w:sz w:val="20"/>
          <w:szCs w:val="20"/>
          <w:color w:val="auto"/>
        </w:rPr>
      </w:pPr>
    </w:p>
    <w:p>
      <w:pPr>
        <w:ind w:left="1940" w:hanging="312"/>
        <w:spacing w:after="0"/>
        <w:tabs>
          <w:tab w:leader="none" w:pos="1940" w:val="left"/>
        </w:tabs>
        <w:numPr>
          <w:ilvl w:val="1"/>
          <w:numId w:val="211"/>
        </w:numPr>
        <w:rPr>
          <w:rFonts w:ascii="Arial" w:cs="Arial" w:eastAsia="Arial" w:hAnsi="Arial"/>
          <w:sz w:val="19"/>
          <w:szCs w:val="19"/>
          <w:color w:val="auto"/>
        </w:rPr>
      </w:pPr>
      <w:r>
        <w:rPr>
          <w:rFonts w:ascii="Arial" w:cs="Arial" w:eastAsia="Arial" w:hAnsi="Arial"/>
          <w:sz w:val="19"/>
          <w:szCs w:val="19"/>
          <w:color w:val="auto"/>
        </w:rPr>
        <w:t>Any Borrower (i) fails to make any payment of principal of the Loans when due and payable hereunder,</w:t>
      </w:r>
    </w:p>
    <w:p>
      <w:pPr>
        <w:spacing w:after="0" w:line="55" w:lineRule="exact"/>
        <w:rPr>
          <w:rFonts w:ascii="Arial" w:cs="Arial" w:eastAsia="Arial" w:hAnsi="Arial"/>
          <w:sz w:val="19"/>
          <w:szCs w:val="19"/>
          <w:color w:val="auto"/>
        </w:rPr>
      </w:pPr>
    </w:p>
    <w:p>
      <w:pPr>
        <w:jc w:val="both"/>
        <w:ind w:left="340" w:hanging="8"/>
        <w:spacing w:after="0" w:line="302" w:lineRule="auto"/>
        <w:tabs>
          <w:tab w:leader="none" w:pos="663" w:val="left"/>
        </w:tabs>
        <w:numPr>
          <w:ilvl w:val="0"/>
          <w:numId w:val="212"/>
        </w:numPr>
        <w:rPr>
          <w:rFonts w:ascii="Arial" w:cs="Arial" w:eastAsia="Arial" w:hAnsi="Arial"/>
          <w:sz w:val="19"/>
          <w:szCs w:val="19"/>
          <w:color w:val="auto"/>
        </w:rPr>
      </w:pPr>
      <w:r>
        <w:rPr>
          <w:rFonts w:ascii="Arial" w:cs="Arial" w:eastAsia="Arial" w:hAnsi="Arial"/>
          <w:sz w:val="19"/>
          <w:szCs w:val="19"/>
          <w:color w:val="auto"/>
        </w:rPr>
        <w:t>fails to pay any interest or Fees owing in respect of the Loans within three (3) Business Days after the same becomes due and payable, or (iii) fails to pay or reimburse Agent, Co-Collateral Agents or Lenders for any other Obligations hereunder or under any other Loan Document within ten (10) days after the same becomes due and payable.</w:t>
      </w:r>
    </w:p>
    <w:p>
      <w:pPr>
        <w:spacing w:after="0" w:line="142" w:lineRule="exact"/>
        <w:rPr>
          <w:rFonts w:ascii="Arial" w:cs="Arial" w:eastAsia="Arial" w:hAnsi="Arial"/>
          <w:sz w:val="19"/>
          <w:szCs w:val="19"/>
          <w:color w:val="auto"/>
        </w:rPr>
      </w:pPr>
    </w:p>
    <w:p>
      <w:pPr>
        <w:ind w:left="340" w:firstLine="1288"/>
        <w:spacing w:after="0" w:line="287" w:lineRule="auto"/>
        <w:tabs>
          <w:tab w:leader="none" w:pos="1955" w:val="left"/>
        </w:tabs>
        <w:numPr>
          <w:ilvl w:val="1"/>
          <w:numId w:val="212"/>
        </w:numPr>
        <w:rPr>
          <w:rFonts w:ascii="Arial" w:cs="Arial" w:eastAsia="Arial" w:hAnsi="Arial"/>
          <w:sz w:val="21"/>
          <w:szCs w:val="21"/>
          <w:color w:val="auto"/>
        </w:rPr>
      </w:pPr>
      <w:r>
        <w:rPr>
          <w:rFonts w:ascii="Arial" w:cs="Arial" w:eastAsia="Arial" w:hAnsi="Arial"/>
          <w:sz w:val="21"/>
          <w:szCs w:val="21"/>
          <w:color w:val="auto"/>
        </w:rPr>
        <w:t xml:space="preserve">Any Credit Party fails or neglects to perform, keep or observe any of the provisions of </w:t>
      </w:r>
      <w:r>
        <w:rPr>
          <w:rFonts w:ascii="Arial" w:cs="Arial" w:eastAsia="Arial" w:hAnsi="Arial"/>
          <w:sz w:val="21"/>
          <w:szCs w:val="21"/>
          <w:u w:val="single" w:color="auto"/>
          <w:color w:val="auto"/>
        </w:rPr>
        <w:t>Sections 2.4</w:t>
      </w:r>
      <w:r>
        <w:rPr>
          <w:rFonts w:ascii="Arial" w:cs="Arial" w:eastAsia="Arial" w:hAnsi="Arial"/>
          <w:sz w:val="21"/>
          <w:szCs w:val="21"/>
          <w:color w:val="auto"/>
        </w:rPr>
        <w:t xml:space="preserve">, </w:t>
      </w:r>
      <w:r>
        <w:rPr>
          <w:rFonts w:ascii="Arial" w:cs="Arial" w:eastAsia="Arial" w:hAnsi="Arial"/>
          <w:sz w:val="21"/>
          <w:szCs w:val="21"/>
          <w:u w:val="single" w:color="auto"/>
          <w:color w:val="auto"/>
        </w:rPr>
        <w:t>2.6</w:t>
      </w:r>
      <w:r>
        <w:rPr>
          <w:rFonts w:ascii="Arial" w:cs="Arial" w:eastAsia="Arial" w:hAnsi="Arial"/>
          <w:sz w:val="21"/>
          <w:szCs w:val="21"/>
          <w:color w:val="auto"/>
        </w:rPr>
        <w:t xml:space="preserve">, </w:t>
      </w:r>
      <w:r>
        <w:rPr>
          <w:rFonts w:ascii="Arial" w:cs="Arial" w:eastAsia="Arial" w:hAnsi="Arial"/>
          <w:sz w:val="21"/>
          <w:szCs w:val="21"/>
          <w:u w:val="single" w:color="auto"/>
          <w:color w:val="auto"/>
        </w:rPr>
        <w:t>6.1</w:t>
      </w:r>
      <w:r>
        <w:rPr>
          <w:rFonts w:ascii="Arial" w:cs="Arial" w:eastAsia="Arial" w:hAnsi="Arial"/>
          <w:sz w:val="21"/>
          <w:szCs w:val="21"/>
          <w:color w:val="auto"/>
        </w:rPr>
        <w:t xml:space="preserve"> (with respect to Borrowers’ existence), </w:t>
      </w:r>
      <w:r>
        <w:rPr>
          <w:rFonts w:ascii="Arial" w:cs="Arial" w:eastAsia="Arial" w:hAnsi="Arial"/>
          <w:sz w:val="21"/>
          <w:szCs w:val="21"/>
          <w:u w:val="single" w:color="auto"/>
          <w:color w:val="auto"/>
        </w:rPr>
        <w:t>6.14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w:t>
      </w:r>
      <w:r>
        <w:rPr>
          <w:rFonts w:ascii="Arial" w:cs="Arial" w:eastAsia="Arial" w:hAnsi="Arial"/>
          <w:sz w:val="21"/>
          <w:szCs w:val="21"/>
          <w:color w:val="auto"/>
        </w:rPr>
        <w:t xml:space="preserve">, or any of the provisions set forth in </w:t>
      </w:r>
      <w:r>
        <w:rPr>
          <w:rFonts w:ascii="Arial" w:cs="Arial" w:eastAsia="Arial" w:hAnsi="Arial"/>
          <w:sz w:val="21"/>
          <w:szCs w:val="21"/>
          <w:u w:val="single" w:color="auto"/>
          <w:color w:val="auto"/>
        </w:rPr>
        <w:t>Annex A</w:t>
      </w:r>
      <w:r>
        <w:rPr>
          <w:rFonts w:ascii="Arial" w:cs="Arial" w:eastAsia="Arial" w:hAnsi="Arial"/>
          <w:sz w:val="21"/>
          <w:szCs w:val="21"/>
          <w:color w:val="auto"/>
        </w:rPr>
        <w:t>, respectively.</w:t>
      </w:r>
    </w:p>
    <w:p>
      <w:pPr>
        <w:spacing w:after="0" w:line="151" w:lineRule="exact"/>
        <w:rPr>
          <w:rFonts w:ascii="Arial" w:cs="Arial" w:eastAsia="Arial" w:hAnsi="Arial"/>
          <w:sz w:val="21"/>
          <w:szCs w:val="21"/>
          <w:color w:val="auto"/>
        </w:rPr>
      </w:pPr>
    </w:p>
    <w:p>
      <w:pPr>
        <w:ind w:left="340" w:firstLine="1288"/>
        <w:spacing w:after="0" w:line="263" w:lineRule="auto"/>
        <w:tabs>
          <w:tab w:leader="none" w:pos="1957" w:val="left"/>
        </w:tabs>
        <w:numPr>
          <w:ilvl w:val="1"/>
          <w:numId w:val="212"/>
        </w:numPr>
        <w:rPr>
          <w:rFonts w:ascii="Arial" w:cs="Arial" w:eastAsia="Arial" w:hAnsi="Arial"/>
          <w:sz w:val="22"/>
          <w:szCs w:val="22"/>
          <w:color w:val="auto"/>
        </w:rPr>
      </w:pPr>
      <w:r>
        <w:rPr>
          <w:rFonts w:ascii="Arial" w:cs="Arial" w:eastAsia="Arial" w:hAnsi="Arial"/>
          <w:sz w:val="22"/>
          <w:szCs w:val="22"/>
          <w:color w:val="auto"/>
        </w:rPr>
        <w:t xml:space="preserve">Any Credit Party fails or neglects to perform, keep or observe any of the provisions of </w:t>
      </w:r>
      <w:r>
        <w:rPr>
          <w:rFonts w:ascii="Arial" w:cs="Arial" w:eastAsia="Arial" w:hAnsi="Arial"/>
          <w:sz w:val="22"/>
          <w:szCs w:val="22"/>
          <w:u w:val="single" w:color="auto"/>
          <w:color w:val="auto"/>
        </w:rPr>
        <w:t>Section 5.1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5.2</w:t>
      </w:r>
      <w:r>
        <w:rPr>
          <w:rFonts w:ascii="Arial" w:cs="Arial" w:eastAsia="Arial" w:hAnsi="Arial"/>
          <w:sz w:val="22"/>
          <w:szCs w:val="22"/>
          <w:color w:val="auto"/>
        </w:rPr>
        <w:t>, respectively, and the same shall remain unremedied for five (5) Business Days or more.</w:t>
      </w:r>
    </w:p>
    <w:p>
      <w:pPr>
        <w:spacing w:after="0" w:line="174" w:lineRule="exact"/>
        <w:rPr>
          <w:rFonts w:ascii="Arial" w:cs="Arial" w:eastAsia="Arial" w:hAnsi="Arial"/>
          <w:sz w:val="22"/>
          <w:szCs w:val="22"/>
          <w:color w:val="auto"/>
        </w:rPr>
      </w:pPr>
    </w:p>
    <w:p>
      <w:pPr>
        <w:jc w:val="both"/>
        <w:ind w:left="340" w:firstLine="1288"/>
        <w:spacing w:after="0" w:line="250" w:lineRule="auto"/>
        <w:tabs>
          <w:tab w:leader="none" w:pos="1955" w:val="left"/>
        </w:tabs>
        <w:numPr>
          <w:ilvl w:val="1"/>
          <w:numId w:val="212"/>
        </w:numPr>
        <w:rPr>
          <w:rFonts w:ascii="Arial" w:cs="Arial" w:eastAsia="Arial" w:hAnsi="Arial"/>
          <w:sz w:val="22"/>
          <w:szCs w:val="22"/>
          <w:color w:val="auto"/>
        </w:rPr>
      </w:pPr>
      <w:r>
        <w:rPr>
          <w:rFonts w:ascii="Arial" w:cs="Arial" w:eastAsia="Arial" w:hAnsi="Arial"/>
          <w:sz w:val="22"/>
          <w:szCs w:val="22"/>
          <w:color w:val="auto"/>
        </w:rPr>
        <w:t xml:space="preserve">Any Credit Party fails or neglects to perform, keep or observe any other provision of this Agreement or of any of the other Loan Documents (other than any provision embodied in or covered by any other clause of this </w:t>
      </w:r>
      <w:r>
        <w:rPr>
          <w:rFonts w:ascii="Arial" w:cs="Arial" w:eastAsia="Arial" w:hAnsi="Arial"/>
          <w:sz w:val="22"/>
          <w:szCs w:val="22"/>
          <w:u w:val="single" w:color="auto"/>
          <w:color w:val="auto"/>
        </w:rPr>
        <w:t>Section 9.1</w:t>
      </w:r>
      <w:r>
        <w:rPr>
          <w:rFonts w:ascii="Arial" w:cs="Arial" w:eastAsia="Arial" w:hAnsi="Arial"/>
          <w:sz w:val="22"/>
          <w:szCs w:val="22"/>
          <w:color w:val="auto"/>
        </w:rPr>
        <w:t>) and the same shall remain unremedied for thirty (30) days or more after written notice to Borrower Representative from Agent or any Lender to Borrower Representative.</w:t>
      </w:r>
    </w:p>
    <w:p>
      <w:pPr>
        <w:spacing w:after="0" w:line="187" w:lineRule="exact"/>
        <w:rPr>
          <w:rFonts w:ascii="Arial" w:cs="Arial" w:eastAsia="Arial" w:hAnsi="Arial"/>
          <w:sz w:val="22"/>
          <w:szCs w:val="22"/>
          <w:color w:val="auto"/>
        </w:rPr>
      </w:pPr>
    </w:p>
    <w:p>
      <w:pPr>
        <w:jc w:val="both"/>
        <w:ind w:left="340" w:firstLine="1288"/>
        <w:spacing w:after="0" w:line="291" w:lineRule="auto"/>
        <w:tabs>
          <w:tab w:leader="none" w:pos="1957" w:val="left"/>
        </w:tabs>
        <w:numPr>
          <w:ilvl w:val="1"/>
          <w:numId w:val="212"/>
        </w:numPr>
        <w:rPr>
          <w:rFonts w:ascii="Arial" w:cs="Arial" w:eastAsia="Arial" w:hAnsi="Arial"/>
          <w:sz w:val="19"/>
          <w:szCs w:val="19"/>
          <w:color w:val="auto"/>
        </w:rPr>
      </w:pPr>
      <w:r>
        <w:rPr>
          <w:rFonts w:ascii="Arial" w:cs="Arial" w:eastAsia="Arial" w:hAnsi="Arial"/>
          <w:sz w:val="19"/>
          <w:szCs w:val="19"/>
          <w:color w:val="auto"/>
        </w:rPr>
        <w:t>a default or breach occurs under any other agreement, document or instrument to which any Credit Party or any Restricted Subsidiary is a party that is not cured within any applicable grace period therefor, and such default or breach</w:t>
      </w:r>
    </w:p>
    <w:p>
      <w:pPr>
        <w:spacing w:after="0" w:line="1" w:lineRule="exact"/>
        <w:rPr>
          <w:rFonts w:ascii="Arial" w:cs="Arial" w:eastAsia="Arial" w:hAnsi="Arial"/>
          <w:sz w:val="19"/>
          <w:szCs w:val="19"/>
          <w:color w:val="auto"/>
        </w:rPr>
      </w:pPr>
    </w:p>
    <w:p>
      <w:pPr>
        <w:jc w:val="both"/>
        <w:ind w:left="340" w:hanging="8"/>
        <w:spacing w:after="0" w:line="295" w:lineRule="auto"/>
        <w:tabs>
          <w:tab w:leader="none" w:pos="621" w:val="left"/>
        </w:tabs>
        <w:numPr>
          <w:ilvl w:val="0"/>
          <w:numId w:val="213"/>
        </w:numPr>
        <w:rPr>
          <w:rFonts w:ascii="Arial" w:cs="Arial" w:eastAsia="Arial" w:hAnsi="Arial"/>
          <w:sz w:val="19"/>
          <w:szCs w:val="19"/>
          <w:color w:val="auto"/>
        </w:rPr>
      </w:pPr>
      <w:r>
        <w:rPr>
          <w:rFonts w:ascii="Arial" w:cs="Arial" w:eastAsia="Arial" w:hAnsi="Arial"/>
          <w:sz w:val="19"/>
          <w:szCs w:val="19"/>
          <w:color w:val="auto"/>
        </w:rPr>
        <w:t>involves the failure to make any payment when due in respect of any Indebtedness (other than the Obligations) of any Credit Party or any Restricted Subsidiary in an aggregate amount of not less than $140,000,000, or (ii) causes or permits any holder of such Indebtedness or a trustee, with the giving of notice, if required, to cause Indebtedness or a portion thereof in excess of $140,000,000 in the aggregate outstanding principal amount to become due prior to its stated</w:t>
      </w:r>
    </w:p>
    <w:p>
      <w:pPr>
        <w:sectPr>
          <w:pgSz w:w="11900" w:h="16838" w:orient="portrait"/>
          <w:cols w:equalWidth="0" w:num="1">
            <w:col w:w="11240"/>
          </w:cols>
          <w:pgMar w:left="320" w:top="1428" w:right="339" w:bottom="1440" w:gutter="0" w:footer="0" w:header="0"/>
        </w:sectPr>
      </w:pPr>
    </w:p>
    <w:bookmarkStart w:id="274" w:name="page275"/>
    <w:bookmarkEnd w:id="274"/>
    <w:p>
      <w:pPr>
        <w:jc w:val="both"/>
        <w:spacing w:after="0" w:line="263" w:lineRule="auto"/>
        <w:rPr>
          <w:sz w:val="20"/>
          <w:szCs w:val="20"/>
          <w:color w:val="auto"/>
        </w:rPr>
      </w:pPr>
      <w:r>
        <w:rPr>
          <w:rFonts w:ascii="Arial" w:cs="Arial" w:eastAsia="Arial" w:hAnsi="Arial"/>
          <w:sz w:val="21"/>
          <w:szCs w:val="21"/>
          <w:color w:val="auto"/>
        </w:rPr>
        <w:t xml:space="preserve">maturity or prior to its regularly scheduled dates of payment, or cash collateral in respect thereof (in excess of $140,000,000) is demanded as a result of any such breach or default, in each case, regardless of whether such right is exercised, by such holder or trustee;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clause (e)(ii) shall not apply to secured Indebtedness that becomes due as a result of the voluntary sale or transfer of the property or assets securing such Indebtedness, if such sale or transfer is permitted hereunder and under the documents providing for such Indebtedness.</w:t>
      </w:r>
    </w:p>
    <w:p>
      <w:pPr>
        <w:spacing w:after="0" w:line="175" w:lineRule="exact"/>
        <w:rPr>
          <w:sz w:val="20"/>
          <w:szCs w:val="20"/>
          <w:color w:val="auto"/>
        </w:rPr>
      </w:pPr>
    </w:p>
    <w:p>
      <w:pPr>
        <w:jc w:val="both"/>
        <w:ind w:firstLine="1288"/>
        <w:spacing w:after="0" w:line="288" w:lineRule="auto"/>
        <w:tabs>
          <w:tab w:leader="none" w:pos="1620" w:val="left"/>
        </w:tabs>
        <w:numPr>
          <w:ilvl w:val="0"/>
          <w:numId w:val="214"/>
        </w:numPr>
        <w:rPr>
          <w:rFonts w:ascii="Arial" w:cs="Arial" w:eastAsia="Arial" w:hAnsi="Arial"/>
          <w:sz w:val="19"/>
          <w:szCs w:val="19"/>
          <w:color w:val="auto"/>
        </w:rPr>
      </w:pPr>
      <w:r>
        <w:rPr>
          <w:rFonts w:ascii="Arial" w:cs="Arial" w:eastAsia="Arial" w:hAnsi="Arial"/>
          <w:sz w:val="19"/>
          <w:szCs w:val="19"/>
          <w:color w:val="auto"/>
        </w:rPr>
        <w:t xml:space="preserve">Any information contained in any Borrowing Base Certificate is untrue or incorrect in any material respect or any representation or warranty herein or in any Loan Document or in any written statement, report, financial statement or certificate (other than a Borrowing Base Certificate) made or delivered to Agent or any Lender by any Credit Party is untrue or incorrect in any material respect as of the date when made or deemed made; </w:t>
      </w:r>
      <w:r>
        <w:rPr>
          <w:rFonts w:ascii="Arial" w:cs="Arial" w:eastAsia="Arial" w:hAnsi="Arial"/>
          <w:sz w:val="19"/>
          <w:szCs w:val="19"/>
          <w:u w:val="single" w:color="auto"/>
          <w:color w:val="auto"/>
        </w:rPr>
        <w:t>provided</w:t>
      </w:r>
      <w:r>
        <w:rPr>
          <w:rFonts w:ascii="Arial" w:cs="Arial" w:eastAsia="Arial" w:hAnsi="Arial"/>
          <w:sz w:val="19"/>
          <w:szCs w:val="19"/>
          <w:color w:val="auto"/>
        </w:rPr>
        <w:t>, that, if any inadvertent errors with respect to the Borrowing Base Certificate shall have been made by Borrowers, such inadvertent errors shall not constitute an Event of Default hereunder so long as (i) Borrowers provide a corrected Borrowing Base Certificate to Agent promptly upon Borrowers’ obtaining knowledge of the errors therein, and in any event no later than two (2) days after first knowledge thereof, and (ii) as a result of the error, no Overadvance shall have occurred. In the event an Overadvance shall have occurred as a result of the error, Borrowers shall repay all advanced amounts within one (1) Business Day from the date of notice from Agent of such Overadvance.</w:t>
      </w:r>
    </w:p>
    <w:p>
      <w:pPr>
        <w:spacing w:after="0" w:line="159" w:lineRule="exact"/>
        <w:rPr>
          <w:rFonts w:ascii="Arial" w:cs="Arial" w:eastAsia="Arial" w:hAnsi="Arial"/>
          <w:sz w:val="19"/>
          <w:szCs w:val="19"/>
          <w:color w:val="auto"/>
        </w:rPr>
      </w:pPr>
    </w:p>
    <w:p>
      <w:pPr>
        <w:jc w:val="both"/>
        <w:ind w:firstLine="1288"/>
        <w:spacing w:after="0" w:line="297" w:lineRule="auto"/>
        <w:tabs>
          <w:tab w:leader="none" w:pos="1615" w:val="left"/>
        </w:tabs>
        <w:numPr>
          <w:ilvl w:val="0"/>
          <w:numId w:val="214"/>
        </w:numPr>
        <w:rPr>
          <w:rFonts w:ascii="Arial" w:cs="Arial" w:eastAsia="Arial" w:hAnsi="Arial"/>
          <w:sz w:val="19"/>
          <w:szCs w:val="19"/>
          <w:color w:val="auto"/>
        </w:rPr>
      </w:pPr>
      <w:r>
        <w:rPr>
          <w:rFonts w:ascii="Arial" w:cs="Arial" w:eastAsia="Arial" w:hAnsi="Arial"/>
          <w:sz w:val="19"/>
          <w:szCs w:val="19"/>
          <w:color w:val="auto"/>
        </w:rPr>
        <w:t>A final judgment or judgments for the payment of money in excess of $140,000,000 in the aggregate at any time are outstanding against one or more of the Credit Parties or Restricted Subsidiaries (to the extent not covered by independent third-party insurance as to which the insurer has been notified of such judgment and does not deny coverage or third party indemnity), and the same are not, within sixty (60) days after the entry thereof, discharged or execution thereof stayed or bonded pending appeal, or such judgments are not discharged prior to the expiration of any such stay.</w:t>
      </w:r>
    </w:p>
    <w:p>
      <w:pPr>
        <w:spacing w:after="0" w:line="146" w:lineRule="exact"/>
        <w:rPr>
          <w:rFonts w:ascii="Arial" w:cs="Arial" w:eastAsia="Arial" w:hAnsi="Arial"/>
          <w:sz w:val="19"/>
          <w:szCs w:val="19"/>
          <w:color w:val="auto"/>
        </w:rPr>
      </w:pPr>
    </w:p>
    <w:p>
      <w:pPr>
        <w:jc w:val="both"/>
        <w:ind w:firstLine="1288"/>
        <w:spacing w:after="0" w:line="289" w:lineRule="auto"/>
        <w:tabs>
          <w:tab w:leader="none" w:pos="1615" w:val="left"/>
        </w:tabs>
        <w:numPr>
          <w:ilvl w:val="0"/>
          <w:numId w:val="214"/>
        </w:numPr>
        <w:rPr>
          <w:rFonts w:ascii="Arial" w:cs="Arial" w:eastAsia="Arial" w:hAnsi="Arial"/>
          <w:sz w:val="19"/>
          <w:szCs w:val="19"/>
          <w:color w:val="auto"/>
        </w:rPr>
      </w:pPr>
      <w:r>
        <w:rPr>
          <w:rFonts w:ascii="Arial" w:cs="Arial" w:eastAsia="Arial" w:hAnsi="Arial"/>
          <w:sz w:val="19"/>
          <w:szCs w:val="19"/>
          <w:color w:val="auto"/>
        </w:rPr>
        <w:t>Any material provision of any Loan Document for any reason (other than due to (i) Agent’s failure to take or refrain from taking any action under its sole control or (ii) Agent’s loss of possessory Collateral that was in their possession) ceases to be in full force and effect (or any Credit Party shall challenge the enforceability of any Loan Document or shall assert in writing that any provision of any of the Loan Documents has ceased to be or otherwise is not valid, binding and enforceable in accordance with its terms), or any Loan Document ceases to create a valid and perfected security interest in any material portion of the Collateral purported to be covered thereby (subject to Permitted Liens and qualifications with respect to perfection set forth in this Agreement), except to the extent that any such loss of perfection or priority results from the failure of Agent to maintain possession of certificates actually delivered to them representing securities pledged under the Collateral Documents or to file Code or PPSA financing statements or continuation statements or other equivalent filings.</w:t>
      </w:r>
    </w:p>
    <w:p>
      <w:pPr>
        <w:spacing w:after="0" w:line="156" w:lineRule="exact"/>
        <w:rPr>
          <w:rFonts w:ascii="Arial" w:cs="Arial" w:eastAsia="Arial" w:hAnsi="Arial"/>
          <w:sz w:val="19"/>
          <w:szCs w:val="19"/>
          <w:color w:val="auto"/>
        </w:rPr>
      </w:pPr>
    </w:p>
    <w:p>
      <w:pPr>
        <w:ind w:left="1600" w:hanging="312"/>
        <w:spacing w:after="0"/>
        <w:tabs>
          <w:tab w:leader="none" w:pos="1600"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Any Change of Control occurs.</w:t>
      </w:r>
    </w:p>
    <w:p>
      <w:pPr>
        <w:sectPr>
          <w:pgSz w:w="11900" w:h="16838" w:orient="portrait"/>
          <w:cols w:equalWidth="0" w:num="1">
            <w:col w:w="10900"/>
          </w:cols>
          <w:pgMar w:left="660" w:top="1428" w:right="339" w:bottom="1440" w:gutter="0" w:footer="0" w:header="0"/>
        </w:sectPr>
      </w:pPr>
    </w:p>
    <w:bookmarkStart w:id="275" w:name="page276"/>
    <w:bookmarkEnd w:id="275"/>
    <w:p>
      <w:pPr>
        <w:jc w:val="both"/>
        <w:ind w:left="-320" w:firstLine="1288"/>
        <w:spacing w:after="0" w:line="286" w:lineRule="auto"/>
        <w:tabs>
          <w:tab w:leader="none" w:pos="1288" w:val="left"/>
        </w:tabs>
        <w:numPr>
          <w:ilvl w:val="0"/>
          <w:numId w:val="215"/>
        </w:numPr>
        <w:rPr>
          <w:rFonts w:ascii="Arial" w:cs="Arial" w:eastAsia="Arial" w:hAnsi="Arial"/>
          <w:sz w:val="19"/>
          <w:szCs w:val="19"/>
          <w:color w:val="auto"/>
        </w:rPr>
      </w:pPr>
      <w:r>
        <w:rPr>
          <w:rFonts w:ascii="Arial" w:cs="Arial" w:eastAsia="Arial" w:hAnsi="Arial"/>
          <w:sz w:val="19"/>
          <w:szCs w:val="19"/>
          <w:color w:val="auto"/>
        </w:rPr>
        <w:t>An involuntary case or application or proceeding is commenced against any Credit Party or any Restricted Subsidiary (other than an Immaterial Subsidiary) seeking a decree or order in respect of such Credit Party or such Restricted Subsidiary (other than an Immaterial Subsidiary) (i) under any Insolvency Law or any other applicable federal, state or foreign bankruptcy or other similar law or any incorporation law, (ii) appointing a custodian, receiver, interim receiver, receiver and manager, custodian, liquidator, assignee, trustee or sequestrator (or similar official) for such Credit Party or such Restricted Subsidiary (other than an Immaterial Subsidiary) or for any substantial part of any such Credit Party’s or such Restricted Subsidiary’s (other than an Immaterial Subsidiary) assets, or (iii) ordering the winding up, dissolution, insolvency suspension of general operations or liquidation of the affairs of such Credit Party or such Restricted Subsidiary (other than an Immaterial Subsidiary) or seeking liquidation, dissolution, winding-up, reorganization, compromise, arrangement, adjustment, protection, moratorium, relief, stay of proceedings of creditors generally (or any class of creditors), or composition of it or its debts or any other relief under any federal, provincial or foreign law now or hereafter in effect relating to bankruptcy, winding-up, insolvency, reorganization, receivership, plans of arrangement or relief or protection of debtors of any Canadian Credit Party (other than an Immaterial Subsidiary), and such case or proceeding shall remain undismissed or unstayed for sixty (60) days or more or a decree or order granting the relief sought in such case or proceeding shall be entered by a court of competent jurisdiction.</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jc w:val="both"/>
        <w:ind w:left="-320" w:firstLine="1288"/>
        <w:spacing w:after="0" w:line="287" w:lineRule="auto"/>
        <w:tabs>
          <w:tab w:leader="none" w:pos="1295"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Any Credit Party or any Restricted Subsidiary (other than an Immaterial Subsidiary) (i) files a petition seeking relief under any Insolvency Law, or any other applicable federal, state or foreign bankruptcy or other similar law, (ii) consents to the institution of proceedings referred to in </w:t>
      </w:r>
      <w:r>
        <w:rPr>
          <w:rFonts w:ascii="Arial" w:cs="Arial" w:eastAsia="Arial" w:hAnsi="Arial"/>
          <w:sz w:val="19"/>
          <w:szCs w:val="19"/>
          <w:u w:val="single" w:color="auto"/>
          <w:color w:val="auto"/>
        </w:rPr>
        <w:t>Section 9.1(j)</w:t>
      </w:r>
      <w:r>
        <w:rPr>
          <w:rFonts w:ascii="Arial" w:cs="Arial" w:eastAsia="Arial" w:hAnsi="Arial"/>
          <w:sz w:val="19"/>
          <w:szCs w:val="19"/>
          <w:color w:val="auto"/>
        </w:rPr>
        <w:t xml:space="preserve"> thereunder or the filing of any such petition or the appointment of or taking possession by a custodian, receiver, liquidator, assignee, trustee or sequestrator (or similar official) for such Credit Party or such Restricted Subsidiary (other than an Immaterial Subsidiary) or for any substantial part of any such Credit Party’s or such Restricted Subsidiary’s (other than an Immaterial Subsidiary) assets, (iii) makes an assignment for the benefit of creditors, or (iv) institutes any proceeding seeking to adjudicate it an insolvent, or seeking liquidation, dissolution, winding-up, reorganization, compromise, arrangement, adjustment, protection, moratorium, relief, stay of proceedings of creditors generally (or any class of creditors), or composition of it or its debts or any other relief, under any federal, provincial or foreign law now or hereafter in effect relating to bankruptcy, winding-up, insolvency, reorganization, receivership, plans of arrangement or relief or protection of debtors.</w:t>
      </w:r>
    </w:p>
    <w:p>
      <w:pPr>
        <w:spacing w:after="0" w:line="163" w:lineRule="exact"/>
        <w:rPr>
          <w:rFonts w:ascii="Arial" w:cs="Arial" w:eastAsia="Arial" w:hAnsi="Arial"/>
          <w:sz w:val="19"/>
          <w:szCs w:val="19"/>
          <w:color w:val="auto"/>
        </w:rPr>
      </w:pPr>
    </w:p>
    <w:p>
      <w:pPr>
        <w:ind w:left="-320" w:firstLine="1288"/>
        <w:spacing w:after="0" w:line="263" w:lineRule="auto"/>
        <w:tabs>
          <w:tab w:leader="none" w:pos="1288" w:val="left"/>
        </w:tabs>
        <w:numPr>
          <w:ilvl w:val="0"/>
          <w:numId w:val="215"/>
        </w:numPr>
        <w:rPr>
          <w:rFonts w:ascii="Arial" w:cs="Arial" w:eastAsia="Arial" w:hAnsi="Arial"/>
          <w:sz w:val="22"/>
          <w:szCs w:val="22"/>
          <w:color w:val="auto"/>
        </w:rPr>
      </w:pPr>
      <w:r>
        <w:rPr>
          <w:rFonts w:ascii="Arial" w:cs="Arial" w:eastAsia="Arial" w:hAnsi="Arial"/>
          <w:sz w:val="22"/>
          <w:szCs w:val="22"/>
          <w:color w:val="auto"/>
        </w:rPr>
        <w:t>(i) an ERISA Event shall have occurred that, when taken either alone or together with all other such ERISA Events then outstanding, would reasonably be expected to have a Material Adverse Effect.</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20" w:lineRule="exact"/>
        <w:rPr>
          <w:sz w:val="20"/>
          <w:szCs w:val="20"/>
          <w:color w:val="auto"/>
        </w:rPr>
      </w:pPr>
    </w:p>
    <w:p>
      <w:pPr>
        <w:ind w:left="-320" w:firstLine="1288"/>
        <w:spacing w:after="0" w:line="263" w:lineRule="auto"/>
        <w:tabs>
          <w:tab w:leader="none" w:pos="1297"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xml:space="preserve">To the extent permitted under </w:t>
      </w:r>
      <w:r>
        <w:rPr>
          <w:rFonts w:ascii="Arial" w:cs="Arial" w:eastAsia="Arial" w:hAnsi="Arial"/>
          <w:sz w:val="22"/>
          <w:szCs w:val="22"/>
          <w:u w:val="single" w:color="auto"/>
          <w:color w:val="auto"/>
        </w:rPr>
        <w:t>Section 2.5(d)</w:t>
      </w:r>
      <w:r>
        <w:rPr>
          <w:rFonts w:ascii="Arial" w:cs="Arial" w:eastAsia="Arial" w:hAnsi="Arial"/>
          <w:sz w:val="22"/>
          <w:szCs w:val="22"/>
          <w:color w:val="auto"/>
        </w:rPr>
        <w:t>, the rate of interest applicable to the Loans and the Letter of Credit Fees shall increase to the Default Rate. In addition,</w:t>
      </w:r>
    </w:p>
    <w:p>
      <w:pPr>
        <w:sectPr>
          <w:pgSz w:w="11900" w:h="16838" w:orient="portrait"/>
          <w:cols w:equalWidth="0" w:num="1">
            <w:col w:w="10580"/>
          </w:cols>
          <w:pgMar w:left="980" w:top="1428" w:right="339" w:bottom="1440" w:gutter="0" w:footer="0" w:header="0"/>
        </w:sectPr>
      </w:pPr>
    </w:p>
    <w:bookmarkStart w:id="276" w:name="page277"/>
    <w:bookmarkEnd w:id="276"/>
    <w:p>
      <w:pPr>
        <w:jc w:val="both"/>
        <w:ind w:left="340"/>
        <w:spacing w:after="0" w:line="250" w:lineRule="auto"/>
        <w:rPr>
          <w:sz w:val="20"/>
          <w:szCs w:val="20"/>
          <w:color w:val="auto"/>
        </w:rPr>
      </w:pPr>
      <w:r>
        <w:rPr>
          <w:rFonts w:ascii="Arial" w:cs="Arial" w:eastAsia="Arial" w:hAnsi="Arial"/>
          <w:sz w:val="22"/>
          <w:szCs w:val="22"/>
          <w:color w:val="auto"/>
        </w:rPr>
        <w:t>with the consent of Requisite Lenders, Agent may, or at the request of the Requisite Lenders, Agent shall, suspend the Commitments with respect to additional Advances and/or the incurrence of additional Letter of Credit Obligations, whereupon any additional Advances and additional Letter of Credit Obligations shall be made or incurred in the sole discretion of the Requisite Lenders so long as such Event of Default is continuing.</w:t>
      </w:r>
    </w:p>
    <w:p>
      <w:pPr>
        <w:spacing w:after="0" w:line="188" w:lineRule="exact"/>
        <w:rPr>
          <w:sz w:val="20"/>
          <w:szCs w:val="20"/>
          <w:color w:val="auto"/>
        </w:rPr>
      </w:pPr>
    </w:p>
    <w:p>
      <w:pPr>
        <w:jc w:val="both"/>
        <w:ind w:left="340" w:firstLine="1288"/>
        <w:spacing w:after="0" w:line="286" w:lineRule="auto"/>
        <w:tabs>
          <w:tab w:leader="none" w:pos="1955" w:val="left"/>
        </w:tabs>
        <w:numPr>
          <w:ilvl w:val="0"/>
          <w:numId w:val="217"/>
        </w:numPr>
        <w:rPr>
          <w:rFonts w:ascii="Arial" w:cs="Arial" w:eastAsia="Arial" w:hAnsi="Arial"/>
          <w:sz w:val="19"/>
          <w:szCs w:val="19"/>
          <w:color w:val="auto"/>
        </w:rPr>
      </w:pPr>
      <w:r>
        <w:rPr>
          <w:rFonts w:ascii="Arial" w:cs="Arial" w:eastAsia="Arial" w:hAnsi="Arial"/>
          <w:sz w:val="19"/>
          <w:szCs w:val="19"/>
          <w:color w:val="auto"/>
        </w:rPr>
        <w:t xml:space="preserve">If any Event of Default has occurred and is continuing, Agent may, and at the written request of the Requisite Lenders shall, take any or all of the following actions: (i) terminate the obligations of the Secured Parties under this Agreement with respect to further Advances or the incurrence of further Letter of Credit Obligations; (ii) reduce the Commitments from time to time; (iii) declare all or any portion of the Obligations (other than Bank Products Obligations and Secured Hedging Obligations), including all or any portion of any Loan to be forthwith due and payable, and require that the Letter of Credit Obligations be cash collateralized in the manner set forth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all without presentment, demand, protest or further notice of any kind, all of which are expressly waived by Borrowers and each other Credit Party; or (iv) exercise any rights and remedies provided to Agent under the Loan Documents or at law or equity, including all remedies provided under the Code or the PPSA, as applicable, and any other applicable law of any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the occurrence of an Event of Default specified in </w:t>
      </w:r>
      <w:r>
        <w:rPr>
          <w:rFonts w:ascii="Arial" w:cs="Arial" w:eastAsia="Arial" w:hAnsi="Arial"/>
          <w:sz w:val="19"/>
          <w:szCs w:val="19"/>
          <w:u w:val="single" w:color="auto"/>
          <w:color w:val="auto"/>
        </w:rPr>
        <w:t>Section 9.1(j)</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9.1(k)</w:t>
      </w:r>
      <w:r>
        <w:rPr>
          <w:rFonts w:ascii="Arial" w:cs="Arial" w:eastAsia="Arial" w:hAnsi="Arial"/>
          <w:sz w:val="19"/>
          <w:szCs w:val="19"/>
          <w:color w:val="auto"/>
        </w:rPr>
        <w:t xml:space="preserve">, all Commitments shall be terminated and all of the Obligations (other than Bank Products Obligations and Secured Hedging Obligations) shall become immediately due and payable without declaration, notice or demand by any Person. Agent shall, as soon as reasonably practicable, provide to Borrower Representative notice of any action taken pursuant to this </w:t>
      </w:r>
      <w:r>
        <w:rPr>
          <w:rFonts w:ascii="Arial" w:cs="Arial" w:eastAsia="Arial" w:hAnsi="Arial"/>
          <w:sz w:val="19"/>
          <w:szCs w:val="19"/>
          <w:u w:val="single" w:color="auto"/>
          <w:color w:val="auto"/>
        </w:rPr>
        <w:t>Section 9.2(b)</w:t>
      </w:r>
      <w:r>
        <w:rPr>
          <w:rFonts w:ascii="Arial" w:cs="Arial" w:eastAsia="Arial" w:hAnsi="Arial"/>
          <w:sz w:val="19"/>
          <w:szCs w:val="19"/>
          <w:color w:val="auto"/>
        </w:rPr>
        <w:t xml:space="preserve"> (but failure to provide such notice shall not impair the rights of Agent, Co-Collateral Agents or the Lenders hereunder and shall not impose any liability upon Agent or the Lenders for not providing such notice).</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Waivers by Credit Parties</w:t>
      </w:r>
      <w:r>
        <w:rPr>
          <w:rFonts w:ascii="Arial" w:cs="Arial" w:eastAsia="Arial" w:hAnsi="Arial"/>
          <w:sz w:val="19"/>
          <w:szCs w:val="19"/>
          <w:color w:val="auto"/>
        </w:rPr>
        <w:t xml:space="preserve">. Except as otherwise provided for in this Agreement or by applicable law, each Credit Party waives, to the fullest extent permitted by law (including for purposes of </w:t>
      </w:r>
      <w:r>
        <w:rPr>
          <w:rFonts w:ascii="Arial" w:cs="Arial" w:eastAsia="Arial" w:hAnsi="Arial"/>
          <w:sz w:val="19"/>
          <w:szCs w:val="19"/>
          <w:u w:val="single" w:color="auto"/>
          <w:color w:val="auto"/>
        </w:rPr>
        <w:t>Article 13</w:t>
      </w:r>
      <w:r>
        <w:rPr>
          <w:rFonts w:ascii="Arial" w:cs="Arial" w:eastAsia="Arial" w:hAnsi="Arial"/>
          <w:sz w:val="19"/>
          <w:szCs w:val="19"/>
          <w:color w:val="auto"/>
        </w:rPr>
        <w:t>): (a) presentment, demand and protest and notice of presentment, dishonor, notice of intent to accelerate, notice of acceleration, protest, default, nonpayment, maturity, release, compromise, settlement, extension or renewal of any or all commercial paper, accounts, contract rights, documents, instruments, chattel paper and guaranties at any time held by Agent as Collateral on which any Credit Party may in any way be liable, and hereby ratifies and confirms whatever Agent may do in this regard, (b) all rights to notice and a hearing prior to Agent’s taking possession or control of, or to Agent’s replevy, attachment or levy upon, the Collateral or any bond or security that might be required by any court prior to allowing Agent to exercise any of its remedies, and (c) the benefit of all valuation, appraisal, marshaling and exemption laws. Each Credit Party acknowledges that in the event such Credit Party fails to perform, observe or discharge any of its obligations or liabilities under this Agreement or any other Loan Document, any remedy of law may prove to be inadequate relief to Agent, Co-Collateral Agents and the Lenders; therefore, such Credit Party agrees, except as otherwise provided in this Agreement or by applicable law, that Agent, Co-Collateral Agents and the Lenders shall be entitled to temporary and permanent injunctive relief in any such case without the necessity of proving actual damages.</w:t>
      </w:r>
    </w:p>
    <w:p>
      <w:pPr>
        <w:sectPr>
          <w:pgSz w:w="11900" w:h="16838" w:orient="portrait"/>
          <w:cols w:equalWidth="0" w:num="1">
            <w:col w:w="11240"/>
          </w:cols>
          <w:pgMar w:left="320" w:top="1428" w:right="339" w:bottom="1440" w:gutter="0" w:footer="0" w:header="0"/>
        </w:sectPr>
      </w:pPr>
    </w:p>
    <w:bookmarkStart w:id="277" w:name="page278"/>
    <w:bookmarkEnd w:id="277"/>
    <w:p>
      <w:pPr>
        <w:jc w:val="both"/>
        <w:ind w:firstLine="648"/>
        <w:spacing w:after="0" w:line="287" w:lineRule="auto"/>
        <w:rPr>
          <w:sz w:val="20"/>
          <w:szCs w:val="20"/>
          <w:color w:val="auto"/>
        </w:rPr>
      </w:pPr>
      <w:r>
        <w:rPr>
          <w:rFonts w:ascii="Arial" w:cs="Arial" w:eastAsia="Arial" w:hAnsi="Arial"/>
          <w:sz w:val="19"/>
          <w:szCs w:val="19"/>
          <w:color w:val="auto"/>
        </w:rPr>
        <w:t xml:space="preserve">9.4 </w:t>
      </w:r>
      <w:r>
        <w:rPr>
          <w:rFonts w:ascii="Arial" w:cs="Arial" w:eastAsia="Arial" w:hAnsi="Arial"/>
          <w:sz w:val="19"/>
          <w:szCs w:val="19"/>
          <w:u w:val="single" w:color="auto"/>
          <w:color w:val="auto"/>
        </w:rPr>
        <w:t>Cure Right</w:t>
      </w:r>
      <w:r>
        <w:rPr>
          <w:rFonts w:ascii="Arial" w:cs="Arial" w:eastAsia="Arial" w:hAnsi="Arial"/>
          <w:sz w:val="19"/>
          <w:szCs w:val="19"/>
          <w:color w:val="auto"/>
        </w:rPr>
        <w:t xml:space="preserve">. (a) Notwithstanding anything to the contrary contained in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in the event that the Credit Parties fail to comply with the covenant contained in </w:t>
      </w:r>
      <w:r>
        <w:rPr>
          <w:rFonts w:ascii="Arial" w:cs="Arial" w:eastAsia="Arial" w:hAnsi="Arial"/>
          <w:sz w:val="19"/>
          <w:szCs w:val="19"/>
          <w:u w:val="single" w:color="auto"/>
          <w:color w:val="auto"/>
        </w:rPr>
        <w:t>Section 7.12</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Financial Performance Covenant</w:t>
      </w:r>
      <w:r>
        <w:rPr>
          <w:rFonts w:ascii="Arial" w:cs="Arial" w:eastAsia="Arial" w:hAnsi="Arial"/>
          <w:sz w:val="19"/>
          <w:szCs w:val="19"/>
          <w:color w:val="auto"/>
        </w:rPr>
        <w:t xml:space="preserve">”) with respect to any Fiscal Quarter, after the end of such Fiscal Quarter until the expiration of the 10th day subsequent to the date on which financial statements with respect to the Fiscal Quarter for which Financial Performance Covenant is being measured are required to be delivered pursuant to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one or more investors shall have the right to make a Specified Equity Contribution to Parent Borrower (collectively, the “</w:t>
      </w:r>
      <w:r>
        <w:rPr>
          <w:rFonts w:ascii="Arial" w:cs="Arial" w:eastAsia="Arial" w:hAnsi="Arial"/>
          <w:sz w:val="19"/>
          <w:szCs w:val="19"/>
          <w:u w:val="single" w:color="auto"/>
          <w:color w:val="auto"/>
        </w:rPr>
        <w:t>Cure Right</w:t>
      </w:r>
      <w:r>
        <w:rPr>
          <w:rFonts w:ascii="Arial" w:cs="Arial" w:eastAsia="Arial" w:hAnsi="Arial"/>
          <w:sz w:val="19"/>
          <w:szCs w:val="19"/>
          <w:color w:val="auto"/>
        </w:rPr>
        <w:t>”), and upon the receipt by Parent Borrower of cash (the “</w:t>
      </w:r>
      <w:r>
        <w:rPr>
          <w:rFonts w:ascii="Arial" w:cs="Arial" w:eastAsia="Arial" w:hAnsi="Arial"/>
          <w:sz w:val="19"/>
          <w:szCs w:val="19"/>
          <w:u w:val="single" w:color="auto"/>
          <w:color w:val="auto"/>
        </w:rPr>
        <w:t>Cure Amount</w:t>
      </w:r>
      <w:r>
        <w:rPr>
          <w:rFonts w:ascii="Arial" w:cs="Arial" w:eastAsia="Arial" w:hAnsi="Arial"/>
          <w:sz w:val="19"/>
          <w:szCs w:val="19"/>
          <w:color w:val="auto"/>
        </w:rPr>
        <w:t xml:space="preserve">”) pursuant to the exercise by one or more investors of such Cure Right (and so long as such Cure Amount is actually received by Parent Borrower no later than 10 days after the date on which financial statements with respect to the Fiscal Quarter for which the Financial Performance Covenant is being measured are required to be delivered pursuant to </w:t>
      </w:r>
      <w:r>
        <w:rPr>
          <w:rFonts w:ascii="Arial" w:cs="Arial" w:eastAsia="Arial" w:hAnsi="Arial"/>
          <w:sz w:val="19"/>
          <w:szCs w:val="19"/>
          <w:u w:val="single" w:color="auto"/>
          <w:color w:val="auto"/>
        </w:rPr>
        <w:t>Section 5.1(b)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upon notice from Parent Borrower to Agent as to the Fiscal Quarter with respect to which such Cure Amount is made), then the Financial Performance Covenant shall be recalculated giving effect to the following pro forma adjustments (but without regard to any reduction in Indebtedness made with all or any portion of such Cure Amount or any portion of the Cure Amount on the balance sheet of Parent Borrower and its Restricted Subsidiaries):</w:t>
      </w:r>
    </w:p>
    <w:p>
      <w:pPr>
        <w:spacing w:after="0" w:line="200" w:lineRule="exact"/>
        <w:rPr>
          <w:sz w:val="20"/>
          <w:szCs w:val="20"/>
          <w:color w:val="auto"/>
        </w:rPr>
      </w:pPr>
    </w:p>
    <w:p>
      <w:pPr>
        <w:spacing w:after="0" w:line="215" w:lineRule="exact"/>
        <w:rPr>
          <w:sz w:val="20"/>
          <w:szCs w:val="20"/>
          <w:color w:val="auto"/>
        </w:rPr>
      </w:pPr>
    </w:p>
    <w:p>
      <w:pPr>
        <w:jc w:val="both"/>
        <w:ind w:left="340" w:firstLine="1732"/>
        <w:spacing w:after="0" w:line="265" w:lineRule="auto"/>
        <w:tabs>
          <w:tab w:leader="none" w:pos="2608" w:val="left"/>
        </w:tabs>
        <w:numPr>
          <w:ilvl w:val="0"/>
          <w:numId w:val="218"/>
        </w:numPr>
        <w:rPr>
          <w:rFonts w:ascii="Arial" w:cs="Arial" w:eastAsia="Arial" w:hAnsi="Arial"/>
          <w:sz w:val="21"/>
          <w:szCs w:val="21"/>
          <w:color w:val="auto"/>
        </w:rPr>
      </w:pPr>
      <w:r>
        <w:rPr>
          <w:rFonts w:ascii="Arial" w:cs="Arial" w:eastAsia="Arial" w:hAnsi="Arial"/>
          <w:sz w:val="21"/>
          <w:szCs w:val="21"/>
          <w:color w:val="auto"/>
        </w:rPr>
        <w:t xml:space="preserve">EBITDA shall be increased, solely for the purpose of measuring the Financial Performance Covenant and determining the existence of an Event of Default set forth in </w:t>
      </w:r>
      <w:r>
        <w:rPr>
          <w:rFonts w:ascii="Arial" w:cs="Arial" w:eastAsia="Arial" w:hAnsi="Arial"/>
          <w:sz w:val="21"/>
          <w:szCs w:val="21"/>
          <w:u w:val="single" w:color="auto"/>
          <w:color w:val="auto"/>
        </w:rPr>
        <w:t>Section 9.1</w:t>
      </w:r>
      <w:r>
        <w:rPr>
          <w:rFonts w:ascii="Arial" w:cs="Arial" w:eastAsia="Arial" w:hAnsi="Arial"/>
          <w:sz w:val="21"/>
          <w:szCs w:val="21"/>
          <w:color w:val="auto"/>
        </w:rPr>
        <w:t xml:space="preserve"> resulting from a breach of the Financial Performance Covenant and not for any other purpose under this Agreement, by an amount equal to the Cure Amount for such Fiscal Quarter and any four Fiscal Quarter period that contains such Fiscal Quarter; and</w:t>
      </w:r>
    </w:p>
    <w:p>
      <w:pPr>
        <w:spacing w:after="0" w:line="175" w:lineRule="exact"/>
        <w:rPr>
          <w:rFonts w:ascii="Arial" w:cs="Arial" w:eastAsia="Arial" w:hAnsi="Arial"/>
          <w:sz w:val="21"/>
          <w:szCs w:val="21"/>
          <w:color w:val="auto"/>
        </w:rPr>
      </w:pPr>
    </w:p>
    <w:p>
      <w:pPr>
        <w:jc w:val="both"/>
        <w:ind w:left="340" w:firstLine="1672"/>
        <w:spacing w:after="0" w:line="263" w:lineRule="auto"/>
        <w:tabs>
          <w:tab w:leader="none" w:pos="2608" w:val="left"/>
        </w:tabs>
        <w:numPr>
          <w:ilvl w:val="0"/>
          <w:numId w:val="218"/>
        </w:numPr>
        <w:rPr>
          <w:rFonts w:ascii="Arial" w:cs="Arial" w:eastAsia="Arial" w:hAnsi="Arial"/>
          <w:sz w:val="21"/>
          <w:szCs w:val="21"/>
          <w:color w:val="auto"/>
        </w:rPr>
      </w:pPr>
      <w:r>
        <w:rPr>
          <w:rFonts w:ascii="Arial" w:cs="Arial" w:eastAsia="Arial" w:hAnsi="Arial"/>
          <w:sz w:val="21"/>
          <w:szCs w:val="21"/>
          <w:color w:val="auto"/>
        </w:rPr>
        <w:t>if, after giving effect to the foregoing recalculations, the Credit Parties shall then be in compliance with the requirements of the Financial Performance Covenant, the Credit Parties shall be deemed to have satisfied the requirements of the Financial Performance Covenant as of the relevant date of determination with the same effect as though there had been no failure to comply therewith at such date, and no breach or default of the Financial Performance Covenant shall have been deemed to have occurred for purposes of this Agreement.</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Notwithstanding anything herein to the contrary, (i) in each four consecutive Fiscal Quarter period there shall be at least two Fiscal Quarters in which the Cure Right is not exercised, (ii) the Cure Amount shall be no greater than 100% of the amount required for purposes of complying with the Financial Performance Covenant, (iii) the Cure Right shall not be exercised more than four times during the term of this Agreement and (iv) no Specified Equity Contribution nor the proceeds thereof may be relied on for purposes of calculating any financial ratios (other than as applicable to the Financial Performance Covenant for purposes of increasing EBITDA as provided in clause (a) of this </w:t>
      </w:r>
      <w:r>
        <w:rPr>
          <w:rFonts w:ascii="Arial" w:cs="Arial" w:eastAsia="Arial" w:hAnsi="Arial"/>
          <w:sz w:val="19"/>
          <w:szCs w:val="19"/>
          <w:u w:val="single" w:color="auto"/>
          <w:color w:val="auto"/>
        </w:rPr>
        <w:t>Section 9.4</w:t>
      </w:r>
      <w:r>
        <w:rPr>
          <w:rFonts w:ascii="Arial" w:cs="Arial" w:eastAsia="Arial" w:hAnsi="Arial"/>
          <w:sz w:val="19"/>
          <w:szCs w:val="19"/>
          <w:color w:val="auto"/>
        </w:rPr>
        <w:t xml:space="preserve">) or any available basket or thresholds under this Agreement and shall not result in any adjustment to any amounts or calculations other than the amount of the EBITDA to the extent provided in clause (a) of this </w:t>
      </w:r>
      <w:r>
        <w:rPr>
          <w:rFonts w:ascii="Arial" w:cs="Arial" w:eastAsia="Arial" w:hAnsi="Arial"/>
          <w:sz w:val="19"/>
          <w:szCs w:val="19"/>
          <w:u w:val="single" w:color="auto"/>
          <w:color w:val="auto"/>
        </w:rPr>
        <w:t>Section 9.4</w:t>
      </w:r>
      <w:r>
        <w:rPr>
          <w:rFonts w:ascii="Arial" w:cs="Arial" w:eastAsia="Arial" w:hAnsi="Arial"/>
          <w:sz w:val="19"/>
          <w:szCs w:val="19"/>
          <w:color w:val="auto"/>
        </w:rPr>
        <w:t>. During the period, Borrowers elect to exercise the Cure right, Lender shall be under no obligation to make any Loans or advances hereunder.</w:t>
      </w:r>
    </w:p>
    <w:p>
      <w:pPr>
        <w:sectPr>
          <w:pgSz w:w="11900" w:h="16838" w:orient="portrait"/>
          <w:cols w:equalWidth="0" w:num="1">
            <w:col w:w="11240"/>
          </w:cols>
          <w:pgMar w:left="320" w:top="1428" w:right="339" w:bottom="1440" w:gutter="0" w:footer="0" w:header="0"/>
        </w:sectPr>
      </w:pPr>
    </w:p>
    <w:bookmarkStart w:id="278" w:name="page279"/>
    <w:bookmarkEnd w:id="278"/>
    <w:p>
      <w:pPr>
        <w:jc w:val="both"/>
        <w:spacing w:after="0" w:line="263" w:lineRule="auto"/>
        <w:rPr>
          <w:sz w:val="20"/>
          <w:szCs w:val="20"/>
          <w:color w:val="auto"/>
        </w:rPr>
      </w:pPr>
      <w:r>
        <w:rPr>
          <w:rFonts w:ascii="Arial" w:cs="Arial" w:eastAsia="Arial" w:hAnsi="Arial"/>
          <w:sz w:val="22"/>
          <w:szCs w:val="22"/>
          <w:color w:val="auto"/>
        </w:rPr>
        <w:t>As used herein, “</w:t>
      </w:r>
      <w:r>
        <w:rPr>
          <w:rFonts w:ascii="Arial" w:cs="Arial" w:eastAsia="Arial" w:hAnsi="Arial"/>
          <w:sz w:val="22"/>
          <w:szCs w:val="22"/>
          <w:u w:val="single" w:color="auto"/>
          <w:color w:val="auto"/>
        </w:rPr>
        <w:t>Specified Equity Contribution</w:t>
      </w:r>
      <w:r>
        <w:rPr>
          <w:rFonts w:ascii="Arial" w:cs="Arial" w:eastAsia="Arial" w:hAnsi="Arial"/>
          <w:sz w:val="22"/>
          <w:szCs w:val="22"/>
          <w:color w:val="auto"/>
        </w:rPr>
        <w:t>” means any cash contribution to the common Capital Stock or preferred equity that is Qualified Capital Stock of Parent Borrower.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10. APPOINTMENT OF AGENT</w:t>
      </w:r>
    </w:p>
    <w:p>
      <w:pPr>
        <w:spacing w:after="0" w:line="22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Appointment of Agents</w:t>
      </w:r>
      <w:r>
        <w:rPr>
          <w:rFonts w:ascii="Arial" w:cs="Arial" w:eastAsia="Arial" w:hAnsi="Arial"/>
          <w:sz w:val="19"/>
          <w:szCs w:val="19"/>
          <w:color w:val="auto"/>
        </w:rPr>
        <w:t xml:space="preserve">. MSSF, as Agent, is hereby appointed to act on behalf of all Lenders with respect to the administration of the Loans and the Commitments made to Borrowers and to act as agent on behalf of all Lenders with respect to Collateral of the Credit Parties under this Agreement and the other Loan Documents. The provisions of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are solely for the benefit of Agent, Co-Collateral Agents and Lenders and no Credit Party nor any other Person shall have any rights as a third party beneficiary of any of the provisions hereof (other than </w:t>
      </w:r>
      <w:r>
        <w:rPr>
          <w:rFonts w:ascii="Arial" w:cs="Arial" w:eastAsia="Arial" w:hAnsi="Arial"/>
          <w:sz w:val="19"/>
          <w:szCs w:val="19"/>
          <w:u w:val="single" w:color="auto"/>
          <w:color w:val="auto"/>
        </w:rPr>
        <w:t>Sections 10.6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10.11</w:t>
      </w:r>
      <w:r>
        <w:rPr>
          <w:rFonts w:ascii="Arial" w:cs="Arial" w:eastAsia="Arial" w:hAnsi="Arial"/>
          <w:sz w:val="19"/>
          <w:szCs w:val="19"/>
          <w:color w:val="auto"/>
        </w:rPr>
        <w:t>). In performing its functions and duties under this Agreement and the other Loan Documents, Agent shall act solely as an agent of Lenders and does not assume or shall not be deemed to have assumed any obligation toward or relationship of agency or trust with or for any Credit Party or any other Person. Agent shall not have any duties or responsibilities except for those expressly set forth in this Agreement and the other Loan Documents. The duties of Agent shall be mechanical and administrative in nature and no Agent shall have, or be deemed to have, by reason of this Agreement, any other Loan Document or otherwise a fiduciary relationship in respect of any Lender. Except as expressly set forth in this Agreement and the other Loan Documents, Agent and Co-Collateral Agents shall not have any duty to disclose, nor shall they be liable for failure to disclose, any information relating to any Credit Party or any of their respective Subsidiaries or any Account Debtor that is communicated to or obtained by Agent or any of its Affiliates in any capacity. Neither Agent or any Co-Collateral Agent nor any of their respective Affiliates nor any of their respective officers, directors, employees, agents or representatives shall be liable to any Lender for any action taken or omitted to be taken by it hereunder or under any other Loan Document, or in connection herewith or therewith, except for damages caused by its or their own gross negligence or willful misconduct as determined by a court of competent jurisdiction in a final and non-appealable judgment.</w:t>
      </w:r>
    </w:p>
    <w:p>
      <w:pPr>
        <w:spacing w:after="0" w:line="200" w:lineRule="exact"/>
        <w:rPr>
          <w:sz w:val="20"/>
          <w:szCs w:val="20"/>
          <w:color w:val="auto"/>
        </w:rPr>
      </w:pPr>
    </w:p>
    <w:p>
      <w:pPr>
        <w:spacing w:after="0" w:line="222"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If Agent shall request instructions from Requisite Lenders, Supermajority Lenders or all affected Lenders with respect to any act or action (including failure to act) in connection with this Agreement or any other Loan Document, then Agent shall be entitled to refrain from such act or taking such action unless and until Agent shall have received instructions from Requisite Lenders, Supermajority Lenders or all affected Lenders, as the case may be, and Agent shall not incur liability to any Person by reason of so refraining. Agent shall be fully justified in failing or refusing to take any action hereunder or under any other Loan Document</w:t>
      </w:r>
    </w:p>
    <w:p>
      <w:pPr>
        <w:spacing w:after="0" w:line="3" w:lineRule="exact"/>
        <w:rPr>
          <w:sz w:val="20"/>
          <w:szCs w:val="20"/>
          <w:color w:val="auto"/>
        </w:rPr>
      </w:pPr>
    </w:p>
    <w:p>
      <w:pPr>
        <w:ind w:left="300" w:hanging="292"/>
        <w:spacing w:after="0"/>
        <w:tabs>
          <w:tab w:leader="none" w:pos="30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if such action would, in the opinion of Agent be contrary to law or the terms of this Agreement or any other Loan Document,</w:t>
      </w:r>
    </w:p>
    <w:p>
      <w:pPr>
        <w:spacing w:after="0" w:line="38" w:lineRule="exact"/>
        <w:rPr>
          <w:rFonts w:ascii="Arial" w:cs="Arial" w:eastAsia="Arial" w:hAnsi="Arial"/>
          <w:sz w:val="19"/>
          <w:szCs w:val="19"/>
          <w:color w:val="auto"/>
        </w:rPr>
      </w:pPr>
    </w:p>
    <w:p>
      <w:pPr>
        <w:jc w:val="both"/>
        <w:ind w:firstLine="8"/>
        <w:spacing w:after="0" w:line="292" w:lineRule="auto"/>
        <w:tabs>
          <w:tab w:leader="none" w:pos="315" w:val="left"/>
        </w:tabs>
        <w:numPr>
          <w:ilvl w:val="0"/>
          <w:numId w:val="219"/>
        </w:numPr>
        <w:rPr>
          <w:rFonts w:ascii="Arial" w:cs="Arial" w:eastAsia="Arial" w:hAnsi="Arial"/>
          <w:sz w:val="19"/>
          <w:szCs w:val="19"/>
          <w:color w:val="auto"/>
        </w:rPr>
      </w:pPr>
      <w:r>
        <w:rPr>
          <w:rFonts w:ascii="Arial" w:cs="Arial" w:eastAsia="Arial" w:hAnsi="Arial"/>
          <w:sz w:val="19"/>
          <w:szCs w:val="19"/>
          <w:color w:val="auto"/>
        </w:rPr>
        <w:t>if such action would, in the reasonable opinion of Agent expose Agent to Environmental Liabilities, or (c) if Agent shall not first be indemnified to its satisfaction against any and all liability and expense which may be incurred by it by reason of taking or continuing to take any such action. Without limiting the foregoing, no Lender shall have any right of action whatsoever against Agent as a result of Agent acting or refraining from acting hereunder or under any other Loan Document in accordance with the instructions of Requisite Lenders, Supermajority Lenders or all affected Lenders, as applicable.</w:t>
      </w:r>
    </w:p>
    <w:p>
      <w:pPr>
        <w:sectPr>
          <w:pgSz w:w="11900" w:h="16838" w:orient="portrait"/>
          <w:cols w:equalWidth="0" w:num="1">
            <w:col w:w="11240"/>
          </w:cols>
          <w:pgMar w:left="320" w:top="1428" w:right="339" w:bottom="1440" w:gutter="0" w:footer="0" w:header="0"/>
        </w:sectPr>
      </w:pPr>
    </w:p>
    <w:bookmarkStart w:id="279" w:name="page280"/>
    <w:bookmarkEnd w:id="279"/>
    <w:p>
      <w:pPr>
        <w:jc w:val="both"/>
        <w:ind w:firstLine="648"/>
        <w:spacing w:after="0" w:line="285" w:lineRule="auto"/>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Agents’ Reliance, Etc.</w:t>
      </w:r>
      <w:r>
        <w:rPr>
          <w:rFonts w:ascii="Arial" w:cs="Arial" w:eastAsia="Arial" w:hAnsi="Arial"/>
          <w:sz w:val="19"/>
          <w:szCs w:val="19"/>
          <w:color w:val="auto"/>
        </w:rPr>
        <w:t xml:space="preserve"> Neither any of Agent or any Co-Collateral Agent nor any of its Affiliates nor any of their respective directors, officers, agents or employees shall be liable for any action taken or not taken by it or them under or in connection with this Agreement or the other Loan Documents, except for damages caused by its or their own gross negligence or willful misconduct or that of its Affiliates or their respective directors, officers, agents or employees as determined by a court of competent jurisdiction in a final and non-appealable judgment. Without limiting the generality of the foregoing, each of Agent and each Co-Collateral Agent: (a) may treat the payee of any Note as the holder thereof until Agent receives written notice of the assignment or transfer thereof signed by such payee and in form reasonably satisfactory to Agent; (b) may consult with legal counsel, independent public accountants and other experts selected by it and shall not be liable for any action taken or omitted to be taken by it in good faith in accordance with the advice of such counsel, accountants or experts; (c) makes no warranty or representation to any Lender and shall not be responsible to any Lender for any statements, warranties or representations made in or in connection with this Agreement or the other Loan Documents; (d) shall not have any duty to ascertain or to inquire as to the performance or observance of any of the terms, covenants or conditions of this Agreement or the other Loan Documents on the part of any Credit Party or to inspect the Collateral (including the books and records) of any Credit Party; (e) shall not be responsible to any Lender for the due execution, legality, validity, enforceability, genuineness, sufficiency or value of this Agreement or the other Loan Documents or any other instrument or document furnished pursuant hereto or thereto; (f) shall incur no liability under or in respect of this Agreement or the other Loan Documents by acting upon any notice, consent, certificate or other instrument or writing (which may be by fax, telegram, cable or telex) believed by it to be genuine and signed or sent by the proper party or parties; and (g) shall be entitled to delegate any of its duties hereunder to one or more sub-agents.</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Except for action requiring the approval of Requisite Lenders, Supermajority Lenders or all Lenders, as the case may be, Agent shall be entitled to use its discretion with respect to exercising or refraining from exercising any rights which may be vested in it by, and with respect to taking or refraining from taking any action or actions which it may be able to take under or in respect of, this Agreement, unless Agent shall have been instructed by Requisite Lenders, Supermajority Lenders or all Lenders, as the case may be, to exercise or refrain from exercising such rights or to take or refrain from taking such action. No Agent shall incur any liability to the Lenders under or in respect of this Agreement with respect to anything which it may do or refrain from doing in the reasonable exercise of its judgment or which may seem to it to be necessary or desirable in the circumstances, except for its own gross negligence, bad faith, material breach or willful misconduct as determined by a court of competent jurisdiction in a final and non-appealable judgment. No Agent shall be liable to any Lender in acting or refraining from acting under this Agreement in accordance with the instructions of Requisite Lenders, Supermajority Lenders or all Lenders, as the case may be, and any action taken or failure to act pursuant to such instructions shall be binding on all Lenders.</w:t>
      </w:r>
    </w:p>
    <w:p>
      <w:pPr>
        <w:spacing w:after="0" w:line="16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10.3 </w:t>
      </w:r>
      <w:r>
        <w:rPr>
          <w:rFonts w:ascii="Arial" w:cs="Arial" w:eastAsia="Arial" w:hAnsi="Arial"/>
          <w:sz w:val="19"/>
          <w:szCs w:val="19"/>
          <w:u w:val="single" w:color="auto"/>
          <w:color w:val="auto"/>
        </w:rPr>
        <w:t>MSSF, JPMorgan Chase and Affiliates</w:t>
      </w:r>
      <w:r>
        <w:rPr>
          <w:rFonts w:ascii="Arial" w:cs="Arial" w:eastAsia="Arial" w:hAnsi="Arial"/>
          <w:sz w:val="19"/>
          <w:szCs w:val="19"/>
          <w:color w:val="auto"/>
        </w:rPr>
        <w:t>. With respect to its Commitments hereunder, each of MSSF and JPMorgan Chase shall have the same rights and powers under this Agreement and the other Loan Documents as any other Lender and may exercise the same as though it were not and Agent; and the term “Lender” or “Lenders” shall, unless otherwise</w:t>
      </w:r>
    </w:p>
    <w:p>
      <w:pPr>
        <w:sectPr>
          <w:pgSz w:w="11900" w:h="16838" w:orient="portrait"/>
          <w:cols w:equalWidth="0" w:num="1">
            <w:col w:w="11240"/>
          </w:cols>
          <w:pgMar w:left="320" w:top="1428" w:right="339" w:bottom="1440" w:gutter="0" w:footer="0" w:header="0"/>
        </w:sectPr>
      </w:pPr>
    </w:p>
    <w:bookmarkStart w:id="280" w:name="page281"/>
    <w:bookmarkEnd w:id="280"/>
    <w:p>
      <w:pPr>
        <w:jc w:val="both"/>
        <w:spacing w:after="0" w:line="261" w:lineRule="auto"/>
        <w:rPr>
          <w:sz w:val="20"/>
          <w:szCs w:val="20"/>
          <w:color w:val="auto"/>
        </w:rPr>
      </w:pPr>
      <w:r>
        <w:rPr>
          <w:rFonts w:ascii="Arial" w:cs="Arial" w:eastAsia="Arial" w:hAnsi="Arial"/>
          <w:sz w:val="21"/>
          <w:szCs w:val="21"/>
          <w:color w:val="auto"/>
        </w:rPr>
        <w:t>expressly indicated, include MSSF in its individual capacity. Each of MSSF and JPMorgan Chase and each of their Affiliates may lend money to, invest in, and generally engage in any kind of business with, any Credit Party, any of their Affiliates and any Person who may do business with or own securities of any Credit Party or any such Affiliate, all as if MSSF and/or JPMorgan Chase, as applicable, were not Agent and without any duty to account therefor to Lenders. Each of MSSF and JPMorgan Chase and each of their Affiliates may accept fees and other consideration from any Credit Party for services in connection with this Agreement or otherwise without having to account for the same to Lenders.</w:t>
      </w:r>
    </w:p>
    <w:p>
      <w:pPr>
        <w:spacing w:after="0" w:line="17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Lender Credit Decision</w:t>
      </w:r>
      <w:r>
        <w:rPr>
          <w:rFonts w:ascii="Arial" w:cs="Arial" w:eastAsia="Arial" w:hAnsi="Arial"/>
          <w:sz w:val="19"/>
          <w:szCs w:val="19"/>
          <w:color w:val="auto"/>
        </w:rPr>
        <w:t xml:space="preserve">. Each Lender acknowledges that it has, independently and without reliance upon Agent or any other Lender and based on the Financial Statements referred to in </w:t>
      </w:r>
      <w:r>
        <w:rPr>
          <w:rFonts w:ascii="Arial" w:cs="Arial" w:eastAsia="Arial" w:hAnsi="Arial"/>
          <w:sz w:val="19"/>
          <w:szCs w:val="19"/>
          <w:u w:val="single" w:color="auto"/>
          <w:color w:val="auto"/>
        </w:rPr>
        <w:t>Section 4.4(a)</w:t>
      </w:r>
      <w:r>
        <w:rPr>
          <w:rFonts w:ascii="Arial" w:cs="Arial" w:eastAsia="Arial" w:hAnsi="Arial"/>
          <w:sz w:val="19"/>
          <w:szCs w:val="19"/>
          <w:color w:val="auto"/>
        </w:rPr>
        <w:t xml:space="preserve"> and such other documents and information as it has deemed appropriate, made its own credit and financial analysis of the Credit Parties and its own decision to enter into this Agreement. Each Lender also acknowledges that it will, independently and without reliance upon Agent or any other Lender and based on such documents and information as it shall deem appropriate at the time, continue to make its own credit decisions in taking or not taking action under this Agreement. Each Lender acknowledges the potential conflict of interest of each other Lender as a result of Lenders holding disproportionate interests in the Loans, and expressly consents to, and waives any claim based upon, such conflict of interest. Each Lender acknowledges the potential conflict of interest between MSSF, as a Lender, holding disproportionate interests in the Loans, and MSSF, as an Agent.</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Indemnification</w:t>
      </w:r>
      <w:r>
        <w:rPr>
          <w:rFonts w:ascii="Arial" w:cs="Arial" w:eastAsia="Arial" w:hAnsi="Arial"/>
          <w:sz w:val="19"/>
          <w:szCs w:val="19"/>
          <w:color w:val="auto"/>
        </w:rPr>
        <w:t xml:space="preserve">. Each Lender severally agrees to indemnify Agent, each Co-Collateral Agent and each L/C Issuer (to the extent not reimbursed by Credit Parties and without limiting the obligations of Credit Parties hereunder), from and against any and all liabilities, obligations, losses, damages, penalties, actions, judgments, suits, costs, expenses or disbursements of any kind or nature whatsoever that may be imposed on, incurred by, or asserted against Agent, any Co-Collateral Agent or any L/C Issuer in any way relating to or arising out of this Agreement or any other Loan Document or any action taken or omitted to be taken by Agent, any Co-Collateral Agent or any L/C Issuer in connection therewith in accordance with its Pro Rata Share; </w:t>
      </w:r>
      <w:r>
        <w:rPr>
          <w:rFonts w:ascii="Arial" w:cs="Arial" w:eastAsia="Arial" w:hAnsi="Arial"/>
          <w:sz w:val="19"/>
          <w:szCs w:val="19"/>
          <w:u w:val="single" w:color="auto"/>
          <w:color w:val="auto"/>
        </w:rPr>
        <w:t>provided</w:t>
      </w:r>
      <w:r>
        <w:rPr>
          <w:rFonts w:ascii="Arial" w:cs="Arial" w:eastAsia="Arial" w:hAnsi="Arial"/>
          <w:sz w:val="19"/>
          <w:szCs w:val="19"/>
          <w:color w:val="auto"/>
        </w:rPr>
        <w:t>, that no Lender shall be liable to Agent, any Co-Collateral Agent or any L/C Issuer for any portion of such liabilities, obligations, losses, damages, penalties, actions, judgments, suits, costs, expenses or disbursements resulting from gross negligence or willful misconduct of Agent or such Co-Collateral Agent or L/C Issuer, as applicable, as determined by a court of competent jurisdiction in a final and non-appealable judgment. Without limiting the foregoing, each Lender severally agrees to reimburse Agent, each Co-Collateral Agent and each L/C Issuer promptly upon demand for its Pro Rata Share of any out-of-pocket expenses (including reasonable counsel fees) incurred by Agent, any Co-Collateral Agent or any L/C Issuer in connection with the preparation, execution, delivery, administration, modification, amendment or enforcement (whether through negotiations, legal proceedings or otherwise) of, or legal advice in respect of rights or responsibilities under, this Agreement and each other Loan Document, to the extent that Agent or such Co-Collateral Agent or L/C Issuer is not reimbursed for such expenses by Credit Parties.</w:t>
      </w:r>
    </w:p>
    <w:p>
      <w:pPr>
        <w:spacing w:after="0" w:line="200" w:lineRule="exact"/>
        <w:rPr>
          <w:sz w:val="20"/>
          <w:szCs w:val="20"/>
          <w:color w:val="auto"/>
        </w:rPr>
      </w:pPr>
    </w:p>
    <w:p>
      <w:pPr>
        <w:spacing w:after="0" w:line="21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10.6</w:t>
      </w:r>
      <w:r>
        <w:rPr>
          <w:sz w:val="20"/>
          <w:szCs w:val="20"/>
          <w:color w:val="auto"/>
        </w:rPr>
        <w:tab/>
      </w:r>
      <w:r>
        <w:rPr>
          <w:rFonts w:ascii="Arial" w:cs="Arial" w:eastAsia="Arial" w:hAnsi="Arial"/>
          <w:sz w:val="19"/>
          <w:szCs w:val="19"/>
          <w:u w:val="single" w:color="auto"/>
          <w:color w:val="auto"/>
        </w:rPr>
        <w:t>Successor Agent and Successor Co-Collaterals</w:t>
      </w:r>
      <w:r>
        <w:rPr>
          <w:rFonts w:ascii="Arial" w:cs="Arial" w:eastAsia="Arial" w:hAnsi="Arial"/>
          <w:sz w:val="19"/>
          <w:szCs w:val="19"/>
          <w:color w:val="auto"/>
        </w:rPr>
        <w:t>.</w:t>
      </w:r>
    </w:p>
    <w:p>
      <w:pPr>
        <w:sectPr>
          <w:pgSz w:w="11900" w:h="16838" w:orient="portrait"/>
          <w:cols w:equalWidth="0" w:num="1">
            <w:col w:w="11240"/>
          </w:cols>
          <w:pgMar w:left="320" w:top="1428" w:right="339" w:bottom="1440" w:gutter="0" w:footer="0" w:header="0"/>
        </w:sectPr>
      </w:pPr>
    </w:p>
    <w:bookmarkStart w:id="281" w:name="page282"/>
    <w:bookmarkEnd w:id="281"/>
    <w:p>
      <w:pPr>
        <w:jc w:val="both"/>
        <w:ind w:left="-780" w:firstLine="1126"/>
        <w:spacing w:after="0" w:line="285" w:lineRule="auto"/>
        <w:tabs>
          <w:tab w:leader="none" w:pos="837"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Agent may resign at any time by giving not less than thirty (30) days’ prior written notice thereof to Lenders and Borrower Representative. Upon any such resignation, the Requisite Lenders (in consultation with Borrower Representative) shall have the right to appoint a successor Agent. If no successor Agent shall have been so appointed by the Requisite Lenders and shall have accepted such appointment within thirty (30) days after the resigning Agent’s giving notice of resignation, then the resigning Agent may, on behalf of Lenders, appoint a successor Agent, which shall be a Lender, if a Lender is willing to accept such appointment, or otherwise shall be a commercial bank, financial institution or trust company. If no successor Agent has been appointed pursuant to the foregoing, within thirty (30) days after the date such notice of resignation was given by the resigning Agent, such resignation shall become effective and the Requisite Lenders shall thereafter perform all the duties of Agent hereunder, in each case, until such time, if any, as the Requisite Lenders appoint a successor Agent as provided above. Any successor Agent appointed by Requisite Lenders hereunder shall be subject to the approval of Borrower Representative, such approval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approval shall not be required if an Event of Default has occurred and is continuing. Upon the acceptance of any appointment as Agent hereunder by a successor Agent, such successor Agent shall succeed to and become vested with all the rights, powers, privileges and duties of the resigning Agent. Upon the earlier of the acceptance of any appointment as Agent hereunder by a successor Agent or the effective date of the resigning Agent’s resignation, the resigning Agent shall be discharged from its duties and obligations under this Agreement and the other Loan Documents, except that any indemnity rights or other rights in favor of such resigning Agent shall continue. After any resigning Agent’s resignation hereunder, the provisions of this </w:t>
      </w:r>
      <w:r>
        <w:rPr>
          <w:rFonts w:ascii="Arial" w:cs="Arial" w:eastAsia="Arial" w:hAnsi="Arial"/>
          <w:sz w:val="19"/>
          <w:szCs w:val="19"/>
          <w:u w:val="single" w:color="auto"/>
          <w:color w:val="auto"/>
        </w:rPr>
        <w:t>Section 10</w:t>
      </w:r>
      <w:r>
        <w:rPr>
          <w:rFonts w:ascii="Arial" w:cs="Arial" w:eastAsia="Arial" w:hAnsi="Arial"/>
          <w:sz w:val="19"/>
          <w:szCs w:val="19"/>
          <w:color w:val="auto"/>
        </w:rPr>
        <w:t xml:space="preserve"> shall inure to its benefit as to any actions taken or omitted to be taken by it while it was acting as Agent under this Agreement and the other Loan Documents.</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780" w:firstLine="1126"/>
        <w:spacing w:after="0" w:line="286" w:lineRule="auto"/>
        <w:tabs>
          <w:tab w:leader="none" w:pos="835" w:val="left"/>
        </w:tabs>
        <w:numPr>
          <w:ilvl w:val="0"/>
          <w:numId w:val="220"/>
        </w:numPr>
        <w:rPr>
          <w:rFonts w:ascii="Arial" w:cs="Arial" w:eastAsia="Arial" w:hAnsi="Arial"/>
          <w:sz w:val="19"/>
          <w:szCs w:val="19"/>
          <w:color w:val="auto"/>
        </w:rPr>
      </w:pPr>
      <w:r>
        <w:rPr>
          <w:rFonts w:ascii="Arial" w:cs="Arial" w:eastAsia="Arial" w:hAnsi="Arial"/>
          <w:sz w:val="19"/>
          <w:szCs w:val="19"/>
          <w:color w:val="auto"/>
        </w:rPr>
        <w:t xml:space="preserve">Any Co-Collateral Agent may resign at any time by giving not less than thirty (30) days’ prior written notice thereof to Agent, Lenders and Borrower Representative. Upon any such resignation, the Requisite Lenders (in consultation with Borrower Representative) shall have the right to appoint a successor Co-Collateral Agent. If no successor Co-Collateral Agent has been appointed pursuant to the foregoing, within thirty (30) days after the date such notice of resignation was given by the resigning Co-Collateral Agent, such resignation shall become effective and, if both Co-Collateral Agents have resigned without being replaced, the Requisite Lenders shall thereafter perform all the duties of Co-Collateral Agent hereunder, in each case, until such time, if any, as the Requisite Lenders appoint a successor Co-Collateral Agent as provided above. Any successor Co-Collateral Agent appointed by Requisite Lenders hereunder shall be subject to the approval of Borrower Representative, such approval not to be unreasonably withheld or delayed;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approval shall not be required if an Event of Default has occurred and is continuing. Upon the acceptance of any appointment as Co-Collateral Agent hereunder by a successor Co-Collateral Agent, such successor Co-Collateral Agent shall succeed to and become vested with all the rights, powers, privileges and duties of the resigning Co-Collateral Agent. Upon the earlier of the acceptance of any appointment as Co-Collateral Agent hereunder by a successor Co-Collateral Agent or the effective date of the resigning Co-Collateral Agent’s resignation, the resigning Co-Collateral Agent shall be discharged</w:t>
      </w:r>
    </w:p>
    <w:p>
      <w:pPr>
        <w:sectPr>
          <w:pgSz w:w="11900" w:h="16838" w:orient="portrait"/>
          <w:cols w:equalWidth="0" w:num="1">
            <w:col w:w="10120"/>
          </w:cols>
          <w:pgMar w:left="1440" w:top="1428" w:right="339" w:bottom="1440" w:gutter="0" w:footer="0" w:header="0"/>
        </w:sectPr>
      </w:pPr>
    </w:p>
    <w:bookmarkStart w:id="282" w:name="page283"/>
    <w:bookmarkEnd w:id="282"/>
    <w:p>
      <w:pPr>
        <w:jc w:val="both"/>
        <w:ind w:left="340"/>
        <w:spacing w:after="0" w:line="265" w:lineRule="auto"/>
        <w:rPr>
          <w:sz w:val="20"/>
          <w:szCs w:val="20"/>
          <w:color w:val="auto"/>
        </w:rPr>
      </w:pPr>
      <w:r>
        <w:rPr>
          <w:rFonts w:ascii="Arial" w:cs="Arial" w:eastAsia="Arial" w:hAnsi="Arial"/>
          <w:sz w:val="21"/>
          <w:szCs w:val="21"/>
          <w:color w:val="auto"/>
        </w:rPr>
        <w:t xml:space="preserve">from its duties and obligations under this Agreement and the other Loan Documents, except that any indemnity rights or other rights in favor of such resigning Co-Collateral Agent shall continue. After any resigning Co-Collateral Agent’s resignation hereunder, the provisions of this </w:t>
      </w:r>
      <w:r>
        <w:rPr>
          <w:rFonts w:ascii="Arial" w:cs="Arial" w:eastAsia="Arial" w:hAnsi="Arial"/>
          <w:sz w:val="21"/>
          <w:szCs w:val="21"/>
          <w:u w:val="single" w:color="auto"/>
          <w:color w:val="auto"/>
        </w:rPr>
        <w:t>Section 10</w:t>
      </w:r>
      <w:r>
        <w:rPr>
          <w:rFonts w:ascii="Arial" w:cs="Arial" w:eastAsia="Arial" w:hAnsi="Arial"/>
          <w:sz w:val="21"/>
          <w:szCs w:val="21"/>
          <w:color w:val="auto"/>
        </w:rPr>
        <w:t xml:space="preserve"> shall inure to its benefit as to any actions taken or omitted to be taken by it while it was acting as Co-Collateral Agent under this Agreement and the other Loan Documents.</w:t>
      </w:r>
    </w:p>
    <w:p>
      <w:pPr>
        <w:spacing w:after="0" w:line="1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9"/>
          <w:szCs w:val="19"/>
          <w:u w:val="single" w:color="auto"/>
          <w:color w:val="auto"/>
        </w:rPr>
        <w:t>Setoff and Sharing of Payments</w:t>
      </w:r>
      <w:r>
        <w:rPr>
          <w:rFonts w:ascii="Arial" w:cs="Arial" w:eastAsia="Arial" w:hAnsi="Arial"/>
          <w:sz w:val="19"/>
          <w:szCs w:val="19"/>
          <w:color w:val="auto"/>
        </w:rPr>
        <w:t xml:space="preserve">. In addition to any rights now or hereafter granted under applicable law and not by way of limitation of any such rights, upon the occurrence and during the continuance of any Event of Default, each Lender and L/C Issuer is hereby authorized at any time or from time to time, without prior notice to any Credit Party or to any Person other than Agent, any such notice being hereby expressly waived, to offset and to appropriate and to apply any and all balances held by it at any of its offices for the account (other than Excluded Accounts (as defined in the U.S. Security Agreement)) of a Credit Party (regardless of whether such balances are then due to such Credit Party) and any other Indebtedness at any time held or owing by that Lender or that holder to or for the credit or for the account of a Credit Party against and on account of any of the Obligations that are not paid when due;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Lender exercising such offset rights shall give notice thereof to the affected Credit Party promptly after exercising such rights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Lender may not offset or appropriate and apply any balances held by it for the account of any Canadian Borrower or any Canadian Guarantor or any other Indebtedness held or owing by that Lender to or for the credit or for the account of any Canadian Borrower or any Canadian Guarantor against or on account of any Obligations of a U.S. Borrower or U.S. Guarantor. Any Lender exercising a right of setoff or otherwise receiving any payment on account of the Obligations in excess of its Pro Rata Share thereof shall purchase for cash (and the other Lenders or holders shall sell) such participations in each such other Lender’s or holder’s Pro Rata Share of the Obligations as would be necessary to cause such Lender to share the amount so offset or otherwise received with each other Lender or holder in accordance with their respective Pro Rata Shares (other than offset rights exercised by any Lender with respect to </w:t>
      </w:r>
      <w:r>
        <w:rPr>
          <w:rFonts w:ascii="Arial" w:cs="Arial" w:eastAsia="Arial" w:hAnsi="Arial"/>
          <w:sz w:val="19"/>
          <w:szCs w:val="19"/>
          <w:u w:val="single" w:color="auto"/>
          <w:color w:val="auto"/>
        </w:rPr>
        <w:t>Sections 2.11</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Each Lender’s obligation under this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shall be in addition to and not in limitation of its obligations to purchase a participation in an amount equal to its Pro Rata Share of the Swing Line Loans under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and Letter of Credit Obligations under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Each Credit Party agrees, to the fullest extent permitted by law and subject to the limitations set forth herein, that any Lender may exercise its right to offset with respect to amounts in excess of its Pro Rata Share of the Obligations owed to it and may sell participations in such amounts so offset to other Lenders and holders. Notwithstanding the foregoing, if all or any portion of the offset amount or payment otherwise received is thereafter recovered from the Lender that has exercised the right of offset, the purchase of participations by that Lender shall be rescinded and the purchase price restored without interest. If a Non-Funding Lender or Impacted Lender receives any such payment as described in this </w:t>
      </w:r>
      <w:r>
        <w:rPr>
          <w:rFonts w:ascii="Arial" w:cs="Arial" w:eastAsia="Arial" w:hAnsi="Arial"/>
          <w:sz w:val="19"/>
          <w:szCs w:val="19"/>
          <w:u w:val="single" w:color="auto"/>
          <w:color w:val="auto"/>
        </w:rPr>
        <w:t>Section 10.7</w:t>
      </w:r>
      <w:r>
        <w:rPr>
          <w:rFonts w:ascii="Arial" w:cs="Arial" w:eastAsia="Arial" w:hAnsi="Arial"/>
          <w:sz w:val="19"/>
          <w:szCs w:val="19"/>
          <w:color w:val="auto"/>
        </w:rPr>
        <w:t xml:space="preserve">, such Lender shall turn over such payments to Agent in an amount that would satisfy the cash collateral requirements set forth in </w:t>
      </w:r>
      <w:r>
        <w:rPr>
          <w:rFonts w:ascii="Arial" w:cs="Arial" w:eastAsia="Arial" w:hAnsi="Arial"/>
          <w:sz w:val="19"/>
          <w:szCs w:val="19"/>
          <w:u w:val="single" w:color="auto"/>
          <w:color w:val="auto"/>
        </w:rPr>
        <w:t>Section 10.8(a)</w:t>
      </w:r>
      <w:r>
        <w:rPr>
          <w:rFonts w:ascii="Arial" w:cs="Arial" w:eastAsia="Arial" w:hAnsi="Arial"/>
          <w:sz w:val="19"/>
          <w:szCs w:val="19"/>
          <w:color w:val="auto"/>
        </w:rPr>
        <w:t xml:space="preserve">. Notwithstanding anything in this </w:t>
      </w:r>
      <w:r>
        <w:rPr>
          <w:rFonts w:ascii="Arial" w:cs="Arial" w:eastAsia="Arial" w:hAnsi="Arial"/>
          <w:sz w:val="19"/>
          <w:szCs w:val="19"/>
          <w:u w:val="single" w:color="auto"/>
          <w:color w:val="auto"/>
        </w:rPr>
        <w:t>Section 10.7</w:t>
      </w:r>
      <w:r>
        <w:rPr>
          <w:rFonts w:ascii="Arial" w:cs="Arial" w:eastAsia="Arial" w:hAnsi="Arial"/>
          <w:sz w:val="19"/>
          <w:szCs w:val="19"/>
          <w:color w:val="auto"/>
        </w:rPr>
        <w:t>, amounts in accounts of the Canadian Borrowers shall not be used to set off the Obligations of the U.S. Borrowers.</w:t>
      </w:r>
    </w:p>
    <w:p>
      <w:pPr>
        <w:sectPr>
          <w:pgSz w:w="11900" w:h="16838" w:orient="portrait"/>
          <w:cols w:equalWidth="0" w:num="1">
            <w:col w:w="11240"/>
          </w:cols>
          <w:pgMar w:left="320" w:top="1428" w:right="339" w:bottom="1440" w:gutter="0" w:footer="0" w:header="0"/>
        </w:sectPr>
      </w:pPr>
    </w:p>
    <w:bookmarkStart w:id="283" w:name="page284"/>
    <w:bookmarkEnd w:id="283"/>
    <w:p>
      <w:pPr>
        <w:ind w:firstLine="648"/>
        <w:spacing w:after="0" w:line="263"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22"/>
          <w:szCs w:val="22"/>
          <w:u w:val="single" w:color="auto"/>
          <w:color w:val="auto"/>
        </w:rPr>
        <w:t>Advances; Payments; Availability of Lender’s Pro Rata Share; Return of Payments; Non-Funding Lenders;</w:t>
      </w:r>
      <w:r>
        <w:rPr>
          <w:rFonts w:ascii="Arial" w:cs="Arial" w:eastAsia="Arial" w:hAnsi="Arial"/>
          <w:sz w:val="22"/>
          <w:szCs w:val="22"/>
          <w:color w:val="auto"/>
        </w:rPr>
        <w:t xml:space="preserve"> </w:t>
      </w:r>
      <w:r>
        <w:rPr>
          <w:rFonts w:ascii="Arial" w:cs="Arial" w:eastAsia="Arial" w:hAnsi="Arial"/>
          <w:sz w:val="22"/>
          <w:szCs w:val="22"/>
          <w:u w:val="single" w:color="auto"/>
          <w:color w:val="auto"/>
        </w:rPr>
        <w:t>Dissemination of Information; Actions in Concert</w:t>
      </w:r>
      <w:r>
        <w:rPr>
          <w:rFonts w:ascii="Arial" w:cs="Arial" w:eastAsia="Arial" w:hAnsi="Arial"/>
          <w:sz w:val="22"/>
          <w:szCs w:val="22"/>
          <w:color w:val="auto"/>
        </w:rPr>
        <w:t>.</w:t>
      </w:r>
    </w:p>
    <w:p>
      <w:pPr>
        <w:spacing w:after="0" w:line="175" w:lineRule="exact"/>
        <w:rPr>
          <w:sz w:val="20"/>
          <w:szCs w:val="20"/>
          <w:color w:val="auto"/>
        </w:rPr>
      </w:pPr>
    </w:p>
    <w:p>
      <w:pPr>
        <w:ind w:left="1940" w:hanging="312"/>
        <w:spacing w:after="0"/>
        <w:tabs>
          <w:tab w:leader="none" w:pos="1940" w:val="left"/>
        </w:tabs>
        <w:numPr>
          <w:ilvl w:val="0"/>
          <w:numId w:val="221"/>
        </w:numPr>
        <w:rPr>
          <w:rFonts w:ascii="Arial" w:cs="Arial" w:eastAsia="Arial" w:hAnsi="Arial"/>
          <w:sz w:val="22"/>
          <w:szCs w:val="22"/>
          <w:color w:val="auto"/>
        </w:rPr>
      </w:pPr>
      <w:r>
        <w:rPr>
          <w:rFonts w:ascii="Arial" w:cs="Arial" w:eastAsia="Arial" w:hAnsi="Arial"/>
          <w:sz w:val="22"/>
          <w:szCs w:val="22"/>
          <w:u w:val="single" w:color="auto"/>
          <w:color w:val="auto"/>
        </w:rPr>
        <w:t>Advances; Payments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340" w:firstLine="1732"/>
        <w:spacing w:after="0" w:line="287" w:lineRule="auto"/>
        <w:tabs>
          <w:tab w:leader="none" w:pos="2608" w:val="left"/>
        </w:tabs>
        <w:numPr>
          <w:ilvl w:val="1"/>
          <w:numId w:val="221"/>
        </w:numPr>
        <w:rPr>
          <w:rFonts w:ascii="Arial" w:cs="Arial" w:eastAsia="Arial" w:hAnsi="Arial"/>
          <w:sz w:val="19"/>
          <w:szCs w:val="19"/>
          <w:color w:val="auto"/>
        </w:rPr>
      </w:pPr>
      <w:r>
        <w:rPr>
          <w:rFonts w:ascii="Arial" w:cs="Arial" w:eastAsia="Arial" w:hAnsi="Arial"/>
          <w:sz w:val="19"/>
          <w:szCs w:val="19"/>
          <w:color w:val="auto"/>
        </w:rPr>
        <w:t xml:space="preserve">Lenders shall refund or participate in the Swing Line Loan in accordance with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2.1(b)</w:t>
      </w:r>
      <w:r>
        <w:rPr>
          <w:rFonts w:ascii="Arial" w:cs="Arial" w:eastAsia="Arial" w:hAnsi="Arial"/>
          <w:sz w:val="19"/>
          <w:szCs w:val="19"/>
          <w:color w:val="auto"/>
        </w:rPr>
        <w:t xml:space="preserve">. If Swing Line Lender declines to make a Swing Line Loan or if Swing Line Availability is zero, Agent shall notify Lenders, promptly after receipt of a Notice of Revolving Credit Advance and in any event prior to 1:00 p.m. (New York time) on the date such Notice of Revolving Credit Advance is received, by fax, telephone or other similar form of transmission. Each Lender shall make the amount of such Lender’s Pro Rata Share of such Revolving Credit Advance available to Agent in same day funds by wire transfer to Agent’s account as set forth in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not later than 3:00 p.m. (New York time) on the requested funding date, in the case of a Base Rate Loan, and not later than 11:00 a.m. (New York time) on the requested funding date, in the case of a LIBOR Loan. After receipt of such wire transfers (or, in Agent’s sole discretion, before receipt of such wire transfers), subject to the terms hereof, Agent shall make the requested Revolving Credit Advance to the applicable Borrower designated by Borrower Representative in the Notice of Revolving Credit Advance. All payments by each Lender shall be made without setoff, counterclaim or deduction of any kind.</w:t>
      </w:r>
    </w:p>
    <w:p>
      <w:pPr>
        <w:spacing w:after="0" w:line="163" w:lineRule="exact"/>
        <w:rPr>
          <w:rFonts w:ascii="Arial" w:cs="Arial" w:eastAsia="Arial" w:hAnsi="Arial"/>
          <w:sz w:val="19"/>
          <w:szCs w:val="19"/>
          <w:color w:val="auto"/>
        </w:rPr>
      </w:pPr>
    </w:p>
    <w:p>
      <w:pPr>
        <w:jc w:val="both"/>
        <w:ind w:left="340" w:firstLine="1672"/>
        <w:spacing w:after="0" w:line="285" w:lineRule="auto"/>
        <w:tabs>
          <w:tab w:leader="none" w:pos="2608" w:val="left"/>
        </w:tabs>
        <w:numPr>
          <w:ilvl w:val="1"/>
          <w:numId w:val="221"/>
        </w:numPr>
        <w:rPr>
          <w:rFonts w:ascii="Arial" w:cs="Arial" w:eastAsia="Arial" w:hAnsi="Arial"/>
          <w:sz w:val="19"/>
          <w:szCs w:val="19"/>
          <w:color w:val="auto"/>
        </w:rPr>
      </w:pPr>
      <w:r>
        <w:rPr>
          <w:rFonts w:ascii="Arial" w:cs="Arial" w:eastAsia="Arial" w:hAnsi="Arial"/>
          <w:sz w:val="19"/>
          <w:szCs w:val="19"/>
          <w:color w:val="auto"/>
        </w:rPr>
        <w:t>Not less than once during each calendar week or more frequently at Agent’s election (each, a “</w:t>
      </w:r>
      <w:r>
        <w:rPr>
          <w:rFonts w:ascii="Arial" w:cs="Arial" w:eastAsia="Arial" w:hAnsi="Arial"/>
          <w:sz w:val="19"/>
          <w:szCs w:val="19"/>
          <w:u w:val="single" w:color="auto"/>
          <w:color w:val="auto"/>
        </w:rPr>
        <w:t>Settlement Date</w:t>
      </w:r>
      <w:r>
        <w:rPr>
          <w:rFonts w:ascii="Arial" w:cs="Arial" w:eastAsia="Arial" w:hAnsi="Arial"/>
          <w:sz w:val="19"/>
          <w:szCs w:val="19"/>
          <w:color w:val="auto"/>
        </w:rPr>
        <w:t>”), Agent shall advise each Lender by telephone (confirmed promptly thereafter in writing), fax, or similar form of transmission, of the amount of such Lender’s Pro Rata Share of principal, interest and Fees paid for the benefit of Lenders with respect to each applicable Loan. Provided that each Lender has funded all payments or Advances required to be made by it and has purchased all participations required to be purchased by it under this Agreement and the other Loan Documents as of such Settlement Date, Agent shall pay to each Lender such Lender’s Pro Rata Share of principal, interest and Fees paid by Borrowers since the previous Settlement Date for the benefit of such Lender on the Loans held by it. Agent shall be entitled to set off the funding short-fall against any Non-Funding Lender’s Pro Rata Share of all payments received from Borrowers and hold, in a non-interest bearing account, all payments received by Agent for the benefit of any Non-Funding Lender pursuant to this Agreement as cash collateral for any unfunded reimbursement obligations of such Non-Funding Lender until the Obligations are paid in full in cash, all Letter of Credit Obligations have been discharged or cash collateralized and all Commitments have been terminated, and upon such unfunded obligations owing by a Non-Funding Lender becoming due and payable, Agent shall be authorized to use such cash collateral to make such payment on behalf of such Non-Funding Lender. Any amounts owing by a Non-Funding Lender to Agent which are not paid when due shall accrue interest at the interest rate applicable during such period to Revolving Loans that are Base Rate Loans. Such payments shall be made by wire transfer to such Lender’s account (as specified in writing by such Lender to Agent) not later than 2:00 p.m. (New York time) on the next Business Day following each Settlement Date.</w:t>
      </w:r>
    </w:p>
    <w:p>
      <w:pPr>
        <w:sectPr>
          <w:pgSz w:w="11900" w:h="16838" w:orient="portrait"/>
          <w:cols w:equalWidth="0" w:num="1">
            <w:col w:w="11240"/>
          </w:cols>
          <w:pgMar w:left="320" w:top="1428" w:right="339" w:bottom="1440" w:gutter="0" w:footer="0" w:header="0"/>
        </w:sectPr>
      </w:pPr>
    </w:p>
    <w:bookmarkStart w:id="284" w:name="page285"/>
    <w:bookmarkEnd w:id="284"/>
    <w:p>
      <w:pPr>
        <w:jc w:val="both"/>
        <w:ind w:left="-780" w:firstLine="1288"/>
        <w:spacing w:after="0" w:line="286" w:lineRule="auto"/>
        <w:tabs>
          <w:tab w:leader="none" w:pos="835" w:val="left"/>
        </w:tabs>
        <w:numPr>
          <w:ilvl w:val="0"/>
          <w:numId w:val="222"/>
        </w:numPr>
        <w:rPr>
          <w:rFonts w:ascii="Arial" w:cs="Arial" w:eastAsia="Arial" w:hAnsi="Arial"/>
          <w:sz w:val="19"/>
          <w:szCs w:val="19"/>
          <w:color w:val="auto"/>
        </w:rPr>
      </w:pPr>
      <w:r>
        <w:rPr>
          <w:rFonts w:ascii="Arial" w:cs="Arial" w:eastAsia="Arial" w:hAnsi="Arial"/>
          <w:sz w:val="19"/>
          <w:szCs w:val="19"/>
          <w:u w:val="single" w:color="auto"/>
          <w:color w:val="auto"/>
        </w:rPr>
        <w:t>Availability of Lender’s Pro Rata Share</w:t>
      </w:r>
      <w:r>
        <w:rPr>
          <w:rFonts w:ascii="Arial" w:cs="Arial" w:eastAsia="Arial" w:hAnsi="Arial"/>
          <w:sz w:val="19"/>
          <w:szCs w:val="19"/>
          <w:color w:val="auto"/>
        </w:rPr>
        <w:t xml:space="preserve">. Agent may assume that each Lender will make its Pro Rata Share of each Revolving Credit Advance available to Agent on each funding date unless Agent has received prior written notice from such Lender that it does not intend to make its Pro Rata Share of a Loan because all or any of the conditions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have not been satisfied. If such Pro Rata Share is not, in fact, paid to Agent by such Lender when due, Agent will be entitled to recover such amount on demand from such Lender without setoff, counterclaim or deduction of any kind. If any Lender fails to pay the amount of its Pro Rata Share forthwith upon Agent’s demand, Agent shall promptly notify Borrower Representative and Borrowers shall repay such amount to Agent within three (3) Business Days of such demand. Nothing in this </w:t>
      </w:r>
      <w:r>
        <w:rPr>
          <w:rFonts w:ascii="Arial" w:cs="Arial" w:eastAsia="Arial" w:hAnsi="Arial"/>
          <w:sz w:val="19"/>
          <w:szCs w:val="19"/>
          <w:u w:val="single" w:color="auto"/>
          <w:color w:val="auto"/>
        </w:rPr>
        <w:t>Section 10.8(b)</w:t>
      </w:r>
      <w:r>
        <w:rPr>
          <w:rFonts w:ascii="Arial" w:cs="Arial" w:eastAsia="Arial" w:hAnsi="Arial"/>
          <w:sz w:val="19"/>
          <w:szCs w:val="19"/>
          <w:color w:val="auto"/>
        </w:rPr>
        <w:t xml:space="preserve"> or elsewhere in this Agreement or the other Loan Documents shall be deemed to require Agent to advance funds on behalf of any Lender or to relieve any Lender from its obligation to fulfill its Commitments hereunder or to prejudice any rights that Borrowers may have against any Lender as a result of any default by such Lender hereunder. Unless Agent has received prior written notice from a Lender that it does not intend to make its Pro Rata Share of each Loan available to Agent because all or any of the conditions set forth in </w:t>
      </w:r>
      <w:r>
        <w:rPr>
          <w:rFonts w:ascii="Arial" w:cs="Arial" w:eastAsia="Arial" w:hAnsi="Arial"/>
          <w:sz w:val="19"/>
          <w:szCs w:val="19"/>
          <w:u w:val="single" w:color="auto"/>
          <w:color w:val="auto"/>
        </w:rPr>
        <w:t>Section 3.2</w:t>
      </w:r>
      <w:r>
        <w:rPr>
          <w:rFonts w:ascii="Arial" w:cs="Arial" w:eastAsia="Arial" w:hAnsi="Arial"/>
          <w:sz w:val="19"/>
          <w:szCs w:val="19"/>
          <w:color w:val="auto"/>
        </w:rPr>
        <w:t xml:space="preserve"> have not been satisfied to the extent that Agent advances funds to any Borrower on behalf of any Lender and is not reimbursed therefor on the same Business Day as such Advance is made, Agent shall be entitled to retain for its account all interest accrued on such Advance until reimbursed by such Lender.</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820" w:hanging="312"/>
        <w:spacing w:after="0"/>
        <w:tabs>
          <w:tab w:leader="none" w:pos="820" w:val="left"/>
        </w:tabs>
        <w:numPr>
          <w:ilvl w:val="0"/>
          <w:numId w:val="222"/>
        </w:numPr>
        <w:rPr>
          <w:rFonts w:ascii="Arial" w:cs="Arial" w:eastAsia="Arial" w:hAnsi="Arial"/>
          <w:sz w:val="22"/>
          <w:szCs w:val="22"/>
          <w:color w:val="auto"/>
        </w:rPr>
      </w:pPr>
      <w:r>
        <w:rPr>
          <w:rFonts w:ascii="Arial" w:cs="Arial" w:eastAsia="Arial" w:hAnsi="Arial"/>
          <w:sz w:val="22"/>
          <w:szCs w:val="22"/>
          <w:u w:val="single" w:color="auto"/>
          <w:color w:val="auto"/>
        </w:rPr>
        <w:t>Return of Payments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780" w:firstLine="1732"/>
        <w:spacing w:after="0" w:line="250" w:lineRule="auto"/>
        <w:tabs>
          <w:tab w:leader="none" w:pos="1488" w:val="left"/>
        </w:tabs>
        <w:numPr>
          <w:ilvl w:val="1"/>
          <w:numId w:val="222"/>
        </w:numPr>
        <w:rPr>
          <w:rFonts w:ascii="Arial" w:cs="Arial" w:eastAsia="Arial" w:hAnsi="Arial"/>
          <w:sz w:val="22"/>
          <w:szCs w:val="22"/>
          <w:color w:val="auto"/>
        </w:rPr>
      </w:pPr>
      <w:r>
        <w:rPr>
          <w:rFonts w:ascii="Arial" w:cs="Arial" w:eastAsia="Arial" w:hAnsi="Arial"/>
          <w:sz w:val="22"/>
          <w:szCs w:val="22"/>
          <w:color w:val="auto"/>
        </w:rPr>
        <w:t>If Agent pays an amount to a Lender under this Agreement in the belief or expectation that a related payment has been or will be received by Agent from Borrowers and such related payment is not received by Agent, then Agent will be entitled to recover such amount from such Lender on demand without setoff, counterclaim or deduction of any kind.</w:t>
      </w:r>
    </w:p>
    <w:p>
      <w:pPr>
        <w:spacing w:after="0" w:line="187" w:lineRule="exact"/>
        <w:rPr>
          <w:rFonts w:ascii="Arial" w:cs="Arial" w:eastAsia="Arial" w:hAnsi="Arial"/>
          <w:sz w:val="22"/>
          <w:szCs w:val="22"/>
          <w:color w:val="auto"/>
        </w:rPr>
      </w:pPr>
    </w:p>
    <w:p>
      <w:pPr>
        <w:jc w:val="both"/>
        <w:ind w:left="-780" w:firstLine="1672"/>
        <w:spacing w:after="0" w:line="261" w:lineRule="auto"/>
        <w:tabs>
          <w:tab w:leader="none" w:pos="1488" w:val="left"/>
        </w:tabs>
        <w:numPr>
          <w:ilvl w:val="1"/>
          <w:numId w:val="222"/>
        </w:numPr>
        <w:rPr>
          <w:rFonts w:ascii="Arial" w:cs="Arial" w:eastAsia="Arial" w:hAnsi="Arial"/>
          <w:sz w:val="21"/>
          <w:szCs w:val="21"/>
          <w:color w:val="auto"/>
        </w:rPr>
      </w:pPr>
      <w:r>
        <w:rPr>
          <w:rFonts w:ascii="Arial" w:cs="Arial" w:eastAsia="Arial" w:hAnsi="Arial"/>
          <w:sz w:val="21"/>
          <w:szCs w:val="21"/>
          <w:color w:val="auto"/>
        </w:rPr>
        <w:t>If Agent determines at any time that any amount received by Agent under this Agreement must be returned to any Borrower or paid to any other Person pursuant to any Insolvency Law or otherwise, then, notwithstanding any other term or condition of this Agreement or any other Loan Document, Agent will not be required to distribute any portion thereof to any Lender. In addition, each Lender will repay to Agent on demand any portion of such amount that Agent has distributed to such Lender, together with interest at such rate, if any, as Agent is required to pay to any Borrower or such other Person, without setoff, counterclaim or deduction of any kind.</w:t>
      </w:r>
    </w:p>
    <w:p>
      <w:pPr>
        <w:spacing w:after="0" w:line="179" w:lineRule="exact"/>
        <w:rPr>
          <w:rFonts w:ascii="Arial" w:cs="Arial" w:eastAsia="Arial" w:hAnsi="Arial"/>
          <w:sz w:val="21"/>
          <w:szCs w:val="21"/>
          <w:color w:val="auto"/>
        </w:rPr>
      </w:pPr>
    </w:p>
    <w:p>
      <w:pPr>
        <w:jc w:val="both"/>
        <w:ind w:left="-780" w:firstLine="1288"/>
        <w:spacing w:after="0" w:line="247" w:lineRule="auto"/>
        <w:tabs>
          <w:tab w:leader="none" w:pos="835" w:val="left"/>
        </w:tabs>
        <w:numPr>
          <w:ilvl w:val="0"/>
          <w:numId w:val="222"/>
        </w:numPr>
        <w:rPr>
          <w:rFonts w:ascii="Arial" w:cs="Arial" w:eastAsia="Arial" w:hAnsi="Arial"/>
          <w:sz w:val="22"/>
          <w:szCs w:val="22"/>
          <w:color w:val="auto"/>
        </w:rPr>
      </w:pPr>
      <w:r>
        <w:rPr>
          <w:rFonts w:ascii="Arial" w:cs="Arial" w:eastAsia="Arial" w:hAnsi="Arial"/>
          <w:sz w:val="22"/>
          <w:szCs w:val="22"/>
          <w:u w:val="single" w:color="auto"/>
          <w:color w:val="auto"/>
        </w:rPr>
        <w:t>Non-Funding Lenders</w:t>
      </w:r>
      <w:r>
        <w:rPr>
          <w:rFonts w:ascii="Arial" w:cs="Arial" w:eastAsia="Arial" w:hAnsi="Arial"/>
          <w:sz w:val="22"/>
          <w:szCs w:val="22"/>
          <w:color w:val="auto"/>
        </w:rPr>
        <w:t>. The failure of any Non-Funding Lender to make any Advance, reimbursement of any Letter of Credit Obligation or any payment required by it hereunder or to purchase any participation in any Swing Line Loan to be made or purchased by it on the date specified therefor shall not relieve any other Lender (each such other Lender, an “</w:t>
      </w:r>
      <w:r>
        <w:rPr>
          <w:rFonts w:ascii="Arial" w:cs="Arial" w:eastAsia="Arial" w:hAnsi="Arial"/>
          <w:sz w:val="22"/>
          <w:szCs w:val="22"/>
          <w:u w:val="single" w:color="auto"/>
          <w:color w:val="auto"/>
        </w:rPr>
        <w:t>Other Lender</w:t>
      </w:r>
      <w:r>
        <w:rPr>
          <w:rFonts w:ascii="Arial" w:cs="Arial" w:eastAsia="Arial" w:hAnsi="Arial"/>
          <w:sz w:val="22"/>
          <w:szCs w:val="22"/>
          <w:color w:val="auto"/>
        </w:rPr>
        <w:t>”) of its obligations to make such Advance or purchase such participation on such date, but neither any Other Lender nor Agent shall be responsible for the failure of any Non-Funding Lender to make an Advance, purchase a participation or</w:t>
      </w:r>
    </w:p>
    <w:p>
      <w:pPr>
        <w:sectPr>
          <w:pgSz w:w="11900" w:h="16838" w:orient="portrait"/>
          <w:cols w:equalWidth="0" w:num="1">
            <w:col w:w="10120"/>
          </w:cols>
          <w:pgMar w:left="1440" w:top="1428" w:right="339" w:bottom="1440" w:gutter="0" w:footer="0" w:header="0"/>
        </w:sectPr>
      </w:pPr>
    </w:p>
    <w:bookmarkStart w:id="285" w:name="page286"/>
    <w:bookmarkEnd w:id="285"/>
    <w:p>
      <w:pPr>
        <w:jc w:val="both"/>
        <w:ind w:left="340"/>
        <w:spacing w:after="0" w:line="285" w:lineRule="auto"/>
        <w:rPr>
          <w:sz w:val="20"/>
          <w:szCs w:val="20"/>
          <w:color w:val="auto"/>
        </w:rPr>
      </w:pPr>
      <w:r>
        <w:rPr>
          <w:rFonts w:ascii="Arial" w:cs="Arial" w:eastAsia="Arial" w:hAnsi="Arial"/>
          <w:sz w:val="19"/>
          <w:szCs w:val="19"/>
          <w:color w:val="auto"/>
        </w:rPr>
        <w:t xml:space="preserve">make any other payment required hereunder subject to the reallocation provisions in </w:t>
      </w:r>
      <w:r>
        <w:rPr>
          <w:rFonts w:ascii="Arial" w:cs="Arial" w:eastAsia="Arial" w:hAnsi="Arial"/>
          <w:sz w:val="19"/>
          <w:szCs w:val="19"/>
          <w:u w:val="single" w:color="auto"/>
          <w:color w:val="auto"/>
        </w:rPr>
        <w:t>Sections 2.2(b)(i)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2.1(b)(iii)</w:t>
      </w:r>
      <w:r>
        <w:rPr>
          <w:rFonts w:ascii="Arial" w:cs="Arial" w:eastAsia="Arial" w:hAnsi="Arial"/>
          <w:sz w:val="19"/>
          <w:szCs w:val="19"/>
          <w:color w:val="auto"/>
        </w:rPr>
        <w:t xml:space="preserve">. Notwithstanding anything set forth herein to the contrary, a Non-Funding Lender shall not have any voting or consent rights under or with respect to any Loan Document or constitute a “Lender” (or be, or have its Loans and Commitments, included in the determination of “Requisite Lenders”, “Supermajority Lenders” or “Lenders directly affected” hereunder) for any voting or consent rights under or with respect to any Loan Document except with respect to any amendment, modification or consent described in </w:t>
      </w:r>
      <w:r>
        <w:rPr>
          <w:rFonts w:ascii="Arial" w:cs="Arial" w:eastAsia="Arial" w:hAnsi="Arial"/>
          <w:sz w:val="19"/>
          <w:szCs w:val="19"/>
          <w:u w:val="single" w:color="auto"/>
          <w:color w:val="auto"/>
        </w:rPr>
        <w:t>Section 12.2(c)(i)–(iv)</w:t>
      </w:r>
      <w:r>
        <w:rPr>
          <w:rFonts w:ascii="Arial" w:cs="Arial" w:eastAsia="Arial" w:hAnsi="Arial"/>
          <w:sz w:val="19"/>
          <w:szCs w:val="19"/>
          <w:color w:val="auto"/>
        </w:rPr>
        <w:t xml:space="preserve"> that directly affects such Non-Funding Lender. Moreover, for the purposes of determining Requisite Lenders and Supermajority Lenders, the Loans and Commitments held by any Non-Funding Lender shall be excluded from the total Loans and Commitments outstanding. At Borrower Representative’s request, Agent or a Person reasonably acceptable to Agent shall have the right with Agent’s reasonable consent and in Agent’s sole discretion (but shall have no obligation) to purchase from any Non-Funding Lender, and each Non-Funding Lender agrees that it shall, at Agent’s request, sell and assign to Agent or such Person, all of the Commitments of that Non-Funding Lender for an amount equal to the principal balance of all Loans held by such Non-Funding Lender and all accrued interest and fees with respect thereto through the date of sale, such purchase and sale to be consummated pursuant to an executed Assignment Agreement. In the event that a Non-Funding Lender does not execute an Assignment Agreement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within five (5) Business Days after receipt by such Non-Funding Lender of notice of replacement pursuant to this </w:t>
      </w:r>
      <w:r>
        <w:rPr>
          <w:rFonts w:ascii="Arial" w:cs="Arial" w:eastAsia="Arial" w:hAnsi="Arial"/>
          <w:sz w:val="19"/>
          <w:szCs w:val="19"/>
          <w:u w:val="single" w:color="auto"/>
          <w:color w:val="auto"/>
        </w:rPr>
        <w:t>Section 10.8(d)</w:t>
      </w:r>
      <w:r>
        <w:rPr>
          <w:rFonts w:ascii="Arial" w:cs="Arial" w:eastAsia="Arial" w:hAnsi="Arial"/>
          <w:sz w:val="19"/>
          <w:szCs w:val="19"/>
          <w:color w:val="auto"/>
        </w:rPr>
        <w:t xml:space="preserve"> and presentation to such Non-Funding Lender of an Assignment Agreement evidencing an assignment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10.8(d)</w:t>
      </w:r>
      <w:r>
        <w:rPr>
          <w:rFonts w:ascii="Arial" w:cs="Arial" w:eastAsia="Arial" w:hAnsi="Arial"/>
          <w:sz w:val="19"/>
          <w:szCs w:val="19"/>
          <w:color w:val="auto"/>
        </w:rPr>
        <w:t xml:space="preserve">, Agent shall be entitled (but not obligated) to execute such an Assignment Agreement on behalf of such Non-Funding Lender, and any such Assignment Agreement so executed by the replacement Lender and Agent, shall be effective for purposes of this </w:t>
      </w:r>
      <w:r>
        <w:rPr>
          <w:rFonts w:ascii="Arial" w:cs="Arial" w:eastAsia="Arial" w:hAnsi="Arial"/>
          <w:sz w:val="19"/>
          <w:szCs w:val="19"/>
          <w:u w:val="single" w:color="auto"/>
          <w:color w:val="auto"/>
        </w:rPr>
        <w:t>Section 10.8(d)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11.1</w:t>
      </w:r>
      <w:r>
        <w:rPr>
          <w:rFonts w:ascii="Arial" w:cs="Arial" w:eastAsia="Arial" w:hAnsi="Arial"/>
          <w:sz w:val="19"/>
          <w:szCs w:val="19"/>
          <w:color w:val="auto"/>
        </w:rPr>
        <w:t>.</w:t>
      </w:r>
    </w:p>
    <w:p>
      <w:pPr>
        <w:spacing w:after="0" w:line="200" w:lineRule="exact"/>
        <w:rPr>
          <w:sz w:val="20"/>
          <w:szCs w:val="20"/>
          <w:color w:val="auto"/>
        </w:rPr>
      </w:pPr>
    </w:p>
    <w:p>
      <w:pPr>
        <w:spacing w:after="0" w:line="219" w:lineRule="exact"/>
        <w:rPr>
          <w:sz w:val="20"/>
          <w:szCs w:val="20"/>
          <w:color w:val="auto"/>
        </w:rPr>
      </w:pPr>
    </w:p>
    <w:p>
      <w:pPr>
        <w:jc w:val="both"/>
        <w:ind w:left="340" w:firstLine="1288"/>
        <w:spacing w:after="0" w:line="288" w:lineRule="auto"/>
        <w:tabs>
          <w:tab w:leader="none" w:pos="1957" w:val="left"/>
        </w:tabs>
        <w:numPr>
          <w:ilvl w:val="1"/>
          <w:numId w:val="223"/>
        </w:numPr>
        <w:rPr>
          <w:rFonts w:ascii="Arial" w:cs="Arial" w:eastAsia="Arial" w:hAnsi="Arial"/>
          <w:sz w:val="19"/>
          <w:szCs w:val="19"/>
          <w:color w:val="auto"/>
        </w:rPr>
      </w:pPr>
      <w:r>
        <w:rPr>
          <w:rFonts w:ascii="Arial" w:cs="Arial" w:eastAsia="Arial" w:hAnsi="Arial"/>
          <w:sz w:val="19"/>
          <w:szCs w:val="19"/>
          <w:u w:val="single" w:color="auto"/>
          <w:color w:val="auto"/>
        </w:rPr>
        <w:t>Dissemination of Information</w:t>
      </w:r>
      <w:r>
        <w:rPr>
          <w:rFonts w:ascii="Arial" w:cs="Arial" w:eastAsia="Arial" w:hAnsi="Arial"/>
          <w:sz w:val="19"/>
          <w:szCs w:val="19"/>
          <w:color w:val="auto"/>
        </w:rPr>
        <w:t>. Agent shall not be required to deliver to any Lender originals or copies of any documents, instruments, notices, communications or other information received by Agent from any Credit Party, any Subsidiary, any Lender or any other Person under or in connection with this Agreement or any other Loan Document except</w:t>
      </w:r>
    </w:p>
    <w:p>
      <w:pPr>
        <w:jc w:val="both"/>
        <w:ind w:left="340" w:hanging="8"/>
        <w:spacing w:after="0" w:line="244" w:lineRule="auto"/>
        <w:tabs>
          <w:tab w:leader="none" w:pos="603" w:val="left"/>
        </w:tabs>
        <w:numPr>
          <w:ilvl w:val="0"/>
          <w:numId w:val="224"/>
        </w:numPr>
        <w:rPr>
          <w:rFonts w:ascii="Arial" w:cs="Arial" w:eastAsia="Arial" w:hAnsi="Arial"/>
          <w:sz w:val="22"/>
          <w:szCs w:val="22"/>
          <w:color w:val="auto"/>
        </w:rPr>
      </w:pPr>
      <w:r>
        <w:rPr>
          <w:rFonts w:ascii="Arial" w:cs="Arial" w:eastAsia="Arial" w:hAnsi="Arial"/>
          <w:sz w:val="22"/>
          <w:szCs w:val="22"/>
          <w:color w:val="auto"/>
        </w:rPr>
        <w:t>as specifically provided for in this Agreement or any other Loan Document, and (ii) as specifically requested from time to time in writing by any Lender with respect to a specific document, instrument, notice or other written communication received by and in the possession of Agent at the time of receipt of such request and then only in accordance with such specific request.</w:t>
      </w:r>
    </w:p>
    <w:p>
      <w:pPr>
        <w:spacing w:after="0" w:line="19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10.9 </w:t>
      </w:r>
      <w:r>
        <w:rPr>
          <w:rFonts w:ascii="Arial" w:cs="Arial" w:eastAsia="Arial" w:hAnsi="Arial"/>
          <w:sz w:val="19"/>
          <w:szCs w:val="19"/>
          <w:u w:val="single" w:color="auto"/>
          <w:color w:val="auto"/>
        </w:rPr>
        <w:t>Actions in Concert</w:t>
      </w:r>
      <w:r>
        <w:rPr>
          <w:rFonts w:ascii="Arial" w:cs="Arial" w:eastAsia="Arial" w:hAnsi="Arial"/>
          <w:sz w:val="19"/>
          <w:szCs w:val="19"/>
          <w:color w:val="auto"/>
        </w:rPr>
        <w:t xml:space="preserve">. Anything in this Agreement to the contrary notwithstanding, each Lender hereby agrees with each other Lender that no Lender shall take any action to protect or enforce its rights arising out of this Agreement or the Notes (other than exercising any rights of setoff) without first obtaining the prior written consent of Agent and Requisite Lenders, it being the intent of Lenders that any such action to protect or enforce rights under this Agreement and the Notes shall be taken in concert and at the direction or with the consent of Agent or Requisite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each Lender shall be entitled to file a proof of claim in any proceeding under any Insolvency Law to the extent that such Lender disagrees with</w:t>
      </w:r>
    </w:p>
    <w:p>
      <w:pPr>
        <w:sectPr>
          <w:pgSz w:w="11900" w:h="16838" w:orient="portrait"/>
          <w:cols w:equalWidth="0" w:num="1">
            <w:col w:w="11240"/>
          </w:cols>
          <w:pgMar w:left="320" w:top="1428" w:right="339" w:bottom="1440" w:gutter="0" w:footer="0" w:header="0"/>
        </w:sectPr>
      </w:pPr>
    </w:p>
    <w:bookmarkStart w:id="286" w:name="page287"/>
    <w:bookmarkEnd w:id="286"/>
    <w:p>
      <w:pPr>
        <w:jc w:val="both"/>
        <w:spacing w:after="0" w:line="312" w:lineRule="auto"/>
        <w:rPr>
          <w:sz w:val="20"/>
          <w:szCs w:val="20"/>
          <w:color w:val="auto"/>
        </w:rPr>
      </w:pPr>
      <w:r>
        <w:rPr>
          <w:rFonts w:ascii="Arial" w:cs="Arial" w:eastAsia="Arial" w:hAnsi="Arial"/>
          <w:sz w:val="19"/>
          <w:szCs w:val="19"/>
          <w:color w:val="auto"/>
        </w:rPr>
        <w:t>Agent’s composite proof of claim filed on behalf of all Lenders, (ii) each Lender shall be entitled to vote its claim with respect to any plan of reorganization in any proceeding under any Insolvency Law and, (iii) each Lender shall be entitled to pursue its deficiency claim after liquidation of all or substantially all of the Collateral and application of the proceeds therefrom.</w:t>
      </w:r>
    </w:p>
    <w:p>
      <w:pPr>
        <w:spacing w:after="0" w:line="1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10.10 </w:t>
      </w:r>
      <w:r>
        <w:rPr>
          <w:rFonts w:ascii="Arial" w:cs="Arial" w:eastAsia="Arial" w:hAnsi="Arial"/>
          <w:sz w:val="19"/>
          <w:szCs w:val="19"/>
          <w:u w:val="single" w:color="auto"/>
          <w:color w:val="auto"/>
        </w:rPr>
        <w:t>Procedures</w:t>
      </w:r>
      <w:r>
        <w:rPr>
          <w:rFonts w:ascii="Arial" w:cs="Arial" w:eastAsia="Arial" w:hAnsi="Arial"/>
          <w:sz w:val="19"/>
          <w:szCs w:val="19"/>
          <w:color w:val="auto"/>
        </w:rPr>
        <w:t>. Agent is hereby authorized by each Credit Party and each other Person to whom any Obligations are owed to establish procedures (and to amend such procedures from time to time) to facilitate administration and servicing of the Loans and other matters incidental thereto. Without limiting the generality of the foregoing, Agent is hereby authorized to establish procedures to make available or deliver, or to accept, notices, documents and similar items on, by posting to or submitting and/or completion on, E-Systems. The posting, completion and/or submission by any Credit Party of any communication pursuant to an E-System shall constitute a representation and warranty by the Credit Parties that any representation, warranty, certification or other similar statement required by the Loan Documents to be provided, given or made by a Credit Party in connection with any such communication is true, correct and complete in all material respects except as expressly noted in such communication or otherwise on such E-System.</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10.11  </w:t>
      </w:r>
      <w:r>
        <w:rPr>
          <w:rFonts w:ascii="Arial" w:cs="Arial" w:eastAsia="Arial" w:hAnsi="Arial"/>
          <w:sz w:val="22"/>
          <w:szCs w:val="22"/>
          <w:u w:val="single" w:color="auto"/>
          <w:color w:val="auto"/>
        </w:rPr>
        <w:t>Collateral Matters</w:t>
      </w:r>
      <w:r>
        <w:rPr>
          <w:rFonts w:ascii="Arial" w:cs="Arial" w:eastAsia="Arial" w:hAnsi="Arial"/>
          <w:sz w:val="22"/>
          <w:szCs w:val="22"/>
          <w:color w:val="auto"/>
        </w:rPr>
        <w:t>.</w:t>
      </w:r>
    </w:p>
    <w:p>
      <w:pPr>
        <w:spacing w:after="0" w:line="220" w:lineRule="exact"/>
        <w:rPr>
          <w:sz w:val="20"/>
          <w:szCs w:val="20"/>
          <w:color w:val="auto"/>
        </w:rPr>
      </w:pPr>
    </w:p>
    <w:p>
      <w:pPr>
        <w:jc w:val="both"/>
        <w:ind w:left="340" w:firstLine="1288"/>
        <w:spacing w:after="0" w:line="291" w:lineRule="auto"/>
        <w:tabs>
          <w:tab w:leader="none" w:pos="1957" w:val="left"/>
        </w:tabs>
        <w:numPr>
          <w:ilvl w:val="1"/>
          <w:numId w:val="225"/>
        </w:numPr>
        <w:rPr>
          <w:rFonts w:ascii="Arial" w:cs="Arial" w:eastAsia="Arial" w:hAnsi="Arial"/>
          <w:sz w:val="19"/>
          <w:szCs w:val="19"/>
          <w:color w:val="auto"/>
        </w:rPr>
      </w:pPr>
      <w:r>
        <w:rPr>
          <w:rFonts w:ascii="Arial" w:cs="Arial" w:eastAsia="Arial" w:hAnsi="Arial"/>
          <w:sz w:val="19"/>
          <w:szCs w:val="19"/>
          <w:color w:val="auto"/>
        </w:rPr>
        <w:t>Lenders hereby irrevocably authorize and direct Agent to release any Liens upon any Collateral (and any such Liens shall be automatically released, without any action by Agent or any other Person), (i) upon the Termination Date;</w:t>
      </w:r>
    </w:p>
    <w:p>
      <w:pPr>
        <w:spacing w:after="0" w:line="1" w:lineRule="exact"/>
        <w:rPr>
          <w:rFonts w:ascii="Arial" w:cs="Arial" w:eastAsia="Arial" w:hAnsi="Arial"/>
          <w:sz w:val="19"/>
          <w:szCs w:val="19"/>
          <w:color w:val="auto"/>
        </w:rPr>
      </w:pPr>
    </w:p>
    <w:p>
      <w:pPr>
        <w:jc w:val="both"/>
        <w:ind w:left="340" w:hanging="8"/>
        <w:spacing w:after="0" w:line="284" w:lineRule="auto"/>
        <w:tabs>
          <w:tab w:leader="none" w:pos="696"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in respect of property of any Subsidiary being sold or disposed of or transferred (including property owned by any Subsidiary being sold or disposed of or transferred) if the sale or Disposition or transfer is made in compliance with this Agreement and the Loan Documents (or otherwise is not prohibited) (and Agent may, in its discretion, request, and rely conclusively without further inquiry on a certificate from the Borrower certifying as such prior to Agent taking any action to evidence such release) or such sale or Disposition is approved by the Requisite Lenders (or such greater number of Lenders as may be required under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(iii) to the extent the applicable Collateral is or becomes Excluded Property and/or Excluded Principal Property; (iv) to the extent the applicable Collateral constitutes property leased to Credit Parties under a lease which has expired or been terminated in a transaction permitted under this Agreement; (v) to the extent the Credit Party owning such Collateral is released from its Obligations hereunder (pursuant to Section 13.11 or otherwise); or (vi) as required by the terms of the ABL Intercreditor Agreement. Upon request by Agent or Parent Borrower at any time, Lenders will confirm in writing Agent’s authority to release any Lien upon particular types or items of Collateral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10.11</w:t>
      </w:r>
      <w:r>
        <w:rPr>
          <w:rFonts w:ascii="Arial" w:cs="Arial" w:eastAsia="Arial" w:hAnsi="Arial"/>
          <w:sz w:val="19"/>
          <w:szCs w:val="19"/>
          <w:color w:val="auto"/>
        </w:rPr>
        <w:t>. In addition, the Lenders hereby authorize Agent, to subordinate any Lien granted to or held by Agent upon any Collateral to any Lien on such asset permitted pursuant to paragraph (6)(C) of the definition of Permitted Lien. In addition, the Guaranty of the Obligations by, and the liens on the assets of, any Restricted Subsidiary which is designated as an Unrestricted Subsidiary will automatically be terminated and released at the time of such designation.</w:t>
      </w:r>
    </w:p>
    <w:p>
      <w:pPr>
        <w:sectPr>
          <w:pgSz w:w="11900" w:h="16838" w:orient="portrait"/>
          <w:cols w:equalWidth="0" w:num="1">
            <w:col w:w="11240"/>
          </w:cols>
          <w:pgMar w:left="320" w:top="1428" w:right="339" w:bottom="1440" w:gutter="0" w:footer="0" w:header="0"/>
        </w:sectPr>
      </w:pPr>
    </w:p>
    <w:bookmarkStart w:id="287" w:name="page288"/>
    <w:bookmarkEnd w:id="287"/>
    <w:p>
      <w:pPr>
        <w:jc w:val="both"/>
        <w:ind w:left="340" w:firstLine="1288"/>
        <w:spacing w:after="0" w:line="287" w:lineRule="auto"/>
        <w:tabs>
          <w:tab w:leader="none" w:pos="1955" w:val="left"/>
        </w:tabs>
        <w:numPr>
          <w:ilvl w:val="0"/>
          <w:numId w:val="227"/>
        </w:numPr>
        <w:rPr>
          <w:rFonts w:ascii="Arial" w:cs="Arial" w:eastAsia="Arial" w:hAnsi="Arial"/>
          <w:sz w:val="19"/>
          <w:szCs w:val="19"/>
          <w:color w:val="auto"/>
        </w:rPr>
      </w:pPr>
      <w:r>
        <w:rPr>
          <w:rFonts w:ascii="Arial" w:cs="Arial" w:eastAsia="Arial" w:hAnsi="Arial"/>
          <w:sz w:val="19"/>
          <w:szCs w:val="19"/>
          <w:color w:val="auto"/>
        </w:rPr>
        <w:t xml:space="preserve">Promptly, and in any event not later than five (5) Business Days’ following written request by Parent Borrower, Agent shall (and is hereby irrevocably authorized and directed by Lenders to) execute such documents as may be necessary to evidence the release (or subordination) of its Liens upon such Collateral as contemplated by </w:t>
      </w:r>
      <w:r>
        <w:rPr>
          <w:rFonts w:ascii="Arial" w:cs="Arial" w:eastAsia="Arial" w:hAnsi="Arial"/>
          <w:sz w:val="19"/>
          <w:szCs w:val="19"/>
          <w:u w:val="single" w:color="auto"/>
          <w:color w:val="auto"/>
        </w:rPr>
        <w:t>Section 10.11(a)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Agent shall not be required to execute any such document on terms which, in Agent’s opinion, would expose Agent to liability or create any obligation or entail any consequence other than the release of such Liens without recourse or warranty, and (ii) such release shall not in any manner discharge, affect or impair the Obligations or any Liens (other than those expressly being released) upon (or obligations of Credit Parties in respect of) all interests retained by Credit Parties, including the proceeds of any sale, all of which shall continue to constitute part of the Collateral to the extent contemplated by the Collateral Documents. Co-Collateral Agent shall act in concert with Agent in matters delegated to the both of them under this Agreement; however, in the event of any disagreement or dispute between Agent and Co-Collateral Agent in any such matter, the determination or decision of Agent shall, in all cases, control.</w:t>
      </w:r>
    </w:p>
    <w:p>
      <w:pPr>
        <w:spacing w:after="0" w:line="16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9"/>
          <w:szCs w:val="19"/>
          <w:color w:val="auto"/>
        </w:rPr>
        <w:t xml:space="preserve">10.12 </w:t>
      </w:r>
      <w:r>
        <w:rPr>
          <w:rFonts w:ascii="Arial" w:cs="Arial" w:eastAsia="Arial" w:hAnsi="Arial"/>
          <w:sz w:val="19"/>
          <w:szCs w:val="19"/>
          <w:u w:val="single" w:color="auto"/>
          <w:color w:val="auto"/>
        </w:rPr>
        <w:t>Additional Agents</w:t>
      </w:r>
      <w:r>
        <w:rPr>
          <w:rFonts w:ascii="Arial" w:cs="Arial" w:eastAsia="Arial" w:hAnsi="Arial"/>
          <w:sz w:val="19"/>
          <w:szCs w:val="19"/>
          <w:color w:val="auto"/>
        </w:rPr>
        <w:t>. None of the Lenders or other entities identified on the facing page of this Agreement as a “syndication agent”, “arranger” or “bookrunner” shall have any right, power, obligation, liability, responsibility or duty under this Agreement or any other Loan Document other than those applicable to all Lenders as such. No Agent, Lender, “syndication agent”, “arranger” or “bookrunner” has any fiduciary relationship with or duty to any Credit Party arising out of or in connection with this Agreement or any of the other Loan Documents, and the relationship between Agent and Lenders, on one hand, and the Credit Parties, on the other hand, in connection herewith or with such other Loan Documents is solely that of debtor and creditor. Without limiting the foregoing, none of the Lenders so identified shall have or be deemed to have any fiduciary relationship with any other Lender. Each Lender acknowledges that it has not relied, and will not rely, on any of the Lenders or other entities so identified in deciding to enter into this Agreement or any other Loan Document or in taking or not taking action hereunder or thereunder. If necessary or appropriate Agent may appoint a Person to serve as separate collateral agent under any Loan Document. Each right and remedy intended to be available to Agent under the Loan Document shall also be vested in Agent. Secured Parties shall execute and deliver any instrument or agreement that Agent may request to effect such appointment. If such Person appointed by Agent shall die, dissolve, become incapable of acting, resign or be removed, then all the rights and remedies of Agent, to the extent permitted by applicable law, shall vest in and be exercised by Agent until appointment of a new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10.13  </w:t>
      </w:r>
      <w:r>
        <w:rPr>
          <w:rFonts w:ascii="Arial" w:cs="Arial" w:eastAsia="Arial" w:hAnsi="Arial"/>
          <w:sz w:val="22"/>
          <w:szCs w:val="22"/>
          <w:u w:val="single" w:color="auto"/>
          <w:color w:val="auto"/>
        </w:rPr>
        <w:t>Distribution of Materials to Lenders and L/C Issuers</w:t>
      </w:r>
      <w:r>
        <w:rPr>
          <w:rFonts w:ascii="Arial" w:cs="Arial" w:eastAsia="Arial" w:hAnsi="Arial"/>
          <w:sz w:val="22"/>
          <w:szCs w:val="22"/>
          <w:color w:val="auto"/>
        </w:rPr>
        <w:t>.</w:t>
      </w:r>
    </w:p>
    <w:p>
      <w:pPr>
        <w:spacing w:after="0" w:line="220" w:lineRule="exact"/>
        <w:rPr>
          <w:sz w:val="20"/>
          <w:szCs w:val="20"/>
          <w:color w:val="auto"/>
        </w:rPr>
      </w:pPr>
    </w:p>
    <w:p>
      <w:pPr>
        <w:jc w:val="both"/>
        <w:ind w:left="340" w:firstLine="1288"/>
        <w:spacing w:after="0" w:line="297" w:lineRule="auto"/>
        <w:tabs>
          <w:tab w:leader="none" w:pos="1957" w:val="left"/>
        </w:tabs>
        <w:numPr>
          <w:ilvl w:val="0"/>
          <w:numId w:val="228"/>
        </w:numPr>
        <w:rPr>
          <w:rFonts w:ascii="Arial" w:cs="Arial" w:eastAsia="Arial" w:hAnsi="Arial"/>
          <w:sz w:val="19"/>
          <w:szCs w:val="19"/>
          <w:color w:val="auto"/>
        </w:rPr>
      </w:pPr>
      <w:r>
        <w:rPr>
          <w:rFonts w:ascii="Arial" w:cs="Arial" w:eastAsia="Arial" w:hAnsi="Arial"/>
          <w:sz w:val="19"/>
          <w:szCs w:val="19"/>
          <w:color w:val="auto"/>
        </w:rPr>
        <w:t>Borrowers acknowledge and agree that the Loan Documents and all reports, notices, communications and other information or materials provided or delivered by, or on behalf of, Borrowers hereunder (collectively, the “</w:t>
      </w:r>
      <w:r>
        <w:rPr>
          <w:rFonts w:ascii="Arial" w:cs="Arial" w:eastAsia="Arial" w:hAnsi="Arial"/>
          <w:sz w:val="19"/>
          <w:szCs w:val="19"/>
          <w:u w:val="single" w:color="auto"/>
          <w:color w:val="auto"/>
        </w:rPr>
        <w:t>Borrower</w:t>
      </w:r>
      <w:r>
        <w:rPr>
          <w:rFonts w:ascii="Arial" w:cs="Arial" w:eastAsia="Arial" w:hAnsi="Arial"/>
          <w:sz w:val="19"/>
          <w:szCs w:val="19"/>
          <w:color w:val="auto"/>
        </w:rPr>
        <w:t xml:space="preserve"> </w:t>
      </w:r>
      <w:r>
        <w:rPr>
          <w:rFonts w:ascii="Arial" w:cs="Arial" w:eastAsia="Arial" w:hAnsi="Arial"/>
          <w:sz w:val="19"/>
          <w:szCs w:val="19"/>
          <w:u w:val="single" w:color="auto"/>
          <w:color w:val="auto"/>
        </w:rPr>
        <w:t>Materials</w:t>
      </w:r>
      <w:r>
        <w:rPr>
          <w:rFonts w:ascii="Arial" w:cs="Arial" w:eastAsia="Arial" w:hAnsi="Arial"/>
          <w:sz w:val="19"/>
          <w:szCs w:val="19"/>
          <w:color w:val="auto"/>
        </w:rPr>
        <w:t>”) may be disseminated by, or on behalf of, Agent, and made available to, the Lenders and L/C Issuers by posting such Borrower Materials on an E-System (the “</w:t>
      </w:r>
      <w:r>
        <w:rPr>
          <w:rFonts w:ascii="Arial" w:cs="Arial" w:eastAsia="Arial" w:hAnsi="Arial"/>
          <w:sz w:val="19"/>
          <w:szCs w:val="19"/>
          <w:u w:val="single" w:color="auto"/>
          <w:color w:val="auto"/>
        </w:rPr>
        <w:t>Borrower Workspace</w:t>
      </w:r>
      <w:r>
        <w:rPr>
          <w:rFonts w:ascii="Arial" w:cs="Arial" w:eastAsia="Arial" w:hAnsi="Arial"/>
          <w:sz w:val="19"/>
          <w:szCs w:val="19"/>
          <w:color w:val="auto"/>
        </w:rPr>
        <w:t>”). Borrowers authorize Agent to download copies of its logos from its website and post copies thereof on the Borrower Workspace. Borrowers hereby acknowledge that certain of the</w:t>
      </w:r>
    </w:p>
    <w:p>
      <w:pPr>
        <w:sectPr>
          <w:pgSz w:w="11900" w:h="16838" w:orient="portrait"/>
          <w:cols w:equalWidth="0" w:num="1">
            <w:col w:w="11240"/>
          </w:cols>
          <w:pgMar w:left="320" w:top="1428" w:right="339" w:bottom="1440" w:gutter="0" w:footer="0" w:header="0"/>
        </w:sectPr>
      </w:pPr>
    </w:p>
    <w:bookmarkStart w:id="288" w:name="page289"/>
    <w:bookmarkEnd w:id="288"/>
    <w:p>
      <w:pPr>
        <w:jc w:val="both"/>
        <w:ind w:left="340"/>
        <w:spacing w:after="0" w:line="258" w:lineRule="auto"/>
        <w:rPr>
          <w:sz w:val="20"/>
          <w:szCs w:val="20"/>
          <w:color w:val="auto"/>
        </w:rPr>
      </w:pPr>
      <w:r>
        <w:rPr>
          <w:rFonts w:ascii="Arial" w:cs="Arial" w:eastAsia="Arial" w:hAnsi="Arial"/>
          <w:sz w:val="21"/>
          <w:szCs w:val="21"/>
          <w:color w:val="auto"/>
        </w:rPr>
        <w:t>Lenders may be “public-side” Lenders (i.e., Lenders that do not wish to receive MNPI) (each, a “</w:t>
      </w:r>
      <w:r>
        <w:rPr>
          <w:rFonts w:ascii="Arial" w:cs="Arial" w:eastAsia="Arial" w:hAnsi="Arial"/>
          <w:sz w:val="21"/>
          <w:szCs w:val="21"/>
          <w:u w:val="single" w:color="auto"/>
          <w:color w:val="auto"/>
        </w:rPr>
        <w:t>Public Lender</w:t>
      </w:r>
      <w:r>
        <w:rPr>
          <w:rFonts w:ascii="Arial" w:cs="Arial" w:eastAsia="Arial" w:hAnsi="Arial"/>
          <w:sz w:val="21"/>
          <w:szCs w:val="21"/>
          <w:color w:val="auto"/>
        </w:rPr>
        <w:t>”). Borrowers hereby agree that they will use commercially reasonable efforts to identify that portion of the Borrower Materials that may be distributed to the Public Lenders and that (i) all such Borrower Materials shall be clearly and conspicuously marked “PUBLIC” which, at a minimum, shall mean that the word “PUBLIC” shall appear prominently on the first page thereof, (ii) by marking Borrower Materials “PUBLIC,” Borrowers shall be deemed to have authorized Agent and the Lenders to treat such Borrower Materials as either publicly available information or not material information (although it may be sensitive, confidential and proprietary) with respect to Borrowers, their Subsidiaries or their securities for purposes of United States federal and state securities laws, (iii) all the Borrower Materials marked “PUBLIC” are permitted to be made available through a portion of the Borrower Workspace designated “Public Investor”, and (iv) Agent shall be entitled to treat any Borrower Materials that are not marked “PUBLIC” as being suitable only for posting on a portion of the Borrower Workspace not designated “Public Investor.”</w:t>
      </w:r>
    </w:p>
    <w:p>
      <w:pPr>
        <w:spacing w:after="0" w:line="182" w:lineRule="exact"/>
        <w:rPr>
          <w:sz w:val="20"/>
          <w:szCs w:val="20"/>
          <w:color w:val="auto"/>
        </w:rPr>
      </w:pPr>
    </w:p>
    <w:p>
      <w:pPr>
        <w:jc w:val="both"/>
        <w:ind w:left="340" w:firstLine="1288"/>
        <w:spacing w:after="0" w:line="302" w:lineRule="auto"/>
        <w:tabs>
          <w:tab w:leader="none" w:pos="1955"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Each Lender and L/C Issuer represents, warrants, acknowledges and agrees that (i) the Borrower Materials may contain MNPI concerning Borrowers, their Affiliates or their securities, (ii) it has developed compliance policies and procedures regarding the handling and use of MNPI, and (iii) it shall use all such Borrower Materials in accordance with </w:t>
      </w:r>
      <w:r>
        <w:rPr>
          <w:rFonts w:ascii="Arial" w:cs="Arial" w:eastAsia="Arial" w:hAnsi="Arial"/>
          <w:sz w:val="19"/>
          <w:szCs w:val="19"/>
          <w:u w:val="single" w:color="auto"/>
          <w:color w:val="auto"/>
        </w:rPr>
        <w:t>Section 12.8</w:t>
      </w:r>
      <w:r>
        <w:rPr>
          <w:rFonts w:ascii="Arial" w:cs="Arial" w:eastAsia="Arial" w:hAnsi="Arial"/>
          <w:sz w:val="19"/>
          <w:szCs w:val="19"/>
          <w:color w:val="auto"/>
        </w:rPr>
        <w:t xml:space="preserve"> and any applicable laws and regulations, including federal and state securities laws and regulations.</w:t>
      </w:r>
    </w:p>
    <w:p>
      <w:pPr>
        <w:spacing w:after="0" w:line="142" w:lineRule="exact"/>
        <w:rPr>
          <w:rFonts w:ascii="Arial" w:cs="Arial" w:eastAsia="Arial" w:hAnsi="Arial"/>
          <w:sz w:val="19"/>
          <w:szCs w:val="19"/>
          <w:color w:val="auto"/>
        </w:rPr>
      </w:pPr>
    </w:p>
    <w:p>
      <w:pPr>
        <w:jc w:val="both"/>
        <w:ind w:left="340" w:firstLine="1288"/>
        <w:spacing w:after="0" w:line="287" w:lineRule="auto"/>
        <w:tabs>
          <w:tab w:leader="none" w:pos="1957"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If any Lender or L/C Issuer has elected to abstain from receiving MNPI concerning Borrowers, their Affiliates or their securities, such Lender or L/C Issuer acknowledges that, notwithstanding such election, Agent and/or Borrowers will, from time to time, make available syndicate-information (which may contain MNPI) as required by the terms of, or in the course of administering the credit facilities, including this Agreement and the other Loan Documents, to the credit contact(s) identified for receipt of such information on the Lender’s or L/C Issuer’s administrative questionnaire who are able to receive and use all syndicate-level information (which may contain MNPI) in accordance with such Lender’s or L/C Issuer’s compliance policies and Contractual Obligations and applicable law, including federal and state securities laws;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contact is not so identified in such questionnaire, the relevant Lender or L/C Issuer hereby agrees to promptly (and in any event within one (1) Business Day) provide such a contact to Agent and Borrower Representative upon oral or written request therefor by Agent or Borrower Representative. Notwithstanding such Lender’s or L/C Issuer’s election to abstain from receiving MNPI, such Lender or L/C Issuer acknowledges that if such Lender or L/C Issuer chooses to communicate with Agent, it assumes the risk of receiving MNPI concerning Borrowers, their Affiliates or their securities.</w:t>
      </w:r>
    </w:p>
    <w:p>
      <w:pPr>
        <w:spacing w:after="0" w:line="159"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 xml:space="preserve">10.14 </w:t>
      </w:r>
      <w:r>
        <w:rPr>
          <w:rFonts w:ascii="Arial" w:cs="Arial" w:eastAsia="Arial" w:hAnsi="Arial"/>
          <w:sz w:val="22"/>
          <w:szCs w:val="22"/>
          <w:u w:val="single" w:color="auto"/>
          <w:color w:val="auto"/>
        </w:rPr>
        <w:t>Agent</w:t>
      </w:r>
      <w:r>
        <w:rPr>
          <w:rFonts w:ascii="Arial" w:cs="Arial" w:eastAsia="Arial" w:hAnsi="Arial"/>
          <w:sz w:val="22"/>
          <w:szCs w:val="22"/>
          <w:color w:val="auto"/>
        </w:rPr>
        <w:t>. Notwithstanding anything to the contrary set forth in this Agreement, all determinations of Agent under the Loan Documents shall be made by Agent.</w:t>
      </w:r>
    </w:p>
    <w:p>
      <w:pPr>
        <w:sectPr>
          <w:pgSz w:w="11900" w:h="16838" w:orient="portrait"/>
          <w:cols w:equalWidth="0" w:num="1">
            <w:col w:w="11240"/>
          </w:cols>
          <w:pgMar w:left="320" w:top="1428" w:right="339" w:bottom="1440" w:gutter="0" w:footer="0" w:header="0"/>
        </w:sectPr>
      </w:pPr>
    </w:p>
    <w:bookmarkStart w:id="289" w:name="page290"/>
    <w:bookmarkEnd w:id="289"/>
    <w:p>
      <w:pPr>
        <w:jc w:val="both"/>
        <w:ind w:firstLine="648"/>
        <w:spacing w:after="0" w:line="285" w:lineRule="auto"/>
        <w:rPr>
          <w:sz w:val="20"/>
          <w:szCs w:val="20"/>
          <w:color w:val="auto"/>
        </w:rPr>
      </w:pPr>
      <w:r>
        <w:rPr>
          <w:rFonts w:ascii="Arial" w:cs="Arial" w:eastAsia="Arial" w:hAnsi="Arial"/>
          <w:sz w:val="19"/>
          <w:szCs w:val="19"/>
          <w:color w:val="auto"/>
        </w:rPr>
        <w:t xml:space="preserve">10.15 </w:t>
      </w:r>
      <w:r>
        <w:rPr>
          <w:rFonts w:ascii="Arial" w:cs="Arial" w:eastAsia="Arial" w:hAnsi="Arial"/>
          <w:sz w:val="19"/>
          <w:szCs w:val="19"/>
          <w:u w:val="single" w:color="auto"/>
          <w:color w:val="auto"/>
        </w:rPr>
        <w:t>Intercreditor Agreement</w:t>
      </w:r>
      <w:r>
        <w:rPr>
          <w:rFonts w:ascii="Arial" w:cs="Arial" w:eastAsia="Arial" w:hAnsi="Arial"/>
          <w:sz w:val="19"/>
          <w:szCs w:val="19"/>
          <w:color w:val="auto"/>
        </w:rPr>
        <w:t xml:space="preserve">. The Lenders and the other Secured Parties hereby irrevocably authorize and instruct Agent to, without any further consent of any Lender or any other Secured Party, amend, extend, supplement, restate, replace, waive or otherwise modify the ABL Intercreditor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consent of the Co-Collateral Agents shall be required in connection with any amendment, extension, supplement, restatement, replacement, waiver or modification, other than any amendment, extension, supplement, restatement, replacement, waiver or modification of the type described in clause (i) or</w:t>
      </w:r>
    </w:p>
    <w:p>
      <w:pPr>
        <w:spacing w:after="0" w:line="3" w:lineRule="exact"/>
        <w:rPr>
          <w:sz w:val="20"/>
          <w:szCs w:val="20"/>
          <w:color w:val="auto"/>
        </w:rPr>
      </w:pPr>
    </w:p>
    <w:p>
      <w:pPr>
        <w:jc w:val="both"/>
        <w:ind w:firstLine="8"/>
        <w:spacing w:after="0" w:line="286" w:lineRule="auto"/>
        <w:tabs>
          <w:tab w:leader="none" w:pos="345" w:val="left"/>
        </w:tabs>
        <w:numPr>
          <w:ilvl w:val="0"/>
          <w:numId w:val="230"/>
        </w:numPr>
        <w:rPr>
          <w:rFonts w:ascii="Arial" w:cs="Arial" w:eastAsia="Arial" w:hAnsi="Arial"/>
          <w:sz w:val="19"/>
          <w:szCs w:val="19"/>
          <w:color w:val="auto"/>
        </w:rPr>
      </w:pPr>
      <w:r>
        <w:rPr>
          <w:rFonts w:ascii="Arial" w:cs="Arial" w:eastAsia="Arial" w:hAnsi="Arial"/>
          <w:sz w:val="19"/>
          <w:szCs w:val="19"/>
          <w:color w:val="auto"/>
        </w:rPr>
        <w:t>of Section 12.2 (g) and (ii) no such amendment, extension, supplement, restatement, replacement, waiver or modification (other than any such amendment, extension, supplement, restatement, replacement, waiver or modification of the type described in clause (i) or (ii) of Section 12.2(g)) shall modify the terms of the ABL Intercreditor Agreement in any manner that is adverse to the Secured Parties in any material respect. The Lenders and the other Secured Parties irrevocably agree that (x) Agent may rely exclusively on a certificate of an Officer of Parent Borrower as to whether the Liens governed by the ABL Intercreditor Agreement and the priority of such Liens as contemplated thereby are not prohibited and (y) the ABL Intercreditor Agreement entered into by Agent shall be binding on the Secured Parties, and each Lender and the other Secured Parties hereby agrees that it will take no actions contrary to the provisions of, if entered into and if applicable, the ABL Intercreditor Agreement. The foregoing provisions are intended as an inducement to any provider of any Indebtedness not prohibited by Section 7.1 hereof to extend credit to the Credit Parties and such persons are intended third-party beneficiaries of such provisions.</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10.16  </w:t>
      </w:r>
      <w:r>
        <w:rPr>
          <w:rFonts w:ascii="Arial" w:cs="Arial" w:eastAsia="Arial" w:hAnsi="Arial"/>
          <w:sz w:val="22"/>
          <w:szCs w:val="22"/>
          <w:u w:val="single" w:color="auto"/>
          <w:color w:val="auto"/>
        </w:rPr>
        <w:t>Certain ERISA Matters</w:t>
      </w:r>
      <w:r>
        <w:rPr>
          <w:rFonts w:ascii="Arial" w:cs="Arial" w:eastAsia="Arial" w:hAnsi="Arial"/>
          <w:sz w:val="22"/>
          <w:szCs w:val="22"/>
          <w:color w:val="auto"/>
        </w:rPr>
        <w:t>.</w:t>
      </w:r>
    </w:p>
    <w:p>
      <w:pPr>
        <w:spacing w:after="0" w:line="220" w:lineRule="exact"/>
        <w:rPr>
          <w:sz w:val="20"/>
          <w:szCs w:val="20"/>
          <w:color w:val="auto"/>
        </w:rPr>
      </w:pPr>
    </w:p>
    <w:p>
      <w:pPr>
        <w:ind w:left="1940" w:hanging="312"/>
        <w:spacing w:after="0"/>
        <w:tabs>
          <w:tab w:leader="none" w:pos="1940" w:val="left"/>
        </w:tabs>
        <w:numPr>
          <w:ilvl w:val="1"/>
          <w:numId w:val="231"/>
        </w:numPr>
        <w:rPr>
          <w:rFonts w:ascii="Arial" w:cs="Arial" w:eastAsia="Arial" w:hAnsi="Arial"/>
          <w:sz w:val="19"/>
          <w:szCs w:val="19"/>
          <w:color w:val="auto"/>
        </w:rPr>
      </w:pPr>
      <w:r>
        <w:rPr>
          <w:rFonts w:ascii="Arial" w:cs="Arial" w:eastAsia="Arial" w:hAnsi="Arial"/>
          <w:sz w:val="19"/>
          <w:szCs w:val="19"/>
          <w:color w:val="auto"/>
        </w:rPr>
        <w:t>Each Lender (x) represents and warrants, as of the date such Person became a Lender party hereto, to, and</w:t>
      </w:r>
    </w:p>
    <w:p>
      <w:pPr>
        <w:spacing w:after="0" w:line="55" w:lineRule="exact"/>
        <w:rPr>
          <w:rFonts w:ascii="Arial" w:cs="Arial" w:eastAsia="Arial" w:hAnsi="Arial"/>
          <w:sz w:val="19"/>
          <w:szCs w:val="19"/>
          <w:color w:val="auto"/>
        </w:rPr>
      </w:pPr>
    </w:p>
    <w:p>
      <w:pPr>
        <w:jc w:val="both"/>
        <w:ind w:left="340" w:hanging="8"/>
        <w:spacing w:after="0" w:line="245" w:lineRule="auto"/>
        <w:tabs>
          <w:tab w:leader="none" w:pos="658" w:val="left"/>
        </w:tabs>
        <w:numPr>
          <w:ilvl w:val="0"/>
          <w:numId w:val="232"/>
        </w:numPr>
        <w:rPr>
          <w:rFonts w:ascii="Arial" w:cs="Arial" w:eastAsia="Arial" w:hAnsi="Arial"/>
          <w:sz w:val="22"/>
          <w:szCs w:val="22"/>
          <w:color w:val="auto"/>
        </w:rPr>
      </w:pPr>
      <w:r>
        <w:rPr>
          <w:rFonts w:ascii="Arial" w:cs="Arial" w:eastAsia="Arial" w:hAnsi="Arial"/>
          <w:sz w:val="22"/>
          <w:szCs w:val="22"/>
          <w:color w:val="auto"/>
        </w:rPr>
        <w:t>covenants, from the date such Person became a Lender party hereto to the date such Person ceases being a Lender party hereto, for the benefit of Agent and not, for the avoidance of doubt, to or for the benefit of Borrowers or any other Credit Party, that at least one of the following is and will be true:</w:t>
      </w:r>
    </w:p>
    <w:p>
      <w:pPr>
        <w:spacing w:after="0" w:line="192" w:lineRule="exact"/>
        <w:rPr>
          <w:rFonts w:ascii="Arial" w:cs="Arial" w:eastAsia="Arial" w:hAnsi="Arial"/>
          <w:sz w:val="22"/>
          <w:szCs w:val="22"/>
          <w:color w:val="auto"/>
        </w:rPr>
      </w:pPr>
    </w:p>
    <w:p>
      <w:pPr>
        <w:jc w:val="both"/>
        <w:ind w:left="340" w:firstLine="1732"/>
        <w:spacing w:after="0" w:line="253" w:lineRule="auto"/>
        <w:tabs>
          <w:tab w:leader="none" w:pos="2608" w:val="left"/>
        </w:tabs>
        <w:numPr>
          <w:ilvl w:val="2"/>
          <w:numId w:val="232"/>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Section 3(42) of ERISA or otherwise) of one or more Benefit Plans with respect to such Lender’s entrance into, participation in, administration of and performance of the Advances, the Letters of Credit, the Commitments or this Agreement,</w:t>
      </w:r>
    </w:p>
    <w:p>
      <w:pPr>
        <w:spacing w:after="0" w:line="185" w:lineRule="exact"/>
        <w:rPr>
          <w:rFonts w:ascii="Arial" w:cs="Arial" w:eastAsia="Arial" w:hAnsi="Arial"/>
          <w:sz w:val="22"/>
          <w:szCs w:val="22"/>
          <w:color w:val="auto"/>
        </w:rPr>
      </w:pPr>
    </w:p>
    <w:p>
      <w:pPr>
        <w:jc w:val="both"/>
        <w:ind w:left="340" w:firstLine="1672"/>
        <w:spacing w:after="0" w:line="292" w:lineRule="auto"/>
        <w:tabs>
          <w:tab w:leader="none" w:pos="2608" w:val="left"/>
        </w:tabs>
        <w:numPr>
          <w:ilvl w:val="2"/>
          <w:numId w:val="232"/>
        </w:numPr>
        <w:rPr>
          <w:rFonts w:ascii="Arial" w:cs="Arial" w:eastAsia="Arial" w:hAnsi="Arial"/>
          <w:sz w:val="19"/>
          <w:szCs w:val="19"/>
          <w:color w:val="auto"/>
        </w:rPr>
      </w:pPr>
      <w:r>
        <w:rPr>
          <w:rFonts w:ascii="Arial" w:cs="Arial" w:eastAsia="Arial" w:hAnsi="Arial"/>
          <w:sz w:val="19"/>
          <w:szCs w:val="19"/>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the Letters of Credit, the Commitments and this Agreement,</w:t>
      </w:r>
    </w:p>
    <w:p>
      <w:pPr>
        <w:sectPr>
          <w:pgSz w:w="11900" w:h="16838" w:orient="portrait"/>
          <w:cols w:equalWidth="0" w:num="1">
            <w:col w:w="11240"/>
          </w:cols>
          <w:pgMar w:left="320" w:top="1428" w:right="339" w:bottom="1440" w:gutter="0" w:footer="0" w:header="0"/>
        </w:sectPr>
      </w:pPr>
    </w:p>
    <w:bookmarkStart w:id="290" w:name="page291"/>
    <w:bookmarkEnd w:id="290"/>
    <w:p>
      <w:pPr>
        <w:jc w:val="both"/>
        <w:ind w:left="8" w:firstLine="1612"/>
        <w:spacing w:after="0" w:line="290" w:lineRule="auto"/>
        <w:tabs>
          <w:tab w:leader="none" w:pos="2276" w:val="left"/>
        </w:tabs>
        <w:numPr>
          <w:ilvl w:val="2"/>
          <w:numId w:val="233"/>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Letters of Credit, the Commitments and this Agreement, (C) the entrance into, participation in, administration of and performance of the Advances,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Letters of Credit, the Commitments and this Agreement, or</w:t>
      </w:r>
    </w:p>
    <w:p>
      <w:pPr>
        <w:spacing w:after="0" w:line="155" w:lineRule="exact"/>
        <w:rPr>
          <w:rFonts w:ascii="Arial" w:cs="Arial" w:eastAsia="Arial" w:hAnsi="Arial"/>
          <w:sz w:val="19"/>
          <w:szCs w:val="19"/>
          <w:color w:val="auto"/>
        </w:rPr>
      </w:pPr>
    </w:p>
    <w:p>
      <w:pPr>
        <w:ind w:left="8" w:firstLine="1624"/>
        <w:spacing w:after="0" w:line="263" w:lineRule="auto"/>
        <w:tabs>
          <w:tab w:leader="none" w:pos="2330" w:val="left"/>
        </w:tabs>
        <w:numPr>
          <w:ilvl w:val="2"/>
          <w:numId w:val="233"/>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Agent, in its sole discretion, and such Lender.</w:t>
      </w:r>
    </w:p>
    <w:p>
      <w:pPr>
        <w:spacing w:after="0" w:line="174" w:lineRule="exact"/>
        <w:rPr>
          <w:rFonts w:ascii="Arial" w:cs="Arial" w:eastAsia="Arial" w:hAnsi="Arial"/>
          <w:sz w:val="22"/>
          <w:szCs w:val="22"/>
          <w:color w:val="auto"/>
        </w:rPr>
      </w:pPr>
    </w:p>
    <w:p>
      <w:pPr>
        <w:jc w:val="both"/>
        <w:ind w:left="8" w:firstLine="1288"/>
        <w:spacing w:after="0" w:line="289" w:lineRule="auto"/>
        <w:tabs>
          <w:tab w:leader="none" w:pos="1623" w:val="left"/>
        </w:tabs>
        <w:numPr>
          <w:ilvl w:val="1"/>
          <w:numId w:val="234"/>
        </w:numPr>
        <w:rPr>
          <w:rFonts w:ascii="Arial" w:cs="Arial" w:eastAsia="Arial" w:hAnsi="Arial"/>
          <w:sz w:val="19"/>
          <w:szCs w:val="19"/>
          <w:color w:val="auto"/>
        </w:rPr>
      </w:pPr>
      <w:r>
        <w:rPr>
          <w:rFonts w:ascii="Arial" w:cs="Arial" w:eastAsia="Arial" w:hAnsi="Arial"/>
          <w:sz w:val="19"/>
          <w:szCs w:val="19"/>
          <w:color w:val="auto"/>
        </w:rPr>
        <w:t>In addition, unless either (1) sub-clause (i) in the immediately preceding clause (a) is true with respect to a Lender or (2) such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Agent and not, for the avoidance of doubt, to or for the benefit of Borrowers or any other Credit Party, that Agent is not a fiduciary with respect to the assets of such Lender involved in such Lender’s entrance into, participation in, administration of and performance of the Advances, the Letters of Credit, the Commitments and this Agreement (including in connection with the reservation or exercise of any rights by Agent under this Agreement, any Loan Document or any documents related hereto or thereto).</w:t>
      </w:r>
    </w:p>
    <w:p>
      <w:pPr>
        <w:spacing w:after="0" w:line="156" w:lineRule="exact"/>
        <w:rPr>
          <w:rFonts w:ascii="Arial" w:cs="Arial" w:eastAsia="Arial" w:hAnsi="Arial"/>
          <w:sz w:val="19"/>
          <w:szCs w:val="19"/>
          <w:color w:val="auto"/>
        </w:rPr>
      </w:pPr>
    </w:p>
    <w:p>
      <w:pPr>
        <w:ind w:left="328" w:right="4020" w:hanging="328"/>
        <w:spacing w:after="0" w:line="448" w:lineRule="auto"/>
        <w:tabs>
          <w:tab w:leader="none" w:pos="308" w:val="left"/>
        </w:tabs>
        <w:numPr>
          <w:ilvl w:val="0"/>
          <w:numId w:val="235"/>
        </w:numPr>
        <w:rPr>
          <w:rFonts w:ascii="Arial" w:cs="Arial" w:eastAsia="Arial" w:hAnsi="Arial"/>
          <w:sz w:val="22"/>
          <w:szCs w:val="22"/>
          <w:color w:val="auto"/>
        </w:rPr>
      </w:pPr>
      <w:r>
        <w:rPr>
          <w:rFonts w:ascii="Arial" w:cs="Arial" w:eastAsia="Arial" w:hAnsi="Arial"/>
          <w:sz w:val="22"/>
          <w:szCs w:val="22"/>
          <w:color w:val="auto"/>
        </w:rPr>
        <w:t xml:space="preserve">ASSIGNMENT AND PARTICIPATIONS; SUCCESSORS AND ASSIGNS 11.1 </w:t>
      </w:r>
      <w:r>
        <w:rPr>
          <w:rFonts w:ascii="Arial" w:cs="Arial" w:eastAsia="Arial" w:hAnsi="Arial"/>
          <w:sz w:val="22"/>
          <w:szCs w:val="22"/>
          <w:u w:val="single" w:color="auto"/>
          <w:color w:val="auto"/>
        </w:rPr>
        <w:t>Assignment and Participations</w:t>
      </w:r>
      <w:r>
        <w:rPr>
          <w:rFonts w:ascii="Arial" w:cs="Arial" w:eastAsia="Arial" w:hAnsi="Arial"/>
          <w:sz w:val="22"/>
          <w:szCs w:val="22"/>
          <w:color w:val="auto"/>
        </w:rPr>
        <w:t>.</w:t>
      </w:r>
    </w:p>
    <w:p>
      <w:pPr>
        <w:jc w:val="both"/>
        <w:ind w:left="8" w:firstLine="1288"/>
        <w:spacing w:after="0" w:line="265" w:lineRule="auto"/>
        <w:tabs>
          <w:tab w:leader="none" w:pos="1625" w:val="left"/>
        </w:tabs>
        <w:numPr>
          <w:ilvl w:val="1"/>
          <w:numId w:val="235"/>
        </w:numPr>
        <w:rPr>
          <w:rFonts w:ascii="Arial" w:cs="Arial" w:eastAsia="Arial" w:hAnsi="Arial"/>
          <w:sz w:val="21"/>
          <w:szCs w:val="21"/>
          <w:color w:val="auto"/>
        </w:rPr>
      </w:pPr>
      <w:r>
        <w:rPr>
          <w:rFonts w:ascii="Arial" w:cs="Arial" w:eastAsia="Arial" w:hAnsi="Arial"/>
          <w:sz w:val="21"/>
          <w:szCs w:val="21"/>
          <w:color w:val="auto"/>
        </w:rPr>
        <w:t xml:space="preserve">Subject to the terms of this </w:t>
      </w:r>
      <w:r>
        <w:rPr>
          <w:rFonts w:ascii="Arial" w:cs="Arial" w:eastAsia="Arial" w:hAnsi="Arial"/>
          <w:sz w:val="21"/>
          <w:szCs w:val="21"/>
          <w:u w:val="single" w:color="auto"/>
          <w:color w:val="auto"/>
        </w:rPr>
        <w:t>Section 11.1</w:t>
      </w:r>
      <w:r>
        <w:rPr>
          <w:rFonts w:ascii="Arial" w:cs="Arial" w:eastAsia="Arial" w:hAnsi="Arial"/>
          <w:sz w:val="21"/>
          <w:szCs w:val="21"/>
          <w:color w:val="auto"/>
        </w:rPr>
        <w:t>, any Lender may make an assignment, or sell participations in, at any time or times, the Loan Documents, Loans, Letter of Credit Obligations and any Commitment or any portion thereof or interest therein, including any Lender’s rights, title, interests, remedies, powers or duties thereunder, to an Eligible Assignee. Any assignment by a Lender shall be subject to the following conditions:</w:t>
      </w:r>
    </w:p>
    <w:p>
      <w:pPr>
        <w:spacing w:after="0" w:line="175" w:lineRule="exact"/>
        <w:rPr>
          <w:rFonts w:ascii="Arial" w:cs="Arial" w:eastAsia="Arial" w:hAnsi="Arial"/>
          <w:sz w:val="21"/>
          <w:szCs w:val="21"/>
          <w:color w:val="auto"/>
        </w:rPr>
      </w:pPr>
    </w:p>
    <w:p>
      <w:pPr>
        <w:jc w:val="both"/>
        <w:ind w:left="8" w:firstLine="1732"/>
        <w:spacing w:after="0" w:line="294" w:lineRule="auto"/>
        <w:tabs>
          <w:tab w:leader="none" w:pos="2276" w:val="left"/>
        </w:tabs>
        <w:numPr>
          <w:ilvl w:val="2"/>
          <w:numId w:val="235"/>
        </w:numPr>
        <w:rPr>
          <w:rFonts w:ascii="Arial" w:cs="Arial" w:eastAsia="Arial" w:hAnsi="Arial"/>
          <w:sz w:val="19"/>
          <w:szCs w:val="19"/>
          <w:color w:val="auto"/>
        </w:rPr>
      </w:pPr>
      <w:r>
        <w:rPr>
          <w:rFonts w:ascii="Arial" w:cs="Arial" w:eastAsia="Arial" w:hAnsi="Arial"/>
          <w:sz w:val="19"/>
          <w:szCs w:val="19"/>
          <w:u w:val="single" w:color="auto"/>
          <w:color w:val="auto"/>
        </w:rPr>
        <w:t>Assignment Agreement</w:t>
      </w:r>
      <w:r>
        <w:rPr>
          <w:rFonts w:ascii="Arial" w:cs="Arial" w:eastAsia="Arial" w:hAnsi="Arial"/>
          <w:sz w:val="19"/>
          <w:szCs w:val="19"/>
          <w:color w:val="auto"/>
        </w:rPr>
        <w:t>. Any assignment by a Lender shall require (A) the execution of an assignment agreement (the “</w:t>
      </w:r>
      <w:r>
        <w:rPr>
          <w:rFonts w:ascii="Arial" w:cs="Arial" w:eastAsia="Arial" w:hAnsi="Arial"/>
          <w:sz w:val="19"/>
          <w:szCs w:val="19"/>
          <w:u w:val="single" w:color="auto"/>
          <w:color w:val="auto"/>
        </w:rPr>
        <w:t>Assignment Agreement</w:t>
      </w:r>
      <w:r>
        <w:rPr>
          <w:rFonts w:ascii="Arial" w:cs="Arial" w:eastAsia="Arial" w:hAnsi="Arial"/>
          <w:sz w:val="19"/>
          <w:szCs w:val="19"/>
          <w:color w:val="auto"/>
        </w:rPr>
        <w:t xml:space="preserve">”) substantially in the form attached hereto as </w:t>
      </w:r>
      <w:r>
        <w:rPr>
          <w:rFonts w:ascii="Arial" w:cs="Arial" w:eastAsia="Arial" w:hAnsi="Arial"/>
          <w:sz w:val="19"/>
          <w:szCs w:val="19"/>
          <w:u w:val="single" w:color="auto"/>
          <w:color w:val="auto"/>
        </w:rPr>
        <w:t>Exhibit 11.1(a)</w:t>
      </w:r>
      <w:r>
        <w:rPr>
          <w:rFonts w:ascii="Arial" w:cs="Arial" w:eastAsia="Arial" w:hAnsi="Arial"/>
          <w:sz w:val="19"/>
          <w:szCs w:val="19"/>
          <w:color w:val="auto"/>
        </w:rPr>
        <w:t xml:space="preserve"> or otherwise in form and substance reasonably satisfactory to and acknowledged by Agent and (B) the payment of a processing and recordation fee of $3,500 by the assignor or assignee to Agent (unless such assignment is to a Lender, an Affiliate of a Lender or an Approved Fund). Agent, acting as Borrowers’ agent, shall maintain at one of its offices listed in </w:t>
      </w:r>
      <w:r>
        <w:rPr>
          <w:rFonts w:ascii="Arial" w:cs="Arial" w:eastAsia="Arial" w:hAnsi="Arial"/>
          <w:sz w:val="19"/>
          <w:szCs w:val="19"/>
          <w:u w:val="single" w:color="auto"/>
          <w:color w:val="auto"/>
        </w:rPr>
        <w:t>Section 12.10</w:t>
      </w:r>
      <w:r>
        <w:rPr>
          <w:rFonts w:ascii="Arial" w:cs="Arial" w:eastAsia="Arial" w:hAnsi="Arial"/>
          <w:sz w:val="19"/>
          <w:szCs w:val="19"/>
          <w:color w:val="auto"/>
        </w:rPr>
        <w:t xml:space="preserve"> (as may be updated from time to time pursuant to </w:t>
      </w:r>
      <w:r>
        <w:rPr>
          <w:rFonts w:ascii="Arial" w:cs="Arial" w:eastAsia="Arial" w:hAnsi="Arial"/>
          <w:sz w:val="19"/>
          <w:szCs w:val="19"/>
          <w:u w:val="single" w:color="auto"/>
          <w:color w:val="auto"/>
        </w:rPr>
        <w:t>Section 12.10</w:t>
      </w:r>
      <w:r>
        <w:rPr>
          <w:rFonts w:ascii="Arial" w:cs="Arial" w:eastAsia="Arial" w:hAnsi="Arial"/>
          <w:sz w:val="19"/>
          <w:szCs w:val="19"/>
          <w:color w:val="auto"/>
        </w:rPr>
        <w:t>), a copy of each Assignment Agreement delivered to it and a</w:t>
      </w:r>
    </w:p>
    <w:p>
      <w:pPr>
        <w:sectPr>
          <w:pgSz w:w="11900" w:h="16838" w:orient="portrait"/>
          <w:cols w:equalWidth="0" w:num="1">
            <w:col w:w="10908"/>
          </w:cols>
          <w:pgMar w:left="652" w:top="1428" w:right="339" w:bottom="1440" w:gutter="0" w:footer="0" w:header="0"/>
        </w:sectPr>
      </w:pPr>
    </w:p>
    <w:bookmarkStart w:id="291" w:name="page292"/>
    <w:bookmarkEnd w:id="291"/>
    <w:p>
      <w:pPr>
        <w:jc w:val="both"/>
        <w:spacing w:after="0" w:line="292" w:lineRule="auto"/>
        <w:rPr>
          <w:sz w:val="20"/>
          <w:szCs w:val="20"/>
          <w:color w:val="auto"/>
        </w:rPr>
      </w:pPr>
      <w:r>
        <w:rPr>
          <w:rFonts w:ascii="Arial" w:cs="Arial" w:eastAsia="Arial" w:hAnsi="Arial"/>
          <w:sz w:val="19"/>
          <w:szCs w:val="19"/>
          <w:color w:val="auto"/>
        </w:rPr>
        <w:t>register for the recordation of the names and addresses of the Lenders, and the Commitments of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Agent shall accept and record into the Register each Assignment Agreement that it receives which is executed and delivered in accordance with the terms of this Agreement. The entries in the Register shall be conclusive, absent manifest error, and Borrowers, Agent and the Lenders may treat each Person whose name is recorded in the Register pursuant to the terms hereof as a Lender hereunder for all purposes of this Agreement, notwithstanding notice to the contrary. The Register shall be available for inspection by Borrowers and the Lenders, at any reasonable time and from time to time upon reasonable prior notice.</w:t>
      </w:r>
    </w:p>
    <w:p>
      <w:pPr>
        <w:spacing w:after="0" w:line="151" w:lineRule="exact"/>
        <w:rPr>
          <w:sz w:val="20"/>
          <w:szCs w:val="20"/>
          <w:color w:val="auto"/>
        </w:rPr>
      </w:pPr>
    </w:p>
    <w:p>
      <w:pPr>
        <w:ind w:left="2260" w:hanging="588"/>
        <w:spacing w:after="0"/>
        <w:tabs>
          <w:tab w:leader="none" w:pos="2260" w:val="left"/>
        </w:tabs>
        <w:numPr>
          <w:ilvl w:val="0"/>
          <w:numId w:val="236"/>
        </w:numPr>
        <w:rPr>
          <w:rFonts w:ascii="Arial" w:cs="Arial" w:eastAsia="Arial" w:hAnsi="Arial"/>
          <w:sz w:val="22"/>
          <w:szCs w:val="22"/>
          <w:color w:val="auto"/>
        </w:rPr>
      </w:pPr>
      <w:r>
        <w:rPr>
          <w:rFonts w:ascii="Arial" w:cs="Arial" w:eastAsia="Arial" w:hAnsi="Arial"/>
          <w:sz w:val="22"/>
          <w:szCs w:val="22"/>
          <w:color w:val="auto"/>
        </w:rPr>
        <w:t>Minimum Amounts.</w:t>
      </w:r>
    </w:p>
    <w:p>
      <w:pPr>
        <w:spacing w:after="0" w:line="220" w:lineRule="exact"/>
        <w:rPr>
          <w:sz w:val="20"/>
          <w:szCs w:val="20"/>
          <w:color w:val="auto"/>
        </w:rPr>
      </w:pPr>
    </w:p>
    <w:p>
      <w:pPr>
        <w:jc w:val="both"/>
        <w:ind w:firstLine="2592"/>
        <w:spacing w:after="0" w:line="253" w:lineRule="auto"/>
        <w:rPr>
          <w:sz w:val="20"/>
          <w:szCs w:val="20"/>
          <w:color w:val="auto"/>
        </w:rPr>
      </w:pPr>
      <w:r>
        <w:rPr>
          <w:rFonts w:ascii="Arial" w:cs="Arial" w:eastAsia="Arial" w:hAnsi="Arial"/>
          <w:sz w:val="22"/>
          <w:szCs w:val="22"/>
          <w:color w:val="auto"/>
        </w:rPr>
        <w:t>(A)in the case of an assignment of the entire remaining amount of the assigning Lender’s Commitment and the Loans at the time owing to it or in the case of an assignment to a Lender or an Affiliate of a Lender or an Approved Fund, no minimum amount need be assigned; and</w:t>
      </w:r>
    </w:p>
    <w:p>
      <w:pPr>
        <w:spacing w:after="0" w:line="185" w:lineRule="exact"/>
        <w:rPr>
          <w:sz w:val="20"/>
          <w:szCs w:val="20"/>
          <w:color w:val="auto"/>
        </w:rPr>
      </w:pPr>
    </w:p>
    <w:p>
      <w:pPr>
        <w:jc w:val="both"/>
        <w:ind w:firstLine="2592"/>
        <w:spacing w:after="0" w:line="289" w:lineRule="auto"/>
        <w:rPr>
          <w:sz w:val="20"/>
          <w:szCs w:val="20"/>
          <w:color w:val="auto"/>
        </w:rPr>
      </w:pPr>
      <w:r>
        <w:rPr>
          <w:rFonts w:ascii="Arial" w:cs="Arial" w:eastAsia="Arial" w:hAnsi="Arial"/>
          <w:sz w:val="19"/>
          <w:szCs w:val="19"/>
          <w:color w:val="auto"/>
        </w:rPr>
        <w:t xml:space="preserve">(B)in any case not described in </w:t>
      </w:r>
      <w:r>
        <w:rPr>
          <w:rFonts w:ascii="Arial" w:cs="Arial" w:eastAsia="Arial" w:hAnsi="Arial"/>
          <w:sz w:val="19"/>
          <w:szCs w:val="19"/>
          <w:u w:val="single" w:color="auto"/>
          <w:color w:val="auto"/>
        </w:rPr>
        <w:t>Section 11.1(a)(ii)(A)</w:t>
      </w:r>
      <w:r>
        <w:rPr>
          <w:rFonts w:ascii="Arial" w:cs="Arial" w:eastAsia="Arial" w:hAnsi="Arial"/>
          <w:sz w:val="19"/>
          <w:szCs w:val="19"/>
          <w:color w:val="auto"/>
        </w:rPr>
        <w:t xml:space="preserve">,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Agreement with respect to such assignment is delivered to Agent or, if “Effective Date” is specified in the Assignment Agreement, as of the Effective Date) shall not be less than $5,000,000, and in increments of $1,000,000, unless each of (1) Agent and (2) so long as no Event of Default under </w:t>
      </w:r>
      <w:r>
        <w:rPr>
          <w:rFonts w:ascii="Arial" w:cs="Arial" w:eastAsia="Arial" w:hAnsi="Arial"/>
          <w:sz w:val="19"/>
          <w:szCs w:val="19"/>
          <w:u w:val="single" w:color="auto"/>
          <w:color w:val="auto"/>
        </w:rPr>
        <w:t>Sections 9.1(a)</w:t>
      </w:r>
      <w:r>
        <w:rPr>
          <w:rFonts w:ascii="Arial" w:cs="Arial" w:eastAsia="Arial" w:hAnsi="Arial"/>
          <w:sz w:val="19"/>
          <w:szCs w:val="19"/>
          <w:color w:val="auto"/>
        </w:rPr>
        <w:t xml:space="preserve">,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(k)</w:t>
      </w:r>
      <w:r>
        <w:rPr>
          <w:rFonts w:ascii="Arial" w:cs="Arial" w:eastAsia="Arial" w:hAnsi="Arial"/>
          <w:sz w:val="19"/>
          <w:szCs w:val="19"/>
          <w:color w:val="auto"/>
        </w:rPr>
        <w:t xml:space="preserve"> has occurred and is continuing, Borrowers, otherwise consent (each such consent not to be unreasonably withheld or delayed, and Borrowers shall be deemed to have consented to such assignment unless Borrower Representative shall have objected thereto by written notice to Agent within ten (10) Business Days after having received such Assignment Agreement).</w:t>
      </w:r>
    </w:p>
    <w:p>
      <w:pPr>
        <w:spacing w:after="0" w:line="157" w:lineRule="exact"/>
        <w:rPr>
          <w:sz w:val="20"/>
          <w:szCs w:val="20"/>
          <w:color w:val="auto"/>
        </w:rPr>
      </w:pPr>
    </w:p>
    <w:p>
      <w:pPr>
        <w:jc w:val="both"/>
        <w:ind w:firstLine="1612"/>
        <w:spacing w:after="0" w:line="250" w:lineRule="auto"/>
        <w:tabs>
          <w:tab w:leader="none" w:pos="2268" w:val="left"/>
        </w:tabs>
        <w:numPr>
          <w:ilvl w:val="0"/>
          <w:numId w:val="237"/>
        </w:numPr>
        <w:rPr>
          <w:rFonts w:ascii="Arial" w:cs="Arial" w:eastAsia="Arial" w:hAnsi="Arial"/>
          <w:sz w:val="22"/>
          <w:szCs w:val="22"/>
          <w:color w:val="auto"/>
        </w:rPr>
      </w:pPr>
      <w:r>
        <w:rPr>
          <w:rFonts w:ascii="Arial" w:cs="Arial" w:eastAsia="Arial" w:hAnsi="Arial"/>
          <w:sz w:val="22"/>
          <w:szCs w:val="22"/>
          <w:u w:val="single" w:color="auto"/>
          <w:color w:val="auto"/>
        </w:rPr>
        <w:t>Proportionate Amounts</w:t>
      </w:r>
      <w:r>
        <w:rPr>
          <w:rFonts w:ascii="Arial" w:cs="Arial" w:eastAsia="Arial" w:hAnsi="Arial"/>
          <w:sz w:val="22"/>
          <w:szCs w:val="22"/>
          <w:color w:val="auto"/>
        </w:rPr>
        <w:t xml:space="preserve">. Each partial assignment shall be made as an assignment of a proportionate part of all the assigning Lender’s rights and obligations under this Agreement with respect to the Loan or the Commitment assigned, except that this </w:t>
      </w:r>
      <w:r>
        <w:rPr>
          <w:rFonts w:ascii="Arial" w:cs="Arial" w:eastAsia="Arial" w:hAnsi="Arial"/>
          <w:sz w:val="22"/>
          <w:szCs w:val="22"/>
          <w:u w:val="single" w:color="auto"/>
          <w:color w:val="auto"/>
        </w:rPr>
        <w:t>Section 11.1(a)(iii)</w:t>
      </w:r>
      <w:r>
        <w:rPr>
          <w:rFonts w:ascii="Arial" w:cs="Arial" w:eastAsia="Arial" w:hAnsi="Arial"/>
          <w:sz w:val="22"/>
          <w:szCs w:val="22"/>
          <w:color w:val="auto"/>
        </w:rPr>
        <w:t xml:space="preserve"> shall not prohibit any Lender from assigning all or a portion of its rights and obligations among separate tranches on a non-pro rata basis (if any).</w:t>
      </w:r>
    </w:p>
    <w:p>
      <w:pPr>
        <w:spacing w:after="0" w:line="187" w:lineRule="exact"/>
        <w:rPr>
          <w:rFonts w:ascii="Arial" w:cs="Arial" w:eastAsia="Arial" w:hAnsi="Arial"/>
          <w:sz w:val="22"/>
          <w:szCs w:val="22"/>
          <w:color w:val="auto"/>
        </w:rPr>
      </w:pPr>
    </w:p>
    <w:p>
      <w:pPr>
        <w:ind w:firstLine="1624"/>
        <w:spacing w:after="0" w:line="263" w:lineRule="auto"/>
        <w:tabs>
          <w:tab w:leader="none" w:pos="2268" w:val="left"/>
        </w:tabs>
        <w:numPr>
          <w:ilvl w:val="0"/>
          <w:numId w:val="237"/>
        </w:numPr>
        <w:rPr>
          <w:rFonts w:ascii="Arial" w:cs="Arial" w:eastAsia="Arial" w:hAnsi="Arial"/>
          <w:sz w:val="22"/>
          <w:szCs w:val="22"/>
          <w:color w:val="auto"/>
        </w:rPr>
      </w:pPr>
      <w:r>
        <w:rPr>
          <w:rFonts w:ascii="Arial" w:cs="Arial" w:eastAsia="Arial" w:hAnsi="Arial"/>
          <w:sz w:val="22"/>
          <w:szCs w:val="22"/>
          <w:u w:val="single" w:color="auto"/>
          <w:color w:val="auto"/>
        </w:rPr>
        <w:t>Required Consents</w:t>
      </w:r>
      <w:r>
        <w:rPr>
          <w:rFonts w:ascii="Arial" w:cs="Arial" w:eastAsia="Arial" w:hAnsi="Arial"/>
          <w:sz w:val="22"/>
          <w:szCs w:val="22"/>
          <w:color w:val="auto"/>
        </w:rPr>
        <w:t xml:space="preserve">. No consent shall be required for any assignment except to the extent required by </w:t>
      </w:r>
      <w:r>
        <w:rPr>
          <w:rFonts w:ascii="Arial" w:cs="Arial" w:eastAsia="Arial" w:hAnsi="Arial"/>
          <w:sz w:val="22"/>
          <w:szCs w:val="22"/>
          <w:u w:val="single" w:color="auto"/>
          <w:color w:val="auto"/>
        </w:rPr>
        <w:t>Section 11.1(a)(ii)(B)</w:t>
      </w:r>
      <w:r>
        <w:rPr>
          <w:rFonts w:ascii="Arial" w:cs="Arial" w:eastAsia="Arial" w:hAnsi="Arial"/>
          <w:sz w:val="22"/>
          <w:szCs w:val="22"/>
          <w:color w:val="auto"/>
        </w:rPr>
        <w:t xml:space="preserve"> and, in addition:</w:t>
      </w:r>
    </w:p>
    <w:p>
      <w:pPr>
        <w:spacing w:after="0" w:line="175" w:lineRule="exact"/>
        <w:rPr>
          <w:sz w:val="20"/>
          <w:szCs w:val="20"/>
          <w:color w:val="auto"/>
        </w:rPr>
      </w:pPr>
    </w:p>
    <w:p>
      <w:pPr>
        <w:jc w:val="both"/>
        <w:ind w:firstLine="2592"/>
        <w:spacing w:after="0" w:line="248" w:lineRule="auto"/>
        <w:rPr>
          <w:sz w:val="20"/>
          <w:szCs w:val="20"/>
          <w:color w:val="auto"/>
        </w:rPr>
      </w:pPr>
      <w:r>
        <w:rPr>
          <w:rFonts w:ascii="Arial" w:cs="Arial" w:eastAsia="Arial" w:hAnsi="Arial"/>
          <w:sz w:val="22"/>
          <w:szCs w:val="22"/>
          <w:color w:val="auto"/>
        </w:rPr>
        <w:t xml:space="preserve">(A)the consent of Borrowers for any assignment (such consent not to be unreasonably withheld, conditioned or delayed) shall be required unless (x) an Event of Default has occurred and is continuing at the time of such assignment or (y) such assignment is to a Lender, an Affiliate of a Lender or an Approved Fund or (z) such assignment is to or by MSSF in connection with the initial syndication of the Loans and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Borrowers shall be deemed to have consented to any such</w:t>
      </w:r>
    </w:p>
    <w:p>
      <w:pPr>
        <w:sectPr>
          <w:pgSz w:w="11900" w:h="16838" w:orient="portrait"/>
          <w:cols w:equalWidth="0" w:num="1">
            <w:col w:w="10900"/>
          </w:cols>
          <w:pgMar w:left="660" w:top="1428" w:right="339" w:bottom="1440" w:gutter="0" w:footer="0" w:header="0"/>
        </w:sectPr>
      </w:pPr>
    </w:p>
    <w:bookmarkStart w:id="292" w:name="page293"/>
    <w:bookmarkEnd w:id="292"/>
    <w:p>
      <w:pPr>
        <w:jc w:val="both"/>
        <w:spacing w:after="0" w:line="263" w:lineRule="auto"/>
        <w:rPr>
          <w:sz w:val="20"/>
          <w:szCs w:val="20"/>
          <w:color w:val="auto"/>
        </w:rPr>
      </w:pPr>
      <w:r>
        <w:rPr>
          <w:rFonts w:ascii="Arial" w:cs="Arial" w:eastAsia="Arial" w:hAnsi="Arial"/>
          <w:sz w:val="22"/>
          <w:szCs w:val="22"/>
          <w:color w:val="auto"/>
        </w:rPr>
        <w:t>assignment unless it shall object thereto by written notice to Agent within ten (10) Business Days after having received written notice thereof;</w:t>
      </w:r>
    </w:p>
    <w:p>
      <w:pPr>
        <w:spacing w:after="0" w:line="175" w:lineRule="exact"/>
        <w:rPr>
          <w:sz w:val="20"/>
          <w:szCs w:val="20"/>
          <w:color w:val="auto"/>
        </w:rPr>
      </w:pPr>
    </w:p>
    <w:p>
      <w:pPr>
        <w:jc w:val="both"/>
        <w:ind w:firstLine="2592"/>
        <w:spacing w:after="0" w:line="253" w:lineRule="auto"/>
        <w:rPr>
          <w:sz w:val="20"/>
          <w:szCs w:val="20"/>
          <w:color w:val="auto"/>
        </w:rPr>
      </w:pPr>
      <w:r>
        <w:rPr>
          <w:rFonts w:ascii="Arial" w:cs="Arial" w:eastAsia="Arial" w:hAnsi="Arial"/>
          <w:sz w:val="22"/>
          <w:szCs w:val="22"/>
          <w:color w:val="auto"/>
        </w:rPr>
        <w:t>(B)the consent of Agent (such consent not to be unreasonably withheld, conditioned or delayed) shall be required for assignments in respect of any Revolving Loan or Commitment if such assignment is to a Person that is not a Lender, an Affiliate of a Lender or an Approved Fund;</w:t>
      </w:r>
    </w:p>
    <w:p>
      <w:pPr>
        <w:spacing w:after="0" w:line="185" w:lineRule="exact"/>
        <w:rPr>
          <w:sz w:val="20"/>
          <w:szCs w:val="20"/>
          <w:color w:val="auto"/>
        </w:rPr>
      </w:pPr>
    </w:p>
    <w:p>
      <w:pPr>
        <w:jc w:val="both"/>
        <w:ind w:firstLine="2592"/>
        <w:spacing w:after="0" w:line="253" w:lineRule="auto"/>
        <w:rPr>
          <w:sz w:val="20"/>
          <w:szCs w:val="20"/>
          <w:color w:val="auto"/>
        </w:rPr>
      </w:pPr>
      <w:r>
        <w:rPr>
          <w:rFonts w:ascii="Arial" w:cs="Arial" w:eastAsia="Arial" w:hAnsi="Arial"/>
          <w:sz w:val="22"/>
          <w:szCs w:val="22"/>
          <w:color w:val="auto"/>
        </w:rPr>
        <w:t>(C)the consent of each L/C Issuer (such consent not to be unreasonably withheld, conditioned or delayed) shall be required for any assignment that increases the obligation of the assignee to participate in exposure under one or more Letters of Credit (whether or not then outstanding); and</w:t>
      </w:r>
    </w:p>
    <w:p>
      <w:pPr>
        <w:spacing w:after="0" w:line="185" w:lineRule="exact"/>
        <w:rPr>
          <w:sz w:val="20"/>
          <w:szCs w:val="20"/>
          <w:color w:val="auto"/>
        </w:rPr>
      </w:pPr>
    </w:p>
    <w:p>
      <w:pPr>
        <w:jc w:val="both"/>
        <w:ind w:firstLine="2592"/>
        <w:spacing w:after="0" w:line="263" w:lineRule="auto"/>
        <w:rPr>
          <w:sz w:val="20"/>
          <w:szCs w:val="20"/>
          <w:color w:val="auto"/>
        </w:rPr>
      </w:pPr>
      <w:r>
        <w:rPr>
          <w:rFonts w:ascii="Arial" w:cs="Arial" w:eastAsia="Arial" w:hAnsi="Arial"/>
          <w:sz w:val="22"/>
          <w:szCs w:val="22"/>
          <w:color w:val="auto"/>
        </w:rPr>
        <w:t>(D)the consent of the Swing Line Lender (such consent not to be unreasonably withheld, conditioned or delayed) shall be required for any assignment in respect of the Swing Line Loans.</w:t>
      </w:r>
    </w:p>
    <w:p>
      <w:pPr>
        <w:spacing w:after="0" w:line="175" w:lineRule="exact"/>
        <w:rPr>
          <w:sz w:val="20"/>
          <w:szCs w:val="20"/>
          <w:color w:val="auto"/>
        </w:rPr>
      </w:pPr>
    </w:p>
    <w:p>
      <w:pPr>
        <w:jc w:val="both"/>
        <w:ind w:firstLine="1288"/>
        <w:spacing w:after="0" w:line="286" w:lineRule="auto"/>
        <w:tabs>
          <w:tab w:leader="none" w:pos="1615" w:val="left"/>
        </w:tabs>
        <w:numPr>
          <w:ilvl w:val="0"/>
          <w:numId w:val="238"/>
        </w:numPr>
        <w:rPr>
          <w:rFonts w:ascii="Arial" w:cs="Arial" w:eastAsia="Arial" w:hAnsi="Arial"/>
          <w:sz w:val="19"/>
          <w:szCs w:val="19"/>
          <w:color w:val="auto"/>
        </w:rPr>
      </w:pPr>
      <w:r>
        <w:rPr>
          <w:rFonts w:ascii="Arial" w:cs="Arial" w:eastAsia="Arial" w:hAnsi="Arial"/>
          <w:sz w:val="19"/>
          <w:szCs w:val="19"/>
          <w:color w:val="auto"/>
        </w:rPr>
        <w:t xml:space="preserve">In the case of an assignment by a Lender under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the assignee shall have, to the extent of such assignment, the same rights, benefits and obligations as all other Lenders hereunder. The assigning Lender shall be relieved of its obligations hereunder with respect to its Commitments or assigned portion thereof from and after the date of such assignment. Each Borrower hereby acknowledges and agrees that any assignment shall give rise to a direct obligation of Borrowers to the assignee and that the assignee shall be considered to be a “Lender”. In all instances, each Lender’s liability to make Loans hereunder shall be several and not joint and shall be limited to such Lender’s Pro Rata Share of the applicable Commitment. In the event Agent or any Lender assigns or otherwise transfers all or any part of the Obligations, Agent or any such Lender shall so notify Borrowers and Borrowers shall, upon the request of Agent or such Lender, execute new Notes in exchange for the Notes, if any, being assigned. Notwithstanding the foregoing provisions of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(i) any Lender may at any time pledge the Obligations held by it and such Lender’s rights under this Agreement and the other Loan Documents to a Federal Reserve Bank, and any Lender that is an investment fund may assign the Obligations held by it and such Lender’s rights under this Agreement and the other Loan Documents to another investment fund managed by the same investment advisor;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pledge to a Federal Reserve Bank shall release such Lender from such Lender’s obligations hereunder or under any other Loan Document and (ii) no assignment shall be made to any Credit Party, any Subsidiary of a Credit Party or any Affiliate of a Credit Party.</w:t>
      </w:r>
    </w:p>
    <w:p>
      <w:pPr>
        <w:spacing w:after="0" w:line="158" w:lineRule="exact"/>
        <w:rPr>
          <w:rFonts w:ascii="Arial" w:cs="Arial" w:eastAsia="Arial" w:hAnsi="Arial"/>
          <w:sz w:val="19"/>
          <w:szCs w:val="19"/>
          <w:color w:val="auto"/>
        </w:rPr>
      </w:pPr>
    </w:p>
    <w:p>
      <w:pPr>
        <w:jc w:val="both"/>
        <w:ind w:firstLine="1288"/>
        <w:spacing w:after="0" w:line="246" w:lineRule="auto"/>
        <w:tabs>
          <w:tab w:leader="none" w:pos="1617" w:val="left"/>
        </w:tabs>
        <w:numPr>
          <w:ilvl w:val="0"/>
          <w:numId w:val="238"/>
        </w:numPr>
        <w:rPr>
          <w:rFonts w:ascii="Arial" w:cs="Arial" w:eastAsia="Arial" w:hAnsi="Arial"/>
          <w:sz w:val="22"/>
          <w:szCs w:val="22"/>
          <w:color w:val="auto"/>
        </w:rPr>
      </w:pPr>
      <w:r>
        <w:rPr>
          <w:rFonts w:ascii="Arial" w:cs="Arial" w:eastAsia="Arial" w:hAnsi="Arial"/>
          <w:sz w:val="22"/>
          <w:szCs w:val="22"/>
          <w:color w:val="auto"/>
        </w:rPr>
        <w:t xml:space="preserve">A Lender may at any time, without consent of or notice to any Borrower or Agent, sell participations to any Person (other than a natural person or Parent Borrower, any Subsidiary or any Affiliate thereof, or any Disqualified Institution (to the extent that the list of Disqualified Institutions have been made available to all Lenders)) in all or a portion of such Lender’s rights and/or obligations under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participation by a Lender of all or any part of its Commitments shall be made with the understanding that all amounts payable by Borrowers hereunder shall be determined as if that Lender had not sold such participation, and that the holder of any such participation shall not be entitled to</w:t>
      </w:r>
    </w:p>
    <w:p>
      <w:pPr>
        <w:sectPr>
          <w:pgSz w:w="11900" w:h="16838" w:orient="portrait"/>
          <w:cols w:equalWidth="0" w:num="1">
            <w:col w:w="10900"/>
          </w:cols>
          <w:pgMar w:left="660" w:top="1428" w:right="339" w:bottom="1440" w:gutter="0" w:footer="0" w:header="0"/>
        </w:sectPr>
      </w:pPr>
    </w:p>
    <w:bookmarkStart w:id="293" w:name="page294"/>
    <w:bookmarkEnd w:id="293"/>
    <w:p>
      <w:pPr>
        <w:jc w:val="both"/>
        <w:spacing w:after="0" w:line="284" w:lineRule="auto"/>
        <w:rPr>
          <w:sz w:val="20"/>
          <w:szCs w:val="20"/>
          <w:color w:val="auto"/>
        </w:rPr>
      </w:pPr>
      <w:r>
        <w:rPr>
          <w:rFonts w:ascii="Arial" w:cs="Arial" w:eastAsia="Arial" w:hAnsi="Arial"/>
          <w:sz w:val="19"/>
          <w:szCs w:val="19"/>
          <w:color w:val="auto"/>
        </w:rPr>
        <w:t xml:space="preserve">require such Lender to take or omit to take any action hereunder except actions directly affecting (i) any reduction in the principal amount of, or interest rate or Fees payable with respect to, the Loans participated; (ii) any extension of the final maturity date thereof; and (iii) any release of all or substantially all of the Collateral or the value of the Guarantees (other than in accordance with the terms of this Agreement, the Collateral Documents or the other Loan Documents). Solely for purposes of </w:t>
      </w:r>
      <w:r>
        <w:rPr>
          <w:rFonts w:ascii="Arial" w:cs="Arial" w:eastAsia="Arial" w:hAnsi="Arial"/>
          <w:sz w:val="19"/>
          <w:szCs w:val="19"/>
          <w:u w:val="single" w:color="auto"/>
          <w:color w:val="auto"/>
        </w:rPr>
        <w:t>Sections 2.11</w:t>
      </w:r>
      <w:r>
        <w:rPr>
          <w:rFonts w:ascii="Arial" w:cs="Arial" w:eastAsia="Arial" w:hAnsi="Arial"/>
          <w:sz w:val="19"/>
          <w:szCs w:val="19"/>
          <w:color w:val="auto"/>
        </w:rPr>
        <w:t xml:space="preserve">, </w:t>
      </w:r>
      <w:r>
        <w:rPr>
          <w:rFonts w:ascii="Arial" w:cs="Arial" w:eastAsia="Arial" w:hAnsi="Arial"/>
          <w:sz w:val="19"/>
          <w:szCs w:val="19"/>
          <w:u w:val="single" w:color="auto"/>
          <w:color w:val="auto"/>
        </w:rPr>
        <w:t>2.13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each Borrower acknowledges and agrees that a participation shall give rise to an obligation of Borrowers to the participant and the participant shall be considered to be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participant (A) shall not be entitled to receive any greater payment under </w:t>
      </w:r>
      <w:r>
        <w:rPr>
          <w:rFonts w:ascii="Arial" w:cs="Arial" w:eastAsia="Arial" w:hAnsi="Arial"/>
          <w:sz w:val="19"/>
          <w:szCs w:val="19"/>
          <w:u w:val="single" w:color="auto"/>
          <w:color w:val="auto"/>
        </w:rPr>
        <w:t>Sections 2.13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than the applicable Lender from whom it received its participation would have been entitled to receive with respect to the participation sold to such participant and (B) complies with the provisions of </w:t>
      </w:r>
      <w:r>
        <w:rPr>
          <w:rFonts w:ascii="Arial" w:cs="Arial" w:eastAsia="Arial" w:hAnsi="Arial"/>
          <w:sz w:val="19"/>
          <w:szCs w:val="19"/>
          <w:u w:val="single" w:color="auto"/>
          <w:color w:val="auto"/>
        </w:rPr>
        <w:t>Sections 2.13(d)</w:t>
      </w:r>
      <w:r>
        <w:rPr>
          <w:rFonts w:ascii="Arial" w:cs="Arial" w:eastAsia="Arial" w:hAnsi="Arial"/>
          <w:sz w:val="19"/>
          <w:szCs w:val="19"/>
          <w:color w:val="auto"/>
        </w:rPr>
        <w:t xml:space="preserve">, </w:t>
      </w:r>
      <w:r>
        <w:rPr>
          <w:rFonts w:ascii="Arial" w:cs="Arial" w:eastAsia="Arial" w:hAnsi="Arial"/>
          <w:sz w:val="19"/>
          <w:szCs w:val="19"/>
          <w:u w:val="single" w:color="auto"/>
          <w:color w:val="auto"/>
        </w:rPr>
        <w:t>2.14(d)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2.14(g)</w:t>
      </w:r>
      <w:r>
        <w:rPr>
          <w:rFonts w:ascii="Arial" w:cs="Arial" w:eastAsia="Arial" w:hAnsi="Arial"/>
          <w:sz w:val="19"/>
          <w:szCs w:val="19"/>
          <w:color w:val="auto"/>
        </w:rPr>
        <w:t xml:space="preserve"> as though it were a Lender. Each Lender that sells a participation shall, acting solely for this purpose as a non-fiduciary agent of Borrowers,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 Except as set forth in this paragraph, no Borrower or Credit Party shall have any obligation or duty to any participant and shall continue to deal solely and directly with the Lender selling the participation. Neither Agent nor any Lender (other than the Lender selling a participation) shall have any duty to any participant and may continue to deal solely with the Lender selling a participation as if no such sale had occurred. Notwithstanding anything to the contrary contained in the Loan Documents, no Lender may assign or sell a participation to any Person that is not an Eligible Assignee and participations shall not require Borrowers’ or Agent’s prior written consent.</w:t>
      </w:r>
    </w:p>
    <w:p>
      <w:pPr>
        <w:spacing w:after="0" w:line="200" w:lineRule="exact"/>
        <w:rPr>
          <w:sz w:val="20"/>
          <w:szCs w:val="20"/>
          <w:color w:val="auto"/>
        </w:rPr>
      </w:pPr>
    </w:p>
    <w:p>
      <w:pPr>
        <w:spacing w:after="0" w:line="223" w:lineRule="exact"/>
        <w:rPr>
          <w:sz w:val="20"/>
          <w:szCs w:val="20"/>
          <w:color w:val="auto"/>
        </w:rPr>
      </w:pPr>
    </w:p>
    <w:p>
      <w:pPr>
        <w:jc w:val="both"/>
        <w:ind w:right="20" w:firstLine="1288"/>
        <w:spacing w:after="0" w:line="250" w:lineRule="auto"/>
        <w:tabs>
          <w:tab w:leader="none" w:pos="1615"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Except as expressly provided in this </w:t>
      </w:r>
      <w:r>
        <w:rPr>
          <w:rFonts w:ascii="Arial" w:cs="Arial" w:eastAsia="Arial" w:hAnsi="Arial"/>
          <w:sz w:val="22"/>
          <w:szCs w:val="22"/>
          <w:u w:val="single" w:color="auto"/>
          <w:color w:val="auto"/>
        </w:rPr>
        <w:t>Section 11.1</w:t>
      </w:r>
      <w:r>
        <w:rPr>
          <w:rFonts w:ascii="Arial" w:cs="Arial" w:eastAsia="Arial" w:hAnsi="Arial"/>
          <w:sz w:val="22"/>
          <w:szCs w:val="22"/>
          <w:color w:val="auto"/>
        </w:rPr>
        <w:t>, no Lender shall, as between Borrowers and that Lender, or Agent and that Lender, be relieved of any of its obligations hereunder as a result of any sale, assignment, transfer or negotiation of, or granting of participation in, all or any part of the Loans, the Notes or other Obligations owed to such Lender.</w:t>
      </w:r>
    </w:p>
    <w:p>
      <w:pPr>
        <w:spacing w:after="0" w:line="187" w:lineRule="exact"/>
        <w:rPr>
          <w:rFonts w:ascii="Arial" w:cs="Arial" w:eastAsia="Arial" w:hAnsi="Arial"/>
          <w:sz w:val="22"/>
          <w:szCs w:val="22"/>
          <w:color w:val="auto"/>
        </w:rPr>
      </w:pPr>
    </w:p>
    <w:p>
      <w:pPr>
        <w:jc w:val="both"/>
        <w:ind w:firstLine="1288"/>
        <w:spacing w:after="0" w:line="253" w:lineRule="auto"/>
        <w:tabs>
          <w:tab w:leader="none" w:pos="1617"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Any Lender may furnish information concerning Credit Parties in the possession of such Lender from time to time to assignees and participants (including prospective assignees and participants);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Lender shall obtain from</w:t>
      </w:r>
    </w:p>
    <w:p>
      <w:pPr>
        <w:sectPr>
          <w:pgSz w:w="11900" w:h="16838" w:orient="portrait"/>
          <w:cols w:equalWidth="0" w:num="1">
            <w:col w:w="10900"/>
          </w:cols>
          <w:pgMar w:left="660" w:top="1428" w:right="339" w:bottom="1440" w:gutter="0" w:footer="0" w:header="0"/>
        </w:sectPr>
      </w:pPr>
    </w:p>
    <w:bookmarkStart w:id="294" w:name="page295"/>
    <w:bookmarkEnd w:id="294"/>
    <w:p>
      <w:pPr>
        <w:ind w:left="340"/>
        <w:spacing w:after="0"/>
        <w:rPr>
          <w:sz w:val="20"/>
          <w:szCs w:val="20"/>
          <w:color w:val="auto"/>
        </w:rPr>
      </w:pPr>
      <w:r>
        <w:rPr>
          <w:rFonts w:ascii="Arial" w:cs="Arial" w:eastAsia="Arial" w:hAnsi="Arial"/>
          <w:sz w:val="22"/>
          <w:szCs w:val="22"/>
          <w:color w:val="auto"/>
        </w:rPr>
        <w:t xml:space="preserve">assignees or participants confidentiality covenants substantially equivalent to those contained in </w:t>
      </w:r>
      <w:r>
        <w:rPr>
          <w:rFonts w:ascii="Arial" w:cs="Arial" w:eastAsia="Arial" w:hAnsi="Arial"/>
          <w:sz w:val="22"/>
          <w:szCs w:val="22"/>
          <w:u w:val="single" w:color="auto"/>
          <w:color w:val="auto"/>
        </w:rPr>
        <w:t>Section 12.8</w:t>
      </w:r>
      <w:r>
        <w:rPr>
          <w:rFonts w:ascii="Arial" w:cs="Arial" w:eastAsia="Arial" w:hAnsi="Arial"/>
          <w:sz w:val="22"/>
          <w:szCs w:val="22"/>
          <w:color w:val="auto"/>
        </w:rPr>
        <w:t>.</w:t>
      </w:r>
    </w:p>
    <w:p>
      <w:pPr>
        <w:spacing w:after="0" w:line="220" w:lineRule="exact"/>
        <w:rPr>
          <w:sz w:val="20"/>
          <w:szCs w:val="20"/>
          <w:color w:val="auto"/>
        </w:rPr>
      </w:pPr>
    </w:p>
    <w:p>
      <w:pPr>
        <w:jc w:val="both"/>
        <w:ind w:left="340" w:firstLine="1288"/>
        <w:spacing w:after="0" w:line="302" w:lineRule="auto"/>
        <w:tabs>
          <w:tab w:leader="none" w:pos="1960" w:val="left"/>
        </w:tabs>
        <w:numPr>
          <w:ilvl w:val="0"/>
          <w:numId w:val="240"/>
        </w:numPr>
        <w:rPr>
          <w:rFonts w:ascii="Arial" w:cs="Arial" w:eastAsia="Arial" w:hAnsi="Arial"/>
          <w:sz w:val="19"/>
          <w:szCs w:val="19"/>
          <w:color w:val="auto"/>
        </w:rPr>
      </w:pPr>
      <w:r>
        <w:rPr>
          <w:rFonts w:ascii="Arial" w:cs="Arial" w:eastAsia="Arial" w:hAnsi="Arial"/>
          <w:sz w:val="19"/>
          <w:szCs w:val="19"/>
          <w:color w:val="auto"/>
        </w:rPr>
        <w:t xml:space="preserve">No Lender shall assign or sell participations in any portion of its Loans or Commitments to a potential Lender or participant, if, as of the date of the proposed assignment or sale, the assignee Lender or participant would be subject to capital adequacy or similar requirements under </w:t>
      </w:r>
      <w:r>
        <w:rPr>
          <w:rFonts w:ascii="Arial" w:cs="Arial" w:eastAsia="Arial" w:hAnsi="Arial"/>
          <w:sz w:val="19"/>
          <w:szCs w:val="19"/>
          <w:u w:val="single" w:color="auto"/>
          <w:color w:val="auto"/>
        </w:rPr>
        <w:t>Section 2.14(a)</w:t>
      </w:r>
      <w:r>
        <w:rPr>
          <w:rFonts w:ascii="Arial" w:cs="Arial" w:eastAsia="Arial" w:hAnsi="Arial"/>
          <w:sz w:val="19"/>
          <w:szCs w:val="19"/>
          <w:color w:val="auto"/>
        </w:rPr>
        <w:t xml:space="preserve">, increased costs under </w:t>
      </w:r>
      <w:r>
        <w:rPr>
          <w:rFonts w:ascii="Arial" w:cs="Arial" w:eastAsia="Arial" w:hAnsi="Arial"/>
          <w:sz w:val="19"/>
          <w:szCs w:val="19"/>
          <w:u w:val="single" w:color="auto"/>
          <w:color w:val="auto"/>
        </w:rPr>
        <w:t>Section 2.14(b)</w:t>
      </w:r>
      <w:r>
        <w:rPr>
          <w:rFonts w:ascii="Arial" w:cs="Arial" w:eastAsia="Arial" w:hAnsi="Arial"/>
          <w:sz w:val="19"/>
          <w:szCs w:val="19"/>
          <w:color w:val="auto"/>
        </w:rPr>
        <w:t xml:space="preserve">, an inability to fund LIBOR Loans under </w:t>
      </w:r>
      <w:r>
        <w:rPr>
          <w:rFonts w:ascii="Arial" w:cs="Arial" w:eastAsia="Arial" w:hAnsi="Arial"/>
          <w:sz w:val="19"/>
          <w:szCs w:val="19"/>
          <w:u w:val="single" w:color="auto"/>
          <w:color w:val="auto"/>
        </w:rPr>
        <w:t>Section 2.14(c)</w:t>
      </w:r>
      <w:r>
        <w:rPr>
          <w:rFonts w:ascii="Arial" w:cs="Arial" w:eastAsia="Arial" w:hAnsi="Arial"/>
          <w:sz w:val="19"/>
          <w:szCs w:val="19"/>
          <w:color w:val="auto"/>
        </w:rPr>
        <w:t xml:space="preserve">, or withholding taxes in accordance with </w:t>
      </w:r>
      <w:r>
        <w:rPr>
          <w:rFonts w:ascii="Arial" w:cs="Arial" w:eastAsia="Arial" w:hAnsi="Arial"/>
          <w:sz w:val="19"/>
          <w:szCs w:val="19"/>
          <w:u w:val="single" w:color="auto"/>
          <w:color w:val="auto"/>
        </w:rPr>
        <w:t>Section 2.13(a)</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jc w:val="both"/>
        <w:ind w:left="340" w:firstLine="1288"/>
        <w:spacing w:after="0" w:line="285" w:lineRule="auto"/>
        <w:tabs>
          <w:tab w:leader="none" w:pos="1955" w:val="left"/>
        </w:tabs>
        <w:numPr>
          <w:ilvl w:val="0"/>
          <w:numId w:val="240"/>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herein, any Lender (a “</w:t>
      </w:r>
      <w:r>
        <w:rPr>
          <w:rFonts w:ascii="Arial" w:cs="Arial" w:eastAsia="Arial" w:hAnsi="Arial"/>
          <w:sz w:val="19"/>
          <w:szCs w:val="19"/>
          <w:u w:val="single" w:color="auto"/>
          <w:color w:val="auto"/>
        </w:rPr>
        <w:t>Granting Lender</w:t>
      </w:r>
      <w:r>
        <w:rPr>
          <w:rFonts w:ascii="Arial" w:cs="Arial" w:eastAsia="Arial" w:hAnsi="Arial"/>
          <w:sz w:val="19"/>
          <w:szCs w:val="19"/>
          <w:color w:val="auto"/>
        </w:rPr>
        <w:t>”), may grant to a special purpose funding vehicle (an “</w:t>
      </w:r>
      <w:r>
        <w:rPr>
          <w:rFonts w:ascii="Arial" w:cs="Arial" w:eastAsia="Arial" w:hAnsi="Arial"/>
          <w:sz w:val="19"/>
          <w:szCs w:val="19"/>
          <w:u w:val="single" w:color="auto"/>
          <w:color w:val="auto"/>
        </w:rPr>
        <w:t>SPC</w:t>
      </w:r>
      <w:r>
        <w:rPr>
          <w:rFonts w:ascii="Arial" w:cs="Arial" w:eastAsia="Arial" w:hAnsi="Arial"/>
          <w:sz w:val="19"/>
          <w:szCs w:val="19"/>
          <w:color w:val="auto"/>
        </w:rPr>
        <w:t xml:space="preserve">”), identified as such in writing by the Granting Lender to Agent and Borrowers, the option to provide to Borrowers all or any part of any Loans that such Granting Lender would otherwise be obligated to make to Borrowers pursuant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 Loan by an SPC hereunder shall utilize the Commitment of the Granting Lender to the same extent, and as if such Loan were made by such Granting Lender. No SPC shall be liable for any indemnity or similar payment obligation under this Agreement (all liability for which shall remain with the Granting Lender). Any SPC may (i) with notice to, but without the prior written consent of, Borrowers and Agent assign all or a portion of its interests in any Loans to the Granting Lender or to any financial institutions (consented to by Borrowers and Agent) providing liquidity and/or credit support to or for the account of such SPC to support the funding or maintenance of Loans and (ii) disclose on a confidential basis any non-public information relating to its Loans to any rating agency, commercial paper dealer or provider of any surety, guaranty or credit or liquidity enhancement to such SPC. This </w:t>
      </w:r>
      <w:r>
        <w:rPr>
          <w:rFonts w:ascii="Arial" w:cs="Arial" w:eastAsia="Arial" w:hAnsi="Arial"/>
          <w:sz w:val="19"/>
          <w:szCs w:val="19"/>
          <w:u w:val="single" w:color="auto"/>
          <w:color w:val="auto"/>
        </w:rPr>
        <w:t>Section 11.1(g)</w:t>
      </w:r>
      <w:r>
        <w:rPr>
          <w:rFonts w:ascii="Arial" w:cs="Arial" w:eastAsia="Arial" w:hAnsi="Arial"/>
          <w:sz w:val="19"/>
          <w:szCs w:val="19"/>
          <w:color w:val="auto"/>
        </w:rPr>
        <w:t xml:space="preserve"> may not be amended without the prior written consent of each Granting Lender, all or any of whose Loans are being funded by an SPC at the time of such amendment. For the avoidance of doubt, the Granting Lender shall for all purposes, including, without limitation, the approval of any amendment or waiver of any provision of any Loan Document or the obligation to pay any amount otherwise payable by the Granting Lender under the Loan Documents, continue to be the Lender of record hereunder.</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 xml:space="preserve">11.2 </w:t>
      </w:r>
      <w:r>
        <w:rPr>
          <w:rFonts w:ascii="Arial" w:cs="Arial" w:eastAsia="Arial" w:hAnsi="Arial"/>
          <w:sz w:val="21"/>
          <w:szCs w:val="21"/>
          <w:u w:val="single" w:color="auto"/>
          <w:color w:val="auto"/>
        </w:rPr>
        <w:t>Successors and Assigns</w:t>
      </w:r>
      <w:r>
        <w:rPr>
          <w:rFonts w:ascii="Arial" w:cs="Arial" w:eastAsia="Arial" w:hAnsi="Arial"/>
          <w:sz w:val="21"/>
          <w:szCs w:val="21"/>
          <w:color w:val="auto"/>
        </w:rPr>
        <w:t xml:space="preserve">. This Agreement and the other Loan Documents is binding on and inures to the benefit of each Credit Party, Agent, Co-Collateral Agent, Lender and their respective successors and assigns (including, in the case of any Credit Party, a debtor-in-possession on behalf of such Credit Party), except as otherwise provided herein or therein. No Credit Party may assign, transfer, hypothecate or otherwise convey its rights, benefits, obligations or duties hereunder or under any of the other Loan Documents without the prior express written consent of Agent and all of the Lenders;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Agent and the Lenders shall be deemed to have consented to any assignment, transfer, hypothecation or conveyance of rights, benefits, obligations or duties to any successor of a Credit Party as a result of the consummation of a merger, consolidation, amalgamation or other fundamental change or</w:t>
      </w:r>
    </w:p>
    <w:p>
      <w:pPr>
        <w:sectPr>
          <w:pgSz w:w="11900" w:h="16838" w:orient="portrait"/>
          <w:cols w:equalWidth="0" w:num="1">
            <w:col w:w="11240"/>
          </w:cols>
          <w:pgMar w:left="320" w:top="1428" w:right="339" w:bottom="1440" w:gutter="0" w:footer="0" w:header="0"/>
        </w:sectPr>
      </w:pPr>
    </w:p>
    <w:bookmarkStart w:id="295" w:name="page296"/>
    <w:bookmarkEnd w:id="295"/>
    <w:p>
      <w:pPr>
        <w:jc w:val="both"/>
        <w:spacing w:after="0" w:line="297" w:lineRule="auto"/>
        <w:rPr>
          <w:sz w:val="20"/>
          <w:szCs w:val="20"/>
          <w:color w:val="auto"/>
        </w:rPr>
      </w:pPr>
      <w:r>
        <w:rPr>
          <w:rFonts w:ascii="Arial" w:cs="Arial" w:eastAsia="Arial" w:hAnsi="Arial"/>
          <w:sz w:val="19"/>
          <w:szCs w:val="19"/>
          <w:color w:val="auto"/>
        </w:rPr>
        <w:t xml:space="preserve">transaction permitted under </w:t>
      </w:r>
      <w:r>
        <w:rPr>
          <w:rFonts w:ascii="Arial" w:cs="Arial" w:eastAsia="Arial" w:hAnsi="Arial"/>
          <w:sz w:val="19"/>
          <w:szCs w:val="19"/>
          <w:u w:val="single" w:color="auto"/>
          <w:color w:val="auto"/>
        </w:rPr>
        <w:t>Section 7</w:t>
      </w:r>
      <w:r>
        <w:rPr>
          <w:rFonts w:ascii="Arial" w:cs="Arial" w:eastAsia="Arial" w:hAnsi="Arial"/>
          <w:sz w:val="19"/>
          <w:szCs w:val="19"/>
          <w:color w:val="auto"/>
        </w:rPr>
        <w:t>. Any such purported assignment, transfer, hypothecation or other conveyance by any Credit Party without the prior express written consent of Agent and all of the Lenders shall be void. The terms and provisions of this Agreement are for the purpose of defining the relative rights and obligations of each Credit Party, Agent, Co-Collateral Agent and Lenders with respect to the transactions contemplated hereby and no Person shall be a third party beneficiary of any of the terms and provisions of this Agreement or any of the other Loan Documents (other than the Indemnified Persons).</w:t>
      </w:r>
    </w:p>
    <w:p>
      <w:pPr>
        <w:spacing w:after="0" w:line="1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u w:val="single" w:color="auto"/>
          <w:color w:val="auto"/>
        </w:rPr>
        <w:t>Certain Prohibitions</w:t>
      </w:r>
      <w:r>
        <w:rPr>
          <w:rFonts w:ascii="Arial" w:cs="Arial" w:eastAsia="Arial" w:hAnsi="Arial"/>
          <w:sz w:val="22"/>
          <w:szCs w:val="22"/>
          <w:color w:val="auto"/>
        </w:rPr>
        <w:t>. No assignment or participation may be made to any Borrower, any Affiliate of any Borrower, Non-Funding Lender or a natural person.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12. MISCELLANEOUS</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u w:val="single" w:color="auto"/>
          <w:color w:val="auto"/>
        </w:rPr>
        <w:t>Complete Agreement; Modification of Agreement</w:t>
      </w:r>
      <w:r>
        <w:rPr>
          <w:rFonts w:ascii="Arial" w:cs="Arial" w:eastAsia="Arial" w:hAnsi="Arial"/>
          <w:sz w:val="21"/>
          <w:szCs w:val="21"/>
          <w:color w:val="auto"/>
        </w:rPr>
        <w:t xml:space="preserve">. This Agreement shall become effective when it shall have been executed by Borrowers, the other Credit Parties signatory hereto, the Lenders, the L/C Issuers, Agent and Co-Collateral Agent. Thereafter, it shall be binding upon and inure to the benefit of, but only to the benefit of, Borrowers, the other Credit Parties party hereto, Agent, Co-Collateral Agents, the Swing Line Lender, each L/C Issuer and each Lender, their respective successors and permitted assigns. Except as expressly provided in any Loan Document, none of any Borrower, any other Credit Party, any Lender, any L/C Issuer or Agent shall have the right to assign any rights or obligations hereunder or any interest herein. The Loan Documents constitute the complete agreement between the parties with respect to the subject matter thereof and may not be modified, altered or amended except as set forth in </w:t>
      </w:r>
      <w:r>
        <w:rPr>
          <w:rFonts w:ascii="Arial" w:cs="Arial" w:eastAsia="Arial" w:hAnsi="Arial"/>
          <w:sz w:val="21"/>
          <w:szCs w:val="21"/>
          <w:u w:val="single" w:color="auto"/>
          <w:color w:val="auto"/>
        </w:rPr>
        <w:t>Section 12.2</w:t>
      </w:r>
      <w:r>
        <w:rPr>
          <w:rFonts w:ascii="Arial" w:cs="Arial" w:eastAsia="Arial" w:hAnsi="Arial"/>
          <w:sz w:val="21"/>
          <w:szCs w:val="21"/>
          <w:color w:val="auto"/>
        </w:rPr>
        <w:t>. Any letter of interest, commitment letter, fee letter or confidentiality agreement, if any, between any Credit Party and any Agent or any Lender or any of their respective Affiliates, predating this Agreement and relating to a financing of substantially similar form, purpose or effect shall be superseded by this Agreement.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u w:val="single" w:color="auto"/>
          <w:color w:val="auto"/>
        </w:rPr>
        <w:t>Amendments and Waivers</w:t>
      </w:r>
      <w:r>
        <w:rPr>
          <w:rFonts w:ascii="Arial" w:cs="Arial" w:eastAsia="Arial" w:hAnsi="Arial"/>
          <w:sz w:val="19"/>
          <w:szCs w:val="19"/>
          <w:color w:val="auto"/>
        </w:rPr>
        <w:t>.</w:t>
      </w:r>
    </w:p>
    <w:p>
      <w:pPr>
        <w:spacing w:after="0" w:line="220" w:lineRule="exact"/>
        <w:rPr>
          <w:sz w:val="20"/>
          <w:szCs w:val="20"/>
          <w:color w:val="auto"/>
        </w:rPr>
      </w:pPr>
    </w:p>
    <w:p>
      <w:pPr>
        <w:jc w:val="both"/>
        <w:ind w:left="340" w:firstLine="1288"/>
        <w:spacing w:after="0" w:line="261" w:lineRule="auto"/>
        <w:tabs>
          <w:tab w:leader="none" w:pos="1957" w:val="left"/>
        </w:tabs>
        <w:numPr>
          <w:ilvl w:val="0"/>
          <w:numId w:val="241"/>
        </w:numPr>
        <w:rPr>
          <w:rFonts w:ascii="Arial" w:cs="Arial" w:eastAsia="Arial" w:hAnsi="Arial"/>
          <w:sz w:val="21"/>
          <w:szCs w:val="21"/>
          <w:color w:val="auto"/>
        </w:rPr>
      </w:pPr>
      <w:r>
        <w:rPr>
          <w:rFonts w:ascii="Arial" w:cs="Arial" w:eastAsia="Arial" w:hAnsi="Arial"/>
          <w:sz w:val="21"/>
          <w:szCs w:val="21"/>
          <w:color w:val="auto"/>
        </w:rPr>
        <w:t xml:space="preserve">Except for actions expressly permitted to be taken by Agent, no amendment, modification, termination or waiver of any provision of this Agreement or any other Loan Document, or any consent to any departure by any Credit Party therefrom, shall in any event be effective unless the same shall be in writing and signed by Borrowers and by Requisite Lenders, Supermajority Lenders or all directly and adversely affected Lenders as provided in </w:t>
      </w:r>
      <w:r>
        <w:rPr>
          <w:rFonts w:ascii="Arial" w:cs="Arial" w:eastAsia="Arial" w:hAnsi="Arial"/>
          <w:sz w:val="21"/>
          <w:szCs w:val="21"/>
          <w:u w:val="single" w:color="auto"/>
          <w:color w:val="auto"/>
        </w:rPr>
        <w:t>Section 12.2(c)</w:t>
      </w:r>
      <w:r>
        <w:rPr>
          <w:rFonts w:ascii="Arial" w:cs="Arial" w:eastAsia="Arial" w:hAnsi="Arial"/>
          <w:sz w:val="21"/>
          <w:szCs w:val="21"/>
          <w:color w:val="auto"/>
        </w:rPr>
        <w:t>. Except as set forth in clauses (b) and (c) below, all such amendments, modifications, terminations or waivers requiring the consent of any Lenders shall require the written consent of Requisite Lenders.</w:t>
      </w:r>
    </w:p>
    <w:p>
      <w:pPr>
        <w:spacing w:after="0" w:line="179" w:lineRule="exact"/>
        <w:rPr>
          <w:rFonts w:ascii="Arial" w:cs="Arial" w:eastAsia="Arial" w:hAnsi="Arial"/>
          <w:sz w:val="21"/>
          <w:szCs w:val="21"/>
          <w:color w:val="auto"/>
        </w:rPr>
      </w:pPr>
    </w:p>
    <w:p>
      <w:pPr>
        <w:jc w:val="both"/>
        <w:ind w:left="340" w:firstLine="1288"/>
        <w:spacing w:after="0" w:line="247" w:lineRule="auto"/>
        <w:tabs>
          <w:tab w:leader="none" w:pos="1955" w:val="left"/>
        </w:tabs>
        <w:numPr>
          <w:ilvl w:val="0"/>
          <w:numId w:val="241"/>
        </w:numPr>
        <w:rPr>
          <w:rFonts w:ascii="Arial" w:cs="Arial" w:eastAsia="Arial" w:hAnsi="Arial"/>
          <w:sz w:val="22"/>
          <w:szCs w:val="22"/>
          <w:color w:val="auto"/>
        </w:rPr>
      </w:pPr>
      <w:r>
        <w:rPr>
          <w:rFonts w:ascii="Arial" w:cs="Arial" w:eastAsia="Arial" w:hAnsi="Arial"/>
          <w:sz w:val="22"/>
          <w:szCs w:val="22"/>
          <w:color w:val="auto"/>
        </w:rPr>
        <w:t xml:space="preserve">No amendment, modification, termination or waiver of or consent with respect to any provision of this Agreement that waives compliance with the conditions precedent set forth in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3.2</w:t>
      </w:r>
      <w:r>
        <w:rPr>
          <w:rFonts w:ascii="Arial" w:cs="Arial" w:eastAsia="Arial" w:hAnsi="Arial"/>
          <w:sz w:val="22"/>
          <w:szCs w:val="22"/>
          <w:color w:val="auto"/>
        </w:rPr>
        <w:t xml:space="preserve"> to the making of any Loan or the incurrence of any Letter of Credit Obligations shall be effective unless the same shall be in writing and signed by Requisite Lenders and Borrowers. Notwithstanding the immediately preceding sentence, no amendment or modification with respect to any provision of this Agreement that either (i) increases the advance rates with respect to the Borrowing Base above those in</w:t>
      </w:r>
    </w:p>
    <w:p>
      <w:pPr>
        <w:sectPr>
          <w:pgSz w:w="11900" w:h="16838" w:orient="portrait"/>
          <w:cols w:equalWidth="0" w:num="1">
            <w:col w:w="11240"/>
          </w:cols>
          <w:pgMar w:left="320" w:top="1428" w:right="339" w:bottom="1440" w:gutter="0" w:footer="0" w:header="0"/>
        </w:sectPr>
      </w:pPr>
    </w:p>
    <w:bookmarkStart w:id="296" w:name="page297"/>
    <w:bookmarkEnd w:id="296"/>
    <w:p>
      <w:pPr>
        <w:jc w:val="both"/>
        <w:spacing w:after="0" w:line="287" w:lineRule="auto"/>
        <w:rPr>
          <w:sz w:val="20"/>
          <w:szCs w:val="20"/>
          <w:color w:val="auto"/>
        </w:rPr>
      </w:pPr>
      <w:r>
        <w:rPr>
          <w:rFonts w:ascii="Arial" w:cs="Arial" w:eastAsia="Arial" w:hAnsi="Arial"/>
          <w:sz w:val="19"/>
          <w:szCs w:val="19"/>
          <w:color w:val="auto"/>
        </w:rPr>
        <w:t xml:space="preserve">existence on the Amendment No. 3 Effective Date or (ii) amends or modifies the definition of </w:t>
      </w:r>
      <w:r>
        <w:rPr>
          <w:rFonts w:ascii="Arial" w:cs="Arial" w:eastAsia="Arial" w:hAnsi="Arial"/>
          <w:sz w:val="19"/>
          <w:szCs w:val="19"/>
          <w:u w:val="single" w:color="auto"/>
          <w:color w:val="0000FF"/>
        </w:rPr>
        <w:t>the</w:t>
      </w:r>
      <w:r>
        <w:rPr>
          <w:rFonts w:ascii="Arial" w:cs="Arial" w:eastAsia="Arial" w:hAnsi="Arial"/>
          <w:sz w:val="19"/>
          <w:szCs w:val="19"/>
          <w:color w:val="auto"/>
        </w:rPr>
        <w:t xml:space="preserve"> Borrowing Base or any defined term used therein (to the extent such amendment or modification would have the effect of making more credit available) shall be effective unless the same shall be in writing and signed by Agent, Supermajority Lenders and Borrowers </w:t>
      </w:r>
      <w:r>
        <w:rPr>
          <w:rFonts w:ascii="Arial" w:cs="Arial" w:eastAsia="Arial" w:hAnsi="Arial"/>
          <w:sz w:val="19"/>
          <w:szCs w:val="19"/>
          <w:u w:val="single" w:color="auto"/>
          <w:color w:val="0000FF"/>
        </w:rPr>
        <w:t>(except, for the avoidance of doubt, any Incremental Revolving Loan Amendment effectuated in order to implement Permitted Incremental FILO Loans which comply in all respects with the Permitted FILO Tranche Conditions, or any amendment or modification with respect to any provision of any such Incremental Revolving Loan Amendment, may be effected with the consent of Agent, Co-Collateral Agents and each Incremental Lender providing such Incremental Revolving Loans, but without the consent of any other Lender, so long as the amendments or modifications set forth in such Incremental Revolving Loan Amendment comply with the requirements set forth in, and are limited to amendments or modifications of the type described in, Section 2.16)</w:t>
      </w:r>
      <w:r>
        <w:rPr>
          <w:rFonts w:ascii="Arial" w:cs="Arial" w:eastAsia="Arial" w:hAnsi="Arial"/>
          <w:sz w:val="19"/>
          <w:szCs w:val="19"/>
          <w:color w:val="000000"/>
        </w:rPr>
        <w:t>. Notwithstanding anything contained in this Agreement to the contrary, no waiver or</w:t>
      </w:r>
      <w:r>
        <w:rPr>
          <w:rFonts w:ascii="Arial" w:cs="Arial" w:eastAsia="Arial" w:hAnsi="Arial"/>
          <w:sz w:val="19"/>
          <w:szCs w:val="19"/>
          <w:color w:val="0000FF"/>
        </w:rPr>
        <w:t xml:space="preserve"> </w:t>
      </w:r>
      <w:r>
        <w:rPr>
          <w:rFonts w:ascii="Arial" w:cs="Arial" w:eastAsia="Arial" w:hAnsi="Arial"/>
          <w:sz w:val="19"/>
          <w:szCs w:val="19"/>
          <w:color w:val="000000"/>
        </w:rPr>
        <w:t xml:space="preserve">consent with respect to any Default or any Event of Default shall be effective for purposes of the conditions precedent to the making of Loans or the incurrence of Letter of Credit Obligations set forth in </w:t>
      </w:r>
      <w:r>
        <w:rPr>
          <w:rFonts w:ascii="Arial" w:cs="Arial" w:eastAsia="Arial" w:hAnsi="Arial"/>
          <w:sz w:val="19"/>
          <w:szCs w:val="19"/>
          <w:u w:val="single" w:color="auto"/>
          <w:color w:val="000000"/>
        </w:rPr>
        <w:t>Section 3.2</w:t>
      </w:r>
      <w:r>
        <w:rPr>
          <w:rFonts w:ascii="Arial" w:cs="Arial" w:eastAsia="Arial" w:hAnsi="Arial"/>
          <w:sz w:val="19"/>
          <w:szCs w:val="19"/>
          <w:color w:val="000000"/>
        </w:rPr>
        <w:t xml:space="preserve"> unless the same shall be in writing and signed by Agent and Requisite Lenders.</w:t>
      </w:r>
    </w:p>
    <w:p>
      <w:pPr>
        <w:spacing w:after="0" w:line="200" w:lineRule="exact"/>
        <w:rPr>
          <w:sz w:val="20"/>
          <w:szCs w:val="20"/>
          <w:color w:val="auto"/>
        </w:rPr>
      </w:pPr>
    </w:p>
    <w:p>
      <w:pPr>
        <w:spacing w:after="0" w:line="215" w:lineRule="exact"/>
        <w:rPr>
          <w:sz w:val="20"/>
          <w:szCs w:val="20"/>
          <w:color w:val="auto"/>
        </w:rPr>
      </w:pPr>
    </w:p>
    <w:p>
      <w:pPr>
        <w:jc w:val="both"/>
        <w:ind w:firstLine="1288"/>
        <w:spacing w:after="0" w:line="284" w:lineRule="auto"/>
        <w:tabs>
          <w:tab w:leader="none" w:pos="1617" w:val="left"/>
        </w:tabs>
        <w:numPr>
          <w:ilvl w:val="0"/>
          <w:numId w:val="242"/>
        </w:numPr>
        <w:rPr>
          <w:rFonts w:ascii="Arial" w:cs="Arial" w:eastAsia="Arial" w:hAnsi="Arial"/>
          <w:sz w:val="19"/>
          <w:szCs w:val="19"/>
          <w:color w:val="auto"/>
        </w:rPr>
      </w:pPr>
      <w:r>
        <w:rPr>
          <w:rFonts w:ascii="Arial" w:cs="Arial" w:eastAsia="Arial" w:hAnsi="Arial"/>
          <w:sz w:val="19"/>
          <w:szCs w:val="19"/>
          <w:color w:val="auto"/>
        </w:rPr>
        <w:t>No amendment, modification, termination or waiver shall, unless in writing and signed by Agent and each Lender and L/C Issuer directly affected thereby: (i) increase the principal amount of any Lender’s Commitment (which action shall be deemed only to affect those Lenders whose Commitments are increased); (ii) reduce the principal of, rate of interest on, composition of interest on (i.e., cash pay or payment-in-kind) or Fees payable with respect to any Loan or Letter of Credit Obligations of any affected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in each case, the waiver of any Default or Event of Default or the implementation or revocation of Default Rate interest shall not constitute a reduction in the rate of interest or any Fee); (iii) extend the final maturity date of the principal amount of any Loan of any Lender; (iv) waive, forgive, defer, extend or postpone any payment of interest or Fees or other Obligations as to any affected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in each case, the waiver of any Default or Event of Default or the implementation or revocation of Default Rate interest shall not constitute a reduction in the rate of interest or any Fee); (v) release all or substantially all of the Guaranties or, except as otherwise permitted herein or in the other Loan Documents, release (or, except as contemplated by the ABL Intercreditor Agreement, subordinate the Lien of Agent in), or permit any Credit Party to sell or otherwise dispose of all or substantially all of the Collateral (which action shall be deemed to directly affect all Lenders and all L/C Issuers); (vi) change the percentage of the Commitments or of the aggregate unpaid principal amount of the Loans that shall be required for Lenders or any of them to take any action hereunder; (vii) amend or waive this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or the definitions of the term “</w:t>
      </w:r>
      <w:r>
        <w:rPr>
          <w:rFonts w:ascii="Arial" w:cs="Arial" w:eastAsia="Arial" w:hAnsi="Arial"/>
          <w:sz w:val="19"/>
          <w:szCs w:val="19"/>
          <w:u w:val="single" w:color="auto"/>
          <w:color w:val="auto"/>
        </w:rPr>
        <w:t>Requisite Lenders</w:t>
      </w:r>
      <w:r>
        <w:rPr>
          <w:rFonts w:ascii="Arial" w:cs="Arial" w:eastAsia="Arial" w:hAnsi="Arial"/>
          <w:sz w:val="19"/>
          <w:szCs w:val="19"/>
          <w:color w:val="auto"/>
        </w:rPr>
        <w:t>” or “</w:t>
      </w:r>
      <w:r>
        <w:rPr>
          <w:rFonts w:ascii="Arial" w:cs="Arial" w:eastAsia="Arial" w:hAnsi="Arial"/>
          <w:sz w:val="19"/>
          <w:szCs w:val="19"/>
          <w:u w:val="single" w:color="auto"/>
          <w:color w:val="auto"/>
        </w:rPr>
        <w:t>Supermajority Lenders</w:t>
      </w:r>
      <w:r>
        <w:rPr>
          <w:rFonts w:ascii="Arial" w:cs="Arial" w:eastAsia="Arial" w:hAnsi="Arial"/>
          <w:sz w:val="19"/>
          <w:szCs w:val="19"/>
          <w:color w:val="auto"/>
        </w:rPr>
        <w:t xml:space="preserve">”; (viii) amend the allocation and waterfalls in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w:t>
      </w:r>
      <w:r>
        <w:rPr>
          <w:rFonts w:ascii="Arial" w:cs="Arial" w:eastAsia="Arial" w:hAnsi="Arial"/>
          <w:sz w:val="19"/>
          <w:szCs w:val="19"/>
          <w:u w:val="single" w:color="auto"/>
          <w:color w:val="0000FF"/>
        </w:rPr>
        <w:t>(except, for the avoidance of doubt, that</w:t>
      </w:r>
      <w:r>
        <w:rPr>
          <w:rFonts w:ascii="Arial" w:cs="Arial" w:eastAsia="Arial" w:hAnsi="Arial"/>
          <w:sz w:val="19"/>
          <w:szCs w:val="19"/>
          <w:color w:val="auto"/>
        </w:rPr>
        <w:t xml:space="preserve"> </w:t>
      </w:r>
      <w:r>
        <w:rPr>
          <w:rFonts w:ascii="Arial" w:cs="Arial" w:eastAsia="Arial" w:hAnsi="Arial"/>
          <w:sz w:val="19"/>
          <w:szCs w:val="19"/>
          <w:u w:val="single" w:color="auto"/>
          <w:color w:val="0000FF"/>
        </w:rPr>
        <w:t>any Incremental Revolving Loan Amendment effectuated in connection with implementing Permitted Incremental FILO Loans may be effected with the consent of Agent, Co-Collateral Agents and each Incremental Lender providing such Permitted Incremental FILO Loans, but without the consent of any other Lender)</w:t>
      </w:r>
      <w:r>
        <w:rPr>
          <w:rFonts w:ascii="Arial" w:cs="Arial" w:eastAsia="Arial" w:hAnsi="Arial"/>
          <w:sz w:val="19"/>
          <w:szCs w:val="19"/>
          <w:color w:val="0000FF"/>
        </w:rPr>
        <w:t xml:space="preserve"> </w:t>
      </w:r>
      <w:r>
        <w:rPr>
          <w:rFonts w:ascii="Arial" w:cs="Arial" w:eastAsia="Arial" w:hAnsi="Arial"/>
          <w:sz w:val="19"/>
          <w:szCs w:val="19"/>
          <w:color w:val="000000"/>
        </w:rPr>
        <w:t>or (ix) amend the definition of Pro Rata</w:t>
      </w:r>
      <w:r>
        <w:rPr>
          <w:rFonts w:ascii="Arial" w:cs="Arial" w:eastAsia="Arial" w:hAnsi="Arial"/>
          <w:sz w:val="19"/>
          <w:szCs w:val="19"/>
          <w:color w:val="0000FF"/>
        </w:rPr>
        <w:t xml:space="preserve"> </w:t>
      </w:r>
      <w:r>
        <w:rPr>
          <w:rFonts w:ascii="Arial" w:cs="Arial" w:eastAsia="Arial" w:hAnsi="Arial"/>
          <w:sz w:val="19"/>
          <w:szCs w:val="19"/>
          <w:color w:val="000000"/>
        </w:rPr>
        <w:t xml:space="preserve">Share or </w:t>
      </w:r>
      <w:r>
        <w:rPr>
          <w:rFonts w:ascii="Arial" w:cs="Arial" w:eastAsia="Arial" w:hAnsi="Arial"/>
          <w:sz w:val="19"/>
          <w:szCs w:val="19"/>
          <w:u w:val="single" w:color="auto"/>
          <w:color w:val="000000"/>
        </w:rPr>
        <w:t>Section 10.7</w:t>
      </w:r>
      <w:r>
        <w:rPr>
          <w:rFonts w:ascii="Arial" w:cs="Arial" w:eastAsia="Arial" w:hAnsi="Arial"/>
          <w:sz w:val="19"/>
          <w:szCs w:val="19"/>
          <w:color w:val="000000"/>
        </w:rPr>
        <w:t>. Furthermore, no amendment, modification, termination or waiver affecting the rights or duties of Agent or</w:t>
      </w:r>
    </w:p>
    <w:p>
      <w:pPr>
        <w:sectPr>
          <w:pgSz w:w="11900" w:h="16838" w:orient="portrait"/>
          <w:cols w:equalWidth="0" w:num="1">
            <w:col w:w="10900"/>
          </w:cols>
          <w:pgMar w:left="660" w:top="1428" w:right="339" w:bottom="1440" w:gutter="0" w:footer="0" w:header="0"/>
        </w:sectPr>
      </w:pPr>
    </w:p>
    <w:bookmarkStart w:id="297" w:name="page298"/>
    <w:bookmarkEnd w:id="297"/>
    <w:p>
      <w:pPr>
        <w:jc w:val="both"/>
        <w:spacing w:after="0" w:line="284" w:lineRule="auto"/>
        <w:rPr>
          <w:sz w:val="20"/>
          <w:szCs w:val="20"/>
          <w:color w:val="auto"/>
        </w:rPr>
      </w:pPr>
      <w:r>
        <w:rPr>
          <w:rFonts w:ascii="Arial" w:cs="Arial" w:eastAsia="Arial" w:hAnsi="Arial"/>
          <w:sz w:val="19"/>
          <w:szCs w:val="19"/>
          <w:color w:val="auto"/>
        </w:rPr>
        <w:t xml:space="preserve">L/C Issuer, under this Agreement or any other Loan Document, including any increase in the L/C Sublimit or any release of any Guaranty requiring a writing signed by all of the Lenders or release of any Collateral requiring a writing signed by all Lenders, shall be effective unless in writing and signed by Agent or L/C Issuer, as the case may be, in addition to Lenders required hereinabove to take such action. Notwithstanding anything in this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to the contrary, this Agreement and the other Loan Documents may be amended by Agent, Co-Collateral Agents and each Credit Party party </w:t>
      </w:r>
      <w:r>
        <w:rPr>
          <w:rFonts w:ascii="Arial" w:cs="Arial" w:eastAsia="Arial" w:hAnsi="Arial"/>
          <w:sz w:val="19"/>
          <w:szCs w:val="19"/>
          <w:color w:val="FF0000"/>
          <w:strike w:val="1"/>
        </w:rPr>
        <w:t>thereto</w:t>
      </w:r>
      <w:r>
        <w:rPr>
          <w:rFonts w:ascii="Arial" w:cs="Arial" w:eastAsia="Arial" w:hAnsi="Arial"/>
          <w:sz w:val="19"/>
          <w:szCs w:val="19"/>
          <w:u w:val="single" w:color="auto"/>
          <w:color w:val="0000FF"/>
        </w:rPr>
        <w:t>to an</w:t>
      </w:r>
      <w:r>
        <w:rPr>
          <w:rFonts w:ascii="Arial" w:cs="Arial" w:eastAsia="Arial" w:hAnsi="Arial"/>
          <w:sz w:val="19"/>
          <w:szCs w:val="19"/>
          <w:color w:val="auto"/>
        </w:rPr>
        <w:t xml:space="preserve"> </w:t>
      </w:r>
      <w:r>
        <w:rPr>
          <w:rFonts w:ascii="Arial" w:cs="Arial" w:eastAsia="Arial" w:hAnsi="Arial"/>
          <w:sz w:val="19"/>
          <w:szCs w:val="19"/>
          <w:u w:val="single" w:color="auto"/>
          <w:color w:val="0000FF"/>
        </w:rPr>
        <w:t>Incremental Revolving Loan Amendment</w:t>
      </w:r>
      <w:r>
        <w:rPr>
          <w:rFonts w:ascii="Arial" w:cs="Arial" w:eastAsia="Arial" w:hAnsi="Arial"/>
          <w:sz w:val="19"/>
          <w:szCs w:val="19"/>
          <w:color w:val="0000FF"/>
        </w:rPr>
        <w:t xml:space="preserve"> </w:t>
      </w:r>
      <w:r>
        <w:rPr>
          <w:rFonts w:ascii="Arial" w:cs="Arial" w:eastAsia="Arial" w:hAnsi="Arial"/>
          <w:sz w:val="19"/>
          <w:szCs w:val="19"/>
          <w:color w:val="000000"/>
        </w:rPr>
        <w:t>in accordance with</w:t>
      </w:r>
      <w:r>
        <w:rPr>
          <w:rFonts w:ascii="Arial" w:cs="Arial" w:eastAsia="Arial" w:hAnsi="Arial"/>
          <w:sz w:val="19"/>
          <w:szCs w:val="19"/>
          <w:color w:val="0000FF"/>
        </w:rPr>
        <w:t xml:space="preserve"> </w:t>
      </w:r>
      <w:r>
        <w:rPr>
          <w:rFonts w:ascii="Arial" w:cs="Arial" w:eastAsia="Arial" w:hAnsi="Arial"/>
          <w:sz w:val="19"/>
          <w:szCs w:val="19"/>
          <w:u w:val="single" w:color="auto"/>
          <w:color w:val="FF0000"/>
          <w:strike w:val="1"/>
        </w:rPr>
        <w:t>Sections</w:t>
      </w:r>
      <w:r>
        <w:rPr>
          <w:rFonts w:ascii="Arial" w:cs="Arial" w:eastAsia="Arial" w:hAnsi="Arial"/>
          <w:sz w:val="19"/>
          <w:szCs w:val="19"/>
          <w:u w:val="single" w:color="auto"/>
          <w:color w:val="0000FF"/>
        </w:rPr>
        <w:t>Section</w:t>
      </w:r>
      <w:r>
        <w:rPr>
          <w:rFonts w:ascii="Arial" w:cs="Arial" w:eastAsia="Arial" w:hAnsi="Arial"/>
          <w:sz w:val="19"/>
          <w:szCs w:val="19"/>
          <w:color w:val="0000FF"/>
        </w:rPr>
        <w:t xml:space="preserve"> </w:t>
      </w:r>
      <w:r>
        <w:rPr>
          <w:rFonts w:ascii="Arial" w:cs="Arial" w:eastAsia="Arial" w:hAnsi="Arial"/>
          <w:sz w:val="19"/>
          <w:szCs w:val="19"/>
          <w:color w:val="000000"/>
        </w:rPr>
        <w:t>2.16, to incorporate the terms of any</w:t>
      </w:r>
      <w:r>
        <w:rPr>
          <w:rFonts w:ascii="Arial" w:cs="Arial" w:eastAsia="Arial" w:hAnsi="Arial"/>
          <w:sz w:val="19"/>
          <w:szCs w:val="19"/>
          <w:color w:val="0000FF"/>
        </w:rPr>
        <w:t xml:space="preserve"> </w:t>
      </w:r>
      <w:r>
        <w:rPr>
          <w:rFonts w:ascii="Arial" w:cs="Arial" w:eastAsia="Arial" w:hAnsi="Arial"/>
          <w:sz w:val="19"/>
          <w:szCs w:val="19"/>
          <w:color w:val="000000"/>
        </w:rPr>
        <w:t xml:space="preserve">Incremental Revolving Loans </w:t>
      </w:r>
      <w:r>
        <w:rPr>
          <w:rFonts w:ascii="Arial" w:cs="Arial" w:eastAsia="Arial" w:hAnsi="Arial"/>
          <w:sz w:val="19"/>
          <w:szCs w:val="19"/>
          <w:u w:val="single" w:color="auto"/>
          <w:color w:val="0000FF"/>
        </w:rPr>
        <w:t>(including any Permitted Incremental FILO Loans)</w:t>
      </w:r>
      <w:r>
        <w:rPr>
          <w:rFonts w:ascii="Arial" w:cs="Arial" w:eastAsia="Arial" w:hAnsi="Arial"/>
          <w:sz w:val="19"/>
          <w:szCs w:val="19"/>
          <w:color w:val="000000"/>
        </w:rPr>
        <w:t xml:space="preserve"> or increased Commitments and the related Loans thereunder and to provide for non-pro rata borrowings and payments of any amounts hereunder as between the Loans and any Incremental Revolving Loans, or increased Commitments in connection therewith, </w:t>
      </w:r>
      <w:r>
        <w:rPr>
          <w:rFonts w:ascii="Arial" w:cs="Arial" w:eastAsia="Arial" w:hAnsi="Arial"/>
          <w:sz w:val="19"/>
          <w:szCs w:val="19"/>
          <w:u w:val="single" w:color="auto"/>
          <w:color w:val="0000FF"/>
        </w:rPr>
        <w:t>or to establish any Commitments</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with respect to Permitted Incremental FILO Loans as a separate “class” of Loans hereunder,</w:t>
      </w:r>
      <w:r>
        <w:rPr>
          <w:rFonts w:ascii="Arial" w:cs="Arial" w:eastAsia="Arial" w:hAnsi="Arial"/>
          <w:sz w:val="19"/>
          <w:szCs w:val="19"/>
          <w:color w:val="0000FF"/>
        </w:rPr>
        <w:t xml:space="preserve"> </w:t>
      </w:r>
      <w:r>
        <w:rPr>
          <w:rFonts w:ascii="Arial" w:cs="Arial" w:eastAsia="Arial" w:hAnsi="Arial"/>
          <w:sz w:val="19"/>
          <w:szCs w:val="19"/>
          <w:color w:val="000000"/>
        </w:rPr>
        <w:t>in each case with the consent of</w:t>
      </w:r>
      <w:r>
        <w:rPr>
          <w:rFonts w:ascii="Arial" w:cs="Arial" w:eastAsia="Arial" w:hAnsi="Arial"/>
          <w:sz w:val="19"/>
          <w:szCs w:val="19"/>
          <w:color w:val="0000FF"/>
        </w:rPr>
        <w:t xml:space="preserve"> </w:t>
      </w:r>
      <w:r>
        <w:rPr>
          <w:rFonts w:ascii="Arial" w:cs="Arial" w:eastAsia="Arial" w:hAnsi="Arial"/>
          <w:sz w:val="19"/>
          <w:szCs w:val="19"/>
          <w:color w:val="000000"/>
        </w:rPr>
        <w:t>Agent</w:t>
      </w:r>
      <w:r>
        <w:rPr>
          <w:rFonts w:ascii="Arial" w:cs="Arial" w:eastAsia="Arial" w:hAnsi="Arial"/>
          <w:sz w:val="19"/>
          <w:szCs w:val="19"/>
          <w:u w:val="single" w:color="auto"/>
          <w:color w:val="0000FF"/>
        </w:rPr>
        <w:t>, Co-Collateral Agents and each Incremental Lender providing such Permitted Incremental FILO Loans pursuant to</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such Incremental Revolving Loan Amendment,</w:t>
      </w:r>
      <w:r>
        <w:rPr>
          <w:rFonts w:ascii="Arial" w:cs="Arial" w:eastAsia="Arial" w:hAnsi="Arial"/>
          <w:sz w:val="19"/>
          <w:szCs w:val="19"/>
          <w:color w:val="0000FF"/>
        </w:rPr>
        <w:t xml:space="preserve"> </w:t>
      </w:r>
      <w:r>
        <w:rPr>
          <w:rFonts w:ascii="Arial" w:cs="Arial" w:eastAsia="Arial" w:hAnsi="Arial"/>
          <w:sz w:val="19"/>
          <w:szCs w:val="19"/>
          <w:color w:val="000000"/>
        </w:rPr>
        <w:t>but without the consent of any</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other</w:t>
      </w:r>
      <w:r>
        <w:rPr>
          <w:rFonts w:ascii="Arial" w:cs="Arial" w:eastAsia="Arial" w:hAnsi="Arial"/>
          <w:sz w:val="19"/>
          <w:szCs w:val="19"/>
          <w:color w:val="0000FF"/>
        </w:rPr>
        <w:t xml:space="preserve"> </w:t>
      </w:r>
      <w:r>
        <w:rPr>
          <w:rFonts w:ascii="Arial" w:cs="Arial" w:eastAsia="Arial" w:hAnsi="Arial"/>
          <w:sz w:val="19"/>
          <w:szCs w:val="19"/>
          <w:color w:val="000000"/>
        </w:rPr>
        <w:t>Lender. Notwithstanding anything in this</w:t>
      </w:r>
      <w:r>
        <w:rPr>
          <w:rFonts w:ascii="Arial" w:cs="Arial" w:eastAsia="Arial" w:hAnsi="Arial"/>
          <w:sz w:val="19"/>
          <w:szCs w:val="19"/>
          <w:color w:val="0000FF"/>
        </w:rPr>
        <w:t xml:space="preserve"> </w:t>
      </w:r>
      <w:r>
        <w:rPr>
          <w:rFonts w:ascii="Arial" w:cs="Arial" w:eastAsia="Arial" w:hAnsi="Arial"/>
          <w:sz w:val="19"/>
          <w:szCs w:val="19"/>
          <w:color w:val="000000"/>
        </w:rPr>
        <w:t xml:space="preserve">Section 12.2 to the contrary, Parent Borrower and Agent may enter into a LIBOR Successor Amendment, and such amendment shall be effective at the times and upon the terms described in Section 2.15. Each amendment, modification, termination or waiver shall be effective only in the specific instance and for the specific purpose for which it was given. No amendment, modification, termination or waiver shall be required for Agent to take additional Collateral pursuant to any Loan Document. No amendment, modification, termination or waiver of any provision of any Note shall be effective without the written concurrence of the holder of that Note. No notice to or demand on any Credit Party in any case shall entitle such Credit Party or any other Credit Party to any other or further notice or demand in similar or other circumstances. Any amendment, modification, termination, waiver or consent effected in accordance with this </w:t>
      </w:r>
      <w:r>
        <w:rPr>
          <w:rFonts w:ascii="Arial" w:cs="Arial" w:eastAsia="Arial" w:hAnsi="Arial"/>
          <w:sz w:val="19"/>
          <w:szCs w:val="19"/>
          <w:u w:val="single" w:color="auto"/>
          <w:color w:val="000000"/>
        </w:rPr>
        <w:t>Section 12.2</w:t>
      </w:r>
      <w:r>
        <w:rPr>
          <w:rFonts w:ascii="Arial" w:cs="Arial" w:eastAsia="Arial" w:hAnsi="Arial"/>
          <w:sz w:val="19"/>
          <w:szCs w:val="19"/>
          <w:color w:val="000000"/>
        </w:rPr>
        <w:t xml:space="preserve"> shall be binding upon each holder of the Obligations at the time outstanding and each future holder of the Obligations. Any amendment, modification, waiver, consent, termination or release of any Bank Product Documents or Secured Hedge Agreement may be effected by the parties thereto without the consent of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-2654300</wp:posOffset>
            </wp:positionV>
            <wp:extent cx="317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firstLine="1288"/>
        <w:spacing w:after="0" w:line="288" w:lineRule="auto"/>
        <w:tabs>
          <w:tab w:leader="none" w:pos="1615" w:val="left"/>
        </w:tabs>
        <w:numPr>
          <w:ilvl w:val="0"/>
          <w:numId w:val="243"/>
        </w:numPr>
        <w:rPr>
          <w:rFonts w:ascii="Arial" w:cs="Arial" w:eastAsia="Arial" w:hAnsi="Arial"/>
          <w:sz w:val="19"/>
          <w:szCs w:val="19"/>
          <w:color w:val="auto"/>
        </w:rPr>
      </w:pPr>
      <w:r>
        <w:rPr>
          <w:rFonts w:ascii="Arial" w:cs="Arial" w:eastAsia="Arial" w:hAnsi="Arial"/>
          <w:sz w:val="19"/>
          <w:szCs w:val="19"/>
          <w:color w:val="auto"/>
        </w:rPr>
        <w:t xml:space="preserve">If, in connection with any proposed amendment, modification, waiver or termination requiring the consent of all Lenders or all directly and adversely affected Lenders, the consent of Requisite Lenders is obtained, but the consent of other Lenders whose consent is required is not obtained (any such Lender whose consent is not obtained as described in this </w:t>
      </w:r>
      <w:r>
        <w:rPr>
          <w:rFonts w:ascii="Arial" w:cs="Arial" w:eastAsia="Arial" w:hAnsi="Arial"/>
          <w:sz w:val="19"/>
          <w:szCs w:val="19"/>
          <w:u w:val="single" w:color="auto"/>
          <w:color w:val="auto"/>
        </w:rPr>
        <w:t>Section 12.2(d)</w:t>
      </w:r>
      <w:r>
        <w:rPr>
          <w:rFonts w:ascii="Arial" w:cs="Arial" w:eastAsia="Arial" w:hAnsi="Arial"/>
          <w:sz w:val="19"/>
          <w:szCs w:val="19"/>
          <w:color w:val="auto"/>
        </w:rPr>
        <w:t xml:space="preserve"> being referred to as a “</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then, with respect to this </w:t>
      </w:r>
      <w:r>
        <w:rPr>
          <w:rFonts w:ascii="Arial" w:cs="Arial" w:eastAsia="Arial" w:hAnsi="Arial"/>
          <w:sz w:val="19"/>
          <w:szCs w:val="19"/>
          <w:u w:val="single" w:color="auto"/>
          <w:color w:val="auto"/>
        </w:rPr>
        <w:t>Section 12.2(d)</w:t>
      </w:r>
      <w:r>
        <w:rPr>
          <w:rFonts w:ascii="Arial" w:cs="Arial" w:eastAsia="Arial" w:hAnsi="Arial"/>
          <w:sz w:val="19"/>
          <w:szCs w:val="19"/>
          <w:color w:val="auto"/>
        </w:rPr>
        <w:t>, so long as Agent is not a Non-Consenting Lender, at Borrower Representative’s request, Agent or a Person reasonably acceptable to Agent shall have the right with Agent’s consent (but shall have no obligation) to purchase from any such Non-Consenting Lenders, and any such Non-Consenting Lenders agree that they shall, upon Agent’s request, sell and assign to Agent or such Person, all of the Commitments of any such Non-Consenting Lenders for an amount equal to the principal balance of all Loans held by such Non-Consenting Lenders and all accrued interest and Fees with respect thereto through the date of sale, such purchase and sale to be consummated pursuant to an executed</w:t>
      </w:r>
    </w:p>
    <w:p>
      <w:pPr>
        <w:sectPr>
          <w:pgSz w:w="11900" w:h="16838" w:orient="portrait"/>
          <w:cols w:equalWidth="0" w:num="1">
            <w:col w:w="10900"/>
          </w:cols>
          <w:pgMar w:left="660" w:top="1428" w:right="339" w:bottom="1440" w:gutter="0" w:footer="0" w:header="0"/>
        </w:sectPr>
      </w:pPr>
    </w:p>
    <w:bookmarkStart w:id="298" w:name="page299"/>
    <w:bookmarkEnd w:id="298"/>
    <w:p>
      <w:pPr>
        <w:jc w:val="both"/>
        <w:ind w:left="8"/>
        <w:spacing w:after="0" w:line="294" w:lineRule="auto"/>
        <w:rPr>
          <w:sz w:val="20"/>
          <w:szCs w:val="20"/>
          <w:color w:val="auto"/>
        </w:rPr>
      </w:pPr>
      <w:r>
        <w:rPr>
          <w:rFonts w:ascii="Arial" w:cs="Arial" w:eastAsia="Arial" w:hAnsi="Arial"/>
          <w:sz w:val="19"/>
          <w:szCs w:val="19"/>
          <w:color w:val="auto"/>
        </w:rPr>
        <w:t xml:space="preserve">Assignment Agreement. In the event that a Non-Consenting Lender does not execute an Assignment Agreement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within five (5) Business Days after receipt by such Non-Consenting Lender of notice of replacement pursuant to this </w:t>
      </w:r>
      <w:r>
        <w:rPr>
          <w:rFonts w:ascii="Arial" w:cs="Arial" w:eastAsia="Arial" w:hAnsi="Arial"/>
          <w:sz w:val="19"/>
          <w:szCs w:val="19"/>
          <w:u w:val="single" w:color="auto"/>
          <w:color w:val="auto"/>
        </w:rPr>
        <w:t>Section 12.2(d)</w:t>
      </w:r>
      <w:r>
        <w:rPr>
          <w:rFonts w:ascii="Arial" w:cs="Arial" w:eastAsia="Arial" w:hAnsi="Arial"/>
          <w:sz w:val="19"/>
          <w:szCs w:val="19"/>
          <w:color w:val="auto"/>
        </w:rPr>
        <w:t xml:space="preserve"> and presentation to such Non-Consenting Lender of an Assignment Agreement evidencing an assignment pursuant to this </w:t>
      </w:r>
      <w:r>
        <w:rPr>
          <w:rFonts w:ascii="Arial" w:cs="Arial" w:eastAsia="Arial" w:hAnsi="Arial"/>
          <w:sz w:val="19"/>
          <w:szCs w:val="19"/>
          <w:u w:val="single" w:color="auto"/>
          <w:color w:val="auto"/>
        </w:rPr>
        <w:t>Section 12.2(d)</w:t>
      </w:r>
      <w:r>
        <w:rPr>
          <w:rFonts w:ascii="Arial" w:cs="Arial" w:eastAsia="Arial" w:hAnsi="Arial"/>
          <w:sz w:val="19"/>
          <w:szCs w:val="19"/>
          <w:color w:val="auto"/>
        </w:rPr>
        <w:t xml:space="preserve">, Borrower Representative shall be entitled (but not obligated) to execute such Assignment Agreement on behalf of any such Non-Consenting Lender, and any such Assignment Agreement so executed by Borrower Representative, the replacement Lender and Agent, shall be effective for purposes of this </w:t>
      </w:r>
      <w:r>
        <w:rPr>
          <w:rFonts w:ascii="Arial" w:cs="Arial" w:eastAsia="Arial" w:hAnsi="Arial"/>
          <w:sz w:val="19"/>
          <w:szCs w:val="19"/>
          <w:u w:val="single" w:color="auto"/>
          <w:color w:val="auto"/>
        </w:rPr>
        <w:t>Section 12.2(d)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11.1</w:t>
      </w:r>
      <w:r>
        <w:rPr>
          <w:rFonts w:ascii="Arial" w:cs="Arial" w:eastAsia="Arial" w:hAnsi="Arial"/>
          <w:sz w:val="19"/>
          <w:szCs w:val="19"/>
          <w:color w:val="auto"/>
        </w:rPr>
        <w:t>.</w:t>
      </w:r>
    </w:p>
    <w:p>
      <w:pPr>
        <w:spacing w:after="0" w:line="149" w:lineRule="exact"/>
        <w:rPr>
          <w:sz w:val="20"/>
          <w:szCs w:val="20"/>
          <w:color w:val="auto"/>
        </w:rPr>
      </w:pPr>
    </w:p>
    <w:p>
      <w:pPr>
        <w:ind w:left="8" w:firstLine="1288"/>
        <w:spacing w:after="0" w:line="343" w:lineRule="auto"/>
        <w:tabs>
          <w:tab w:leader="none" w:pos="1625" w:val="left"/>
        </w:tabs>
        <w:numPr>
          <w:ilvl w:val="2"/>
          <w:numId w:val="244"/>
        </w:numPr>
        <w:rPr>
          <w:rFonts w:ascii="Arial" w:cs="Arial" w:eastAsia="Arial" w:hAnsi="Arial"/>
          <w:sz w:val="19"/>
          <w:szCs w:val="19"/>
          <w:color w:val="auto"/>
        </w:rPr>
      </w:pPr>
      <w:r>
        <w:rPr>
          <w:rFonts w:ascii="Arial" w:cs="Arial" w:eastAsia="Arial" w:hAnsi="Arial"/>
          <w:sz w:val="19"/>
          <w:szCs w:val="19"/>
          <w:color w:val="auto"/>
        </w:rPr>
        <w:t>Upon the Termination Date, Agent shall deliver to Borrowers termination statements, security releases and other documents necessary or appropriate to evidence the termination of the Liens securing payment of the Obligations.</w:t>
      </w:r>
    </w:p>
    <w:p>
      <w:pPr>
        <w:spacing w:after="0" w:line="104" w:lineRule="exact"/>
        <w:rPr>
          <w:rFonts w:ascii="Arial" w:cs="Arial" w:eastAsia="Arial" w:hAnsi="Arial"/>
          <w:sz w:val="19"/>
          <w:szCs w:val="19"/>
          <w:color w:val="auto"/>
        </w:rPr>
      </w:pPr>
    </w:p>
    <w:p>
      <w:pPr>
        <w:jc w:val="both"/>
        <w:ind w:left="8" w:firstLine="1288"/>
        <w:spacing w:after="0" w:line="283" w:lineRule="auto"/>
        <w:tabs>
          <w:tab w:leader="none" w:pos="1628" w:val="left"/>
        </w:tabs>
        <w:numPr>
          <w:ilvl w:val="2"/>
          <w:numId w:val="24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contained in this </w:t>
      </w:r>
      <w:r>
        <w:rPr>
          <w:rFonts w:ascii="Arial" w:cs="Arial" w:eastAsia="Arial" w:hAnsi="Arial"/>
          <w:sz w:val="19"/>
          <w:szCs w:val="19"/>
          <w:u w:val="single" w:color="auto"/>
          <w:color w:val="auto"/>
        </w:rPr>
        <w:t>Section 12.2</w:t>
      </w:r>
      <w:r>
        <w:rPr>
          <w:rFonts w:ascii="Arial" w:cs="Arial" w:eastAsia="Arial" w:hAnsi="Arial"/>
          <w:sz w:val="19"/>
          <w:szCs w:val="19"/>
          <w:color w:val="auto"/>
        </w:rPr>
        <w:t>, in the event that Borrowers request that this Agreement be modified or amended in a manner that would require the unanimous consent of all of the Lenders and such modification or amendment is agreed to by the Requisite Lenders, then with the consent of Borrower Representative, Agent and the Requisite Lenders, Borrower Representative, Agent and the Requisite Lenders shall be permitted to amend this Agreement without the consent of the Non-Consenting Lenders to provide for (i) the termination of the Commitment of each Non-Consenting Lender at the election of Borrower Representative, Agent and the Requisite Lenders, (ii) simultaneously with the Commitment termination provided for in the foregoing clause (i), the addition to this Agreement of one or more other financial institutions (each of which shall be acceptable to Agent), or an increase in the Commitment of one or more of the Requisite Lenders (with the written consent thereof), so that the total Commitment after giving effect to such amendment shall be in the same amount as the total Commitment immediately before giving effect to such amendment, so long as such new or increased Commitments are on the same terms and provisions (including, without limitation, economic terms with respect to interest rates, pricing, fees, maturity date, etc.) as the Commitment terminated pursuant to the foregoing clause (i), (iii) if any Loans are outstanding at the time of such amendment, the making of such additional Loans by such new financial institutions or Requisite Lender(s), as the case may be, as may be necessary to repay in full, at par, the outstanding Loans of the Non-Consenting Lenders immediately before giving effect to such amendment and</w:t>
      </w:r>
    </w:p>
    <w:p>
      <w:pPr>
        <w:ind w:left="368" w:hanging="368"/>
        <w:spacing w:after="0"/>
        <w:tabs>
          <w:tab w:leader="none" w:pos="368" w:val="left"/>
        </w:tabs>
        <w:numPr>
          <w:ilvl w:val="0"/>
          <w:numId w:val="245"/>
        </w:numPr>
        <w:rPr>
          <w:rFonts w:ascii="Arial" w:cs="Arial" w:eastAsia="Arial" w:hAnsi="Arial"/>
          <w:sz w:val="22"/>
          <w:szCs w:val="22"/>
          <w:color w:val="auto"/>
        </w:rPr>
      </w:pPr>
      <w:r>
        <w:rPr>
          <w:rFonts w:ascii="Arial" w:cs="Arial" w:eastAsia="Arial" w:hAnsi="Arial"/>
          <w:sz w:val="22"/>
          <w:szCs w:val="22"/>
          <w:color w:val="auto"/>
        </w:rPr>
        <w:t>such other modifications to this Agreement as may be appropriate to effect the foregoing clauses (i)-(iii).</w:t>
      </w:r>
    </w:p>
    <w:p>
      <w:pPr>
        <w:spacing w:after="0" w:line="201" w:lineRule="exact"/>
        <w:rPr>
          <w:rFonts w:ascii="Arial" w:cs="Arial" w:eastAsia="Arial" w:hAnsi="Arial"/>
          <w:sz w:val="22"/>
          <w:szCs w:val="22"/>
          <w:color w:val="auto"/>
        </w:rPr>
      </w:pPr>
    </w:p>
    <w:p>
      <w:pPr>
        <w:jc w:val="both"/>
        <w:ind w:left="-152" w:firstLine="1286"/>
        <w:spacing w:after="0" w:line="294" w:lineRule="auto"/>
        <w:tabs>
          <w:tab w:leader="none" w:pos="1618" w:val="left"/>
        </w:tabs>
        <w:numPr>
          <w:ilvl w:val="1"/>
          <w:numId w:val="245"/>
        </w:numPr>
        <w:rPr>
          <w:rFonts w:ascii="Arial" w:cs="Arial" w:eastAsia="Arial" w:hAnsi="Arial"/>
          <w:sz w:val="18"/>
          <w:szCs w:val="18"/>
          <w:color w:val="auto"/>
        </w:rPr>
      </w:pPr>
      <w:r>
        <w:rPr>
          <w:rFonts w:ascii="Arial" w:cs="Arial" w:eastAsia="Arial" w:hAnsi="Arial"/>
          <w:sz w:val="19"/>
          <w:szCs w:val="19"/>
          <w:color w:val="auto"/>
        </w:rPr>
        <w:t xml:space="preserve">Notwithstanding the foregoing, no Lender’s consent is required to enter into any amendment, extension, supplement, restatement, replacement, waiver or other modification to the ABL Intercreditor Agreement (i) that is for the purpose of adding the holders of Indebtedness permitted hereunder (or a Senior Representative with respect thereto) as parties thereto, as expressly contemplated by the terms of the ABL Intercreditor Agreement (it being understood that any such amendment or supplement may make such other changes to the applicable intercreditor or subordination agreement as, in the good faith determination of Agent, are required to effectuate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other changes are not</w:t>
      </w:r>
    </w:p>
    <w:p>
      <w:pPr>
        <w:sectPr>
          <w:pgSz w:w="11900" w:h="16838" w:orient="portrait"/>
          <w:cols w:equalWidth="0" w:num="1">
            <w:col w:w="10908"/>
          </w:cols>
          <w:pgMar w:left="652" w:top="1428" w:right="339" w:bottom="1440" w:gutter="0" w:footer="0" w:header="0"/>
        </w:sectPr>
      </w:pPr>
    </w:p>
    <w:bookmarkStart w:id="299" w:name="page300"/>
    <w:bookmarkEnd w:id="299"/>
    <w:p>
      <w:pPr>
        <w:jc w:val="both"/>
        <w:ind w:left="180"/>
        <w:spacing w:after="0" w:line="250" w:lineRule="auto"/>
        <w:rPr>
          <w:sz w:val="20"/>
          <w:szCs w:val="20"/>
          <w:color w:val="auto"/>
        </w:rPr>
      </w:pPr>
      <w:r>
        <w:rPr>
          <w:rFonts w:ascii="Arial" w:cs="Arial" w:eastAsia="Arial" w:hAnsi="Arial"/>
          <w:sz w:val="22"/>
          <w:szCs w:val="22"/>
          <w:color w:val="auto"/>
        </w:rPr>
        <w:t xml:space="preserve">adverse, in any material respect, to the interests of the Lenders), (ii) that is expressly contemplated by the ABL Intercreditor Agreement or (iii) that is otherwise permitted by Section 10.15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no such agreement shall amend, modify or otherwise affect the rights or duties of Agent hereunder or under any other Loan Document without the prior written consent of Agent, as applicable.</w:t>
      </w:r>
    </w:p>
    <w:p>
      <w:pPr>
        <w:spacing w:after="0" w:line="188" w:lineRule="exact"/>
        <w:rPr>
          <w:sz w:val="20"/>
          <w:szCs w:val="20"/>
          <w:color w:val="auto"/>
        </w:rPr>
      </w:pPr>
    </w:p>
    <w:p>
      <w:pPr>
        <w:jc w:val="both"/>
        <w:ind w:left="180" w:firstLine="1286"/>
        <w:spacing w:after="0" w:line="297" w:lineRule="auto"/>
        <w:tabs>
          <w:tab w:leader="none" w:pos="1950" w:val="left"/>
        </w:tabs>
        <w:numPr>
          <w:ilvl w:val="0"/>
          <w:numId w:val="246"/>
        </w:numPr>
        <w:rPr>
          <w:rFonts w:ascii="Arial" w:cs="Arial" w:eastAsia="Arial" w:hAnsi="Arial"/>
          <w:sz w:val="18"/>
          <w:szCs w:val="18"/>
          <w:color w:val="auto"/>
        </w:rPr>
      </w:pPr>
      <w:r>
        <w:rPr>
          <w:rFonts w:ascii="Arial" w:cs="Arial" w:eastAsia="Arial" w:hAnsi="Arial"/>
          <w:sz w:val="19"/>
          <w:szCs w:val="19"/>
          <w:color w:val="auto"/>
        </w:rPr>
        <w:t xml:space="preserve">Further, notwithstanding anything to the contrary contained in this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technical and conforming modifications to the Loan Documents may be made with the consent of Parent Borrower and Agent (but without the consent of any Lender) to the extent necessary to cure any ambiguity, omission, defect or inconsistency; </w:t>
      </w:r>
      <w:r>
        <w:rPr>
          <w:rFonts w:ascii="Arial" w:cs="Arial" w:eastAsia="Arial" w:hAnsi="Arial"/>
          <w:sz w:val="19"/>
          <w:szCs w:val="19"/>
          <w:u w:val="single" w:color="auto"/>
          <w:color w:val="auto"/>
        </w:rPr>
        <w:t>provided</w:t>
      </w:r>
      <w:r>
        <w:rPr>
          <w:rFonts w:ascii="Arial" w:cs="Arial" w:eastAsia="Arial" w:hAnsi="Arial"/>
          <w:sz w:val="19"/>
          <w:szCs w:val="19"/>
          <w:color w:val="auto"/>
        </w:rPr>
        <w:t>, that Agent shall notify the Lenders of any such proposed modifications and no such modification shall become effective if the Requisite Lenders have objected thereto within five (5) Business Days after the delivery of such notice.</w:t>
      </w:r>
    </w:p>
    <w:p>
      <w:pPr>
        <w:spacing w:after="0" w:line="14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12.3 </w:t>
      </w:r>
      <w:r>
        <w:rPr>
          <w:rFonts w:ascii="Arial" w:cs="Arial" w:eastAsia="Arial" w:hAnsi="Arial"/>
          <w:sz w:val="21"/>
          <w:szCs w:val="21"/>
          <w:u w:val="single" w:color="auto"/>
          <w:color w:val="auto"/>
        </w:rPr>
        <w:t>Fees and Expenses</w:t>
      </w:r>
      <w:r>
        <w:rPr>
          <w:rFonts w:ascii="Arial" w:cs="Arial" w:eastAsia="Arial" w:hAnsi="Arial"/>
          <w:sz w:val="21"/>
          <w:szCs w:val="21"/>
          <w:color w:val="auto"/>
        </w:rPr>
        <w:t>. Parent Borrower shall reimburse (or shall cause to be reimbursed): (i) Agent, Co-Collateral Agents and Lead Arrangers for all reasonable documented fees, reasonable documented out-of-pocket costs and expenses (including the reasonable documented fees and reasonable documented out-of-pocket expenses of one firm of counsel); and (ii) Agent, Co-Collateral Agents and Lead Arrangers (and, with respect to clauses (b), (c) and (d) below, all Lenders and all L/C Issuers for all reasonable documented out-of-pocket fees, costs and expenses, including the reasonable documented fees, reasonable documented out-of-pocket costs and expenses of one firm of counsel for Agent, Co-Collateral Agents, Lead Arrangers, L/C Issuers and Lenders, taken as a whole, and a single local counsel in each relevant jurisdiction and in the case of an actual or potential conflict of interest where Agent, any Co-Collateral Agent, any Lead Arranger, any L/C Issuer or any Lender affected by such conflict informs Agent of such conflict and thereafter retains its own counsel, of another firm of counsel for such affected Person), incurred in connection with the negotiation, preparation and filing and/or recordation of the Loan Documents, and incurred in connection with:</w:t>
      </w:r>
    </w:p>
    <w:p>
      <w:pPr>
        <w:spacing w:after="0" w:line="182" w:lineRule="exact"/>
        <w:rPr>
          <w:sz w:val="20"/>
          <w:szCs w:val="20"/>
          <w:color w:val="auto"/>
        </w:rPr>
      </w:pPr>
    </w:p>
    <w:p>
      <w:pPr>
        <w:jc w:val="both"/>
        <w:ind w:left="340" w:firstLine="1288"/>
        <w:spacing w:after="0" w:line="253" w:lineRule="auto"/>
        <w:tabs>
          <w:tab w:leader="none" w:pos="1957" w:val="left"/>
        </w:tabs>
        <w:numPr>
          <w:ilvl w:val="0"/>
          <w:numId w:val="247"/>
        </w:numPr>
        <w:rPr>
          <w:rFonts w:ascii="Arial" w:cs="Arial" w:eastAsia="Arial" w:hAnsi="Arial"/>
          <w:sz w:val="22"/>
          <w:szCs w:val="22"/>
          <w:color w:val="auto"/>
        </w:rPr>
      </w:pPr>
      <w:r>
        <w:rPr>
          <w:rFonts w:ascii="Arial" w:cs="Arial" w:eastAsia="Arial" w:hAnsi="Arial"/>
          <w:sz w:val="22"/>
          <w:szCs w:val="22"/>
          <w:color w:val="auto"/>
        </w:rPr>
        <w:t>any amendment, modification or waiver of, consent with respect to, or termination of, any of the Loan Documents or advice in connection with the syndication and administration of the Loans made pursuant hereto or its rights hereunder or thereunder;</w:t>
      </w:r>
    </w:p>
    <w:p>
      <w:pPr>
        <w:spacing w:after="0" w:line="185" w:lineRule="exact"/>
        <w:rPr>
          <w:rFonts w:ascii="Arial" w:cs="Arial" w:eastAsia="Arial" w:hAnsi="Arial"/>
          <w:sz w:val="22"/>
          <w:szCs w:val="22"/>
          <w:color w:val="auto"/>
        </w:rPr>
      </w:pPr>
    </w:p>
    <w:p>
      <w:pPr>
        <w:jc w:val="both"/>
        <w:ind w:left="340" w:firstLine="1288"/>
        <w:spacing w:after="0" w:line="289" w:lineRule="auto"/>
        <w:tabs>
          <w:tab w:leader="none" w:pos="1955" w:val="left"/>
        </w:tabs>
        <w:numPr>
          <w:ilvl w:val="0"/>
          <w:numId w:val="247"/>
        </w:numPr>
        <w:rPr>
          <w:rFonts w:ascii="Arial" w:cs="Arial" w:eastAsia="Arial" w:hAnsi="Arial"/>
          <w:sz w:val="19"/>
          <w:szCs w:val="19"/>
          <w:color w:val="auto"/>
        </w:rPr>
      </w:pPr>
      <w:r>
        <w:rPr>
          <w:rFonts w:ascii="Arial" w:cs="Arial" w:eastAsia="Arial" w:hAnsi="Arial"/>
          <w:sz w:val="19"/>
          <w:szCs w:val="19"/>
          <w:color w:val="auto"/>
        </w:rPr>
        <w:t xml:space="preserve">any litigation, contest, dispute, suit, proceeding or action (whether instituted by Agent, any Co-Collateral Agent, any L/C Issuer, any Lender, any Credit Party or any other Person and whether as a party, witness or otherwise) in any way relating to the Collateral, any of the Loan Documents and the transactions contemplated thereby or any other agreement to be executed or delivered in connection herewith or therewith, including any litigation, contest, dispute, suit, case, proceeding or action, and any appeal or review thereof; in connection with a case commenced by or against any or all of the Credit Parties or any other Person that may be obligated to Agent by virtue of the Loan Documents; including any such litigation, contest, dispute, suit, proceeding or action arising in connection with any work-out or restructuring of the Loans during the pendency of one or more Events of Default; </w:t>
      </w:r>
      <w:r>
        <w:rPr>
          <w:rFonts w:ascii="Arial" w:cs="Arial" w:eastAsia="Arial" w:hAnsi="Arial"/>
          <w:sz w:val="19"/>
          <w:szCs w:val="19"/>
          <w:u w:val="single" w:color="auto"/>
          <w:color w:val="auto"/>
        </w:rPr>
        <w:t>provided</w:t>
      </w:r>
      <w:r>
        <w:rPr>
          <w:rFonts w:ascii="Arial" w:cs="Arial" w:eastAsia="Arial" w:hAnsi="Arial"/>
          <w:sz w:val="19"/>
          <w:szCs w:val="19"/>
          <w:color w:val="auto"/>
        </w:rPr>
        <w:t>, that no Person shall be entitled to reimbursement under this clause (b) in respect of any litigation, contest, dispute, suit, proceeding or action to the extent any of the foregoing</w:t>
      </w:r>
    </w:p>
    <w:p>
      <w:pPr>
        <w:sectPr>
          <w:pgSz w:w="11900" w:h="16838" w:orient="portrait"/>
          <w:cols w:equalWidth="0" w:num="1">
            <w:col w:w="11240"/>
          </w:cols>
          <w:pgMar w:left="320" w:top="1428" w:right="339" w:bottom="1440" w:gutter="0" w:footer="0" w:header="0"/>
        </w:sectPr>
      </w:pPr>
    </w:p>
    <w:bookmarkStart w:id="300" w:name="page301"/>
    <w:bookmarkEnd w:id="300"/>
    <w:p>
      <w:pPr>
        <w:jc w:val="both"/>
        <w:ind w:left="340"/>
        <w:spacing w:after="0" w:line="248" w:lineRule="auto"/>
        <w:rPr>
          <w:sz w:val="20"/>
          <w:szCs w:val="20"/>
          <w:color w:val="auto"/>
        </w:rPr>
      </w:pPr>
      <w:r>
        <w:rPr>
          <w:rFonts w:ascii="Arial" w:cs="Arial" w:eastAsia="Arial" w:hAnsi="Arial"/>
          <w:sz w:val="22"/>
          <w:szCs w:val="22"/>
          <w:color w:val="auto"/>
        </w:rPr>
        <w:t xml:space="preserve">results from such Person’s (or such Person’s Related Person’s) gross negligence, bad faith, material breach or willful misconduct (in each case as determined by a court of competent jurisdiction in a final and non-appealable judgment);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no Indemnified Person will be indemnified for any such cost, expense or liability to the extent of any dispute solely among Indemnified Persons other than claims against Agent, in such capacity in connection with fulfilling any such roles;</w:t>
      </w:r>
    </w:p>
    <w:p>
      <w:pPr>
        <w:spacing w:after="0" w:line="192" w:lineRule="exact"/>
        <w:rPr>
          <w:sz w:val="20"/>
          <w:szCs w:val="20"/>
          <w:color w:val="auto"/>
        </w:rPr>
      </w:pPr>
    </w:p>
    <w:p>
      <w:pPr>
        <w:jc w:val="both"/>
        <w:ind w:left="340" w:firstLine="1288"/>
        <w:spacing w:after="0" w:line="250" w:lineRule="auto"/>
        <w:tabs>
          <w:tab w:leader="none" w:pos="1957" w:val="left"/>
        </w:tabs>
        <w:numPr>
          <w:ilvl w:val="0"/>
          <w:numId w:val="248"/>
        </w:numPr>
        <w:rPr>
          <w:rFonts w:ascii="Arial" w:cs="Arial" w:eastAsia="Arial" w:hAnsi="Arial"/>
          <w:sz w:val="22"/>
          <w:szCs w:val="22"/>
          <w:color w:val="auto"/>
        </w:rPr>
      </w:pPr>
      <w:r>
        <w:rPr>
          <w:rFonts w:ascii="Arial" w:cs="Arial" w:eastAsia="Arial" w:hAnsi="Arial"/>
          <w:sz w:val="22"/>
          <w:szCs w:val="22"/>
          <w:color w:val="auto"/>
        </w:rPr>
        <w:t>any attempt to enforce any remedies of Agent against any or all of the Credit Parties or any other Person that may be obligated to Agent or any Lender by virtue of any of the Loan Documents, including any such attempt to enforce any such remedies in the course of any work-out or restructuring of the Obligations during the pendency of one or more Events of Default;</w:t>
      </w:r>
    </w:p>
    <w:p>
      <w:pPr>
        <w:spacing w:after="0" w:line="187" w:lineRule="exact"/>
        <w:rPr>
          <w:rFonts w:ascii="Arial" w:cs="Arial" w:eastAsia="Arial" w:hAnsi="Arial"/>
          <w:sz w:val="22"/>
          <w:szCs w:val="22"/>
          <w:color w:val="auto"/>
        </w:rPr>
      </w:pPr>
    </w:p>
    <w:p>
      <w:pPr>
        <w:ind w:left="340" w:firstLine="1288"/>
        <w:spacing w:after="0" w:line="263" w:lineRule="auto"/>
        <w:tabs>
          <w:tab w:leader="none" w:pos="1955" w:val="left"/>
        </w:tabs>
        <w:numPr>
          <w:ilvl w:val="0"/>
          <w:numId w:val="248"/>
        </w:numPr>
        <w:rPr>
          <w:rFonts w:ascii="Arial" w:cs="Arial" w:eastAsia="Arial" w:hAnsi="Arial"/>
          <w:sz w:val="22"/>
          <w:szCs w:val="22"/>
          <w:color w:val="auto"/>
        </w:rPr>
      </w:pPr>
      <w:r>
        <w:rPr>
          <w:rFonts w:ascii="Arial" w:cs="Arial" w:eastAsia="Arial" w:hAnsi="Arial"/>
          <w:sz w:val="22"/>
          <w:szCs w:val="22"/>
          <w:color w:val="auto"/>
        </w:rPr>
        <w:t>any workout or restructuring of the Obligations upon the occurrence and during the continuance of one or more Events of Default; and</w:t>
      </w:r>
    </w:p>
    <w:p>
      <w:pPr>
        <w:spacing w:after="0" w:line="174" w:lineRule="exact"/>
        <w:rPr>
          <w:rFonts w:ascii="Arial" w:cs="Arial" w:eastAsia="Arial" w:hAnsi="Arial"/>
          <w:sz w:val="22"/>
          <w:szCs w:val="22"/>
          <w:color w:val="auto"/>
        </w:rPr>
      </w:pPr>
    </w:p>
    <w:p>
      <w:pPr>
        <w:jc w:val="both"/>
        <w:ind w:left="340" w:firstLine="1288"/>
        <w:spacing w:after="0" w:line="289" w:lineRule="auto"/>
        <w:tabs>
          <w:tab w:leader="none" w:pos="1957" w:val="left"/>
        </w:tabs>
        <w:numPr>
          <w:ilvl w:val="0"/>
          <w:numId w:val="248"/>
        </w:numPr>
        <w:rPr>
          <w:rFonts w:ascii="Arial" w:cs="Arial" w:eastAsia="Arial" w:hAnsi="Arial"/>
          <w:sz w:val="19"/>
          <w:szCs w:val="19"/>
          <w:color w:val="auto"/>
        </w:rPr>
      </w:pPr>
      <w:r>
        <w:rPr>
          <w:rFonts w:ascii="Arial" w:cs="Arial" w:eastAsia="Arial" w:hAnsi="Arial"/>
          <w:sz w:val="19"/>
          <w:szCs w:val="19"/>
          <w:color w:val="auto"/>
        </w:rPr>
        <w:t xml:space="preserve">efforts to (i) monitor the Loans or any of the other Obligations, (ii) evaluate, observe or assess any of the Credit Parties or their respective affairs, and (iii) subject to the limitations contained herein verify, protect, evaluate, assess, appraise, audit, collect, sell, liquidate or otherwise dispose of any of the Collateral; including, as to each of clauses (a) through (d) above, all reasonable and documented professionals fees, including, but not limited to appraisers’, field examiners’ and attorneys’ fees arising from such services and other advice, assistance or other representation, including those in connection with any appellate proceedings, and all reasonable documented out-of-pocket expenses, costs, charges and other fees incurred by such professionals in connection with or relating to any of the events or actions described in this </w:t>
      </w:r>
      <w:r>
        <w:rPr>
          <w:rFonts w:ascii="Arial" w:cs="Arial" w:eastAsia="Arial" w:hAnsi="Arial"/>
          <w:sz w:val="19"/>
          <w:szCs w:val="19"/>
          <w:u w:val="single" w:color="auto"/>
          <w:color w:val="auto"/>
        </w:rPr>
        <w:t>Section 12.3</w:t>
      </w:r>
      <w:r>
        <w:rPr>
          <w:rFonts w:ascii="Arial" w:cs="Arial" w:eastAsia="Arial" w:hAnsi="Arial"/>
          <w:sz w:val="19"/>
          <w:szCs w:val="19"/>
          <w:color w:val="auto"/>
        </w:rPr>
        <w:t xml:space="preserve">. All amounts under this </w:t>
      </w:r>
      <w:r>
        <w:rPr>
          <w:rFonts w:ascii="Arial" w:cs="Arial" w:eastAsia="Arial" w:hAnsi="Arial"/>
          <w:sz w:val="19"/>
          <w:szCs w:val="19"/>
          <w:u w:val="single" w:color="auto"/>
          <w:color w:val="auto"/>
        </w:rPr>
        <w:t>Section 12.3</w:t>
      </w:r>
      <w:r>
        <w:rPr>
          <w:rFonts w:ascii="Arial" w:cs="Arial" w:eastAsia="Arial" w:hAnsi="Arial"/>
          <w:sz w:val="19"/>
          <w:szCs w:val="19"/>
          <w:color w:val="auto"/>
        </w:rPr>
        <w:t xml:space="preserve"> shall be payable no later than 20 days after written demand therefore (together with reasonably detailed supporting documentation submitted to a Financial Officer of Borrower Representative).</w:t>
      </w:r>
    </w:p>
    <w:p>
      <w:pPr>
        <w:spacing w:after="0" w:line="15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12.4 </w:t>
      </w:r>
      <w:r>
        <w:rPr>
          <w:rFonts w:ascii="Arial" w:cs="Arial" w:eastAsia="Arial" w:hAnsi="Arial"/>
          <w:sz w:val="21"/>
          <w:szCs w:val="21"/>
          <w:u w:val="single" w:color="auto"/>
          <w:color w:val="auto"/>
        </w:rPr>
        <w:t>No Waiver</w:t>
      </w:r>
      <w:r>
        <w:rPr>
          <w:rFonts w:ascii="Arial" w:cs="Arial" w:eastAsia="Arial" w:hAnsi="Arial"/>
          <w:sz w:val="21"/>
          <w:szCs w:val="21"/>
          <w:color w:val="auto"/>
        </w:rPr>
        <w:t xml:space="preserve">. Agent’s, any L/C Issuer’s or any Lender’s failure, at any time or times, to require strict performance by the Credit Parties of any provision of this Agreement or any other Loan Document shall not waive, affect or diminish any right of Agent, such L/C Issuer or such Lender thereafter to demand strict compliance and performance herewith or therewith. Any suspension or waiver of an Event of Default shall not suspend, waive or affect any other Event of Default whether the same is prior or subsequent thereto and whether the same or of a different type. Subject to the provisions of </w:t>
      </w:r>
      <w:r>
        <w:rPr>
          <w:rFonts w:ascii="Arial" w:cs="Arial" w:eastAsia="Arial" w:hAnsi="Arial"/>
          <w:sz w:val="21"/>
          <w:szCs w:val="21"/>
          <w:u w:val="single" w:color="auto"/>
          <w:color w:val="auto"/>
        </w:rPr>
        <w:t>Section 12.2</w:t>
      </w:r>
      <w:r>
        <w:rPr>
          <w:rFonts w:ascii="Arial" w:cs="Arial" w:eastAsia="Arial" w:hAnsi="Arial"/>
          <w:sz w:val="21"/>
          <w:szCs w:val="21"/>
          <w:color w:val="auto"/>
        </w:rPr>
        <w:t>, none of the undertakings, agreements, warranties, covenants and representations of any Credit Party contained in this Agreement or any of the other Loan Documents and no Default or Event of Default by any Credit Party shall be deemed to have been suspended or waived by Agent or any Lender, unless such waiver or suspension is by an instrument in writing signed by an officer of or other authorized employee of Agent and the applicable Requisite Lenders, and directed to Borrowers specifying such suspension or waiver.</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 xml:space="preserve">12.5 </w:t>
      </w:r>
      <w:r>
        <w:rPr>
          <w:rFonts w:ascii="Arial" w:cs="Arial" w:eastAsia="Arial" w:hAnsi="Arial"/>
          <w:sz w:val="22"/>
          <w:szCs w:val="22"/>
          <w:u w:val="single" w:color="auto"/>
          <w:color w:val="auto"/>
        </w:rPr>
        <w:t>Remedies</w:t>
      </w:r>
      <w:r>
        <w:rPr>
          <w:rFonts w:ascii="Arial" w:cs="Arial" w:eastAsia="Arial" w:hAnsi="Arial"/>
          <w:sz w:val="22"/>
          <w:szCs w:val="22"/>
          <w:color w:val="auto"/>
        </w:rPr>
        <w:t>. Agent’s, Co-Collateral Agents’, L/C Issuers’ and Lenders’ rights and remedies under this Agreement shall be cumulative and nonexclusive of any other rights and</w:t>
      </w:r>
    </w:p>
    <w:p>
      <w:pPr>
        <w:sectPr>
          <w:pgSz w:w="11900" w:h="16838" w:orient="portrait"/>
          <w:cols w:equalWidth="0" w:num="1">
            <w:col w:w="11240"/>
          </w:cols>
          <w:pgMar w:left="320" w:top="1428" w:right="339" w:bottom="1440" w:gutter="0" w:footer="0" w:header="0"/>
        </w:sectPr>
      </w:pPr>
    </w:p>
    <w:bookmarkStart w:id="301" w:name="page302"/>
    <w:bookmarkEnd w:id="301"/>
    <w:p>
      <w:pPr>
        <w:jc w:val="both"/>
        <w:spacing w:after="0" w:line="287" w:lineRule="auto"/>
        <w:rPr>
          <w:sz w:val="20"/>
          <w:szCs w:val="20"/>
          <w:color w:val="auto"/>
        </w:rPr>
      </w:pPr>
      <w:r>
        <w:rPr>
          <w:rFonts w:ascii="Arial" w:cs="Arial" w:eastAsia="Arial" w:hAnsi="Arial"/>
          <w:sz w:val="21"/>
          <w:szCs w:val="21"/>
          <w:color w:val="auto"/>
        </w:rPr>
        <w:t>remedies that Agent, any Co-Collateral Agent, any L/C Issuer or any Lender may have under any other agreement, including the other Loan Documents, by operation of law or otherwise. Recourse to the Collateral shall not be required.</w:t>
      </w:r>
    </w:p>
    <w:p>
      <w:pPr>
        <w:spacing w:after="0" w:line="15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12.6 </w:t>
      </w:r>
      <w:r>
        <w:rPr>
          <w:rFonts w:ascii="Arial" w:cs="Arial" w:eastAsia="Arial" w:hAnsi="Arial"/>
          <w:sz w:val="22"/>
          <w:szCs w:val="22"/>
          <w:u w:val="single" w:color="auto"/>
          <w:color w:val="auto"/>
        </w:rPr>
        <w:t>Severability</w:t>
      </w:r>
      <w:r>
        <w:rPr>
          <w:rFonts w:ascii="Arial" w:cs="Arial" w:eastAsia="Arial" w:hAnsi="Arial"/>
          <w:sz w:val="22"/>
          <w:szCs w:val="22"/>
          <w:color w:val="auto"/>
        </w:rPr>
        <w:t>. Wherever possible, each provision of this Agreement and the other Loan Documents shall be interpreted in such a manner as to be effective and valid under applicable law, but if any provision of this Agreement or any other Loan Document shall be prohibited by or invalid under applicable law, such provision shall be ineffective only to the extent of such prohibition or invalidity without invalidating the remainder of such provision or the remaining provisions of this Agreement or such other Loan Document.</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12.7 </w:t>
      </w:r>
      <w:r>
        <w:rPr>
          <w:rFonts w:ascii="Arial" w:cs="Arial" w:eastAsia="Arial" w:hAnsi="Arial"/>
          <w:sz w:val="19"/>
          <w:szCs w:val="19"/>
          <w:u w:val="single" w:color="auto"/>
          <w:color w:val="auto"/>
        </w:rPr>
        <w:t>Conflict of Terms</w:t>
      </w:r>
      <w:r>
        <w:rPr>
          <w:rFonts w:ascii="Arial" w:cs="Arial" w:eastAsia="Arial" w:hAnsi="Arial"/>
          <w:sz w:val="19"/>
          <w:szCs w:val="19"/>
          <w:color w:val="auto"/>
        </w:rPr>
        <w:t>. Except as otherwise provided in this Agreement or any of the other Loan Documents by specific reference to the applicable provisions of this Agreement, if any provision contained in this Agreement conflicts with any provision in any of the other Loan Documents, the provision contained in this Agreement shall govern and control.</w:t>
      </w:r>
    </w:p>
    <w:p>
      <w:pPr>
        <w:spacing w:after="0" w:line="13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 xml:space="preserve">12.8 </w:t>
      </w:r>
      <w:r>
        <w:rPr>
          <w:rFonts w:ascii="Arial" w:cs="Arial" w:eastAsia="Arial" w:hAnsi="Arial"/>
          <w:sz w:val="19"/>
          <w:szCs w:val="19"/>
          <w:u w:val="single" w:color="auto"/>
          <w:color w:val="auto"/>
        </w:rPr>
        <w:t>Confidentiality</w:t>
      </w:r>
      <w:r>
        <w:rPr>
          <w:rFonts w:ascii="Arial" w:cs="Arial" w:eastAsia="Arial" w:hAnsi="Arial"/>
          <w:sz w:val="19"/>
          <w:szCs w:val="19"/>
          <w:color w:val="auto"/>
        </w:rPr>
        <w:t>. Each Lender, each L/C Issuer Agent and each Co-Collateral Agent agrees to maintain, the confidentiality of information obtained by it pursuant to any Loan Document and designated in writing by any Credit Party as confidential or disclosed under circumstances where it is reasonable to assume that such information is confidential (the “</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except that such Information may be disclosed by any Lender, any L/C Issuer, Agent (i) with Borrower Representative’s consent, (ii) to Related Persons of such Lender, L/C Issuer or Agent or any Co-Collateral Agent, as the case may be, that are advised of the confidential nature of such Information and are instructed to keep such Information confidential in accordance with the terms hereof, (iii) to the extent such information presently is or hereafter becomes (A) publicly available other than as a result of a breach of this </w:t>
      </w:r>
      <w:r>
        <w:rPr>
          <w:rFonts w:ascii="Arial" w:cs="Arial" w:eastAsia="Arial" w:hAnsi="Arial"/>
          <w:sz w:val="19"/>
          <w:szCs w:val="19"/>
          <w:u w:val="single" w:color="auto"/>
          <w:color w:val="auto"/>
        </w:rPr>
        <w:t>Section 12.8</w:t>
      </w:r>
      <w:r>
        <w:rPr>
          <w:rFonts w:ascii="Arial" w:cs="Arial" w:eastAsia="Arial" w:hAnsi="Arial"/>
          <w:sz w:val="19"/>
          <w:szCs w:val="19"/>
          <w:color w:val="auto"/>
        </w:rPr>
        <w:t xml:space="preserve"> or (B) available to such Lender, L/C Issuer, Co-Collateral Agent or Agent or any of their Related Persons, as the case may be, from a source (other than any Credit Party) not known by them to be subject to disclosure restrictions, (iv) to the extent disclosure is required by applicable law or other legal process or requested or demanded by any Governmental Authority, including any governmental bank regulatory authority (in which case Agent shall notify Borrower Representative, to the extent not prohibited by law or legal process;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notice shall be required in the case of disclosure to bank regulatory authorities having jurisdiction over Agent, any Co-Collateral Agent, any Lender or any L/C Issuer), (v) to the extent necessary or customary for inclusion in league table measurements, (vi) (A) to the National Association of Insurance Commissioners or any similar organization, any examiner or any nationally recognized rating agency or (B) otherwise to the extent consisting of general portfolio information that does not identify Credit Parties, (vii) to current or prospective assignees or participants, direct or contractual counterparties to any Swap Contracts and to their respective Related Persons, in each case to the extent such assignees, participants, counterparties or Related Persons agree to be bound by provisions substantially similar to the provisions of this </w:t>
      </w:r>
      <w:r>
        <w:rPr>
          <w:rFonts w:ascii="Arial" w:cs="Arial" w:eastAsia="Arial" w:hAnsi="Arial"/>
          <w:sz w:val="19"/>
          <w:szCs w:val="19"/>
          <w:u w:val="single" w:color="auto"/>
          <w:color w:val="auto"/>
        </w:rPr>
        <w:t>Section 12.8</w:t>
      </w:r>
      <w:r>
        <w:rPr>
          <w:rFonts w:ascii="Arial" w:cs="Arial" w:eastAsia="Arial" w:hAnsi="Arial"/>
          <w:sz w:val="19"/>
          <w:szCs w:val="19"/>
          <w:color w:val="auto"/>
        </w:rPr>
        <w:t xml:space="preserve"> (and such Person may disclose information to their respective Related Persons in accordance with clause (ii) above), (viii) to any other party hereto, (ix) in connection with the exercise or enforcement of any right or remedy under any Loan Document, in connection with any litigation or other proceeding to which such Lender, L/C Issuer, Co-Collateral Agent or Agent or any of their</w:t>
      </w:r>
    </w:p>
    <w:p>
      <w:pPr>
        <w:sectPr>
          <w:pgSz w:w="11900" w:h="16838" w:orient="portrait"/>
          <w:cols w:equalWidth="0" w:num="1">
            <w:col w:w="11240"/>
          </w:cols>
          <w:pgMar w:left="320" w:top="1428" w:right="339" w:bottom="1440" w:gutter="0" w:footer="0" w:header="0"/>
        </w:sectPr>
      </w:pPr>
    </w:p>
    <w:bookmarkStart w:id="302" w:name="page303"/>
    <w:bookmarkEnd w:id="302"/>
    <w:p>
      <w:pPr>
        <w:jc w:val="both"/>
        <w:spacing w:after="0" w:line="259" w:lineRule="auto"/>
        <w:rPr>
          <w:sz w:val="20"/>
          <w:szCs w:val="20"/>
          <w:color w:val="auto"/>
        </w:rPr>
      </w:pPr>
      <w:r>
        <w:rPr>
          <w:rFonts w:ascii="Arial" w:cs="Arial" w:eastAsia="Arial" w:hAnsi="Arial"/>
          <w:sz w:val="21"/>
          <w:szCs w:val="21"/>
          <w:color w:val="auto"/>
        </w:rPr>
        <w:t xml:space="preserve">Related Persons is a party or bound, or to the extent necessary to respond to public statements or disclosures by Credit Parties or their Related Persons referring to a Lender, L/C Issuer, Co-Collateral Agent or Agent or any of their Related Persons, (x) to the National Association of Insurance Commissioners, CUSIP Service Bureau or any similar organization, regulatory authority, examiner or nationally recognized ratings agency and (xi) to any actual or prospective party (or its managers, administrators, trustees, partners, directors, officers, employees, agents, advisors and other representatives) to any swap or derivative or similar transaction under which payments are to be made by reference to Borrowers and their obligations, this Agreement or payments hereunder, in each case to the extent such Persons agree to be bound by provisions substantially similar to the provisions of this </w:t>
      </w:r>
      <w:r>
        <w:rPr>
          <w:rFonts w:ascii="Arial" w:cs="Arial" w:eastAsia="Arial" w:hAnsi="Arial"/>
          <w:sz w:val="21"/>
          <w:szCs w:val="21"/>
          <w:u w:val="single" w:color="auto"/>
          <w:color w:val="auto"/>
        </w:rPr>
        <w:t>Section 12.8</w:t>
      </w:r>
      <w:r>
        <w:rPr>
          <w:rFonts w:ascii="Arial" w:cs="Arial" w:eastAsia="Arial" w:hAnsi="Arial"/>
          <w:sz w:val="21"/>
          <w:szCs w:val="21"/>
          <w:color w:val="auto"/>
        </w:rPr>
        <w:t xml:space="preserve">. In the event of any conflict between the terms of this </w:t>
      </w:r>
      <w:r>
        <w:rPr>
          <w:rFonts w:ascii="Arial" w:cs="Arial" w:eastAsia="Arial" w:hAnsi="Arial"/>
          <w:sz w:val="21"/>
          <w:szCs w:val="21"/>
          <w:u w:val="single" w:color="auto"/>
          <w:color w:val="auto"/>
        </w:rPr>
        <w:t>Section 12.8</w:t>
      </w:r>
      <w:r>
        <w:rPr>
          <w:rFonts w:ascii="Arial" w:cs="Arial" w:eastAsia="Arial" w:hAnsi="Arial"/>
          <w:sz w:val="21"/>
          <w:szCs w:val="21"/>
          <w:color w:val="auto"/>
        </w:rPr>
        <w:t xml:space="preserve"> and those of any Loan Document, the terms of this </w:t>
      </w:r>
      <w:r>
        <w:rPr>
          <w:rFonts w:ascii="Arial" w:cs="Arial" w:eastAsia="Arial" w:hAnsi="Arial"/>
          <w:sz w:val="21"/>
          <w:szCs w:val="21"/>
          <w:u w:val="single" w:color="auto"/>
          <w:color w:val="auto"/>
        </w:rPr>
        <w:t>Section 12.8</w:t>
      </w:r>
      <w:r>
        <w:rPr>
          <w:rFonts w:ascii="Arial" w:cs="Arial" w:eastAsia="Arial" w:hAnsi="Arial"/>
          <w:sz w:val="21"/>
          <w:szCs w:val="21"/>
          <w:color w:val="auto"/>
        </w:rPr>
        <w:t xml:space="preserve"> shall govern.</w:t>
      </w:r>
    </w:p>
    <w:p>
      <w:pPr>
        <w:spacing w:after="0" w:line="179"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Notwithstanding anything to the contrary set forth herein or in any other written or oral understanding or agreement to which the parties hereto are parties or by which they are bound, the parties acknowledge and agree that (i) any obligations of confidentiality contained herein and therein do not apply and have not applied to the federal tax treatment and federal tax structure of the Loans (the “</w:t>
      </w:r>
      <w:r>
        <w:rPr>
          <w:rFonts w:ascii="Arial" w:cs="Arial" w:eastAsia="Arial" w:hAnsi="Arial"/>
          <w:sz w:val="19"/>
          <w:szCs w:val="19"/>
          <w:u w:val="single" w:color="auto"/>
          <w:color w:val="auto"/>
        </w:rPr>
        <w:t>Tax Structure</w:t>
      </w:r>
      <w:r>
        <w:rPr>
          <w:rFonts w:ascii="Arial" w:cs="Arial" w:eastAsia="Arial" w:hAnsi="Arial"/>
          <w:sz w:val="19"/>
          <w:szCs w:val="19"/>
          <w:color w:val="auto"/>
        </w:rPr>
        <w:t>”) (and any related transactions or arrangements) from the commencement of discussions between the parties, and (ii) each party (and each of its employees, representatives or other agents) may disclose to any and all persons, without limitation of any kind, the Tax Structure and all materials of any kind (including opinions or other tax analyses) that are provided to such party relating to the Tax Structure. The preceding sentence is intended to cause the Tax Structure to be treated as not having been offered under conditions of confidentiality for purposes of Section 1.6011-4(b)(3) (or any successor provision) of the Treasury Regulations promulgated under Section 6011 of the IRC, and shall be construed in a manner consistent with such purpose. Each party hereto acknowledges that it has no proprietary or exclusive rights to the Tax Structure.</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12.9 </w:t>
      </w:r>
      <w:r>
        <w:rPr>
          <w:rFonts w:ascii="Arial" w:cs="Arial" w:eastAsia="Arial" w:hAnsi="Arial"/>
          <w:sz w:val="21"/>
          <w:szCs w:val="21"/>
          <w:u w:val="single" w:color="auto"/>
          <w:color w:val="auto"/>
        </w:rPr>
        <w:t>GOVERNING LAW</w:t>
      </w:r>
      <w:r>
        <w:rPr>
          <w:rFonts w:ascii="Arial" w:cs="Arial" w:eastAsia="Arial" w:hAnsi="Arial"/>
          <w:sz w:val="21"/>
          <w:szCs w:val="21"/>
          <w:color w:val="auto"/>
        </w:rPr>
        <w:t xml:space="preserve">. EXCEPT AS OTHERWISE EXPRESSLY PROVIDED IN ANY OF THE LOAN DOCUMENTS, IN ALL RESPECTS, INCLUDING ALL MATTERS OF CONSTRUCTION, VALIDITY AND PERFORMANCE, THE LOAN DOCUMENTS AND THE OBLIGATIONS SHALL BE GOVERNED BY, AND CONSTRUED AND ENFORCED IN ACCORDANCE WITH, THE INTERNAL LAWS OF THE STATE OF NEW YORK APPLICABLE TO CONTRACTS MADE AND PERFORMED IN THAT STATE AND ANY APPLICABLE LAWS OF THE UNITED STATES. EACH PARTY HERETO HEREBY CONSENTS AND AGREES THAT THE STATE OR FEDERAL COURTS LOCATED IN THE BOROUGH OF MANHATTAN, CITY OF NEW YORK, NEW YORK SHALL HAVE EXCLUSIVE JURISDICTION TO HEAR AND DETERMINE ANY CLAIMS OR DISPUTES BETWEEN THE CREDIT PARTIES, AGENT AND LENDERS PERTAINING TO THIS AGREEMENT OR ANY OF THE OTHER LOAN DOCUMENTS RELATED TO THIS AGREEMENT OR TO ANY MATTER ARISING OUT OF OR RELATING TO THIS AGREEMENT OR ANY OF THE OTHER LOAN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AGENT, LENDERS AND THE CREDIT PARTIES ACKNOWLEDGE THAT ANY APPEALS FROM THOSE COURTS MAY HAVE TO BE HEARD BY A COURT LOCATED OUTSIDE OF NEW YORK COUNTY;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xml:space="preserve"> THAT NOTHING IN THIS</w:t>
      </w:r>
    </w:p>
    <w:p>
      <w:pPr>
        <w:sectPr>
          <w:pgSz w:w="11900" w:h="16838" w:orient="portrait"/>
          <w:cols w:equalWidth="0" w:num="1">
            <w:col w:w="11240"/>
          </w:cols>
          <w:pgMar w:left="320" w:top="1428" w:right="339" w:bottom="1440" w:gutter="0" w:footer="0" w:header="0"/>
        </w:sectPr>
      </w:pPr>
    </w:p>
    <w:bookmarkStart w:id="303" w:name="page304"/>
    <w:bookmarkEnd w:id="303"/>
    <w:p>
      <w:pPr>
        <w:jc w:val="both"/>
        <w:spacing w:after="0" w:line="257" w:lineRule="auto"/>
        <w:rPr>
          <w:sz w:val="20"/>
          <w:szCs w:val="20"/>
          <w:color w:val="auto"/>
        </w:rPr>
      </w:pPr>
      <w:r>
        <w:rPr>
          <w:rFonts w:ascii="Arial" w:cs="Arial" w:eastAsia="Arial" w:hAnsi="Arial"/>
          <w:sz w:val="21"/>
          <w:szCs w:val="21"/>
          <w:color w:val="auto"/>
        </w:rPr>
        <w:t xml:space="preserve">AGREEMENT SHALL BE DEEMED OR OPERATE TO PRECLUDE AGENT FROM BRINGING SUIT OR TAKING OTHER LEGAL ACTION IN ANY OTHER JURISDICTION TO REALIZE ON THE COLLATERAL OR ANY OTHER SECURITY FOR THE OBLIGATIONS, OR TO ENFORCE A JUDGMENT OR OTHER COURT ORDER IN FAVOR OF AGENT. EACH CREDIT PARTY EXPRESSLY SUBMITS AND CONSENTS IN ADVANCE TO SUCH JURISDICTION IN ANY ACTION OR SUIT COMMENCED IN ANY SUCH COURT, AND EACH CREDIT PARTY HEREBY WAIVES ANY OBJECTION THAT SUCH CREDIT PARTY MAY HAVE BASED UPON LACK OF PERSONAL JURISDICTION, IMPROPER VENUE OR </w:t>
      </w:r>
      <w:r>
        <w:rPr>
          <w:rFonts w:ascii="Arial" w:cs="Arial" w:eastAsia="Arial" w:hAnsi="Arial"/>
          <w:sz w:val="21"/>
          <w:szCs w:val="21"/>
          <w:u w:val="single" w:color="auto"/>
          <w:color w:val="auto"/>
        </w:rPr>
        <w:t>FORUM NON CONVENIENS</w:t>
      </w:r>
      <w:r>
        <w:rPr>
          <w:rFonts w:ascii="Arial" w:cs="Arial" w:eastAsia="Arial" w:hAnsi="Arial"/>
          <w:sz w:val="21"/>
          <w:szCs w:val="21"/>
          <w:color w:val="auto"/>
        </w:rPr>
        <w:t xml:space="preserve"> AND HEREBY CONSENTS TO THE GRANTING OF SUCH LEGAL OR EQUITABLE RELIEF AS IS DEEMED APPROPRIATE BY SUCH COURT. EACH PARTY HERETO HEREBY WAIVES PERSONAL SERVICE OF THE SUMMONS, COMPLAINT AND OTHER PROCESS ISSUED IN ANY SUCH ACTION OR SUIT AND AGREES THAT SERVICE OF SUCH SUMMONS, COMPLAINT AND OTHER PROCESS MAY BE MADE BY REGISTERED OR CERTIFIED MAIL ADDRESSED TO SUCH CREDIT PARTY AT THE ADDRESS SET FORTH IN </w:t>
      </w:r>
      <w:r>
        <w:rPr>
          <w:rFonts w:ascii="Arial" w:cs="Arial" w:eastAsia="Arial" w:hAnsi="Arial"/>
          <w:sz w:val="21"/>
          <w:szCs w:val="21"/>
          <w:u w:val="single" w:color="auto"/>
          <w:color w:val="auto"/>
        </w:rPr>
        <w:t>SECTION 12.10</w:t>
      </w:r>
      <w:r>
        <w:rPr>
          <w:rFonts w:ascii="Arial" w:cs="Arial" w:eastAsia="Arial" w:hAnsi="Arial"/>
          <w:sz w:val="21"/>
          <w:szCs w:val="21"/>
          <w:color w:val="auto"/>
        </w:rPr>
        <w:t xml:space="preserve"> AND THAT SERVICE SO MADE SHALL BE DEEMED COMPLETED UPON THE EARLIER OF SUCH CREDIT PARTY’S ACTUAL RECEIPT THEREOF OR FIVE (5) BUSINESS DAYS AFTER DEPOSIT IN THE UNITED STATES MAIL, PROPER POSTAGE PREPAID.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12.10  </w:t>
      </w:r>
      <w:r>
        <w:rPr>
          <w:rFonts w:ascii="Arial" w:cs="Arial" w:eastAsia="Arial" w:hAnsi="Arial"/>
          <w:sz w:val="22"/>
          <w:szCs w:val="22"/>
          <w:u w:val="single" w:color="auto"/>
          <w:color w:val="auto"/>
        </w:rPr>
        <w:t>Notices</w:t>
      </w:r>
      <w:r>
        <w:rPr>
          <w:rFonts w:ascii="Arial" w:cs="Arial" w:eastAsia="Arial" w:hAnsi="Arial"/>
          <w:sz w:val="22"/>
          <w:szCs w:val="22"/>
          <w:color w:val="auto"/>
        </w:rPr>
        <w:t>.</w:t>
      </w:r>
    </w:p>
    <w:p>
      <w:pPr>
        <w:spacing w:after="0" w:line="220" w:lineRule="exact"/>
        <w:rPr>
          <w:sz w:val="20"/>
          <w:szCs w:val="20"/>
          <w:color w:val="auto"/>
        </w:rPr>
      </w:pPr>
    </w:p>
    <w:p>
      <w:pPr>
        <w:jc w:val="both"/>
        <w:ind w:left="340" w:firstLine="1288"/>
        <w:spacing w:after="0" w:line="287" w:lineRule="auto"/>
        <w:tabs>
          <w:tab w:leader="none" w:pos="1957" w:val="left"/>
        </w:tabs>
        <w:numPr>
          <w:ilvl w:val="0"/>
          <w:numId w:val="249"/>
        </w:numPr>
        <w:rPr>
          <w:rFonts w:ascii="Arial" w:cs="Arial" w:eastAsia="Arial" w:hAnsi="Arial"/>
          <w:sz w:val="19"/>
          <w:szCs w:val="19"/>
          <w:color w:val="auto"/>
        </w:rPr>
      </w:pPr>
      <w:r>
        <w:rPr>
          <w:rFonts w:ascii="Arial" w:cs="Arial" w:eastAsia="Arial" w:hAnsi="Arial"/>
          <w:sz w:val="19"/>
          <w:szCs w:val="19"/>
          <w:u w:val="single" w:color="auto"/>
          <w:color w:val="auto"/>
        </w:rPr>
        <w:t>Addresses</w:t>
      </w:r>
      <w:r>
        <w:rPr>
          <w:rFonts w:ascii="Arial" w:cs="Arial" w:eastAsia="Arial" w:hAnsi="Arial"/>
          <w:sz w:val="19"/>
          <w:szCs w:val="19"/>
          <w:color w:val="auto"/>
        </w:rPr>
        <w:t xml:space="preserve">. All notices, demands, requests, directions and other communications required or expressly authorized to be made by this Agreement shall, whether or not specified to be in writing unless otherwise expressly specified to be given by any other means, be given in writing and (i) addressed to (A) the party to be notified and sent to the address or facsimile number indicated in this </w:t>
      </w:r>
      <w:r>
        <w:rPr>
          <w:rFonts w:ascii="Arial" w:cs="Arial" w:eastAsia="Arial" w:hAnsi="Arial"/>
          <w:sz w:val="19"/>
          <w:szCs w:val="19"/>
          <w:u w:val="single" w:color="auto"/>
          <w:color w:val="auto"/>
        </w:rPr>
        <w:t>Section 12.10</w:t>
      </w:r>
      <w:r>
        <w:rPr>
          <w:rFonts w:ascii="Arial" w:cs="Arial" w:eastAsia="Arial" w:hAnsi="Arial"/>
          <w:sz w:val="19"/>
          <w:szCs w:val="19"/>
          <w:color w:val="auto"/>
        </w:rPr>
        <w:t xml:space="preserve"> (or to such other address as may be hereafter notified by the respective parties hereto), or (B) the party to be notified at its address specified on the signature page of this Agreement or any applicable Assignment Agreement, (ii) to the extent given by a Credit Party posted to any E-System set up by or at the direction of Agent in an appropriate location or (iii) addressed to such other address as shall be notified in writing (A) in the case of Borrower Representative, Agent and Swing Line Lender, to the other parties hereto and (B) in the case of all other parties, to Borrower Representative and Agent. Transmission by electronic mail (including E-Fax, even if transmitted to the fax numbers set forth in clause (i) above) shall not be sufficient or effective to transmit any such notice under this clause (a) unless such transmission is an available means to post to any E-System. Notice addresses as of the Amendment No. 3 Effective Date shall be as set forth below:</w:t>
      </w:r>
    </w:p>
    <w:p>
      <w:pPr>
        <w:spacing w:after="0" w:line="158" w:lineRule="exact"/>
        <w:rPr>
          <w:rFonts w:ascii="Arial" w:cs="Arial" w:eastAsia="Arial" w:hAnsi="Arial"/>
          <w:sz w:val="19"/>
          <w:szCs w:val="19"/>
          <w:color w:val="auto"/>
        </w:rPr>
      </w:pPr>
    </w:p>
    <w:p>
      <w:pPr>
        <w:ind w:left="2600" w:hanging="528"/>
        <w:spacing w:after="0"/>
        <w:tabs>
          <w:tab w:leader="none" w:pos="2600" w:val="left"/>
        </w:tabs>
        <w:numPr>
          <w:ilvl w:val="1"/>
          <w:numId w:val="249"/>
        </w:numPr>
        <w:rPr>
          <w:rFonts w:ascii="Arial" w:cs="Arial" w:eastAsia="Arial" w:hAnsi="Arial"/>
          <w:sz w:val="22"/>
          <w:szCs w:val="22"/>
          <w:color w:val="auto"/>
        </w:rPr>
      </w:pPr>
      <w:r>
        <w:rPr>
          <w:rFonts w:ascii="Arial" w:cs="Arial" w:eastAsia="Arial" w:hAnsi="Arial"/>
          <w:sz w:val="22"/>
          <w:szCs w:val="22"/>
          <w:color w:val="auto"/>
        </w:rPr>
        <w:t>If to Agent and MSSF as Co-Collateral Agent, at</w:t>
      </w:r>
    </w:p>
    <w:p>
      <w:pPr>
        <w:spacing w:after="0" w:line="219" w:lineRule="exact"/>
        <w:rPr>
          <w:rFonts w:ascii="Arial" w:cs="Arial" w:eastAsia="Arial" w:hAnsi="Arial"/>
          <w:sz w:val="22"/>
          <w:szCs w:val="22"/>
          <w:color w:val="auto"/>
        </w:rPr>
      </w:pPr>
    </w:p>
    <w:p>
      <w:pPr>
        <w:ind w:left="2600" w:right="5420"/>
        <w:spacing w:after="0" w:line="228" w:lineRule="auto"/>
        <w:rPr>
          <w:rFonts w:ascii="Arial" w:cs="Arial" w:eastAsia="Arial" w:hAnsi="Arial"/>
          <w:sz w:val="22"/>
          <w:szCs w:val="22"/>
          <w:color w:val="auto"/>
        </w:rPr>
      </w:pPr>
      <w:r>
        <w:rPr>
          <w:rFonts w:ascii="Arial" w:cs="Arial" w:eastAsia="Arial" w:hAnsi="Arial"/>
          <w:sz w:val="22"/>
          <w:szCs w:val="22"/>
          <w:color w:val="auto"/>
        </w:rPr>
        <w:t>Morgan Stanley Senior Funding, Inc. 1300 Thames Street, 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 Thames Street Wharf</w:t>
      </w:r>
    </w:p>
    <w:p>
      <w:pPr>
        <w:ind w:left="2600"/>
        <w:spacing w:after="0"/>
        <w:rPr>
          <w:rFonts w:ascii="Arial" w:cs="Arial" w:eastAsia="Arial" w:hAnsi="Arial"/>
          <w:sz w:val="22"/>
          <w:szCs w:val="22"/>
          <w:color w:val="auto"/>
        </w:rPr>
      </w:pPr>
      <w:r>
        <w:rPr>
          <w:rFonts w:ascii="Arial" w:cs="Arial" w:eastAsia="Arial" w:hAnsi="Arial"/>
          <w:sz w:val="22"/>
          <w:szCs w:val="22"/>
          <w:color w:val="auto"/>
        </w:rPr>
        <w:t>Baltimore, Maryland 21231</w:t>
      </w:r>
    </w:p>
    <w:p>
      <w:pPr>
        <w:sectPr>
          <w:pgSz w:w="11900" w:h="16838" w:orient="portrait"/>
          <w:cols w:equalWidth="0" w:num="1">
            <w:col w:w="11240"/>
          </w:cols>
          <w:pgMar w:left="320" w:top="1428" w:right="339" w:bottom="1440" w:gutter="0" w:footer="0" w:header="0"/>
        </w:sectPr>
      </w:pPr>
    </w:p>
    <w:bookmarkStart w:id="304" w:name="page305"/>
    <w:bookmarkEnd w:id="304"/>
    <w:p>
      <w:pPr>
        <w:ind w:left="1480"/>
        <w:spacing w:after="0"/>
        <w:rPr>
          <w:sz w:val="20"/>
          <w:szCs w:val="20"/>
          <w:color w:val="auto"/>
        </w:rPr>
      </w:pPr>
      <w:r>
        <w:rPr>
          <w:rFonts w:ascii="Arial" w:cs="Arial" w:eastAsia="Arial" w:hAnsi="Arial"/>
          <w:sz w:val="22"/>
          <w:szCs w:val="22"/>
          <w:color w:val="auto"/>
        </w:rPr>
        <w:t>Telephone No.: (917) 260-0588</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Email for Borrowers: agency.borrowers@morganstanley.com</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Email for Lenders: msagency@morganstanley.com</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For all E-System postings: borrower.documents@morganstanley.com</w:t>
      </w:r>
    </w:p>
    <w:p>
      <w:pPr>
        <w:spacing w:after="0" w:line="263"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with copies to:</w:t>
      </w:r>
    </w:p>
    <w:p>
      <w:pPr>
        <w:spacing w:after="0" w:line="220"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Davis Polk &amp; Wardwell LLP</w:t>
      </w:r>
    </w:p>
    <w:p>
      <w:pPr>
        <w:spacing w:after="0" w:line="220"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450 Lexington Avenue</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New York, New York 10017</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Attention: Kenneth Steinberg</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Fax No.: (212) 450-5736</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Telephone No.: (212) 450-4566</w:t>
      </w:r>
    </w:p>
    <w:p>
      <w:pPr>
        <w:spacing w:after="0" w:line="229" w:lineRule="exact"/>
        <w:rPr>
          <w:sz w:val="20"/>
          <w:szCs w:val="20"/>
          <w:color w:val="auto"/>
        </w:rPr>
      </w:pPr>
    </w:p>
    <w:p>
      <w:pPr>
        <w:ind w:left="1480" w:hanging="588"/>
        <w:spacing w:after="0"/>
        <w:tabs>
          <w:tab w:leader="none" w:pos="148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If to JPMorgan Chase Bank, N.A., as Co-Collateral Agent, at</w:t>
      </w:r>
    </w:p>
    <w:p>
      <w:pPr>
        <w:spacing w:after="0" w:line="219" w:lineRule="exact"/>
        <w:rPr>
          <w:rFonts w:ascii="Arial" w:cs="Arial" w:eastAsia="Arial" w:hAnsi="Arial"/>
          <w:sz w:val="22"/>
          <w:szCs w:val="22"/>
          <w:color w:val="auto"/>
        </w:rPr>
      </w:pPr>
    </w:p>
    <w:p>
      <w:pPr>
        <w:ind w:left="1480"/>
        <w:spacing w:after="0"/>
        <w:rPr>
          <w:rFonts w:ascii="Arial" w:cs="Arial" w:eastAsia="Arial" w:hAnsi="Arial"/>
          <w:sz w:val="22"/>
          <w:szCs w:val="22"/>
          <w:color w:val="auto"/>
        </w:rPr>
      </w:pPr>
      <w:r>
        <w:rPr>
          <w:rFonts w:ascii="Arial" w:cs="Arial" w:eastAsia="Arial" w:hAnsi="Arial"/>
          <w:sz w:val="22"/>
          <w:szCs w:val="22"/>
          <w:color w:val="auto"/>
        </w:rPr>
        <w:t>JPMorgan Chase Bank, N.A.</w:t>
      </w:r>
    </w:p>
    <w:p>
      <w:pPr>
        <w:spacing w:after="0" w:line="21" w:lineRule="exact"/>
        <w:rPr>
          <w:rFonts w:ascii="Arial" w:cs="Arial" w:eastAsia="Arial" w:hAnsi="Arial"/>
          <w:sz w:val="22"/>
          <w:szCs w:val="22"/>
          <w:color w:val="auto"/>
        </w:rPr>
      </w:pPr>
    </w:p>
    <w:p>
      <w:pPr>
        <w:ind w:left="1480" w:right="4319"/>
        <w:spacing w:after="0" w:line="243" w:lineRule="auto"/>
        <w:rPr>
          <w:rFonts w:ascii="Arial" w:cs="Arial" w:eastAsia="Arial" w:hAnsi="Arial"/>
          <w:sz w:val="22"/>
          <w:szCs w:val="22"/>
          <w:color w:val="auto"/>
        </w:rPr>
      </w:pPr>
      <w:r>
        <w:rPr>
          <w:rFonts w:ascii="Arial" w:cs="Arial" w:eastAsia="Arial" w:hAnsi="Arial"/>
          <w:sz w:val="22"/>
          <w:szCs w:val="22"/>
          <w:color w:val="auto"/>
        </w:rPr>
        <w:t>3424 Peachtree Road NE, Suite 2300 Atlanta, Georgia 30326</w:t>
      </w:r>
    </w:p>
    <w:p>
      <w:pPr>
        <w:ind w:left="1480"/>
        <w:spacing w:after="0"/>
        <w:rPr>
          <w:rFonts w:ascii="Arial" w:cs="Arial" w:eastAsia="Arial" w:hAnsi="Arial"/>
          <w:sz w:val="22"/>
          <w:szCs w:val="22"/>
          <w:color w:val="auto"/>
        </w:rPr>
      </w:pPr>
      <w:r>
        <w:rPr>
          <w:rFonts w:ascii="Arial" w:cs="Arial" w:eastAsia="Arial" w:hAnsi="Arial"/>
          <w:sz w:val="22"/>
          <w:szCs w:val="22"/>
          <w:color w:val="auto"/>
        </w:rPr>
        <w:t>Attention: Credit Risk Manager – XPO Logistics</w:t>
      </w:r>
    </w:p>
    <w:p>
      <w:pPr>
        <w:spacing w:after="0" w:line="3" w:lineRule="exact"/>
        <w:rPr>
          <w:rFonts w:ascii="Arial" w:cs="Arial" w:eastAsia="Arial" w:hAnsi="Arial"/>
          <w:sz w:val="22"/>
          <w:szCs w:val="22"/>
          <w:color w:val="auto"/>
        </w:rPr>
      </w:pPr>
    </w:p>
    <w:p>
      <w:pPr>
        <w:ind w:left="1480"/>
        <w:spacing w:after="0"/>
        <w:rPr>
          <w:rFonts w:ascii="Arial" w:cs="Arial" w:eastAsia="Arial" w:hAnsi="Arial"/>
          <w:sz w:val="22"/>
          <w:szCs w:val="22"/>
          <w:color w:val="auto"/>
        </w:rPr>
      </w:pPr>
      <w:r>
        <w:rPr>
          <w:rFonts w:ascii="Arial" w:cs="Arial" w:eastAsia="Arial" w:hAnsi="Arial"/>
          <w:sz w:val="22"/>
          <w:szCs w:val="22"/>
          <w:color w:val="auto"/>
        </w:rPr>
        <w:t>Telephone No.: 404-926-2784</w:t>
      </w:r>
    </w:p>
    <w:p>
      <w:pPr>
        <w:spacing w:after="0" w:line="3" w:lineRule="exact"/>
        <w:rPr>
          <w:rFonts w:ascii="Arial" w:cs="Arial" w:eastAsia="Arial" w:hAnsi="Arial"/>
          <w:sz w:val="22"/>
          <w:szCs w:val="22"/>
          <w:color w:val="auto"/>
        </w:rPr>
      </w:pPr>
    </w:p>
    <w:p>
      <w:pPr>
        <w:ind w:left="1480" w:right="4539"/>
        <w:spacing w:after="0" w:line="523" w:lineRule="auto"/>
        <w:rPr>
          <w:rFonts w:ascii="Arial" w:cs="Arial" w:eastAsia="Arial" w:hAnsi="Arial"/>
          <w:sz w:val="22"/>
          <w:szCs w:val="22"/>
          <w:color w:val="auto"/>
        </w:rPr>
      </w:pPr>
      <w:r>
        <w:rPr>
          <w:rFonts w:ascii="Arial" w:cs="Arial" w:eastAsia="Arial" w:hAnsi="Arial"/>
          <w:sz w:val="19"/>
          <w:szCs w:val="19"/>
          <w:color w:val="auto"/>
        </w:rPr>
        <w:t>Email: lia.cornejo@jpmorgan.com with copies to:</w:t>
      </w:r>
    </w:p>
    <w:p>
      <w:pPr>
        <w:spacing w:after="0" w:line="1" w:lineRule="exact"/>
        <w:rPr>
          <w:rFonts w:ascii="Arial" w:cs="Arial" w:eastAsia="Arial" w:hAnsi="Arial"/>
          <w:sz w:val="22"/>
          <w:szCs w:val="22"/>
          <w:color w:val="auto"/>
        </w:rPr>
      </w:pPr>
    </w:p>
    <w:p>
      <w:pPr>
        <w:ind w:left="1480"/>
        <w:spacing w:after="0"/>
        <w:rPr>
          <w:rFonts w:ascii="Arial" w:cs="Arial" w:eastAsia="Arial" w:hAnsi="Arial"/>
          <w:sz w:val="22"/>
          <w:szCs w:val="22"/>
          <w:color w:val="auto"/>
        </w:rPr>
      </w:pPr>
      <w:r>
        <w:rPr>
          <w:rFonts w:ascii="Arial" w:cs="Arial" w:eastAsia="Arial" w:hAnsi="Arial"/>
          <w:sz w:val="22"/>
          <w:szCs w:val="22"/>
          <w:color w:val="auto"/>
        </w:rPr>
        <w:t>Davis Polk &amp; Wardwell LLP</w:t>
      </w:r>
    </w:p>
    <w:p>
      <w:pPr>
        <w:spacing w:after="0" w:line="219" w:lineRule="exact"/>
        <w:rPr>
          <w:rFonts w:ascii="Arial" w:cs="Arial" w:eastAsia="Arial" w:hAnsi="Arial"/>
          <w:sz w:val="22"/>
          <w:szCs w:val="22"/>
          <w:color w:val="auto"/>
        </w:rPr>
      </w:pPr>
    </w:p>
    <w:p>
      <w:pPr>
        <w:ind w:left="1480" w:right="4799"/>
        <w:spacing w:after="0" w:line="297" w:lineRule="auto"/>
        <w:rPr>
          <w:rFonts w:ascii="Arial" w:cs="Arial" w:eastAsia="Arial" w:hAnsi="Arial"/>
          <w:sz w:val="22"/>
          <w:szCs w:val="22"/>
          <w:color w:val="auto"/>
        </w:rPr>
      </w:pPr>
      <w:r>
        <w:rPr>
          <w:rFonts w:ascii="Arial" w:cs="Arial" w:eastAsia="Arial" w:hAnsi="Arial"/>
          <w:sz w:val="19"/>
          <w:szCs w:val="19"/>
          <w:color w:val="auto"/>
        </w:rPr>
        <w:t>450 Lexington Avenue New York, New York 10017 Attention: Kenneth Steinberg Fax No.: (212) 450-5736 Telephone No.: (212) 450-4566</w:t>
      </w:r>
    </w:p>
    <w:p>
      <w:pPr>
        <w:spacing w:after="0" w:line="173" w:lineRule="exact"/>
        <w:rPr>
          <w:rFonts w:ascii="Arial" w:cs="Arial" w:eastAsia="Arial" w:hAnsi="Arial"/>
          <w:sz w:val="22"/>
          <w:szCs w:val="22"/>
          <w:color w:val="auto"/>
        </w:rPr>
      </w:pPr>
    </w:p>
    <w:p>
      <w:pPr>
        <w:ind w:left="1480" w:right="3179" w:hanging="648"/>
        <w:spacing w:after="0" w:line="448" w:lineRule="auto"/>
        <w:tabs>
          <w:tab w:leader="none" w:pos="1480" w:val="left"/>
        </w:tabs>
        <w:numPr>
          <w:ilvl w:val="0"/>
          <w:numId w:val="250"/>
        </w:numPr>
        <w:rPr>
          <w:rFonts w:ascii="Arial" w:cs="Arial" w:eastAsia="Arial" w:hAnsi="Arial"/>
          <w:sz w:val="22"/>
          <w:szCs w:val="22"/>
          <w:color w:val="auto"/>
        </w:rPr>
      </w:pPr>
      <w:r>
        <w:rPr>
          <w:rFonts w:ascii="Arial" w:cs="Arial" w:eastAsia="Arial" w:hAnsi="Arial"/>
          <w:sz w:val="22"/>
          <w:szCs w:val="22"/>
          <w:color w:val="auto"/>
        </w:rPr>
        <w:t>If to any Borrower, to Borrower Representative, at XPO Logistics, Inc.</w:t>
      </w:r>
    </w:p>
    <w:p>
      <w:pPr>
        <w:ind w:left="1480" w:right="4839"/>
        <w:spacing w:after="0" w:line="249" w:lineRule="auto"/>
        <w:rPr>
          <w:rFonts w:ascii="Arial" w:cs="Arial" w:eastAsia="Arial" w:hAnsi="Arial"/>
          <w:sz w:val="22"/>
          <w:szCs w:val="22"/>
          <w:color w:val="auto"/>
        </w:rPr>
      </w:pPr>
      <w:r>
        <w:rPr>
          <w:rFonts w:ascii="Arial" w:cs="Arial" w:eastAsia="Arial" w:hAnsi="Arial"/>
          <w:sz w:val="22"/>
          <w:szCs w:val="22"/>
          <w:color w:val="auto"/>
        </w:rPr>
        <w:t>Five American Lane Greenwich, Connecticut 06831 Attn: Karlis P. Kirsis</w:t>
      </w:r>
    </w:p>
    <w:p>
      <w:pPr>
        <w:ind w:left="1480"/>
        <w:spacing w:after="0"/>
        <w:rPr>
          <w:rFonts w:ascii="Arial" w:cs="Arial" w:eastAsia="Arial" w:hAnsi="Arial"/>
          <w:sz w:val="22"/>
          <w:szCs w:val="22"/>
          <w:color w:val="auto"/>
        </w:rPr>
      </w:pPr>
      <w:r>
        <w:rPr>
          <w:rFonts w:ascii="Arial" w:cs="Arial" w:eastAsia="Arial" w:hAnsi="Arial"/>
          <w:sz w:val="22"/>
          <w:szCs w:val="22"/>
          <w:color w:val="auto"/>
        </w:rPr>
        <w:t>Fax: (203) 629-7073</w:t>
      </w:r>
    </w:p>
    <w:p>
      <w:pPr>
        <w:spacing w:after="0" w:line="3" w:lineRule="exact"/>
        <w:rPr>
          <w:rFonts w:ascii="Arial" w:cs="Arial" w:eastAsia="Arial" w:hAnsi="Arial"/>
          <w:sz w:val="22"/>
          <w:szCs w:val="22"/>
          <w:color w:val="auto"/>
        </w:rPr>
      </w:pPr>
    </w:p>
    <w:p>
      <w:pPr>
        <w:ind w:left="1480"/>
        <w:spacing w:after="0"/>
        <w:rPr>
          <w:rFonts w:ascii="Arial" w:cs="Arial" w:eastAsia="Arial" w:hAnsi="Arial"/>
          <w:sz w:val="22"/>
          <w:szCs w:val="22"/>
          <w:color w:val="auto"/>
        </w:rPr>
      </w:pPr>
      <w:r>
        <w:rPr>
          <w:rFonts w:ascii="Arial" w:cs="Arial" w:eastAsia="Arial" w:hAnsi="Arial"/>
          <w:sz w:val="22"/>
          <w:szCs w:val="22"/>
          <w:color w:val="auto"/>
        </w:rPr>
        <w:t>Telephone No.: (203) 489-1598</w:t>
      </w:r>
    </w:p>
    <w:p>
      <w:pPr>
        <w:spacing w:after="0" w:line="3" w:lineRule="exact"/>
        <w:rPr>
          <w:rFonts w:ascii="Arial" w:cs="Arial" w:eastAsia="Arial" w:hAnsi="Arial"/>
          <w:sz w:val="22"/>
          <w:szCs w:val="22"/>
          <w:color w:val="auto"/>
        </w:rPr>
      </w:pPr>
    </w:p>
    <w:p>
      <w:pPr>
        <w:ind w:left="1480"/>
        <w:spacing w:after="0"/>
        <w:rPr>
          <w:rFonts w:ascii="Arial" w:cs="Arial" w:eastAsia="Arial" w:hAnsi="Arial"/>
          <w:sz w:val="22"/>
          <w:szCs w:val="22"/>
          <w:color w:val="auto"/>
        </w:rPr>
      </w:pPr>
      <w:r>
        <w:rPr>
          <w:rFonts w:ascii="Arial" w:cs="Arial" w:eastAsia="Arial" w:hAnsi="Arial"/>
          <w:sz w:val="22"/>
          <w:szCs w:val="22"/>
          <w:color w:val="auto"/>
        </w:rPr>
        <w:t>Email: Karlis.Kirsis@xpo.com</w:t>
      </w:r>
    </w:p>
    <w:p>
      <w:pPr>
        <w:sectPr>
          <w:pgSz w:w="11900" w:h="16838" w:orient="portrait"/>
          <w:cols w:equalWidth="0" w:num="1">
            <w:col w:w="9019"/>
          </w:cols>
          <w:pgMar w:left="1440" w:top="1428" w:right="1440" w:bottom="1440" w:gutter="0" w:footer="0" w:header="0"/>
        </w:sectPr>
      </w:pPr>
    </w:p>
    <w:bookmarkStart w:id="305" w:name="page306"/>
    <w:bookmarkEnd w:id="305"/>
    <w:p>
      <w:pPr>
        <w:ind w:left="148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Wachtell, Lipton, Rosen &amp; Katz</w:t>
      </w:r>
    </w:p>
    <w:p>
      <w:pPr>
        <w:spacing w:after="0" w:line="172"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51 West 52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Street</w:t>
      </w:r>
    </w:p>
    <w:p>
      <w:pPr>
        <w:ind w:left="1480"/>
        <w:spacing w:after="0"/>
        <w:rPr>
          <w:sz w:val="20"/>
          <w:szCs w:val="20"/>
          <w:color w:val="auto"/>
        </w:rPr>
      </w:pPr>
      <w:r>
        <w:rPr>
          <w:rFonts w:ascii="Arial" w:cs="Arial" w:eastAsia="Arial" w:hAnsi="Arial"/>
          <w:sz w:val="22"/>
          <w:szCs w:val="22"/>
          <w:color w:val="auto"/>
        </w:rPr>
        <w:t>New York, New York 10019</w:t>
      </w:r>
    </w:p>
    <w:p>
      <w:pPr>
        <w:spacing w:after="0" w:line="229"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Attention: Gregory E. Pessin</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Fax: (212) 403-2359</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Telephone No: (212) 403-1359</w:t>
      </w:r>
    </w:p>
    <w:p>
      <w:pPr>
        <w:spacing w:after="0" w:line="200" w:lineRule="exact"/>
        <w:rPr>
          <w:sz w:val="20"/>
          <w:szCs w:val="20"/>
          <w:color w:val="auto"/>
        </w:rPr>
      </w:pPr>
    </w:p>
    <w:p>
      <w:pPr>
        <w:spacing w:after="0" w:line="245"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Attention: John R. Sobolewski</w:t>
      </w:r>
    </w:p>
    <w:p>
      <w:pPr>
        <w:spacing w:after="0" w:line="21"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Fax: (212) 403-2340</w:t>
      </w:r>
    </w:p>
    <w:p>
      <w:pPr>
        <w:spacing w:after="0" w:line="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Telephone No: (212) 403-1340</w:t>
      </w:r>
    </w:p>
    <w:p>
      <w:pPr>
        <w:spacing w:after="0" w:line="229" w:lineRule="exact"/>
        <w:rPr>
          <w:sz w:val="20"/>
          <w:szCs w:val="20"/>
          <w:color w:val="auto"/>
        </w:rPr>
      </w:pPr>
    </w:p>
    <w:p>
      <w:pPr>
        <w:ind w:left="1480" w:hanging="636"/>
        <w:spacing w:after="0"/>
        <w:tabs>
          <w:tab w:leader="none" w:pos="1480" w:val="left"/>
        </w:tabs>
        <w:numPr>
          <w:ilvl w:val="1"/>
          <w:numId w:val="251"/>
        </w:numPr>
        <w:rPr>
          <w:rFonts w:ascii="Arial" w:cs="Arial" w:eastAsia="Arial" w:hAnsi="Arial"/>
          <w:sz w:val="22"/>
          <w:szCs w:val="22"/>
          <w:color w:val="auto"/>
        </w:rPr>
      </w:pPr>
      <w:r>
        <w:rPr>
          <w:rFonts w:ascii="Arial" w:cs="Arial" w:eastAsia="Arial" w:hAnsi="Arial"/>
          <w:sz w:val="22"/>
          <w:szCs w:val="22"/>
          <w:color w:val="auto"/>
        </w:rPr>
        <w:t>If to any L/C Issuer: See Annex D</w:t>
      </w:r>
    </w:p>
    <w:p>
      <w:pPr>
        <w:spacing w:after="0" w:line="219" w:lineRule="exact"/>
        <w:rPr>
          <w:rFonts w:ascii="Arial" w:cs="Arial" w:eastAsia="Arial" w:hAnsi="Arial"/>
          <w:sz w:val="22"/>
          <w:szCs w:val="22"/>
          <w:color w:val="auto"/>
        </w:rPr>
      </w:pPr>
    </w:p>
    <w:p>
      <w:pPr>
        <w:ind w:left="820" w:hanging="312"/>
        <w:spacing w:after="0"/>
        <w:tabs>
          <w:tab w:leader="none" w:pos="820" w:val="left"/>
        </w:tabs>
        <w:numPr>
          <w:ilvl w:val="0"/>
          <w:numId w:val="252"/>
        </w:numPr>
        <w:rPr>
          <w:rFonts w:ascii="Arial" w:cs="Arial" w:eastAsia="Arial" w:hAnsi="Arial"/>
          <w:sz w:val="22"/>
          <w:szCs w:val="22"/>
          <w:color w:val="auto"/>
        </w:rPr>
      </w:pPr>
      <w:r>
        <w:rPr>
          <w:rFonts w:ascii="Arial" w:cs="Arial" w:eastAsia="Arial" w:hAnsi="Arial"/>
          <w:sz w:val="22"/>
          <w:szCs w:val="22"/>
          <w:u w:val="single" w:color="auto"/>
          <w:color w:val="auto"/>
        </w:rPr>
        <w:t>Effectiveness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780" w:firstLine="1732"/>
        <w:spacing w:after="0" w:line="257" w:lineRule="auto"/>
        <w:tabs>
          <w:tab w:leader="none" w:pos="1488" w:val="left"/>
        </w:tabs>
        <w:numPr>
          <w:ilvl w:val="1"/>
          <w:numId w:val="252"/>
        </w:numPr>
        <w:rPr>
          <w:rFonts w:ascii="Arial" w:cs="Arial" w:eastAsia="Arial" w:hAnsi="Arial"/>
          <w:sz w:val="21"/>
          <w:szCs w:val="21"/>
          <w:color w:val="auto"/>
        </w:rPr>
      </w:pPr>
      <w:r>
        <w:rPr>
          <w:rFonts w:ascii="Arial" w:cs="Arial" w:eastAsia="Arial" w:hAnsi="Arial"/>
          <w:sz w:val="21"/>
          <w:szCs w:val="21"/>
          <w:color w:val="auto"/>
        </w:rPr>
        <w:t xml:space="preserve">All communications described in clause (a) above and all other notices, demands, requests and other communications made in connection with this Agreement shall be effective and be deemed to have been received (i) if delivered by hand, upon personal delivery, (ii) if delivered by overnight courier service, one Business Day after delivery to such courier service, (iii) if delivered by mail, five (5) Business Days after deposit in the mail, (iv) if delivered by facsimile or electronic mail (other than to post to an E-System pursuant to clause (a) above) upon sender’s receipt of confirmation of proper transmission, and (v) if delivered by posting to any E-System, on the later of the date of such posting in an appropriate location and the date access to such posting is given to the recipient thereof in accordance with the standard procedures applicable to such E-System. Failure or delay in delivering copies of any notice, demand, request, consent, approval, declaration or other communication to any Person (other than Borrower Representative or Agent) designated in </w:t>
      </w:r>
      <w:r>
        <w:rPr>
          <w:rFonts w:ascii="Arial" w:cs="Arial" w:eastAsia="Arial" w:hAnsi="Arial"/>
          <w:sz w:val="21"/>
          <w:szCs w:val="21"/>
          <w:u w:val="single" w:color="auto"/>
          <w:color w:val="auto"/>
        </w:rPr>
        <w:t>Section 12.10</w:t>
      </w:r>
      <w:r>
        <w:rPr>
          <w:rFonts w:ascii="Arial" w:cs="Arial" w:eastAsia="Arial" w:hAnsi="Arial"/>
          <w:sz w:val="21"/>
          <w:szCs w:val="21"/>
          <w:color w:val="auto"/>
        </w:rPr>
        <w:t xml:space="preserve"> to receive copies shall in no way adversely affect the effectiveness of such notice, demand, request, consent, approval, declaration or other communication. The giving of any notice required hereunder may be waived in writing by the party entitled to receive such notice.</w:t>
      </w:r>
    </w:p>
    <w:p>
      <w:pPr>
        <w:spacing w:after="0" w:line="190" w:lineRule="exact"/>
        <w:rPr>
          <w:rFonts w:ascii="Arial" w:cs="Arial" w:eastAsia="Arial" w:hAnsi="Arial"/>
          <w:sz w:val="21"/>
          <w:szCs w:val="21"/>
          <w:color w:val="auto"/>
        </w:rPr>
      </w:pPr>
    </w:p>
    <w:p>
      <w:pPr>
        <w:jc w:val="both"/>
        <w:ind w:left="-780" w:firstLine="1672"/>
        <w:spacing w:after="0" w:line="263" w:lineRule="auto"/>
        <w:tabs>
          <w:tab w:leader="none" w:pos="1488" w:val="left"/>
        </w:tabs>
        <w:numPr>
          <w:ilvl w:val="1"/>
          <w:numId w:val="252"/>
        </w:numPr>
        <w:rPr>
          <w:rFonts w:ascii="Arial" w:cs="Arial" w:eastAsia="Arial" w:hAnsi="Arial"/>
          <w:sz w:val="21"/>
          <w:szCs w:val="21"/>
          <w:color w:val="auto"/>
        </w:rPr>
      </w:pPr>
      <w:r>
        <w:rPr>
          <w:rFonts w:ascii="Arial" w:cs="Arial" w:eastAsia="Arial" w:hAnsi="Arial"/>
          <w:sz w:val="21"/>
          <w:szCs w:val="21"/>
          <w:color w:val="auto"/>
        </w:rPr>
        <w:t>The posting, completion and/or submission by any Credit Party of any communication pursuant to an E-System shall constitute a representation and warranty by the Credit Parties that any representation, warranty, certification or other similar statement required by the Loan Documents to be provided, given or made by a Credit Party in connection with any such communication is true, correct and complete in all material respects (to the extent required under the Loan Documents) except as expressly noted in such communication or E-System.</w:t>
      </w:r>
    </w:p>
    <w:p>
      <w:pPr>
        <w:sectPr>
          <w:pgSz w:w="11900" w:h="16838" w:orient="portrait"/>
          <w:cols w:equalWidth="0" w:num="1">
            <w:col w:w="10120"/>
          </w:cols>
          <w:pgMar w:left="1440" w:top="1428" w:right="339" w:bottom="1440" w:gutter="0" w:footer="0" w:header="0"/>
        </w:sectPr>
      </w:pPr>
    </w:p>
    <w:bookmarkStart w:id="306" w:name="page307"/>
    <w:bookmarkEnd w:id="306"/>
    <w:p>
      <w:pPr>
        <w:jc w:val="both"/>
        <w:ind w:left="340" w:firstLine="1288"/>
        <w:spacing w:after="0" w:line="271" w:lineRule="auto"/>
        <w:tabs>
          <w:tab w:leader="none" w:pos="1957" w:val="left"/>
        </w:tabs>
        <w:numPr>
          <w:ilvl w:val="0"/>
          <w:numId w:val="253"/>
        </w:numPr>
        <w:rPr>
          <w:rFonts w:ascii="Arial" w:cs="Arial" w:eastAsia="Arial" w:hAnsi="Arial"/>
          <w:sz w:val="21"/>
          <w:szCs w:val="21"/>
          <w:color w:val="auto"/>
        </w:rPr>
      </w:pPr>
      <w:r>
        <w:rPr>
          <w:rFonts w:ascii="Arial" w:cs="Arial" w:eastAsia="Arial" w:hAnsi="Arial"/>
          <w:sz w:val="21"/>
          <w:szCs w:val="21"/>
          <w:color w:val="auto"/>
        </w:rPr>
        <w:t>Each Lender shall notify Agent in writing of any changes in the address to which notices to such Lender should be directed, of addresses of its lending office, of payment instructions in respect of all payments to be made to it hereunder and of such other administrative information as Agent shall reasonably request.</w:t>
      </w:r>
    </w:p>
    <w:p>
      <w:pPr>
        <w:spacing w:after="0" w:line="167"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 xml:space="preserve">12.11 </w:t>
      </w:r>
      <w:r>
        <w:rPr>
          <w:rFonts w:ascii="Arial" w:cs="Arial" w:eastAsia="Arial" w:hAnsi="Arial"/>
          <w:sz w:val="19"/>
          <w:szCs w:val="19"/>
          <w:u w:val="single" w:color="auto"/>
          <w:color w:val="auto"/>
        </w:rPr>
        <w:t>Section Titles</w:t>
      </w:r>
      <w:r>
        <w:rPr>
          <w:rFonts w:ascii="Arial" w:cs="Arial" w:eastAsia="Arial" w:hAnsi="Arial"/>
          <w:sz w:val="19"/>
          <w:szCs w:val="19"/>
          <w:color w:val="auto"/>
        </w:rPr>
        <w:t>. The Section titles and Table of Contents contained in this Agreement are and shall be without substantive meaning or content of any kind whatsoever and are not a part of the agreement between the parties hereto.</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 xml:space="preserve">12.12 </w:t>
      </w: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any number of separate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Electronic Transmission shall be as effective as delivery of a manually executed counterpart hereof.</w:t>
      </w:r>
    </w:p>
    <w:p>
      <w:pPr>
        <w:spacing w:after="0" w:line="16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 xml:space="preserve">12.13 </w:t>
      </w:r>
      <w:r>
        <w:rPr>
          <w:rFonts w:ascii="Arial" w:cs="Arial" w:eastAsia="Arial" w:hAnsi="Arial"/>
          <w:sz w:val="22"/>
          <w:szCs w:val="22"/>
          <w:b w:val="1"/>
          <w:bCs w:val="1"/>
          <w:u w:val="single" w:color="auto"/>
          <w:color w:val="auto"/>
        </w:rPr>
        <w:t>WAIVER OF JURY TRIAL</w:t>
      </w:r>
      <w:r>
        <w:rPr>
          <w:rFonts w:ascii="Arial" w:cs="Arial" w:eastAsia="Arial" w:hAnsi="Arial"/>
          <w:sz w:val="22"/>
          <w:szCs w:val="22"/>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THEREFORE, TO ACHIEVE THE BEST COMBINATION OF THE BENEFITS OF THE JUDICIAL SYSTEM AND OF ARBITRATION, THE PARTIES HERETO KNOWINGLY WAIVE ALL RIGHT TO TRIAL BY JURY IN ANY ACTION, SUIT, OR PROCEEDING BROUGHT TO RESOLVE ANY DISPUTE, WHETHER SOUNDING IN CONTRACT, TORT OR OTHERWISE, AMONG AGENT, LENDERS, L/C ISSUERS AND ANY CREDIT PARTY ARISING OUT OF, CONNECTED WITH, RELATED TO, OR INCIDENTAL TO THE RELATIONSHIP ESTABLISHED AMONG THEM IN CONNECTION WITH, THIS AGREEMENT OR ANY OF THE OTHER LOAN DOCUMENTS OR THE TRANSACTIONS RELATED THERETO.</w:t>
      </w:r>
    </w:p>
    <w:p>
      <w:pPr>
        <w:spacing w:after="0" w:line="20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12.14 </w:t>
      </w:r>
      <w:r>
        <w:rPr>
          <w:rFonts w:ascii="Arial" w:cs="Arial" w:eastAsia="Arial" w:hAnsi="Arial"/>
          <w:sz w:val="22"/>
          <w:szCs w:val="22"/>
          <w:u w:val="single" w:color="auto"/>
          <w:color w:val="auto"/>
        </w:rPr>
        <w:t>Press Releases and Related Matters</w:t>
      </w:r>
      <w:r>
        <w:rPr>
          <w:rFonts w:ascii="Arial" w:cs="Arial" w:eastAsia="Arial" w:hAnsi="Arial"/>
          <w:sz w:val="22"/>
          <w:szCs w:val="22"/>
          <w:color w:val="auto"/>
        </w:rPr>
        <w:t>. Each Credit Party consents to the publication by Agent or any Lender of customary advertising material relating to the financing transactions contemplated by this Agreement using Borrower’s name, product photographs, logo or trademark. Agent reserves the right to provide to industry trade organizations information necessary and customary for inclusion in league table measurements.</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12.15 </w:t>
      </w:r>
      <w:r>
        <w:rPr>
          <w:rFonts w:ascii="Arial" w:cs="Arial" w:eastAsia="Arial" w:hAnsi="Arial"/>
          <w:sz w:val="22"/>
          <w:szCs w:val="22"/>
          <w:u w:val="single" w:color="auto"/>
          <w:color w:val="auto"/>
        </w:rPr>
        <w:t>Reinstatement</w:t>
      </w:r>
      <w:r>
        <w:rPr>
          <w:rFonts w:ascii="Arial" w:cs="Arial" w:eastAsia="Arial" w:hAnsi="Arial"/>
          <w:sz w:val="22"/>
          <w:szCs w:val="22"/>
          <w:color w:val="auto"/>
        </w:rPr>
        <w:t>. This Agreement shall remain in full force and effect should any petition be filed by or against Borrowers for liquidation or reorganization, should Borrowers become insolvent or make an assignment for the benefit of any creditor or creditors or should a receiver, interim receiver, receiver and manager or trustee be appointed for all or any significant part of Borrowers’ assets, and shall continue to be effective or to be reinstated, as the case may be, if at any time payment and performance of the Obligations, or any part thereof, is, pursuant to applicable law, rescinded or reduced in amount, or must otherwise be restored or returned by any</w:t>
      </w:r>
    </w:p>
    <w:p>
      <w:pPr>
        <w:sectPr>
          <w:pgSz w:w="11900" w:h="16838" w:orient="portrait"/>
          <w:cols w:equalWidth="0" w:num="1">
            <w:col w:w="11240"/>
          </w:cols>
          <w:pgMar w:left="320" w:top="1428" w:right="339" w:bottom="1440" w:gutter="0" w:footer="0" w:header="0"/>
        </w:sectPr>
      </w:pPr>
    </w:p>
    <w:bookmarkStart w:id="307" w:name="page308"/>
    <w:bookmarkEnd w:id="307"/>
    <w:p>
      <w:pPr>
        <w:jc w:val="both"/>
        <w:spacing w:after="0" w:line="250" w:lineRule="auto"/>
        <w:rPr>
          <w:sz w:val="20"/>
          <w:szCs w:val="20"/>
          <w:color w:val="auto"/>
        </w:rPr>
      </w:pPr>
      <w:r>
        <w:rPr>
          <w:rFonts w:ascii="Arial" w:cs="Arial" w:eastAsia="Arial" w:hAnsi="Arial"/>
          <w:sz w:val="22"/>
          <w:szCs w:val="22"/>
          <w:color w:val="auto"/>
        </w:rPr>
        <w:t>obligee of the Obligations, whether as a “voidable preference,” “fraudulent conveyance,” or otherwise, all as though such payment or performance had not been made. In the event that any payment, or any part thereof, is rescinded, reduced, restored or returned, the Obligations shall be reinstated and deemed reduced only by such amount paid and not so rescinded, reduced, restored or returned.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 xml:space="preserve">12.16 </w:t>
      </w:r>
      <w:r>
        <w:rPr>
          <w:rFonts w:ascii="Arial" w:cs="Arial" w:eastAsia="Arial" w:hAnsi="Arial"/>
          <w:sz w:val="22"/>
          <w:szCs w:val="22"/>
          <w:u w:val="single" w:color="auto"/>
          <w:color w:val="auto"/>
        </w:rPr>
        <w:t>Advice of Counsel</w:t>
      </w:r>
      <w:r>
        <w:rPr>
          <w:rFonts w:ascii="Arial" w:cs="Arial" w:eastAsia="Arial" w:hAnsi="Arial"/>
          <w:sz w:val="22"/>
          <w:szCs w:val="22"/>
          <w:color w:val="auto"/>
        </w:rPr>
        <w:t xml:space="preserve">. Each of the parties represents to each other party hereto that it has discussed this Agreement and, specifically, the provisions of </w:t>
      </w:r>
      <w:r>
        <w:rPr>
          <w:rFonts w:ascii="Arial" w:cs="Arial" w:eastAsia="Arial" w:hAnsi="Arial"/>
          <w:sz w:val="22"/>
          <w:szCs w:val="22"/>
          <w:u w:val="single" w:color="auto"/>
          <w:color w:val="auto"/>
        </w:rPr>
        <w:t>Sections 12.9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12.13</w:t>
      </w:r>
      <w:r>
        <w:rPr>
          <w:rFonts w:ascii="Arial" w:cs="Arial" w:eastAsia="Arial" w:hAnsi="Arial"/>
          <w:sz w:val="22"/>
          <w:szCs w:val="22"/>
          <w:color w:val="auto"/>
        </w:rPr>
        <w:t>, with its counsel.</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12.17 </w:t>
      </w:r>
      <w:r>
        <w:rPr>
          <w:rFonts w:ascii="Arial" w:cs="Arial" w:eastAsia="Arial" w:hAnsi="Arial"/>
          <w:sz w:val="22"/>
          <w:szCs w:val="22"/>
          <w:u w:val="single" w:color="auto"/>
          <w:color w:val="auto"/>
        </w:rPr>
        <w:t>No Strict Construction</w:t>
      </w:r>
      <w:r>
        <w:rPr>
          <w:rFonts w:ascii="Arial" w:cs="Arial" w:eastAsia="Arial" w:hAnsi="Arial"/>
          <w:sz w:val="22"/>
          <w:szCs w:val="22"/>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12.18 </w:t>
      </w:r>
      <w:r>
        <w:rPr>
          <w:rFonts w:ascii="Arial" w:cs="Arial" w:eastAsia="Arial" w:hAnsi="Arial"/>
          <w:sz w:val="22"/>
          <w:szCs w:val="22"/>
          <w:u w:val="single" w:color="auto"/>
          <w:color w:val="auto"/>
        </w:rPr>
        <w:t>Patriot Act Notice</w:t>
      </w:r>
      <w:r>
        <w:rPr>
          <w:rFonts w:ascii="Arial" w:cs="Arial" w:eastAsia="Arial" w:hAnsi="Arial"/>
          <w:sz w:val="22"/>
          <w:szCs w:val="22"/>
          <w:color w:val="auto"/>
        </w:rPr>
        <w:t>. Each Lender and Agent (for itself and not on behalf of any Lender) hereby notifies the Credit Parties that pursuant to the requirements of the Patriot Act, such Lender and Agent may be required to obtain, verify and record information that identifies the Credit Parties, which information includes the name and address of the Credit Parties and other information that will allow such Lender and Agent, as the case may be, to identify the Credit Parties in accordance with the Patriot Act.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12.19  </w:t>
      </w:r>
      <w:r>
        <w:rPr>
          <w:rFonts w:ascii="Arial" w:cs="Arial" w:eastAsia="Arial" w:hAnsi="Arial"/>
          <w:sz w:val="22"/>
          <w:szCs w:val="22"/>
          <w:u w:val="single" w:color="auto"/>
          <w:color w:val="auto"/>
        </w:rPr>
        <w:t>Currency Equivalency Generally; Change of Currency</w:t>
      </w:r>
      <w:r>
        <w:rPr>
          <w:rFonts w:ascii="Arial" w:cs="Arial" w:eastAsia="Arial" w:hAnsi="Arial"/>
          <w:sz w:val="22"/>
          <w:szCs w:val="22"/>
          <w:color w:val="auto"/>
        </w:rPr>
        <w:t>.</w:t>
      </w:r>
    </w:p>
    <w:p>
      <w:pPr>
        <w:spacing w:after="0" w:line="220" w:lineRule="exact"/>
        <w:rPr>
          <w:sz w:val="20"/>
          <w:szCs w:val="20"/>
          <w:color w:val="auto"/>
        </w:rPr>
      </w:pPr>
    </w:p>
    <w:p>
      <w:pPr>
        <w:jc w:val="both"/>
        <w:ind w:left="340" w:firstLine="1288"/>
        <w:spacing w:after="0" w:line="248" w:lineRule="auto"/>
        <w:tabs>
          <w:tab w:leader="none" w:pos="1957" w:val="left"/>
        </w:tabs>
        <w:numPr>
          <w:ilvl w:val="1"/>
          <w:numId w:val="254"/>
        </w:numPr>
        <w:rPr>
          <w:rFonts w:ascii="Arial" w:cs="Arial" w:eastAsia="Arial" w:hAnsi="Arial"/>
          <w:sz w:val="22"/>
          <w:szCs w:val="22"/>
          <w:color w:val="auto"/>
        </w:rPr>
      </w:pPr>
      <w:r>
        <w:rPr>
          <w:rFonts w:ascii="Arial" w:cs="Arial" w:eastAsia="Arial" w:hAnsi="Arial"/>
          <w:sz w:val="22"/>
          <w:szCs w:val="22"/>
          <w:color w:val="auto"/>
        </w:rPr>
        <w:t xml:space="preserve">For the purposes of making valuations or computations under this Agreement (but not for purposes of the preparation of any financial statements delivered pursuant hereto), and in particular, without limitation, for purposes of valuations or computations under </w:t>
      </w:r>
      <w:r>
        <w:rPr>
          <w:rFonts w:ascii="Arial" w:cs="Arial" w:eastAsia="Arial" w:hAnsi="Arial"/>
          <w:sz w:val="22"/>
          <w:szCs w:val="22"/>
          <w:u w:val="single" w:color="auto"/>
          <w:color w:val="auto"/>
        </w:rPr>
        <w:t>Sections 2.1</w:t>
      </w:r>
      <w:r>
        <w:rPr>
          <w:rFonts w:ascii="Arial" w:cs="Arial" w:eastAsia="Arial" w:hAnsi="Arial"/>
          <w:sz w:val="22"/>
          <w:szCs w:val="22"/>
          <w:color w:val="auto"/>
        </w:rPr>
        <w:t xml:space="preserve">, </w:t>
      </w:r>
      <w:r>
        <w:rPr>
          <w:rFonts w:ascii="Arial" w:cs="Arial" w:eastAsia="Arial" w:hAnsi="Arial"/>
          <w:sz w:val="22"/>
          <w:szCs w:val="22"/>
          <w:u w:val="single" w:color="auto"/>
          <w:color w:val="auto"/>
        </w:rPr>
        <w:t>2.2</w:t>
      </w:r>
      <w:r>
        <w:rPr>
          <w:rFonts w:ascii="Arial" w:cs="Arial" w:eastAsia="Arial" w:hAnsi="Arial"/>
          <w:sz w:val="22"/>
          <w:szCs w:val="22"/>
          <w:color w:val="auto"/>
        </w:rPr>
        <w:t xml:space="preserve">, </w:t>
      </w:r>
      <w:r>
        <w:rPr>
          <w:rFonts w:ascii="Arial" w:cs="Arial" w:eastAsia="Arial" w:hAnsi="Arial"/>
          <w:sz w:val="22"/>
          <w:szCs w:val="22"/>
          <w:u w:val="single" w:color="auto"/>
          <w:color w:val="auto"/>
        </w:rPr>
        <w:t>2.3</w:t>
      </w:r>
      <w:r>
        <w:rPr>
          <w:rFonts w:ascii="Arial" w:cs="Arial" w:eastAsia="Arial" w:hAnsi="Arial"/>
          <w:sz w:val="22"/>
          <w:szCs w:val="22"/>
          <w:color w:val="auto"/>
        </w:rPr>
        <w:t xml:space="preserve">, </w:t>
      </w:r>
      <w:r>
        <w:rPr>
          <w:rFonts w:ascii="Arial" w:cs="Arial" w:eastAsia="Arial" w:hAnsi="Arial"/>
          <w:sz w:val="22"/>
          <w:szCs w:val="22"/>
          <w:u w:val="single" w:color="auto"/>
          <w:color w:val="auto"/>
        </w:rPr>
        <w:t>4</w:t>
      </w:r>
      <w:r>
        <w:rPr>
          <w:rFonts w:ascii="Arial" w:cs="Arial" w:eastAsia="Arial" w:hAnsi="Arial"/>
          <w:sz w:val="22"/>
          <w:szCs w:val="22"/>
          <w:color w:val="auto"/>
        </w:rPr>
        <w:t xml:space="preserve">, </w:t>
      </w:r>
      <w:r>
        <w:rPr>
          <w:rFonts w:ascii="Arial" w:cs="Arial" w:eastAsia="Arial" w:hAnsi="Arial"/>
          <w:sz w:val="22"/>
          <w:szCs w:val="22"/>
          <w:u w:val="single" w:color="auto"/>
          <w:color w:val="auto"/>
        </w:rPr>
        <w:t>6</w:t>
      </w:r>
      <w:r>
        <w:rPr>
          <w:rFonts w:ascii="Arial" w:cs="Arial" w:eastAsia="Arial" w:hAnsi="Arial"/>
          <w:sz w:val="22"/>
          <w:szCs w:val="22"/>
          <w:color w:val="auto"/>
        </w:rPr>
        <w:t xml:space="preserve">, </w:t>
      </w:r>
      <w:r>
        <w:rPr>
          <w:rFonts w:ascii="Arial" w:cs="Arial" w:eastAsia="Arial" w:hAnsi="Arial"/>
          <w:sz w:val="22"/>
          <w:szCs w:val="22"/>
          <w:u w:val="single" w:color="auto"/>
          <w:color w:val="auto"/>
        </w:rPr>
        <w:t>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w:t>
      </w:r>
      <w:r>
        <w:rPr>
          <w:rFonts w:ascii="Arial" w:cs="Arial" w:eastAsia="Arial" w:hAnsi="Arial"/>
          <w:sz w:val="22"/>
          <w:szCs w:val="22"/>
          <w:color w:val="auto"/>
        </w:rPr>
        <w:t>, unless expressly provided otherwise, where a reference is made to a dollar amount the amount is to be considered as the amount in Dollars and, therefore, each other currency shall be converted into the Dollar Equivalent thereof.</w:t>
      </w:r>
    </w:p>
    <w:p>
      <w:pPr>
        <w:spacing w:after="0" w:line="191" w:lineRule="exact"/>
        <w:rPr>
          <w:rFonts w:ascii="Arial" w:cs="Arial" w:eastAsia="Arial" w:hAnsi="Arial"/>
          <w:sz w:val="22"/>
          <w:szCs w:val="22"/>
          <w:color w:val="auto"/>
        </w:rPr>
      </w:pPr>
    </w:p>
    <w:p>
      <w:pPr>
        <w:jc w:val="both"/>
        <w:ind w:left="180" w:firstLine="1286"/>
        <w:spacing w:after="0" w:line="253" w:lineRule="auto"/>
        <w:tabs>
          <w:tab w:leader="none" w:pos="1950" w:val="left"/>
        </w:tabs>
        <w:numPr>
          <w:ilvl w:val="0"/>
          <w:numId w:val="255"/>
        </w:numPr>
        <w:rPr>
          <w:rFonts w:ascii="Arial" w:cs="Arial" w:eastAsia="Arial" w:hAnsi="Arial"/>
          <w:sz w:val="20"/>
          <w:szCs w:val="20"/>
          <w:color w:val="auto"/>
        </w:rPr>
      </w:pPr>
      <w:r>
        <w:rPr>
          <w:rFonts w:ascii="Arial" w:cs="Arial" w:eastAsia="Arial" w:hAnsi="Arial"/>
          <w:sz w:val="22"/>
          <w:szCs w:val="22"/>
          <w:color w:val="auto"/>
        </w:rPr>
        <w:t>Each provision of this Agreement shall be subject to such reasonable changes of construction as Agent may from time to time specify with Parent Borrower’s consent to appropriately reflect a change in currency of any country and any relevant market conventions or practices relating to such change in currency.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12.20  </w:t>
      </w:r>
      <w:r>
        <w:rPr>
          <w:rFonts w:ascii="Arial" w:cs="Arial" w:eastAsia="Arial" w:hAnsi="Arial"/>
          <w:sz w:val="22"/>
          <w:szCs w:val="22"/>
          <w:u w:val="single" w:color="auto"/>
          <w:color w:val="auto"/>
        </w:rPr>
        <w:t>Judgment Currency</w:t>
      </w:r>
      <w:r>
        <w:rPr>
          <w:rFonts w:ascii="Arial" w:cs="Arial" w:eastAsia="Arial" w:hAnsi="Arial"/>
          <w:sz w:val="22"/>
          <w:szCs w:val="22"/>
          <w:color w:val="auto"/>
        </w:rPr>
        <w:t>.</w:t>
      </w:r>
    </w:p>
    <w:p>
      <w:pPr>
        <w:spacing w:after="0" w:line="220" w:lineRule="exact"/>
        <w:rPr>
          <w:sz w:val="20"/>
          <w:szCs w:val="20"/>
          <w:color w:val="auto"/>
        </w:rPr>
      </w:pPr>
    </w:p>
    <w:p>
      <w:pPr>
        <w:jc w:val="both"/>
        <w:ind w:left="340" w:firstLine="1288"/>
        <w:spacing w:after="0" w:line="248" w:lineRule="auto"/>
        <w:tabs>
          <w:tab w:leader="none" w:pos="1957" w:val="left"/>
        </w:tabs>
        <w:numPr>
          <w:ilvl w:val="0"/>
          <w:numId w:val="256"/>
        </w:numPr>
        <w:rPr>
          <w:rFonts w:ascii="Arial" w:cs="Arial" w:eastAsia="Arial" w:hAnsi="Arial"/>
          <w:sz w:val="22"/>
          <w:szCs w:val="22"/>
          <w:color w:val="auto"/>
        </w:rPr>
      </w:pPr>
      <w:r>
        <w:rPr>
          <w:rFonts w:ascii="Arial" w:cs="Arial" w:eastAsia="Arial" w:hAnsi="Arial"/>
          <w:sz w:val="22"/>
          <w:szCs w:val="22"/>
          <w:color w:val="auto"/>
        </w:rPr>
        <w:t xml:space="preserve">If, for the purpose of obtaining or enforcing judgment against any Credit Party in any court in any jurisdiction, it becomes necessary to convert into any other currency (such other currency being hereinafter in this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12.20</w:t>
      </w:r>
      <w:r>
        <w:rPr>
          <w:rFonts w:ascii="Arial" w:cs="Arial" w:eastAsia="Arial" w:hAnsi="Arial"/>
          <w:sz w:val="22"/>
          <w:szCs w:val="22"/>
          <w:color w:val="auto"/>
        </w:rPr>
        <w:t xml:space="preserve"> referred to as the “</w:t>
      </w:r>
      <w:r>
        <w:rPr>
          <w:rFonts w:ascii="Arial" w:cs="Arial" w:eastAsia="Arial" w:hAnsi="Arial"/>
          <w:sz w:val="22"/>
          <w:szCs w:val="22"/>
          <w:u w:val="single" w:color="auto"/>
          <w:color w:val="auto"/>
        </w:rPr>
        <w:t>Judgment Currency</w:t>
      </w:r>
      <w:r>
        <w:rPr>
          <w:rFonts w:ascii="Arial" w:cs="Arial" w:eastAsia="Arial" w:hAnsi="Arial"/>
          <w:sz w:val="22"/>
          <w:szCs w:val="22"/>
          <w:color w:val="auto"/>
        </w:rPr>
        <w:t>”) an amount due under any Loan Document in Dollars (the “</w:t>
      </w:r>
      <w:r>
        <w:rPr>
          <w:rFonts w:ascii="Arial" w:cs="Arial" w:eastAsia="Arial" w:hAnsi="Arial"/>
          <w:sz w:val="22"/>
          <w:szCs w:val="22"/>
          <w:u w:val="single" w:color="auto"/>
          <w:color w:val="auto"/>
        </w:rPr>
        <w:t>Obligation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Currency</w:t>
      </w:r>
      <w:r>
        <w:rPr>
          <w:rFonts w:ascii="Arial" w:cs="Arial" w:eastAsia="Arial" w:hAnsi="Arial"/>
          <w:sz w:val="22"/>
          <w:szCs w:val="22"/>
          <w:color w:val="auto"/>
        </w:rPr>
        <w:t>”), the conversion shall be made at the rate of exchange prevailing on the Business Day immediately preceding (i) the date of actual payment of the amount due, in the case of</w:t>
      </w:r>
    </w:p>
    <w:p>
      <w:pPr>
        <w:sectPr>
          <w:pgSz w:w="11900" w:h="16838" w:orient="portrait"/>
          <w:cols w:equalWidth="0" w:num="1">
            <w:col w:w="11240"/>
          </w:cols>
          <w:pgMar w:left="320" w:top="1428" w:right="339" w:bottom="1440" w:gutter="0" w:footer="0" w:header="0"/>
        </w:sectPr>
      </w:pPr>
    </w:p>
    <w:bookmarkStart w:id="308" w:name="page309"/>
    <w:bookmarkEnd w:id="308"/>
    <w:p>
      <w:pPr>
        <w:jc w:val="both"/>
        <w:spacing w:after="0" w:line="250" w:lineRule="auto"/>
        <w:rPr>
          <w:sz w:val="20"/>
          <w:szCs w:val="20"/>
          <w:color w:val="auto"/>
        </w:rPr>
      </w:pPr>
      <w:r>
        <w:rPr>
          <w:rFonts w:ascii="Arial" w:cs="Arial" w:eastAsia="Arial" w:hAnsi="Arial"/>
          <w:sz w:val="22"/>
          <w:szCs w:val="22"/>
          <w:color w:val="auto"/>
        </w:rPr>
        <w:t xml:space="preserve">any proceeding in the courts of any jurisdiction that will give effect to such conversion being made on such earlier date, or (ii) the date on which the judgment is given, in the case of any proceeding in the courts of any other jurisdiction (the applicable date as of which such conversion is made pursuant to this </w:t>
      </w:r>
      <w:r>
        <w:rPr>
          <w:rFonts w:ascii="Arial" w:cs="Arial" w:eastAsia="Arial" w:hAnsi="Arial"/>
          <w:sz w:val="22"/>
          <w:szCs w:val="22"/>
          <w:u w:val="single" w:color="auto"/>
          <w:color w:val="auto"/>
        </w:rPr>
        <w:t>Section 12.20</w:t>
      </w:r>
      <w:r>
        <w:rPr>
          <w:rFonts w:ascii="Arial" w:cs="Arial" w:eastAsia="Arial" w:hAnsi="Arial"/>
          <w:sz w:val="22"/>
          <w:szCs w:val="22"/>
          <w:color w:val="auto"/>
        </w:rPr>
        <w:t xml:space="preserve"> being hereinafter in this </w:t>
      </w:r>
      <w:r>
        <w:rPr>
          <w:rFonts w:ascii="Arial" w:cs="Arial" w:eastAsia="Arial" w:hAnsi="Arial"/>
          <w:sz w:val="22"/>
          <w:szCs w:val="22"/>
          <w:u w:val="single" w:color="auto"/>
          <w:color w:val="auto"/>
        </w:rPr>
        <w:t>Section 12.20</w:t>
      </w:r>
      <w:r>
        <w:rPr>
          <w:rFonts w:ascii="Arial" w:cs="Arial" w:eastAsia="Arial" w:hAnsi="Arial"/>
          <w:sz w:val="22"/>
          <w:szCs w:val="22"/>
          <w:color w:val="auto"/>
        </w:rPr>
        <w:t xml:space="preserve"> referred to as the “</w:t>
      </w:r>
      <w:r>
        <w:rPr>
          <w:rFonts w:ascii="Arial" w:cs="Arial" w:eastAsia="Arial" w:hAnsi="Arial"/>
          <w:sz w:val="22"/>
          <w:szCs w:val="22"/>
          <w:u w:val="single" w:color="auto"/>
          <w:color w:val="auto"/>
        </w:rPr>
        <w:t>Judgment Conversion Date</w:t>
      </w:r>
      <w:r>
        <w:rPr>
          <w:rFonts w:ascii="Arial" w:cs="Arial" w:eastAsia="Arial" w:hAnsi="Arial"/>
          <w:sz w:val="22"/>
          <w:szCs w:val="22"/>
          <w:color w:val="auto"/>
        </w:rPr>
        <w:t>”).</w:t>
      </w:r>
    </w:p>
    <w:p>
      <w:pPr>
        <w:spacing w:after="0" w:line="188" w:lineRule="exact"/>
        <w:rPr>
          <w:sz w:val="20"/>
          <w:szCs w:val="20"/>
          <w:color w:val="auto"/>
        </w:rPr>
      </w:pPr>
    </w:p>
    <w:p>
      <w:pPr>
        <w:jc w:val="both"/>
        <w:ind w:firstLine="1288"/>
        <w:spacing w:after="0" w:line="259" w:lineRule="auto"/>
        <w:tabs>
          <w:tab w:leader="none" w:pos="1615" w:val="left"/>
        </w:tabs>
        <w:numPr>
          <w:ilvl w:val="0"/>
          <w:numId w:val="257"/>
        </w:numPr>
        <w:rPr>
          <w:rFonts w:ascii="Arial" w:cs="Arial" w:eastAsia="Arial" w:hAnsi="Arial"/>
          <w:sz w:val="21"/>
          <w:szCs w:val="21"/>
          <w:color w:val="auto"/>
        </w:rPr>
      </w:pPr>
      <w:r>
        <w:rPr>
          <w:rFonts w:ascii="Arial" w:cs="Arial" w:eastAsia="Arial" w:hAnsi="Arial"/>
          <w:sz w:val="21"/>
          <w:szCs w:val="21"/>
          <w:color w:val="auto"/>
        </w:rPr>
        <w:t xml:space="preserve">If, in the case of any proceeding in the court of any jurisdiction referred to in </w:t>
      </w:r>
      <w:r>
        <w:rPr>
          <w:rFonts w:ascii="Arial" w:cs="Arial" w:eastAsia="Arial" w:hAnsi="Arial"/>
          <w:sz w:val="21"/>
          <w:szCs w:val="21"/>
          <w:u w:val="single" w:color="auto"/>
          <w:color w:val="auto"/>
        </w:rPr>
        <w:t>Section 12.20(a)</w:t>
      </w:r>
      <w:r>
        <w:rPr>
          <w:rFonts w:ascii="Arial" w:cs="Arial" w:eastAsia="Arial" w:hAnsi="Arial"/>
          <w:sz w:val="21"/>
          <w:szCs w:val="21"/>
          <w:color w:val="auto"/>
        </w:rPr>
        <w:t xml:space="preserve">, there is a change in the rate of exchange prevailing between the Judgment Conversion Date and the date of actual receipt for value of the amount due, the applicable Credit Party shall pay such additional amount (if any, but in any event not a lesser amount) as may be necessary to ensure that the amount actually received in the Judgment Currency, when converted at the rate of exchange prevailing on the date of payment, will produce the amount of the Obligation Currency which could have been purchased with the amount of the Judgment Currency stipulated in the judgment or judicial order at the rate of exchange prevailing on the Judgment Conversion Date. Any amount due from a Credit Party under this </w:t>
      </w:r>
      <w:r>
        <w:rPr>
          <w:rFonts w:ascii="Arial" w:cs="Arial" w:eastAsia="Arial" w:hAnsi="Arial"/>
          <w:sz w:val="21"/>
          <w:szCs w:val="21"/>
          <w:u w:val="single" w:color="auto"/>
          <w:color w:val="auto"/>
        </w:rPr>
        <w:t>Section 12.20(b)</w:t>
      </w:r>
      <w:r>
        <w:rPr>
          <w:rFonts w:ascii="Arial" w:cs="Arial" w:eastAsia="Arial" w:hAnsi="Arial"/>
          <w:sz w:val="21"/>
          <w:szCs w:val="21"/>
          <w:color w:val="auto"/>
        </w:rPr>
        <w:t xml:space="preserve"> shall be due as a separate debt and shall not be affected by judgment being obtained for any other amounts due under or in respect of any of the Loan Documents.</w:t>
      </w:r>
    </w:p>
    <w:p>
      <w:pPr>
        <w:spacing w:after="0" w:line="179" w:lineRule="exact"/>
        <w:rPr>
          <w:rFonts w:ascii="Arial" w:cs="Arial" w:eastAsia="Arial" w:hAnsi="Arial"/>
          <w:sz w:val="21"/>
          <w:szCs w:val="21"/>
          <w:color w:val="auto"/>
        </w:rPr>
      </w:pPr>
    </w:p>
    <w:p>
      <w:pPr>
        <w:jc w:val="both"/>
        <w:ind w:firstLine="1288"/>
        <w:spacing w:after="0" w:line="253" w:lineRule="auto"/>
        <w:tabs>
          <w:tab w:leader="none" w:pos="1617" w:val="left"/>
        </w:tabs>
        <w:numPr>
          <w:ilvl w:val="0"/>
          <w:numId w:val="257"/>
        </w:numPr>
        <w:rPr>
          <w:rFonts w:ascii="Arial" w:cs="Arial" w:eastAsia="Arial" w:hAnsi="Arial"/>
          <w:sz w:val="22"/>
          <w:szCs w:val="22"/>
          <w:color w:val="auto"/>
        </w:rPr>
      </w:pPr>
      <w:r>
        <w:rPr>
          <w:rFonts w:ascii="Arial" w:cs="Arial" w:eastAsia="Arial" w:hAnsi="Arial"/>
          <w:sz w:val="22"/>
          <w:szCs w:val="22"/>
          <w:color w:val="auto"/>
        </w:rPr>
        <w:t xml:space="preserve">The term “rate of exchange” in this </w:t>
      </w:r>
      <w:r>
        <w:rPr>
          <w:rFonts w:ascii="Arial" w:cs="Arial" w:eastAsia="Arial" w:hAnsi="Arial"/>
          <w:sz w:val="22"/>
          <w:szCs w:val="22"/>
          <w:u w:val="single" w:color="auto"/>
          <w:color w:val="auto"/>
        </w:rPr>
        <w:t>Section 12.20</w:t>
      </w:r>
      <w:r>
        <w:rPr>
          <w:rFonts w:ascii="Arial" w:cs="Arial" w:eastAsia="Arial" w:hAnsi="Arial"/>
          <w:sz w:val="22"/>
          <w:szCs w:val="22"/>
          <w:color w:val="auto"/>
        </w:rPr>
        <w:t xml:space="preserve"> means the rate of exchange at which Agent would, on the relevant date at or about 1:00 p.m. (New York time), be prepared to sell the Obligation Currency against the Judgment Currency.</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 xml:space="preserve">12.21  </w:t>
      </w:r>
      <w:r>
        <w:rPr>
          <w:rFonts w:ascii="Arial" w:cs="Arial" w:eastAsia="Arial" w:hAnsi="Arial"/>
          <w:sz w:val="22"/>
          <w:szCs w:val="22"/>
          <w:u w:val="single" w:color="auto"/>
          <w:color w:val="auto"/>
        </w:rPr>
        <w:t>Electronic Transmissions</w:t>
      </w:r>
      <w:r>
        <w:rPr>
          <w:rFonts w:ascii="Arial" w:cs="Arial" w:eastAsia="Arial" w:hAnsi="Arial"/>
          <w:sz w:val="22"/>
          <w:szCs w:val="22"/>
          <w:color w:val="auto"/>
        </w:rPr>
        <w:t>.</w:t>
      </w:r>
    </w:p>
    <w:p>
      <w:pPr>
        <w:spacing w:after="0" w:line="220" w:lineRule="exact"/>
        <w:rPr>
          <w:sz w:val="20"/>
          <w:szCs w:val="20"/>
          <w:color w:val="auto"/>
        </w:rPr>
      </w:pPr>
    </w:p>
    <w:p>
      <w:pPr>
        <w:jc w:val="both"/>
        <w:ind w:firstLine="1288"/>
        <w:spacing w:after="0" w:line="294" w:lineRule="auto"/>
        <w:tabs>
          <w:tab w:leader="none" w:pos="1617" w:val="left"/>
        </w:tabs>
        <w:numPr>
          <w:ilvl w:val="0"/>
          <w:numId w:val="258"/>
        </w:numPr>
        <w:rPr>
          <w:rFonts w:ascii="Arial" w:cs="Arial" w:eastAsia="Arial" w:hAnsi="Arial"/>
          <w:sz w:val="19"/>
          <w:szCs w:val="19"/>
          <w:color w:val="auto"/>
        </w:rPr>
      </w:pPr>
      <w:r>
        <w:rPr>
          <w:rFonts w:ascii="Arial" w:cs="Arial" w:eastAsia="Arial" w:hAnsi="Arial"/>
          <w:sz w:val="19"/>
          <w:szCs w:val="19"/>
          <w:u w:val="single" w:color="auto"/>
          <w:color w:val="auto"/>
        </w:rPr>
        <w:t>Authorization</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 12.10(a)</w:t>
      </w:r>
      <w:r>
        <w:rPr>
          <w:rFonts w:ascii="Arial" w:cs="Arial" w:eastAsia="Arial" w:hAnsi="Arial"/>
          <w:sz w:val="19"/>
          <w:szCs w:val="19"/>
          <w:color w:val="auto"/>
        </w:rPr>
        <w:t>, each of Agent, Lenders, each Credit Party and each of their Related Persons, is authorized (but not required) to transmit, post or otherwise make or communicate, in its sole discretion, Electronic Transmissions in connection with any Loan Document and the transactions contemplated therein. Each Borrower and each Lender party hereto acknowledges and agrees that the use of Electronic Transmissions is not necessarily secure and that there are risks associated with such use, including risks of interception, disclosure and abuse and each indicates it assumes and accepts such risks by hereby authorizing the use of Electronic Transmissions.</w:t>
      </w:r>
    </w:p>
    <w:p>
      <w:pPr>
        <w:spacing w:after="0" w:line="149" w:lineRule="exact"/>
        <w:rPr>
          <w:rFonts w:ascii="Arial" w:cs="Arial" w:eastAsia="Arial" w:hAnsi="Arial"/>
          <w:sz w:val="19"/>
          <w:szCs w:val="19"/>
          <w:color w:val="auto"/>
        </w:rPr>
      </w:pPr>
    </w:p>
    <w:p>
      <w:pPr>
        <w:jc w:val="both"/>
        <w:ind w:firstLine="1288"/>
        <w:spacing w:after="0" w:line="290" w:lineRule="auto"/>
        <w:tabs>
          <w:tab w:leader="none" w:pos="1615" w:val="left"/>
        </w:tabs>
        <w:numPr>
          <w:ilvl w:val="0"/>
          <w:numId w:val="258"/>
        </w:numPr>
        <w:rPr>
          <w:rFonts w:ascii="Arial" w:cs="Arial" w:eastAsia="Arial" w:hAnsi="Arial"/>
          <w:sz w:val="19"/>
          <w:szCs w:val="19"/>
          <w:color w:val="auto"/>
        </w:rPr>
      </w:pPr>
      <w:r>
        <w:rPr>
          <w:rFonts w:ascii="Arial" w:cs="Arial" w:eastAsia="Arial" w:hAnsi="Arial"/>
          <w:sz w:val="19"/>
          <w:szCs w:val="19"/>
          <w:u w:val="single" w:color="auto"/>
          <w:color w:val="auto"/>
        </w:rPr>
        <w:t>Signatures</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Section 12.10(a)</w:t>
      </w:r>
      <w:r>
        <w:rPr>
          <w:rFonts w:ascii="Arial" w:cs="Arial" w:eastAsia="Arial" w:hAnsi="Arial"/>
          <w:sz w:val="19"/>
          <w:szCs w:val="19"/>
          <w:color w:val="auto"/>
        </w:rPr>
        <w:t>, (i)(A) no posting to any E-System shall be denied legal effect merely because it is made electronically, (B) each E-Signature on any such posting shall be deemed sufficient to satisfy any requirement for a “signature” and (C)(i) each such posting shall be deemed sufficient to satisfy any requirement for a “writing”, in each case including pursuant to any Loan Document, any applicable provision of any Code, the federal Uniform Electronic Transactions Act, the Electronic Signatures in Global and National Commerce Act and any substantive or procedural applicable law governing such subject matter, (ii) each such posting that is not readily capable of bearing either a signature or a reproduction of a signature may be signed, and shall be deemed signed, by attaching to, or logically associating with such posting, an E-Signature, upon which Agent, each Co-Collateral Agent, each Lender and each</w:t>
      </w:r>
    </w:p>
    <w:p>
      <w:pPr>
        <w:sectPr>
          <w:pgSz w:w="11900" w:h="16838" w:orient="portrait"/>
          <w:cols w:equalWidth="0" w:num="1">
            <w:col w:w="10900"/>
          </w:cols>
          <w:pgMar w:left="660" w:top="1428" w:right="339" w:bottom="1440" w:gutter="0" w:footer="0" w:header="0"/>
        </w:sectPr>
      </w:pPr>
    </w:p>
    <w:bookmarkStart w:id="309" w:name="page310"/>
    <w:bookmarkEnd w:id="309"/>
    <w:p>
      <w:pPr>
        <w:ind w:left="340"/>
        <w:spacing w:after="0" w:line="291" w:lineRule="auto"/>
        <w:rPr>
          <w:sz w:val="20"/>
          <w:szCs w:val="20"/>
          <w:color w:val="auto"/>
        </w:rPr>
      </w:pPr>
      <w:r>
        <w:rPr>
          <w:rFonts w:ascii="Arial" w:cs="Arial" w:eastAsia="Arial" w:hAnsi="Arial"/>
          <w:sz w:val="19"/>
          <w:szCs w:val="19"/>
          <w:color w:val="auto"/>
        </w:rPr>
        <w:t>Credit Party may rely and assume the authenticity thereof, (iii) each such posting containing a signature, a reproduction of a signature or an E-Signature shall, for all intents and purposes, have the same effect and weight as a signed paper original and</w:t>
      </w:r>
    </w:p>
    <w:p>
      <w:pPr>
        <w:spacing w:after="0" w:line="1" w:lineRule="exact"/>
        <w:rPr>
          <w:sz w:val="20"/>
          <w:szCs w:val="20"/>
          <w:color w:val="auto"/>
        </w:rPr>
      </w:pPr>
    </w:p>
    <w:p>
      <w:pPr>
        <w:jc w:val="both"/>
        <w:ind w:left="340" w:hanging="8"/>
        <w:spacing w:after="0" w:line="259" w:lineRule="auto"/>
        <w:tabs>
          <w:tab w:leader="none" w:pos="707" w:val="left"/>
        </w:tabs>
        <w:numPr>
          <w:ilvl w:val="0"/>
          <w:numId w:val="259"/>
        </w:numPr>
        <w:rPr>
          <w:rFonts w:ascii="Arial" w:cs="Arial" w:eastAsia="Arial" w:hAnsi="Arial"/>
          <w:sz w:val="21"/>
          <w:szCs w:val="21"/>
          <w:color w:val="auto"/>
        </w:rPr>
      </w:pPr>
      <w:r>
        <w:rPr>
          <w:rFonts w:ascii="Arial" w:cs="Arial" w:eastAsia="Arial" w:hAnsi="Arial"/>
          <w:sz w:val="21"/>
          <w:szCs w:val="21"/>
          <w:color w:val="auto"/>
        </w:rPr>
        <w:t xml:space="preserve">each party hereto or beneficiary hereto agrees not to contest the validity or enforceability of any posting on any E-System or E-Signature on any such posting under the provisions of any applicable law requiring certain documents to be in writing or signed;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nothing herein shall limit such party’s or beneficiary’s right to contest whether any posting to any E-System or E-Signature has been altered after transmission.</w:t>
      </w:r>
    </w:p>
    <w:p>
      <w:pPr>
        <w:spacing w:after="0" w:line="181" w:lineRule="exact"/>
        <w:rPr>
          <w:rFonts w:ascii="Arial" w:cs="Arial" w:eastAsia="Arial" w:hAnsi="Arial"/>
          <w:sz w:val="21"/>
          <w:szCs w:val="21"/>
          <w:color w:val="auto"/>
        </w:rPr>
      </w:pPr>
    </w:p>
    <w:p>
      <w:pPr>
        <w:jc w:val="both"/>
        <w:ind w:left="340" w:firstLine="1288"/>
        <w:spacing w:after="0" w:line="302" w:lineRule="auto"/>
        <w:tabs>
          <w:tab w:leader="none" w:pos="1957" w:val="left"/>
        </w:tabs>
        <w:numPr>
          <w:ilvl w:val="1"/>
          <w:numId w:val="259"/>
        </w:numPr>
        <w:rPr>
          <w:rFonts w:ascii="Arial" w:cs="Arial" w:eastAsia="Arial" w:hAnsi="Arial"/>
          <w:sz w:val="19"/>
          <w:szCs w:val="19"/>
          <w:color w:val="auto"/>
        </w:rPr>
      </w:pPr>
      <w:r>
        <w:rPr>
          <w:rFonts w:ascii="Arial" w:cs="Arial" w:eastAsia="Arial" w:hAnsi="Arial"/>
          <w:sz w:val="19"/>
          <w:szCs w:val="19"/>
          <w:u w:val="single" w:color="auto"/>
          <w:color w:val="auto"/>
        </w:rPr>
        <w:t>Separate Agreements</w:t>
      </w:r>
      <w:r>
        <w:rPr>
          <w:rFonts w:ascii="Arial" w:cs="Arial" w:eastAsia="Arial" w:hAnsi="Arial"/>
          <w:sz w:val="19"/>
          <w:szCs w:val="19"/>
          <w:color w:val="auto"/>
        </w:rPr>
        <w:t xml:space="preserve">. All uses of an E-System shall be governed by and subject to, in addition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12.10</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12.21</w:t>
      </w:r>
      <w:r>
        <w:rPr>
          <w:rFonts w:ascii="Arial" w:cs="Arial" w:eastAsia="Arial" w:hAnsi="Arial"/>
          <w:sz w:val="19"/>
          <w:szCs w:val="19"/>
          <w:color w:val="auto"/>
        </w:rPr>
        <w:t>, the separate terms, conditions and privacy policy posted or referenced in such E-System (or such terms, conditions and privacy policy as may be updated from time to time, including on such E-System) and related Contractual Obligations executed by Agent and Credit Parties in connection with the use of such E-System.</w:t>
      </w:r>
    </w:p>
    <w:p>
      <w:pPr>
        <w:spacing w:after="0" w:line="142" w:lineRule="exact"/>
        <w:rPr>
          <w:rFonts w:ascii="Arial" w:cs="Arial" w:eastAsia="Arial" w:hAnsi="Arial"/>
          <w:sz w:val="19"/>
          <w:szCs w:val="19"/>
          <w:color w:val="auto"/>
        </w:rPr>
      </w:pPr>
    </w:p>
    <w:p>
      <w:pPr>
        <w:jc w:val="both"/>
        <w:ind w:left="340" w:firstLine="1288"/>
        <w:spacing w:after="0" w:line="245" w:lineRule="auto"/>
        <w:tabs>
          <w:tab w:leader="none" w:pos="1955" w:val="left"/>
        </w:tabs>
        <w:numPr>
          <w:ilvl w:val="1"/>
          <w:numId w:val="259"/>
        </w:numPr>
        <w:rPr>
          <w:rFonts w:ascii="Arial" w:cs="Arial" w:eastAsia="Arial" w:hAnsi="Arial"/>
          <w:sz w:val="22"/>
          <w:szCs w:val="22"/>
          <w:color w:val="auto"/>
        </w:rPr>
      </w:pPr>
      <w:r>
        <w:rPr>
          <w:rFonts w:ascii="Arial" w:cs="Arial" w:eastAsia="Arial" w:hAnsi="Arial"/>
          <w:sz w:val="22"/>
          <w:szCs w:val="22"/>
          <w:u w:val="single" w:color="auto"/>
          <w:color w:val="auto"/>
        </w:rPr>
        <w:t>LIMITATION OF LIABILITY</w:t>
      </w:r>
      <w:r>
        <w:rPr>
          <w:rFonts w:ascii="Arial" w:cs="Arial" w:eastAsia="Arial" w:hAnsi="Arial"/>
          <w:sz w:val="22"/>
          <w:szCs w:val="22"/>
          <w:color w:val="auto"/>
        </w:rPr>
        <w:t>. ALL E-SYSTEMS AND ELECTRONIC TRANSMISSIONS SHALL BE PROVIDED “AS IS” AND “AS AVAILABLE”. NONE OF AGENT, ANY LENDER OR ANY OF THEIR RELATED PERSONS WARRANTS THE ACCURACY, ADEQUACY OR COMPLETENESS OF ANY E-SYSTEMS OR ELECTRONIC TRANSMISSION AND DISCLAIMS ALL LIABILITY FOR ERRORS OR OMISSIONS THEREIN. NO WARRANTY OF ANY KIND IS MADE BY AGENT, ANY LENDER OR ANY OF THEIR RELATED PERSONS IN CONNECTION WITH ANY E-SYSTEMS OR ELECTRONIC COMMUNICATION, INCLUDING ANY WARRANTY OF MERCHANTABILITY, FITNESS FOR A PARTICULAR PURPOSE, NON-INFRINGEMENT OF THIRD-PARTY RIGHTS OR FREEDOM FROM VIRUSES OR OTHER CODE DEFECTS. Each Borrower, each other Credit Party executing this Agreement and each Lender agrees that Agent has no responsibility for maintaining or providing any equipment, software, services or any testing required in connection with any Electronic Transmission or otherwise required for any E-System.</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 xml:space="preserve">12.22 </w:t>
      </w:r>
      <w:r>
        <w:rPr>
          <w:rFonts w:ascii="Arial" w:cs="Arial" w:eastAsia="Arial" w:hAnsi="Arial"/>
          <w:sz w:val="19"/>
          <w:szCs w:val="19"/>
          <w:u w:val="single" w:color="auto"/>
          <w:color w:val="auto"/>
        </w:rPr>
        <w:t>Independence of Provisions</w:t>
      </w:r>
      <w:r>
        <w:rPr>
          <w:rFonts w:ascii="Arial" w:cs="Arial" w:eastAsia="Arial" w:hAnsi="Arial"/>
          <w:sz w:val="19"/>
          <w:szCs w:val="19"/>
          <w:color w:val="auto"/>
        </w:rPr>
        <w:t>. The parties hereto acknowledge that this Agreement and the other Loan Documents may use several different limitations, tests or measurements to regulate the same or similar matters, and that such limitations, tests and measurements are cumulative and must each be performed, except as expressly stated to the contrary in this Agreement.</w:t>
      </w:r>
    </w:p>
    <w:p>
      <w:pPr>
        <w:spacing w:after="0" w:line="13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12.23 </w:t>
      </w:r>
      <w:r>
        <w:rPr>
          <w:rFonts w:ascii="Arial" w:cs="Arial" w:eastAsia="Arial" w:hAnsi="Arial"/>
          <w:sz w:val="19"/>
          <w:szCs w:val="19"/>
          <w:u w:val="single" w:color="auto"/>
          <w:color w:val="auto"/>
        </w:rPr>
        <w:t>No Third Parties Benefited</w:t>
      </w:r>
      <w:r>
        <w:rPr>
          <w:rFonts w:ascii="Arial" w:cs="Arial" w:eastAsia="Arial" w:hAnsi="Arial"/>
          <w:sz w:val="19"/>
          <w:szCs w:val="19"/>
          <w:color w:val="auto"/>
        </w:rPr>
        <w:t xml:space="preserve">. This Agreement is made and entered into for the sole protection and legal benefit of the Credit Parties, the Lenders, the L/C Issuers, Agent, Co-Collateral Agents, Lead Arrangers, for the purposes of </w:t>
      </w:r>
      <w:r>
        <w:rPr>
          <w:rFonts w:ascii="Arial" w:cs="Arial" w:eastAsia="Arial" w:hAnsi="Arial"/>
          <w:sz w:val="19"/>
          <w:szCs w:val="19"/>
          <w:u w:val="single" w:color="auto"/>
          <w:color w:val="auto"/>
        </w:rPr>
        <w:t>Section 2.11</w:t>
      </w:r>
      <w:r>
        <w:rPr>
          <w:rFonts w:ascii="Arial" w:cs="Arial" w:eastAsia="Arial" w:hAnsi="Arial"/>
          <w:sz w:val="19"/>
          <w:szCs w:val="19"/>
          <w:color w:val="auto"/>
        </w:rPr>
        <w:t>, the Indemnified Persons and their permitted successors and assigns, and no other Person shall be a direct or indirect legal beneficiary of, or have any direct or indirect cause of action or claim in connection with, this Agreement or any of the other Loan Documents. Neither Agent nor any Lender nor any Credit Party (except as otherwise specifically provided under the Loan Documents) shall have any obligation to any Person not a party to this Agreement or the other Loan Documents.</w:t>
      </w:r>
    </w:p>
    <w:p>
      <w:pPr>
        <w:sectPr>
          <w:pgSz w:w="11900" w:h="16838" w:orient="portrait"/>
          <w:cols w:equalWidth="0" w:num="1">
            <w:col w:w="11240"/>
          </w:cols>
          <w:pgMar w:left="320" w:top="1428" w:right="339" w:bottom="1440" w:gutter="0" w:footer="0" w:header="0"/>
        </w:sectPr>
      </w:pPr>
    </w:p>
    <w:bookmarkStart w:id="310" w:name="page311"/>
    <w:bookmarkEnd w:id="310"/>
    <w:p>
      <w:pPr>
        <w:jc w:val="both"/>
        <w:ind w:firstLine="648"/>
        <w:spacing w:after="0" w:line="258" w:lineRule="auto"/>
        <w:rPr>
          <w:sz w:val="20"/>
          <w:szCs w:val="20"/>
          <w:color w:val="auto"/>
        </w:rPr>
      </w:pPr>
      <w:r>
        <w:rPr>
          <w:rFonts w:ascii="Arial" w:cs="Arial" w:eastAsia="Arial" w:hAnsi="Arial"/>
          <w:sz w:val="21"/>
          <w:szCs w:val="21"/>
          <w:color w:val="auto"/>
        </w:rPr>
        <w:t xml:space="preserve">12.24 </w:t>
      </w:r>
      <w:r>
        <w:rPr>
          <w:rFonts w:ascii="Arial" w:cs="Arial" w:eastAsia="Arial" w:hAnsi="Arial"/>
          <w:sz w:val="21"/>
          <w:szCs w:val="21"/>
          <w:u w:val="single" w:color="auto"/>
          <w:color w:val="auto"/>
        </w:rPr>
        <w:t>Relationships between Lenders and Credit Parties</w:t>
      </w:r>
      <w:r>
        <w:rPr>
          <w:rFonts w:ascii="Arial" w:cs="Arial" w:eastAsia="Arial" w:hAnsi="Arial"/>
          <w:sz w:val="21"/>
          <w:szCs w:val="21"/>
          <w:color w:val="auto"/>
        </w:rPr>
        <w:t>. Borrowers acknowledge and agree that the Lenders are acting solely in the capacity of an arm’s length contractual counterparty to Borrowers with respect to the Loans and other financial accommodations contemplated hereby and not as a financial advisor or a fiduciary to, or an agent of, Borrowers or any other Person. Additionally, no Lender is advising Borrowers or any other Person as to any legal, tax, investment, accounting or regulatory matters in any jurisdiction. Borrowers shall consult with their own advisors concerning such matters and shall be responsible for making their own independent investigation and appraisal of the transactions contemplated hereby, and the Lenders shall have no responsibility or liability to Borrowers with respect thereto. Any review by the Lenders of Borrowers, the transactions contemplated hereby or other matters relating to such transactions will be performed solely for the benefit of the Lenders and shall not be on behalf of Borrowers. Each Lender may have economic interests that conflict with those of the Credit Parties, their stockholders and/or their affiliates.</w:t>
      </w:r>
    </w:p>
    <w:p>
      <w:pPr>
        <w:spacing w:after="0" w:line="18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12.25 </w:t>
      </w:r>
      <w:r>
        <w:rPr>
          <w:rFonts w:ascii="Arial" w:cs="Arial" w:eastAsia="Arial" w:hAnsi="Arial"/>
          <w:sz w:val="19"/>
          <w:szCs w:val="19"/>
          <w:u w:val="single" w:color="auto"/>
          <w:color w:val="auto"/>
        </w:rPr>
        <w:t>ABL Intercreditor Agreement</w:t>
      </w:r>
      <w:r>
        <w:rPr>
          <w:rFonts w:ascii="Arial" w:cs="Arial" w:eastAsia="Arial" w:hAnsi="Arial"/>
          <w:sz w:val="19"/>
          <w:szCs w:val="19"/>
          <w:color w:val="auto"/>
        </w:rPr>
        <w:t xml:space="preserve">. Notwithstanding anything to the contrary in this Agreement or in any other Loan Document: (a) the Liens granted to Agent for the benefit of the Secured Parties pursuant to the Loan Documents and the exercise of any right related to any U.S. Collateral shall be subject, in each case, to the terms of the ABL Intercreditor Agreement, (b) in the event of any conflict between the express terms and provisions of this Agreement or any other Loan Document, on the one hand, and of the ABL Intercreditor Agreement, on the other hand, the terms and provisions of the ABL Intercreditor Agreement shall control, and (c) each Lender (and, by its acceptance of the benefits of any Collateral Document, each other Secured Party) hereunder (i) acknowledges that it has received a copy of the ABL Intercreditor Agreement, (ii) agrees that it will be bound by and take no actions contrary to the provisions of the ABL Intercreditor Agreement and (iii) authorizes and instructs Agent and, where applicable, each Co-Collateral Agent, to execute the ABL Intercreditor Agreement on behalf of such Secured Party and to enter into such amendments thereto as contemplated by </w:t>
      </w:r>
      <w:r>
        <w:rPr>
          <w:rFonts w:ascii="Arial" w:cs="Arial" w:eastAsia="Arial" w:hAnsi="Arial"/>
          <w:sz w:val="19"/>
          <w:szCs w:val="19"/>
          <w:u w:val="single" w:color="auto"/>
          <w:color w:val="auto"/>
        </w:rPr>
        <w:t>Section 12.2(g)</w:t>
      </w:r>
      <w:r>
        <w:rPr>
          <w:rFonts w:ascii="Arial" w:cs="Arial" w:eastAsia="Arial" w:hAnsi="Arial"/>
          <w:sz w:val="19"/>
          <w:szCs w:val="19"/>
          <w:color w:val="auto"/>
        </w:rPr>
        <w:t xml:space="preserve"> hereof.</w:t>
      </w:r>
    </w:p>
    <w:p>
      <w:pPr>
        <w:spacing w:after="0" w:line="159" w:lineRule="exact"/>
        <w:rPr>
          <w:sz w:val="20"/>
          <w:szCs w:val="20"/>
          <w:color w:val="auto"/>
        </w:rPr>
      </w:pPr>
    </w:p>
    <w:p>
      <w:pPr>
        <w:ind w:left="660" w:hanging="328"/>
        <w:spacing w:after="0"/>
        <w:tabs>
          <w:tab w:leader="none" w:pos="66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GUARANTY</w:t>
      </w:r>
    </w:p>
    <w:p>
      <w:pPr>
        <w:spacing w:after="0" w:line="219" w:lineRule="exact"/>
        <w:rPr>
          <w:rFonts w:ascii="Arial" w:cs="Arial" w:eastAsia="Arial" w:hAnsi="Arial"/>
          <w:sz w:val="22"/>
          <w:szCs w:val="22"/>
          <w:color w:val="auto"/>
        </w:rPr>
      </w:pPr>
    </w:p>
    <w:p>
      <w:pPr>
        <w:ind w:left="660"/>
        <w:spacing w:after="0"/>
        <w:rPr>
          <w:rFonts w:ascii="Arial" w:cs="Arial" w:eastAsia="Arial" w:hAnsi="Arial"/>
          <w:sz w:val="22"/>
          <w:szCs w:val="22"/>
          <w:color w:val="auto"/>
        </w:rPr>
      </w:pPr>
      <w:r>
        <w:rPr>
          <w:rFonts w:ascii="Arial" w:cs="Arial" w:eastAsia="Arial" w:hAnsi="Arial"/>
          <w:sz w:val="22"/>
          <w:szCs w:val="22"/>
          <w:color w:val="auto"/>
        </w:rPr>
        <w:t xml:space="preserve">13.1   </w:t>
      </w:r>
      <w:r>
        <w:rPr>
          <w:rFonts w:ascii="Arial" w:cs="Arial" w:eastAsia="Arial" w:hAnsi="Arial"/>
          <w:sz w:val="22"/>
          <w:szCs w:val="22"/>
          <w:u w:val="single" w:color="auto"/>
          <w:color w:val="auto"/>
        </w:rPr>
        <w:t>Guaranty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340" w:firstLine="1288"/>
        <w:spacing w:after="0" w:line="289" w:lineRule="auto"/>
        <w:tabs>
          <w:tab w:leader="none" w:pos="1957" w:val="left"/>
        </w:tabs>
        <w:numPr>
          <w:ilvl w:val="1"/>
          <w:numId w:val="260"/>
        </w:numPr>
        <w:rPr>
          <w:rFonts w:ascii="Arial" w:cs="Arial" w:eastAsia="Arial" w:hAnsi="Arial"/>
          <w:sz w:val="19"/>
          <w:szCs w:val="19"/>
          <w:color w:val="auto"/>
        </w:rPr>
      </w:pPr>
      <w:r>
        <w:rPr>
          <w:rFonts w:ascii="Arial" w:cs="Arial" w:eastAsia="Arial" w:hAnsi="Arial"/>
          <w:sz w:val="19"/>
          <w:szCs w:val="19"/>
          <w:color w:val="auto"/>
        </w:rPr>
        <w:t xml:space="preserve">Each U.S. Credit Party hereby agrees that such U.S. Credit Party is jointly and severally liable for, and hereby absolutely and unconditionally guarantees to Agent, Lenders, Hedge Banks and their respective successors and assigns, the full and prompt payment (whether at stated maturity, by acceleration or otherwise) and performance of, all Obligations owed or hereafter owing to Agent and Secured Parties by each other Credit Party. Each Canadian Credit Party hereby agrees that such Credit Party is jointly and severally liable for, and hereby absolutely and unconditionally guarantees to Agent and Lenders and their respective successors and assigns, the full and prompt payment (whether at stated maturity, by acceleration or otherwise) and performance of, all Obligations owed or hereafter owing to Agent and Secured Parties by each other Canadian Credit Party. Each Credit Party agrees that its guaranty obligation hereunder is a continuing guaranty of payment and performance and not of collection, that its obligations under this </w:t>
      </w:r>
      <w:r>
        <w:rPr>
          <w:rFonts w:ascii="Arial" w:cs="Arial" w:eastAsia="Arial" w:hAnsi="Arial"/>
          <w:sz w:val="19"/>
          <w:szCs w:val="19"/>
          <w:u w:val="single" w:color="auto"/>
          <w:color w:val="auto"/>
        </w:rPr>
        <w:t>Section 13</w:t>
      </w:r>
    </w:p>
    <w:p>
      <w:pPr>
        <w:sectPr>
          <w:pgSz w:w="11900" w:h="16838" w:orient="portrait"/>
          <w:cols w:equalWidth="0" w:num="1">
            <w:col w:w="11240"/>
          </w:cols>
          <w:pgMar w:left="320" w:top="1428" w:right="339" w:bottom="1440" w:gutter="0" w:footer="0" w:header="0"/>
        </w:sectPr>
      </w:pPr>
    </w:p>
    <w:bookmarkStart w:id="311" w:name="page312"/>
    <w:bookmarkEnd w:id="311"/>
    <w:p>
      <w:pPr>
        <w:ind w:left="340"/>
        <w:spacing w:after="0" w:line="263" w:lineRule="auto"/>
        <w:rPr>
          <w:sz w:val="20"/>
          <w:szCs w:val="20"/>
          <w:color w:val="auto"/>
        </w:rPr>
      </w:pPr>
      <w:r>
        <w:rPr>
          <w:rFonts w:ascii="Arial" w:cs="Arial" w:eastAsia="Arial" w:hAnsi="Arial"/>
          <w:sz w:val="22"/>
          <w:szCs w:val="22"/>
          <w:color w:val="auto"/>
        </w:rPr>
        <w:t xml:space="preserve">shall not be discharged until the Termination Date, and that its obligations under this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shall be absolute and unconditional, irrespective of, and unaffected by,</w:t>
      </w:r>
    </w:p>
    <w:p>
      <w:pPr>
        <w:spacing w:after="0" w:line="175" w:lineRule="exact"/>
        <w:rPr>
          <w:sz w:val="20"/>
          <w:szCs w:val="20"/>
          <w:color w:val="auto"/>
        </w:rPr>
      </w:pPr>
    </w:p>
    <w:p>
      <w:pPr>
        <w:jc w:val="both"/>
        <w:ind w:left="340" w:firstLine="1732"/>
        <w:spacing w:after="0" w:line="253" w:lineRule="auto"/>
        <w:tabs>
          <w:tab w:leader="none" w:pos="2608" w:val="left"/>
        </w:tabs>
        <w:numPr>
          <w:ilvl w:val="0"/>
          <w:numId w:val="261"/>
        </w:numPr>
        <w:rPr>
          <w:rFonts w:ascii="Arial" w:cs="Arial" w:eastAsia="Arial" w:hAnsi="Arial"/>
          <w:sz w:val="22"/>
          <w:szCs w:val="22"/>
          <w:color w:val="auto"/>
        </w:rPr>
      </w:pPr>
      <w:r>
        <w:rPr>
          <w:rFonts w:ascii="Arial" w:cs="Arial" w:eastAsia="Arial" w:hAnsi="Arial"/>
          <w:sz w:val="22"/>
          <w:szCs w:val="22"/>
          <w:color w:val="auto"/>
        </w:rPr>
        <w:t>the genuineness, validity, regularity, enforceability or any future amendment of, or change in, this Agreement, any other Loan Document or Secured Hedge Agreement or any other agreement, document or instrument to which any Credit Party is or may become a party;</w:t>
      </w:r>
    </w:p>
    <w:p>
      <w:pPr>
        <w:spacing w:after="0" w:line="185" w:lineRule="exact"/>
        <w:rPr>
          <w:rFonts w:ascii="Arial" w:cs="Arial" w:eastAsia="Arial" w:hAnsi="Arial"/>
          <w:sz w:val="22"/>
          <w:szCs w:val="22"/>
          <w:color w:val="auto"/>
        </w:rPr>
      </w:pPr>
    </w:p>
    <w:p>
      <w:pPr>
        <w:jc w:val="both"/>
        <w:ind w:left="340" w:firstLine="1672"/>
        <w:spacing w:after="0" w:line="253" w:lineRule="auto"/>
        <w:tabs>
          <w:tab w:leader="none" w:pos="2608" w:val="left"/>
        </w:tabs>
        <w:numPr>
          <w:ilvl w:val="0"/>
          <w:numId w:val="261"/>
        </w:numPr>
        <w:rPr>
          <w:rFonts w:ascii="Arial" w:cs="Arial" w:eastAsia="Arial" w:hAnsi="Arial"/>
          <w:sz w:val="22"/>
          <w:szCs w:val="22"/>
          <w:color w:val="auto"/>
        </w:rPr>
      </w:pPr>
      <w:r>
        <w:rPr>
          <w:rFonts w:ascii="Arial" w:cs="Arial" w:eastAsia="Arial" w:hAnsi="Arial"/>
          <w:sz w:val="22"/>
          <w:szCs w:val="22"/>
          <w:color w:val="auto"/>
        </w:rPr>
        <w:t xml:space="preserve">the absence of any action to enforce this Agreement (including this </w:t>
      </w:r>
      <w:r>
        <w:rPr>
          <w:rFonts w:ascii="Arial" w:cs="Arial" w:eastAsia="Arial" w:hAnsi="Arial"/>
          <w:sz w:val="22"/>
          <w:szCs w:val="22"/>
          <w:u w:val="single" w:color="auto"/>
          <w:color w:val="auto"/>
        </w:rPr>
        <w:t>Section 13</w:t>
      </w:r>
      <w:r>
        <w:rPr>
          <w:rFonts w:ascii="Arial" w:cs="Arial" w:eastAsia="Arial" w:hAnsi="Arial"/>
          <w:sz w:val="22"/>
          <w:szCs w:val="22"/>
          <w:color w:val="auto"/>
        </w:rPr>
        <w:t>) or any other Loan Document or Secured Hedge Agreement or the waiver or consent by Agent and Lenders or Hedge Banks, as applicable, with respect to any of the provisions thereof;</w:t>
      </w:r>
    </w:p>
    <w:p>
      <w:pPr>
        <w:spacing w:after="0" w:line="185" w:lineRule="exact"/>
        <w:rPr>
          <w:rFonts w:ascii="Arial" w:cs="Arial" w:eastAsia="Arial" w:hAnsi="Arial"/>
          <w:sz w:val="22"/>
          <w:szCs w:val="22"/>
          <w:color w:val="auto"/>
        </w:rPr>
      </w:pPr>
    </w:p>
    <w:p>
      <w:pPr>
        <w:jc w:val="both"/>
        <w:ind w:left="340" w:firstLine="1612"/>
        <w:spacing w:after="0" w:line="253" w:lineRule="auto"/>
        <w:tabs>
          <w:tab w:leader="none" w:pos="2608" w:val="left"/>
        </w:tabs>
        <w:numPr>
          <w:ilvl w:val="0"/>
          <w:numId w:val="261"/>
        </w:numPr>
        <w:rPr>
          <w:rFonts w:ascii="Arial" w:cs="Arial" w:eastAsia="Arial" w:hAnsi="Arial"/>
          <w:sz w:val="22"/>
          <w:szCs w:val="22"/>
          <w:color w:val="auto"/>
        </w:rPr>
      </w:pPr>
      <w:r>
        <w:rPr>
          <w:rFonts w:ascii="Arial" w:cs="Arial" w:eastAsia="Arial" w:hAnsi="Arial"/>
          <w:sz w:val="22"/>
          <w:szCs w:val="22"/>
          <w:color w:val="auto"/>
        </w:rPr>
        <w:t>the existence, value or condition of, or failure to perfect its Lien against, any security for the Obligations or any action, or the absence of any action, by Agent and Lenders or Hedge Banks in respect thereof (including the release of any such security);</w:t>
      </w:r>
    </w:p>
    <w:p>
      <w:pPr>
        <w:spacing w:after="0" w:line="185" w:lineRule="exact"/>
        <w:rPr>
          <w:rFonts w:ascii="Arial" w:cs="Arial" w:eastAsia="Arial" w:hAnsi="Arial"/>
          <w:sz w:val="22"/>
          <w:szCs w:val="22"/>
          <w:color w:val="auto"/>
        </w:rPr>
      </w:pPr>
    </w:p>
    <w:p>
      <w:pPr>
        <w:ind w:left="2600" w:hanging="636"/>
        <w:spacing w:after="0"/>
        <w:tabs>
          <w:tab w:leader="none" w:pos="2600" w:val="left"/>
        </w:tabs>
        <w:numPr>
          <w:ilvl w:val="0"/>
          <w:numId w:val="261"/>
        </w:numPr>
        <w:rPr>
          <w:rFonts w:ascii="Arial" w:cs="Arial" w:eastAsia="Arial" w:hAnsi="Arial"/>
          <w:sz w:val="22"/>
          <w:szCs w:val="22"/>
          <w:color w:val="auto"/>
        </w:rPr>
      </w:pPr>
      <w:r>
        <w:rPr>
          <w:rFonts w:ascii="Arial" w:cs="Arial" w:eastAsia="Arial" w:hAnsi="Arial"/>
          <w:sz w:val="22"/>
          <w:szCs w:val="22"/>
          <w:color w:val="auto"/>
        </w:rPr>
        <w:t>the insolvency of any Credit Party;</w:t>
      </w:r>
    </w:p>
    <w:p>
      <w:pPr>
        <w:spacing w:after="0" w:line="219" w:lineRule="exact"/>
        <w:rPr>
          <w:rFonts w:ascii="Arial" w:cs="Arial" w:eastAsia="Arial" w:hAnsi="Arial"/>
          <w:sz w:val="22"/>
          <w:szCs w:val="22"/>
          <w:color w:val="auto"/>
        </w:rPr>
      </w:pPr>
    </w:p>
    <w:p>
      <w:pPr>
        <w:jc w:val="both"/>
        <w:ind w:left="340" w:firstLine="1684"/>
        <w:spacing w:after="0" w:line="312" w:lineRule="auto"/>
        <w:tabs>
          <w:tab w:leader="none" w:pos="2608" w:val="left"/>
        </w:tabs>
        <w:numPr>
          <w:ilvl w:val="0"/>
          <w:numId w:val="261"/>
        </w:numPr>
        <w:rPr>
          <w:rFonts w:ascii="Arial" w:cs="Arial" w:eastAsia="Arial" w:hAnsi="Arial"/>
          <w:sz w:val="19"/>
          <w:szCs w:val="19"/>
          <w:color w:val="auto"/>
        </w:rPr>
      </w:pPr>
      <w:r>
        <w:rPr>
          <w:rFonts w:ascii="Arial" w:cs="Arial" w:eastAsia="Arial" w:hAnsi="Arial"/>
          <w:sz w:val="19"/>
          <w:szCs w:val="19"/>
          <w:color w:val="auto"/>
        </w:rPr>
        <w:t>any amendment, alteration, novation or variation in any manner and to any extent (and irrespective of the effect of the same on any Guarantor) of any of the Obligations, any liabilities and obligations of any surety, and any security of any one or more of the Secured Parties’ arrangements with the Credit Parties or any other Person; or</w:t>
      </w:r>
    </w:p>
    <w:p>
      <w:pPr>
        <w:spacing w:after="0" w:line="133" w:lineRule="exact"/>
        <w:rPr>
          <w:rFonts w:ascii="Arial" w:cs="Arial" w:eastAsia="Arial" w:hAnsi="Arial"/>
          <w:sz w:val="19"/>
          <w:szCs w:val="19"/>
          <w:color w:val="auto"/>
        </w:rPr>
      </w:pPr>
    </w:p>
    <w:p>
      <w:pPr>
        <w:ind w:left="340" w:firstLine="1624"/>
        <w:spacing w:after="0" w:line="263" w:lineRule="auto"/>
        <w:tabs>
          <w:tab w:leader="none" w:pos="2608" w:val="left"/>
        </w:tabs>
        <w:numPr>
          <w:ilvl w:val="0"/>
          <w:numId w:val="261"/>
        </w:numPr>
        <w:rPr>
          <w:rFonts w:ascii="Arial" w:cs="Arial" w:eastAsia="Arial" w:hAnsi="Arial"/>
          <w:sz w:val="22"/>
          <w:szCs w:val="22"/>
          <w:color w:val="auto"/>
        </w:rPr>
      </w:pPr>
      <w:r>
        <w:rPr>
          <w:rFonts w:ascii="Arial" w:cs="Arial" w:eastAsia="Arial" w:hAnsi="Arial"/>
          <w:sz w:val="22"/>
          <w:szCs w:val="22"/>
          <w:color w:val="auto"/>
        </w:rPr>
        <w:t>any other action or circumstances that might otherwise constitute a legal or equitable discharge or defense of a surety or guarantor.</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Each Credit Party shall be regarded, and shall be in the same position, as principal debtor with respect to the Obligations guarantied hereunder.</w:t>
      </w:r>
    </w:p>
    <w:p>
      <w:pPr>
        <w:spacing w:after="0" w:line="175" w:lineRule="exact"/>
        <w:rPr>
          <w:sz w:val="20"/>
          <w:szCs w:val="20"/>
          <w:color w:val="auto"/>
        </w:rPr>
      </w:pPr>
    </w:p>
    <w:p>
      <w:pPr>
        <w:jc w:val="both"/>
        <w:ind w:left="340" w:firstLine="1288"/>
        <w:spacing w:after="0" w:line="250" w:lineRule="auto"/>
        <w:tabs>
          <w:tab w:leader="none" w:pos="1955" w:val="left"/>
        </w:tabs>
        <w:numPr>
          <w:ilvl w:val="0"/>
          <w:numId w:val="262"/>
        </w:numPr>
        <w:rPr>
          <w:rFonts w:ascii="Arial" w:cs="Arial" w:eastAsia="Arial" w:hAnsi="Arial"/>
          <w:sz w:val="22"/>
          <w:szCs w:val="22"/>
          <w:color w:val="auto"/>
        </w:rPr>
      </w:pPr>
      <w:r>
        <w:rPr>
          <w:rFonts w:ascii="Arial" w:cs="Arial" w:eastAsia="Arial" w:hAnsi="Arial"/>
          <w:sz w:val="22"/>
          <w:szCs w:val="22"/>
          <w:color w:val="auto"/>
        </w:rPr>
        <w:t>Each Credit Party expressly represents and acknowledges that it is part of a common enterprise with the other Credit Parties and that any financial accommodations by Lenders, Hedge Banks or any of them, to any other Credit Party hereunder and under the other Loan Documents or Secured Hedge Agreements are and will be of direct and indirect interest, benefit and advantage to all Credit Parties.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13.2 </w:t>
      </w:r>
      <w:r>
        <w:rPr>
          <w:rFonts w:ascii="Arial" w:cs="Arial" w:eastAsia="Arial" w:hAnsi="Arial"/>
          <w:sz w:val="19"/>
          <w:szCs w:val="19"/>
          <w:u w:val="single" w:color="auto"/>
          <w:color w:val="auto"/>
        </w:rPr>
        <w:t>Waivers by Credit Parties</w:t>
      </w:r>
      <w:r>
        <w:rPr>
          <w:rFonts w:ascii="Arial" w:cs="Arial" w:eastAsia="Arial" w:hAnsi="Arial"/>
          <w:sz w:val="19"/>
          <w:szCs w:val="19"/>
          <w:color w:val="auto"/>
        </w:rPr>
        <w:t xml:space="preserve">. Each Credit Party expressly waives, to the extent permitted by law, all rights it may have now or in the future under any statute, or at common law, or at law or in equity, or otherwise, to compel Agent or any other Secured Party to marshal assets or to proceed in respect of the Obligations guarantied hereunder against any other Credit Party, any other party or against any security for the payment and performance of the Obligations before proceeding against, or as a condition to proceeding against, such Credit Party. It is agreed among each Credit Party, Agent, Co-Collateral Agent, L/C Issuers, Lenders and other Secured Parties that the foregoing waivers are of the essence of the transaction contemplated by this Agreement and the other Loan Documents and that, but for the provisions of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and such waivers, Agent, Co-Collateral Agent, L/C Issuers, Lenders and other Secured Parties would</w:t>
      </w:r>
    </w:p>
    <w:p>
      <w:pPr>
        <w:sectPr>
          <w:pgSz w:w="11900" w:h="16838" w:orient="portrait"/>
          <w:cols w:equalWidth="0" w:num="1">
            <w:col w:w="11240"/>
          </w:cols>
          <w:pgMar w:left="320" w:top="1428" w:right="339" w:bottom="1440" w:gutter="0" w:footer="0" w:header="0"/>
        </w:sectPr>
      </w:pPr>
    </w:p>
    <w:bookmarkStart w:id="312" w:name="page313"/>
    <w:bookmarkEnd w:id="312"/>
    <w:p>
      <w:pPr>
        <w:jc w:val="both"/>
        <w:spacing w:after="0" w:line="248" w:lineRule="auto"/>
        <w:rPr>
          <w:sz w:val="20"/>
          <w:szCs w:val="20"/>
          <w:color w:val="auto"/>
        </w:rPr>
      </w:pPr>
      <w:r>
        <w:rPr>
          <w:rFonts w:ascii="Arial" w:cs="Arial" w:eastAsia="Arial" w:hAnsi="Arial"/>
          <w:sz w:val="22"/>
          <w:szCs w:val="22"/>
          <w:color w:val="auto"/>
        </w:rPr>
        <w:t>decline to enter into this Agreement. Each Credit Party expressly waives diligence, presentment and demand (whether for non-payment or protest or of acceptance, maturity, extension of time, change in nature or form of the Obligations, acceptance of further security, release of further security, composition or agreement arrived at as to the amount of, or the terms of, the Obligations, notice of adverse change in any Credit Party’s financial condition or any other fact which might increase the risk to another Credit Party).</w:t>
      </w:r>
    </w:p>
    <w:p>
      <w:pPr>
        <w:spacing w:after="0" w:line="19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13.3 </w:t>
      </w:r>
      <w:r>
        <w:rPr>
          <w:rFonts w:ascii="Arial" w:cs="Arial" w:eastAsia="Arial" w:hAnsi="Arial"/>
          <w:sz w:val="22"/>
          <w:szCs w:val="22"/>
          <w:u w:val="single" w:color="auto"/>
          <w:color w:val="auto"/>
        </w:rPr>
        <w:t>Benefit of Guaranty; Stay of Acceleration</w:t>
      </w:r>
      <w:r>
        <w:rPr>
          <w:rFonts w:ascii="Arial" w:cs="Arial" w:eastAsia="Arial" w:hAnsi="Arial"/>
          <w:sz w:val="22"/>
          <w:szCs w:val="22"/>
          <w:color w:val="auto"/>
        </w:rPr>
        <w:t xml:space="preserve">. Each Credit Party agrees that the provisions of this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are for the benefit of the Secured Parties and their respective successors, transferees, endorsees and assigns, and nothing herein contained shall impair, as between any other Credit Party and Agent or any other Secured Party, the obligations of such other Credit Party under the Loan Documents or Secured Hedge Agreements.</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13.4 </w:t>
      </w:r>
      <w:r>
        <w:rPr>
          <w:rFonts w:ascii="Arial" w:cs="Arial" w:eastAsia="Arial" w:hAnsi="Arial"/>
          <w:sz w:val="19"/>
          <w:szCs w:val="19"/>
          <w:u w:val="single" w:color="auto"/>
          <w:color w:val="auto"/>
        </w:rPr>
        <w:t>Subordination of Subrogation, Etc.</w:t>
      </w:r>
      <w:r>
        <w:rPr>
          <w:rFonts w:ascii="Arial" w:cs="Arial" w:eastAsia="Arial" w:hAnsi="Arial"/>
          <w:sz w:val="19"/>
          <w:szCs w:val="19"/>
          <w:color w:val="auto"/>
        </w:rPr>
        <w:t xml:space="preserve"> Notwithstanding anything to the contrary in this Agreement or in any other Loan Document, and except as set forth in </w:t>
      </w:r>
      <w:r>
        <w:rPr>
          <w:rFonts w:ascii="Arial" w:cs="Arial" w:eastAsia="Arial" w:hAnsi="Arial"/>
          <w:sz w:val="19"/>
          <w:szCs w:val="19"/>
          <w:u w:val="single" w:color="auto"/>
          <w:color w:val="auto"/>
        </w:rPr>
        <w:t>Section 13.7</w:t>
      </w:r>
      <w:r>
        <w:rPr>
          <w:rFonts w:ascii="Arial" w:cs="Arial" w:eastAsia="Arial" w:hAnsi="Arial"/>
          <w:sz w:val="19"/>
          <w:szCs w:val="19"/>
          <w:color w:val="auto"/>
        </w:rPr>
        <w:t xml:space="preserve">, each Credit Party hereby expressly and irrevocably subordinates to payment of the Obligations any and all rights at law or in equity to subrogation, reimbursement, exoneration, contribution, indemnification or set off and any and all defenses available to a surety, guarantor or accommodation co-obligor until the Termination Date. Each Credit Party acknowledges and agrees that this subordination is intended to benefit Agent and the other Secured Parties and shall not limit or otherwise affect such Credit Party’s liability hereunder or the enforceability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13</w:t>
      </w:r>
      <w:r>
        <w:rPr>
          <w:rFonts w:ascii="Arial" w:cs="Arial" w:eastAsia="Arial" w:hAnsi="Arial"/>
          <w:sz w:val="19"/>
          <w:szCs w:val="19"/>
          <w:color w:val="auto"/>
        </w:rPr>
        <w:t xml:space="preserve">, and that Agent, the other Secured Parties and their respective successors and assigns are intended third party beneficiaries of the waivers and agreements set forth in this </w:t>
      </w:r>
      <w:r>
        <w:rPr>
          <w:rFonts w:ascii="Arial" w:cs="Arial" w:eastAsia="Arial" w:hAnsi="Arial"/>
          <w:sz w:val="19"/>
          <w:szCs w:val="19"/>
          <w:u w:val="single" w:color="auto"/>
          <w:color w:val="auto"/>
        </w:rPr>
        <w:t>Section 13.4</w:t>
      </w:r>
      <w:r>
        <w:rPr>
          <w:rFonts w:ascii="Arial" w:cs="Arial" w:eastAsia="Arial" w:hAnsi="Arial"/>
          <w:sz w:val="19"/>
          <w:szCs w:val="19"/>
          <w:color w:val="auto"/>
        </w:rPr>
        <w:t>.</w:t>
      </w:r>
    </w:p>
    <w:p>
      <w:pPr>
        <w:spacing w:after="0" w:line="15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color w:val="auto"/>
        </w:rPr>
        <w:t xml:space="preserve">13.5 </w:t>
      </w:r>
      <w:r>
        <w:rPr>
          <w:rFonts w:ascii="Arial" w:cs="Arial" w:eastAsia="Arial" w:hAnsi="Arial"/>
          <w:sz w:val="19"/>
          <w:szCs w:val="19"/>
          <w:u w:val="single" w:color="auto"/>
          <w:color w:val="auto"/>
        </w:rPr>
        <w:t>Election of Remedies</w:t>
      </w:r>
      <w:r>
        <w:rPr>
          <w:rFonts w:ascii="Arial" w:cs="Arial" w:eastAsia="Arial" w:hAnsi="Arial"/>
          <w:sz w:val="19"/>
          <w:szCs w:val="19"/>
          <w:color w:val="auto"/>
        </w:rPr>
        <w:t xml:space="preserve">. If Agent or any other Secured Party may, under applicable law, proceed to realize its benefits under any of the Loan Documents giving Agent or such other Secured Party a Lien upon any Collateral, whether owned by any Credit Party or by any other Person, either by judicial foreclosure or by non-judicial sale or enforcement, Agent or any other Secured Party may, at its sole option, determine which of its remedies or rights it may pursue without affecting any of its rights and remedies under this </w:t>
      </w:r>
      <w:r>
        <w:rPr>
          <w:rFonts w:ascii="Arial" w:cs="Arial" w:eastAsia="Arial" w:hAnsi="Arial"/>
          <w:sz w:val="19"/>
          <w:szCs w:val="19"/>
          <w:u w:val="single" w:color="auto"/>
          <w:color w:val="auto"/>
        </w:rPr>
        <w:t>Section 13</w:t>
      </w:r>
      <w:r>
        <w:rPr>
          <w:rFonts w:ascii="Arial" w:cs="Arial" w:eastAsia="Arial" w:hAnsi="Arial"/>
          <w:sz w:val="19"/>
          <w:szCs w:val="19"/>
          <w:color w:val="auto"/>
        </w:rPr>
        <w:t>. If, in the exercise of any of its rights and remedies, Agent or any other Secured Party shall forfeit any of its rights or remedies, including its right to enter a deficiency judgment against any Credit Party or any other Person, whether because of any applicable laws pertaining to “election of remedies” or the like, each Credit Party hereby consents to such action by Agent or such other Secured Party and waives any claim based upon such action, even if such action by Agent or such other Secured Party shall result in a full or partial loss of any rights of subrogation that such Credit Party might otherwise have had but for such action by Agent or such other Secured Party. Any election of remedies that results in the denial or impairment of the right of Agent or any other Secured Party to seek a deficiency judgment against any Credit Party shall not impair any other Credit Party’s obligation to pay the full amount of the Obligations. In the event Agent or any other Secured Party shall bid at any foreclosure or trustee’s sale or at any private sale permitted by law or the Loan Documents, Agent or such other Secured Party may bid all or less than the amount of the Obligations and the amount of such bid need not be paid by Agent or such other Secured Party but shall be credited against the Obligations. The amount of the successful bid at any such sale, whether Agent, other Secured Party or any other party is the successful bidder, shall be</w:t>
      </w:r>
    </w:p>
    <w:p>
      <w:pPr>
        <w:sectPr>
          <w:pgSz w:w="11900" w:h="16838" w:orient="portrait"/>
          <w:cols w:equalWidth="0" w:num="1">
            <w:col w:w="11240"/>
          </w:cols>
          <w:pgMar w:left="320" w:top="1428" w:right="339" w:bottom="1440" w:gutter="0" w:footer="0" w:header="0"/>
        </w:sectPr>
      </w:pPr>
    </w:p>
    <w:bookmarkStart w:id="313" w:name="page314"/>
    <w:bookmarkEnd w:id="313"/>
    <w:p>
      <w:pPr>
        <w:jc w:val="both"/>
        <w:spacing w:after="0" w:line="302" w:lineRule="auto"/>
        <w:rPr>
          <w:sz w:val="20"/>
          <w:szCs w:val="20"/>
          <w:color w:val="auto"/>
        </w:rPr>
      </w:pPr>
      <w:r>
        <w:rPr>
          <w:rFonts w:ascii="Arial" w:cs="Arial" w:eastAsia="Arial" w:hAnsi="Arial"/>
          <w:sz w:val="19"/>
          <w:szCs w:val="19"/>
          <w:color w:val="auto"/>
        </w:rPr>
        <w:t xml:space="preserve">conclusively deemed to be the fair market value of the Collateral and the difference between such bid amount and the remaining balance of the Obligations shall be conclusively deemed to be the amount of the Obligations guaranteed under this </w:t>
      </w:r>
      <w:r>
        <w:rPr>
          <w:rFonts w:ascii="Arial" w:cs="Arial" w:eastAsia="Arial" w:hAnsi="Arial"/>
          <w:sz w:val="19"/>
          <w:szCs w:val="19"/>
          <w:u w:val="single" w:color="auto"/>
          <w:color w:val="auto"/>
        </w:rPr>
        <w:t>Section 13</w:t>
      </w:r>
      <w:r>
        <w:rPr>
          <w:rFonts w:ascii="Arial" w:cs="Arial" w:eastAsia="Arial" w:hAnsi="Arial"/>
          <w:sz w:val="19"/>
          <w:szCs w:val="19"/>
          <w:color w:val="auto"/>
        </w:rPr>
        <w:t>, notwithstanding that any present or future law or court decision or ruling may have the effect of reducing the amount of any deficiency claim to which Agent or any Lender might otherwise be entitled but for such bidding at any such sale.</w:t>
      </w:r>
    </w:p>
    <w:p>
      <w:pPr>
        <w:spacing w:after="0" w:line="14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19"/>
          <w:szCs w:val="19"/>
          <w:u w:val="single" w:color="auto"/>
          <w:color w:val="auto"/>
        </w:rPr>
        <w:t>Limitation</w:t>
      </w:r>
      <w:r>
        <w:rPr>
          <w:rFonts w:ascii="Arial" w:cs="Arial" w:eastAsia="Arial" w:hAnsi="Arial"/>
          <w:sz w:val="19"/>
          <w:szCs w:val="19"/>
          <w:color w:val="auto"/>
        </w:rPr>
        <w:t>. Notwithstanding any provision herein contained to the contrary, each Credit Party’s liability under this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shall be limited to an amount not to exceed as of any date of determination the greater of:</w:t>
      </w:r>
    </w:p>
    <w:p>
      <w:pPr>
        <w:spacing w:after="0" w:line="202" w:lineRule="exact"/>
        <w:rPr>
          <w:sz w:val="20"/>
          <w:szCs w:val="20"/>
          <w:color w:val="auto"/>
        </w:rPr>
      </w:pPr>
    </w:p>
    <w:p>
      <w:pPr>
        <w:ind w:left="1620"/>
        <w:spacing w:after="0"/>
        <w:rPr>
          <w:sz w:val="20"/>
          <w:szCs w:val="20"/>
          <w:color w:val="auto"/>
        </w:rPr>
      </w:pPr>
      <w:r>
        <w:rPr>
          <w:rFonts w:ascii="Arial" w:cs="Arial" w:eastAsia="Arial" w:hAnsi="Arial"/>
          <w:sz w:val="19"/>
          <w:szCs w:val="19"/>
          <w:color w:val="auto"/>
        </w:rPr>
        <w:t>(a) the amount of all Loans advanced to (and Letter of Credit Obligations incurred on behalf of) Borrowers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and;</w:t>
      </w:r>
    </w:p>
    <w:p>
      <w:pPr>
        <w:spacing w:after="0" w:line="202" w:lineRule="exact"/>
        <w:rPr>
          <w:sz w:val="20"/>
          <w:szCs w:val="20"/>
          <w:color w:val="auto"/>
        </w:rPr>
      </w:pPr>
    </w:p>
    <w:p>
      <w:pPr>
        <w:jc w:val="both"/>
        <w:ind w:left="340" w:firstLine="1288"/>
        <w:spacing w:after="0" w:line="263" w:lineRule="auto"/>
        <w:tabs>
          <w:tab w:leader="none" w:pos="1955" w:val="left"/>
        </w:tabs>
        <w:numPr>
          <w:ilvl w:val="0"/>
          <w:numId w:val="263"/>
        </w:numPr>
        <w:rPr>
          <w:rFonts w:ascii="Arial" w:cs="Arial" w:eastAsia="Arial" w:hAnsi="Arial"/>
          <w:sz w:val="21"/>
          <w:szCs w:val="21"/>
          <w:color w:val="auto"/>
        </w:rPr>
      </w:pPr>
      <w:r>
        <w:rPr>
          <w:rFonts w:ascii="Arial" w:cs="Arial" w:eastAsia="Arial" w:hAnsi="Arial"/>
          <w:sz w:val="21"/>
          <w:szCs w:val="21"/>
          <w:color w:val="auto"/>
        </w:rPr>
        <w:t xml:space="preserve">the amount that could be claimed by Agent and the other Secured Parties from such Credit Party under this </w:t>
      </w:r>
      <w:r>
        <w:rPr>
          <w:rFonts w:ascii="Arial" w:cs="Arial" w:eastAsia="Arial" w:hAnsi="Arial"/>
          <w:sz w:val="21"/>
          <w:szCs w:val="21"/>
          <w:u w:val="single" w:color="auto"/>
          <w:color w:val="auto"/>
        </w:rPr>
        <w:t>Section 13</w:t>
      </w:r>
      <w:r>
        <w:rPr>
          <w:rFonts w:ascii="Arial" w:cs="Arial" w:eastAsia="Arial" w:hAnsi="Arial"/>
          <w:sz w:val="21"/>
          <w:szCs w:val="21"/>
          <w:color w:val="auto"/>
        </w:rPr>
        <w:t xml:space="preserve"> without rendering such claim voidable or avoidable under Section 548 of Chapter 11 of the Bankruptcy Code or under any applicable state Uniform Fraudulent Transfer Act, Uniform Fraudulent Conveyance Act or similar foreign or domestic statute or common law after taking into account, among other things, such Credit Party’s right of contribution and indemnification from each other Credit Party under </w:t>
      </w:r>
      <w:r>
        <w:rPr>
          <w:rFonts w:ascii="Arial" w:cs="Arial" w:eastAsia="Arial" w:hAnsi="Arial"/>
          <w:sz w:val="21"/>
          <w:szCs w:val="21"/>
          <w:u w:val="single" w:color="auto"/>
          <w:color w:val="auto"/>
        </w:rPr>
        <w:t>Section 13.7</w:t>
      </w:r>
      <w:r>
        <w:rPr>
          <w:rFonts w:ascii="Arial" w:cs="Arial" w:eastAsia="Arial" w:hAnsi="Arial"/>
          <w:sz w:val="21"/>
          <w:szCs w:val="21"/>
          <w:color w:val="auto"/>
        </w:rPr>
        <w: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13.7</w:t>
      </w:r>
      <w:r>
        <w:rPr>
          <w:sz w:val="20"/>
          <w:szCs w:val="20"/>
          <w:color w:val="auto"/>
        </w:rPr>
        <w:tab/>
      </w:r>
      <w:r>
        <w:rPr>
          <w:rFonts w:ascii="Arial" w:cs="Arial" w:eastAsia="Arial" w:hAnsi="Arial"/>
          <w:sz w:val="19"/>
          <w:szCs w:val="19"/>
          <w:u w:val="single" w:color="auto"/>
          <w:color w:val="auto"/>
        </w:rPr>
        <w:t>Contribution with Respect to Guaranty Obligations</w:t>
      </w:r>
      <w:r>
        <w:rPr>
          <w:rFonts w:ascii="Arial" w:cs="Arial" w:eastAsia="Arial" w:hAnsi="Arial"/>
          <w:sz w:val="19"/>
          <w:szCs w:val="19"/>
          <w:color w:val="auto"/>
        </w:rPr>
        <w:t>.</w:t>
      </w:r>
    </w:p>
    <w:p>
      <w:pPr>
        <w:spacing w:after="0" w:line="220" w:lineRule="exact"/>
        <w:rPr>
          <w:sz w:val="20"/>
          <w:szCs w:val="20"/>
          <w:color w:val="auto"/>
        </w:rPr>
      </w:pPr>
    </w:p>
    <w:p>
      <w:pPr>
        <w:jc w:val="both"/>
        <w:ind w:left="340" w:firstLine="1288"/>
        <w:spacing w:after="0" w:line="258" w:lineRule="auto"/>
        <w:tabs>
          <w:tab w:leader="none" w:pos="1957" w:val="left"/>
        </w:tabs>
        <w:numPr>
          <w:ilvl w:val="0"/>
          <w:numId w:val="264"/>
        </w:numPr>
        <w:rPr>
          <w:rFonts w:ascii="Arial" w:cs="Arial" w:eastAsia="Arial" w:hAnsi="Arial"/>
          <w:sz w:val="21"/>
          <w:szCs w:val="21"/>
          <w:color w:val="auto"/>
        </w:rPr>
      </w:pPr>
      <w:r>
        <w:rPr>
          <w:rFonts w:ascii="Arial" w:cs="Arial" w:eastAsia="Arial" w:hAnsi="Arial"/>
          <w:sz w:val="21"/>
          <w:szCs w:val="21"/>
          <w:color w:val="auto"/>
        </w:rPr>
        <w:t xml:space="preserve">To the extent that any Credit Party shall make a payment under this </w:t>
      </w:r>
      <w:r>
        <w:rPr>
          <w:rFonts w:ascii="Arial" w:cs="Arial" w:eastAsia="Arial" w:hAnsi="Arial"/>
          <w:sz w:val="21"/>
          <w:szCs w:val="21"/>
          <w:u w:val="single" w:color="auto"/>
          <w:color w:val="auto"/>
        </w:rPr>
        <w:t>Section 13</w:t>
      </w:r>
      <w:r>
        <w:rPr>
          <w:rFonts w:ascii="Arial" w:cs="Arial" w:eastAsia="Arial" w:hAnsi="Arial"/>
          <w:sz w:val="21"/>
          <w:szCs w:val="21"/>
          <w:color w:val="auto"/>
        </w:rPr>
        <w:t xml:space="preserve"> of all or any of the Obligations (other than Loans made to that Borrower for which it is primarily liable) (a “</w:t>
      </w:r>
      <w:r>
        <w:rPr>
          <w:rFonts w:ascii="Arial" w:cs="Arial" w:eastAsia="Arial" w:hAnsi="Arial"/>
          <w:sz w:val="21"/>
          <w:szCs w:val="21"/>
          <w:u w:val="single" w:color="auto"/>
          <w:color w:val="auto"/>
        </w:rPr>
        <w:t>Guarantor Payment</w:t>
      </w:r>
      <w:r>
        <w:rPr>
          <w:rFonts w:ascii="Arial" w:cs="Arial" w:eastAsia="Arial" w:hAnsi="Arial"/>
          <w:sz w:val="21"/>
          <w:szCs w:val="21"/>
          <w:color w:val="auto"/>
        </w:rPr>
        <w:t>”) that, taking into account all other Guarantor Payments then previously or concurrently made by any other Credit Party, exceeds the amount that such Credit Party would otherwise have paid if each Credit Party had paid the aggregate Obligations satisfied by such Guarantor Payment in the same proportion that such Credit Party’s “Allocable Amount” (as defined below) (as determined immediately prior to such Guarantor Payment) bore to the aggregate Allocable Amounts of each Credit Party as determined immediately prior to the making of such Guarantor Payment, then, following the Termination Date, such Credit Party shall be entitled to receive contribution and indemnification payments from, and be reimbursed by, each other Credit Party for the amount of such excess, pro rata based upon their respective Allocable Amounts in effect immediately prior to such Guarantor Payment.</w:t>
      </w:r>
    </w:p>
    <w:p>
      <w:pPr>
        <w:spacing w:after="0" w:line="185" w:lineRule="exact"/>
        <w:rPr>
          <w:rFonts w:ascii="Arial" w:cs="Arial" w:eastAsia="Arial" w:hAnsi="Arial"/>
          <w:sz w:val="21"/>
          <w:szCs w:val="21"/>
          <w:color w:val="auto"/>
        </w:rPr>
      </w:pPr>
    </w:p>
    <w:p>
      <w:pPr>
        <w:jc w:val="both"/>
        <w:ind w:left="340" w:firstLine="1288"/>
        <w:spacing w:after="0" w:line="302" w:lineRule="auto"/>
        <w:tabs>
          <w:tab w:leader="none" w:pos="1955" w:val="left"/>
        </w:tabs>
        <w:numPr>
          <w:ilvl w:val="0"/>
          <w:numId w:val="264"/>
        </w:numPr>
        <w:rPr>
          <w:rFonts w:ascii="Arial" w:cs="Arial" w:eastAsia="Arial" w:hAnsi="Arial"/>
          <w:sz w:val="19"/>
          <w:szCs w:val="19"/>
          <w:color w:val="auto"/>
        </w:rPr>
      </w:pPr>
      <w:r>
        <w:rPr>
          <w:rFonts w:ascii="Arial" w:cs="Arial" w:eastAsia="Arial" w:hAnsi="Arial"/>
          <w:sz w:val="19"/>
          <w:szCs w:val="19"/>
          <w:color w:val="auto"/>
        </w:rPr>
        <w:t>As of any date of determination, the “</w:t>
      </w:r>
      <w:r>
        <w:rPr>
          <w:rFonts w:ascii="Arial" w:cs="Arial" w:eastAsia="Arial" w:hAnsi="Arial"/>
          <w:sz w:val="19"/>
          <w:szCs w:val="19"/>
          <w:u w:val="single" w:color="auto"/>
          <w:color w:val="auto"/>
        </w:rPr>
        <w:t>Allocable Amount</w:t>
      </w:r>
      <w:r>
        <w:rPr>
          <w:rFonts w:ascii="Arial" w:cs="Arial" w:eastAsia="Arial" w:hAnsi="Arial"/>
          <w:sz w:val="19"/>
          <w:szCs w:val="19"/>
          <w:color w:val="auto"/>
        </w:rPr>
        <w:t xml:space="preserve">” of any Credit Party shall be equal to the maximum amount of the claim that could then be recovered from such Credit Party under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without rendering such claim voidable or avoidable under Section 548 of Chapter 11 of the Bankruptcy Code or under any applicable state Uniform Fraudulent Transfer Act, Uniform Fraudulent Conveyance Act or similar statute or common law.</w:t>
      </w:r>
    </w:p>
    <w:p>
      <w:pPr>
        <w:sectPr>
          <w:pgSz w:w="11900" w:h="16838" w:orient="portrait"/>
          <w:cols w:equalWidth="0" w:num="1">
            <w:col w:w="11240"/>
          </w:cols>
          <w:pgMar w:left="320" w:top="1428" w:right="339" w:bottom="1440" w:gutter="0" w:footer="0" w:header="0"/>
        </w:sectPr>
      </w:pPr>
    </w:p>
    <w:bookmarkStart w:id="314" w:name="page315"/>
    <w:bookmarkEnd w:id="314"/>
    <w:p>
      <w:pPr>
        <w:jc w:val="both"/>
        <w:ind w:left="340" w:firstLine="1288"/>
        <w:spacing w:after="0" w:line="261" w:lineRule="auto"/>
        <w:tabs>
          <w:tab w:leader="none" w:pos="1957" w:val="left"/>
        </w:tabs>
        <w:numPr>
          <w:ilvl w:val="0"/>
          <w:numId w:val="265"/>
        </w:numPr>
        <w:rPr>
          <w:rFonts w:ascii="Arial" w:cs="Arial" w:eastAsia="Arial" w:hAnsi="Arial"/>
          <w:sz w:val="21"/>
          <w:szCs w:val="21"/>
          <w:color w:val="auto"/>
        </w:rPr>
      </w:pPr>
      <w:r>
        <w:rPr>
          <w:rFonts w:ascii="Arial" w:cs="Arial" w:eastAsia="Arial" w:hAnsi="Arial"/>
          <w:sz w:val="21"/>
          <w:szCs w:val="21"/>
          <w:color w:val="auto"/>
        </w:rPr>
        <w:t xml:space="preserve">This </w:t>
      </w:r>
      <w:r>
        <w:rPr>
          <w:rFonts w:ascii="Arial" w:cs="Arial" w:eastAsia="Arial" w:hAnsi="Arial"/>
          <w:sz w:val="21"/>
          <w:szCs w:val="21"/>
          <w:u w:val="single" w:color="auto"/>
          <w:color w:val="auto"/>
        </w:rPr>
        <w:t>Section 13.7</w:t>
      </w:r>
      <w:r>
        <w:rPr>
          <w:rFonts w:ascii="Arial" w:cs="Arial" w:eastAsia="Arial" w:hAnsi="Arial"/>
          <w:sz w:val="21"/>
          <w:szCs w:val="21"/>
          <w:color w:val="auto"/>
        </w:rPr>
        <w:t xml:space="preserve"> is intended only to define the relative rights of the Credit Parties and nothing set forth in this </w:t>
      </w:r>
      <w:r>
        <w:rPr>
          <w:rFonts w:ascii="Arial" w:cs="Arial" w:eastAsia="Arial" w:hAnsi="Arial"/>
          <w:sz w:val="21"/>
          <w:szCs w:val="21"/>
          <w:u w:val="single" w:color="auto"/>
          <w:color w:val="auto"/>
        </w:rPr>
        <w:t>Section 13.7</w:t>
      </w:r>
      <w:r>
        <w:rPr>
          <w:rFonts w:ascii="Arial" w:cs="Arial" w:eastAsia="Arial" w:hAnsi="Arial"/>
          <w:sz w:val="21"/>
          <w:szCs w:val="21"/>
          <w:color w:val="auto"/>
        </w:rPr>
        <w:t xml:space="preserve"> is intended to or shall impair the obligations of the Credit Parties, jointly and severally, to pay any amounts as and when the same shall become due and payable in accordance with the terms of, and subject to the limitations contained in, this Agreement, including </w:t>
      </w:r>
      <w:r>
        <w:rPr>
          <w:rFonts w:ascii="Arial" w:cs="Arial" w:eastAsia="Arial" w:hAnsi="Arial"/>
          <w:sz w:val="21"/>
          <w:szCs w:val="21"/>
          <w:u w:val="single" w:color="auto"/>
          <w:color w:val="auto"/>
        </w:rPr>
        <w:t>Section 13.1</w:t>
      </w:r>
      <w:r>
        <w:rPr>
          <w:rFonts w:ascii="Arial" w:cs="Arial" w:eastAsia="Arial" w:hAnsi="Arial"/>
          <w:sz w:val="21"/>
          <w:szCs w:val="21"/>
          <w:color w:val="auto"/>
        </w:rPr>
        <w:t xml:space="preserve">. Nothing contained in this </w:t>
      </w:r>
      <w:r>
        <w:rPr>
          <w:rFonts w:ascii="Arial" w:cs="Arial" w:eastAsia="Arial" w:hAnsi="Arial"/>
          <w:sz w:val="21"/>
          <w:szCs w:val="21"/>
          <w:u w:val="single" w:color="auto"/>
          <w:color w:val="auto"/>
        </w:rPr>
        <w:t>Section 13.7</w:t>
      </w:r>
      <w:r>
        <w:rPr>
          <w:rFonts w:ascii="Arial" w:cs="Arial" w:eastAsia="Arial" w:hAnsi="Arial"/>
          <w:sz w:val="21"/>
          <w:szCs w:val="21"/>
          <w:color w:val="auto"/>
        </w:rPr>
        <w:t xml:space="preserve"> shall limit the liability of any Borrower to pay the Loans made directly or indirectly to that Borrower and accrued interest, Fees and expenses with respect thereto for which such Borrower shall be primarily liable.</w:t>
      </w:r>
    </w:p>
    <w:p>
      <w:pPr>
        <w:spacing w:after="0" w:line="179" w:lineRule="exact"/>
        <w:rPr>
          <w:rFonts w:ascii="Arial" w:cs="Arial" w:eastAsia="Arial" w:hAnsi="Arial"/>
          <w:sz w:val="21"/>
          <w:szCs w:val="21"/>
          <w:color w:val="auto"/>
        </w:rPr>
      </w:pPr>
    </w:p>
    <w:p>
      <w:pPr>
        <w:ind w:left="340" w:firstLine="1288"/>
        <w:spacing w:after="0" w:line="263" w:lineRule="auto"/>
        <w:tabs>
          <w:tab w:leader="none" w:pos="1955" w:val="left"/>
        </w:tabs>
        <w:numPr>
          <w:ilvl w:val="0"/>
          <w:numId w:val="265"/>
        </w:numPr>
        <w:rPr>
          <w:rFonts w:ascii="Arial" w:cs="Arial" w:eastAsia="Arial" w:hAnsi="Arial"/>
          <w:sz w:val="22"/>
          <w:szCs w:val="22"/>
          <w:color w:val="auto"/>
        </w:rPr>
      </w:pPr>
      <w:r>
        <w:rPr>
          <w:rFonts w:ascii="Arial" w:cs="Arial" w:eastAsia="Arial" w:hAnsi="Arial"/>
          <w:sz w:val="22"/>
          <w:szCs w:val="22"/>
          <w:color w:val="auto"/>
        </w:rPr>
        <w:t>The parties hereto acknowledge that the rights of contribution and indemnification hereunder shall constitute assets of the Credit Parties to which such contribution and indemnification is owing.</w:t>
      </w:r>
    </w:p>
    <w:p>
      <w:pPr>
        <w:spacing w:after="0" w:line="174" w:lineRule="exact"/>
        <w:rPr>
          <w:rFonts w:ascii="Arial" w:cs="Arial" w:eastAsia="Arial" w:hAnsi="Arial"/>
          <w:sz w:val="22"/>
          <w:szCs w:val="22"/>
          <w:color w:val="auto"/>
        </w:rPr>
      </w:pPr>
    </w:p>
    <w:p>
      <w:pPr>
        <w:ind w:left="340" w:firstLine="1288"/>
        <w:spacing w:after="0" w:line="343" w:lineRule="auto"/>
        <w:tabs>
          <w:tab w:leader="none" w:pos="1957" w:val="left"/>
        </w:tabs>
        <w:numPr>
          <w:ilvl w:val="0"/>
          <w:numId w:val="265"/>
        </w:numPr>
        <w:rPr>
          <w:rFonts w:ascii="Arial" w:cs="Arial" w:eastAsia="Arial" w:hAnsi="Arial"/>
          <w:sz w:val="19"/>
          <w:szCs w:val="19"/>
          <w:color w:val="auto"/>
        </w:rPr>
      </w:pPr>
      <w:r>
        <w:rPr>
          <w:rFonts w:ascii="Arial" w:cs="Arial" w:eastAsia="Arial" w:hAnsi="Arial"/>
          <w:sz w:val="19"/>
          <w:szCs w:val="19"/>
          <w:color w:val="auto"/>
        </w:rPr>
        <w:t xml:space="preserve">The rights of the indemnifying Credit Parties against other Credit Parties under this </w:t>
      </w:r>
      <w:r>
        <w:rPr>
          <w:rFonts w:ascii="Arial" w:cs="Arial" w:eastAsia="Arial" w:hAnsi="Arial"/>
          <w:sz w:val="19"/>
          <w:szCs w:val="19"/>
          <w:u w:val="single" w:color="auto"/>
          <w:color w:val="auto"/>
        </w:rPr>
        <w:t>Section 13.7</w:t>
      </w:r>
      <w:r>
        <w:rPr>
          <w:rFonts w:ascii="Arial" w:cs="Arial" w:eastAsia="Arial" w:hAnsi="Arial"/>
          <w:sz w:val="19"/>
          <w:szCs w:val="19"/>
          <w:color w:val="auto"/>
        </w:rPr>
        <w:t xml:space="preserve"> shall be exercisable upon the full and indefeasible payment of the Obligations and the termination of the Commitments.</w:t>
      </w:r>
    </w:p>
    <w:p>
      <w:pPr>
        <w:spacing w:after="0" w:line="10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13.8 </w:t>
      </w:r>
      <w:r>
        <w:rPr>
          <w:rFonts w:ascii="Arial" w:cs="Arial" w:eastAsia="Arial" w:hAnsi="Arial"/>
          <w:sz w:val="19"/>
          <w:szCs w:val="19"/>
          <w:u w:val="single" w:color="auto"/>
          <w:color w:val="auto"/>
        </w:rPr>
        <w:t>Liability Cumulative</w:t>
      </w:r>
      <w:r>
        <w:rPr>
          <w:rFonts w:ascii="Arial" w:cs="Arial" w:eastAsia="Arial" w:hAnsi="Arial"/>
          <w:sz w:val="19"/>
          <w:szCs w:val="19"/>
          <w:color w:val="auto"/>
        </w:rPr>
        <w:t xml:space="preserve">. The liability of each Credit Party under this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is in addition to and shall be cumulative with all liabilities of such Credit Party to Agent and Lenders under this Agreement and the other Loan Documents to which such Credit Party is a party or in respect of any Obligations or obligation of the other Credit Parties, without any limitation as to amount, unless the instrument or agreement evidencing or creating such other liability specifically provides to the contrary.</w:t>
      </w:r>
    </w:p>
    <w:p>
      <w:pPr>
        <w:spacing w:after="0" w:line="14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13.9 </w:t>
      </w:r>
      <w:r>
        <w:rPr>
          <w:rFonts w:ascii="Arial" w:cs="Arial" w:eastAsia="Arial" w:hAnsi="Arial"/>
          <w:sz w:val="21"/>
          <w:szCs w:val="21"/>
          <w:u w:val="single" w:color="auto"/>
          <w:color w:val="auto"/>
        </w:rPr>
        <w:t>Obligations of the Canadian Credit Parties</w:t>
      </w:r>
      <w:r>
        <w:rPr>
          <w:rFonts w:ascii="Arial" w:cs="Arial" w:eastAsia="Arial" w:hAnsi="Arial"/>
          <w:sz w:val="21"/>
          <w:szCs w:val="21"/>
          <w:color w:val="auto"/>
        </w:rPr>
        <w:t>. Notwithstanding anything in this Agreement or any other Loan Document to the contrary, (i) no Canadian Credit Party shall be liable or in any manner responsible for, or be deemed to have guaranteed, directly or indirectly, whether as a primary obligor, guarantor, indemnitor, or otherwise, and none of their assets shall secure, directly or indirectly, any Obligations of any U.S. Borrower or U.S. Guarantor (including, without limitation, principal, interest, fees, penalties, premiums, expenses, charges, reimbursements, indemnities or any other Obligations) under this Agreement or any other Loan Document, (ii) no Collateral or other assets of any Canadian Credit Party nor any collections on or proceeds of, any such Collateral or other assets shall be applied to the Obligations of any U.S. Borrower or U.S. Guarantor under this Agreement or any other Loan Document and (iii) no Canadian Credit Party shall be obligated to make any payment hereunder or under any other Loan Document on behalf of, or with respect to, any Obligation of any U.S. Borrower or U.S. Guarantor.</w:t>
      </w:r>
    </w:p>
    <w:p>
      <w:pPr>
        <w:spacing w:after="0" w:line="18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13.10 </w:t>
      </w:r>
      <w:r>
        <w:rPr>
          <w:rFonts w:ascii="Arial" w:cs="Arial" w:eastAsia="Arial" w:hAnsi="Arial"/>
          <w:sz w:val="19"/>
          <w:szCs w:val="19"/>
          <w:u w:val="single" w:color="auto"/>
          <w:color w:val="auto"/>
        </w:rPr>
        <w:t>Name of Agreement</w:t>
      </w:r>
      <w:r>
        <w:rPr>
          <w:rFonts w:ascii="Arial" w:cs="Arial" w:eastAsia="Arial" w:hAnsi="Arial"/>
          <w:sz w:val="19"/>
          <w:szCs w:val="19"/>
          <w:color w:val="auto"/>
        </w:rPr>
        <w:t>. (a) Immediately and automatically upon the Restatement Date, Parent Borrower hereby terminates all “Commitments” under (and as defined in) the Existing Credit Agreement. The Lenders party hereto that are also party to the Existing Credit Agreement, who collectively constitute the “Requisite Lenders” under the Existing Credit Agreement, hereby waive any requirement of prior notice for termination of all such “Commitments”. Morgan Stanley Senior Funding Inc., as Agent under the Existing Credit Agreement, agrees to enter into a customary payoff letter relating to the Existing Credit Agreement acknowledging the payment in full of the obligations under the Existing Credit</w:t>
      </w:r>
    </w:p>
    <w:p>
      <w:pPr>
        <w:sectPr>
          <w:pgSz w:w="11900" w:h="16838" w:orient="portrait"/>
          <w:cols w:equalWidth="0" w:num="1">
            <w:col w:w="11240"/>
          </w:cols>
          <w:pgMar w:left="320" w:top="1428" w:right="339" w:bottom="1440" w:gutter="0" w:footer="0" w:header="0"/>
        </w:sectPr>
      </w:pPr>
    </w:p>
    <w:bookmarkStart w:id="315" w:name="page316"/>
    <w:bookmarkEnd w:id="315"/>
    <w:p>
      <w:pPr>
        <w:jc w:val="both"/>
        <w:spacing w:after="0" w:line="253" w:lineRule="auto"/>
        <w:rPr>
          <w:sz w:val="20"/>
          <w:szCs w:val="20"/>
          <w:color w:val="auto"/>
        </w:rPr>
      </w:pPr>
      <w:r>
        <w:rPr>
          <w:rFonts w:ascii="Arial" w:cs="Arial" w:eastAsia="Arial" w:hAnsi="Arial"/>
          <w:sz w:val="22"/>
          <w:szCs w:val="22"/>
          <w:color w:val="auto"/>
        </w:rPr>
        <w:t>Agreement and the related Loan Documents (other than “Bank Products Obligations” and “Secured Hedging Obligations”, each as defined in the Existing Credit Agreement) and authorizing any necessary or desirable filings or other actions to evidence the payment in full of such obligations promptly following the Restatement Date.</w:t>
      </w:r>
    </w:p>
    <w:p>
      <w:pPr>
        <w:spacing w:after="0" w:line="185" w:lineRule="exact"/>
        <w:rPr>
          <w:sz w:val="20"/>
          <w:szCs w:val="20"/>
          <w:color w:val="auto"/>
        </w:rPr>
      </w:pPr>
    </w:p>
    <w:p>
      <w:pPr>
        <w:jc w:val="both"/>
        <w:ind w:firstLine="444"/>
        <w:spacing w:after="0" w:line="271" w:lineRule="auto"/>
        <w:tabs>
          <w:tab w:leader="none" w:pos="738" w:val="left"/>
        </w:tabs>
        <w:numPr>
          <w:ilvl w:val="0"/>
          <w:numId w:val="266"/>
        </w:numPr>
        <w:rPr>
          <w:rFonts w:ascii="Arial" w:cs="Arial" w:eastAsia="Arial" w:hAnsi="Arial"/>
          <w:sz w:val="21"/>
          <w:szCs w:val="21"/>
          <w:color w:val="auto"/>
        </w:rPr>
      </w:pPr>
      <w:r>
        <w:rPr>
          <w:rFonts w:ascii="Arial" w:cs="Arial" w:eastAsia="Arial" w:hAnsi="Arial"/>
          <w:sz w:val="21"/>
          <w:szCs w:val="21"/>
          <w:color w:val="auto"/>
        </w:rPr>
        <w:t>The parties hereto acknowledge and agree that this Agreement is referred to as being an “amendment and restatement” of the Existing Credit Agreement as a matter of convenience and that this Agreement shall for all purposes be treated as a replacement and refinancing of the Existing Credit Agreement and the “Obligations” thereunder.</w:t>
      </w:r>
    </w:p>
    <w:p>
      <w:pPr>
        <w:spacing w:after="0" w:line="16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13.11 </w:t>
      </w:r>
      <w:r>
        <w:rPr>
          <w:rFonts w:ascii="Arial" w:cs="Arial" w:eastAsia="Arial" w:hAnsi="Arial"/>
          <w:sz w:val="22"/>
          <w:szCs w:val="22"/>
          <w:u w:val="single" w:color="auto"/>
          <w:color w:val="auto"/>
        </w:rPr>
        <w:t>Release of Borrowers and Guarantors</w:t>
      </w:r>
      <w:r>
        <w:rPr>
          <w:rFonts w:ascii="Arial" w:cs="Arial" w:eastAsia="Arial" w:hAnsi="Arial"/>
          <w:sz w:val="22"/>
          <w:szCs w:val="22"/>
          <w:color w:val="auto"/>
        </w:rPr>
        <w:t>. The Obligations of any Credit Party (other than Parent Borrower) shall automatically terminate and be of no further force or effect and such Credit Party shall be automatically released from all obligations under this Agreement and all the Loan Documents upon:</w:t>
      </w:r>
    </w:p>
    <w:p>
      <w:pPr>
        <w:spacing w:after="0" w:line="185" w:lineRule="exact"/>
        <w:rPr>
          <w:sz w:val="20"/>
          <w:szCs w:val="20"/>
          <w:color w:val="auto"/>
        </w:rPr>
      </w:pPr>
    </w:p>
    <w:p>
      <w:pPr>
        <w:jc w:val="both"/>
        <w:ind w:left="340" w:firstLine="1288"/>
        <w:spacing w:after="0" w:line="250" w:lineRule="auto"/>
        <w:tabs>
          <w:tab w:leader="none" w:pos="1957"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sale, disposition, exchange or other transfer (including through merger, consolidation amalgamation or otherwise) of the Capital Stock (including any sale, disposition or other transfer following which the applicable Credit Party is no longer a Restricted Subsidiary), of the applicable Credit Party if such sale, disposition, exchange or other transfer is made in a manner not in violation of this Agreement; or</w:t>
      </w:r>
    </w:p>
    <w:p>
      <w:pPr>
        <w:spacing w:after="0" w:line="187" w:lineRule="exact"/>
        <w:rPr>
          <w:rFonts w:ascii="Arial" w:cs="Arial" w:eastAsia="Arial" w:hAnsi="Arial"/>
          <w:sz w:val="22"/>
          <w:szCs w:val="22"/>
          <w:color w:val="auto"/>
        </w:rPr>
      </w:pPr>
    </w:p>
    <w:p>
      <w:pPr>
        <w:ind w:left="340" w:firstLine="1288"/>
        <w:spacing w:after="0" w:line="263" w:lineRule="auto"/>
        <w:tabs>
          <w:tab w:leader="none" w:pos="1955" w:val="left"/>
        </w:tabs>
        <w:numPr>
          <w:ilvl w:val="0"/>
          <w:numId w:val="267"/>
        </w:numPr>
        <w:rPr>
          <w:rFonts w:ascii="Arial" w:cs="Arial" w:eastAsia="Arial" w:hAnsi="Arial"/>
          <w:sz w:val="22"/>
          <w:szCs w:val="22"/>
          <w:color w:val="auto"/>
        </w:rPr>
      </w:pPr>
      <w:r>
        <w:rPr>
          <w:rFonts w:ascii="Arial" w:cs="Arial" w:eastAsia="Arial" w:hAnsi="Arial"/>
          <w:sz w:val="22"/>
          <w:szCs w:val="22"/>
          <w:color w:val="auto"/>
        </w:rPr>
        <w:t>the designation of such Credit Party as an Unrestricted Subsidiary in accordance with the provisions of the definition of “Unrestricted Subsidiary”; or</w:t>
      </w:r>
    </w:p>
    <w:p>
      <w:pPr>
        <w:spacing w:after="0" w:line="174" w:lineRule="exact"/>
        <w:rPr>
          <w:rFonts w:ascii="Arial" w:cs="Arial" w:eastAsia="Arial" w:hAnsi="Arial"/>
          <w:sz w:val="22"/>
          <w:szCs w:val="22"/>
          <w:color w:val="auto"/>
        </w:rPr>
      </w:pPr>
    </w:p>
    <w:p>
      <w:pPr>
        <w:jc w:val="both"/>
        <w:ind w:left="340" w:firstLine="1288"/>
        <w:spacing w:after="0" w:line="248" w:lineRule="auto"/>
        <w:tabs>
          <w:tab w:leader="none" w:pos="1957" w:val="left"/>
        </w:tabs>
        <w:numPr>
          <w:ilvl w:val="0"/>
          <w:numId w:val="267"/>
        </w:numPr>
        <w:rPr>
          <w:rFonts w:ascii="Arial" w:cs="Arial" w:eastAsia="Arial" w:hAnsi="Arial"/>
          <w:sz w:val="22"/>
          <w:szCs w:val="22"/>
          <w:color w:val="auto"/>
        </w:rPr>
      </w:pPr>
      <w:r>
        <w:rPr>
          <w:rFonts w:ascii="Arial" w:cs="Arial" w:eastAsia="Arial" w:hAnsi="Arial"/>
          <w:sz w:val="22"/>
          <w:szCs w:val="22"/>
          <w:u w:val="single" w:color="auto"/>
          <w:color w:val="0000FF"/>
        </w:rPr>
        <w:t>(i)</w:t>
      </w:r>
      <w:r>
        <w:rPr>
          <w:rFonts w:ascii="Arial" w:cs="Arial" w:eastAsia="Arial" w:hAnsi="Arial"/>
          <w:sz w:val="22"/>
          <w:szCs w:val="22"/>
          <w:color w:val="0000FF"/>
        </w:rPr>
        <w:t xml:space="preserve"> </w:t>
      </w:r>
      <w:r>
        <w:rPr>
          <w:rFonts w:ascii="Arial" w:cs="Arial" w:eastAsia="Arial" w:hAnsi="Arial"/>
          <w:sz w:val="22"/>
          <w:szCs w:val="22"/>
          <w:color w:val="000000"/>
        </w:rPr>
        <w:t>such Subsidiary becomes an Excluded Subsidiary (as evidenced by a notice in writing from an Officer</w:t>
      </w:r>
      <w:r>
        <w:rPr>
          <w:rFonts w:ascii="Arial" w:cs="Arial" w:eastAsia="Arial" w:hAnsi="Arial"/>
          <w:sz w:val="22"/>
          <w:szCs w:val="22"/>
          <w:color w:val="0000FF"/>
        </w:rPr>
        <w:t xml:space="preserve"> </w:t>
      </w:r>
      <w:r>
        <w:rPr>
          <w:rFonts w:ascii="Arial" w:cs="Arial" w:eastAsia="Arial" w:hAnsi="Arial"/>
          <w:sz w:val="22"/>
          <w:szCs w:val="22"/>
          <w:color w:val="000000"/>
        </w:rPr>
        <w:t xml:space="preserve">of Parent Borrower) </w:t>
      </w:r>
      <w:r>
        <w:rPr>
          <w:rFonts w:ascii="Arial" w:cs="Arial" w:eastAsia="Arial" w:hAnsi="Arial"/>
          <w:sz w:val="22"/>
          <w:szCs w:val="22"/>
          <w:color w:val="0000FF"/>
        </w:rPr>
        <w:t>or (ii) Parent Borrower re-designates a Designated Guarantor as an Excluded Subsidiary, so long as, in</w:t>
      </w:r>
      <w:r>
        <w:rPr>
          <w:rFonts w:ascii="Arial" w:cs="Arial" w:eastAsia="Arial" w:hAnsi="Arial"/>
          <w:sz w:val="22"/>
          <w:szCs w:val="22"/>
          <w:color w:val="000000"/>
        </w:rPr>
        <w:t xml:space="preserve"> </w:t>
      </w:r>
      <w:r>
        <w:rPr>
          <w:rFonts w:ascii="Arial" w:cs="Arial" w:eastAsia="Arial" w:hAnsi="Arial"/>
          <w:sz w:val="22"/>
          <w:szCs w:val="22"/>
          <w:u w:val="single" w:color="auto"/>
          <w:color w:val="0000FF"/>
        </w:rPr>
        <w:t>the case of this clause (ii), prior to such re-designation Parent Borrower shall have delivered to Agent an updated Borrowing Base Certificate reflecting that no Overadvance shall have occurred after giving pro forma effect to the removal from the Borrowing Base of such Designated Guarantor’s assets</w:t>
      </w:r>
      <w:r>
        <w:rPr>
          <w:rFonts w:ascii="Arial" w:cs="Arial" w:eastAsia="Arial" w:hAnsi="Arial"/>
          <w:sz w:val="22"/>
          <w:szCs w:val="22"/>
          <w:color w:val="000000"/>
        </w:rPr>
        <w:t>; or</w:t>
      </w:r>
    </w:p>
    <w:p>
      <w:pPr>
        <w:spacing w:after="0" w:line="191" w:lineRule="exact"/>
        <w:rPr>
          <w:rFonts w:ascii="Arial" w:cs="Arial" w:eastAsia="Arial" w:hAnsi="Arial"/>
          <w:sz w:val="22"/>
          <w:szCs w:val="22"/>
          <w:color w:val="auto"/>
        </w:rPr>
      </w:pPr>
    </w:p>
    <w:p>
      <w:pPr>
        <w:ind w:left="1940" w:hanging="312"/>
        <w:spacing w:after="0"/>
        <w:tabs>
          <w:tab w:leader="none" w:pos="1940" w:val="left"/>
        </w:tabs>
        <w:numPr>
          <w:ilvl w:val="0"/>
          <w:numId w:val="267"/>
        </w:numPr>
        <w:rPr>
          <w:rFonts w:ascii="Arial" w:cs="Arial" w:eastAsia="Arial" w:hAnsi="Arial"/>
          <w:sz w:val="22"/>
          <w:szCs w:val="22"/>
          <w:color w:val="auto"/>
        </w:rPr>
      </w:pPr>
      <w:r>
        <w:rPr>
          <w:rFonts w:ascii="Arial" w:cs="Arial" w:eastAsia="Arial" w:hAnsi="Arial"/>
          <w:sz w:val="22"/>
          <w:szCs w:val="22"/>
          <w:color w:val="auto"/>
        </w:rPr>
        <w:t>repayment of all of the Loans and termination of all of the Commitments hereunder.</w:t>
      </w:r>
    </w:p>
    <w:p>
      <w:pPr>
        <w:spacing w:after="0" w:line="219" w:lineRule="exact"/>
        <w:rPr>
          <w:rFonts w:ascii="Arial" w:cs="Arial" w:eastAsia="Arial" w:hAnsi="Arial"/>
          <w:sz w:val="22"/>
          <w:szCs w:val="22"/>
          <w:color w:val="auto"/>
        </w:rPr>
      </w:pPr>
    </w:p>
    <w:p>
      <w:pPr>
        <w:jc w:val="both"/>
        <w:ind w:left="340" w:firstLine="1288"/>
        <w:spacing w:after="0" w:line="290" w:lineRule="auto"/>
        <w:tabs>
          <w:tab w:leader="none" w:pos="1957" w:val="left"/>
        </w:tabs>
        <w:numPr>
          <w:ilvl w:val="0"/>
          <w:numId w:val="267"/>
        </w:numPr>
        <w:rPr>
          <w:rFonts w:ascii="Arial" w:cs="Arial" w:eastAsia="Arial" w:hAnsi="Arial"/>
          <w:sz w:val="19"/>
          <w:szCs w:val="19"/>
          <w:color w:val="auto"/>
        </w:rPr>
      </w:pPr>
      <w:r>
        <w:rPr>
          <w:rFonts w:ascii="Arial" w:cs="Arial" w:eastAsia="Arial" w:hAnsi="Arial"/>
          <w:sz w:val="19"/>
          <w:szCs w:val="19"/>
          <w:u w:val="single" w:color="auto"/>
          <w:color w:val="auto"/>
        </w:rPr>
        <w:t>Additional Borrowers</w:t>
      </w:r>
      <w:r>
        <w:rPr>
          <w:rFonts w:ascii="Arial" w:cs="Arial" w:eastAsia="Arial" w:hAnsi="Arial"/>
          <w:sz w:val="19"/>
          <w:szCs w:val="19"/>
          <w:color w:val="auto"/>
        </w:rPr>
        <w:t xml:space="preserve">. Upon the request of Parent Borrower from time to time, any direct or indirect Wholly Owned Restricted Subsidiary that is a Domestic Subsidiary or organized under the laws of Canada (or any province or territory thereof) (including any such Subsidiary that is already a Guarantor at such time) may become a U.S. Borrower or a Canadian Borrower, respectively, hereunder, effective upon the execution and delivery to Agent by such Wholly Owned Restricted Subsidiary, of (i) an instrument of accession or joinder to this Agreement, (ii) any other Collateral Documents and other documents that such Domestic Subsidiary would be required to deliver pursuant to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if it were becoming a Guarantor (with such modifications thereto as are reasonably necessary to accommodate such Subsidiary becoming a Borrower and not a Guarantor) as may be reasonably requested by Agent and (iii) all documentation and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1332230</wp:posOffset>
            </wp:positionH>
            <wp:positionV relativeFrom="paragraph">
              <wp:posOffset>-2287270</wp:posOffset>
            </wp:positionV>
            <wp:extent cx="58045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5804535" cy="8890"/>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316" w:name="page317"/>
    <w:bookmarkEnd w:id="316"/>
    <w:p>
      <w:pPr>
        <w:ind w:left="340"/>
        <w:spacing w:after="0" w:line="263" w:lineRule="auto"/>
        <w:rPr>
          <w:sz w:val="20"/>
          <w:szCs w:val="20"/>
          <w:color w:val="auto"/>
        </w:rPr>
      </w:pPr>
      <w:r>
        <w:rPr>
          <w:rFonts w:ascii="Arial" w:cs="Arial" w:eastAsia="Arial" w:hAnsi="Arial"/>
          <w:sz w:val="22"/>
          <w:szCs w:val="22"/>
          <w:color w:val="auto"/>
        </w:rPr>
        <w:t>required by Governmental Authorities under applicable “know your customer” and anti-money laundering rules and regulations, including the Patriot Act, in each case to the extent requested by Agent from Parent Borrower.</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13.12 </w:t>
      </w:r>
      <w:r>
        <w:rPr>
          <w:rFonts w:ascii="Arial" w:cs="Arial" w:eastAsia="Arial" w:hAnsi="Arial"/>
          <w:sz w:val="22"/>
          <w:szCs w:val="22"/>
          <w:u w:val="single" w:color="auto"/>
          <w:color w:val="auto"/>
        </w:rPr>
        <w:t>Acknowledgement and Consent to Bail-In of EEA Financial Institutions</w:t>
      </w:r>
      <w:r>
        <w:rPr>
          <w:rFonts w:ascii="Arial" w:cs="Arial" w:eastAsia="Arial" w:hAnsi="Arial"/>
          <w:sz w:val="22"/>
          <w:szCs w:val="22"/>
          <w:color w:val="auto"/>
        </w:rPr>
        <w:t>. 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92" w:lineRule="exact"/>
        <w:rPr>
          <w:sz w:val="20"/>
          <w:szCs w:val="20"/>
          <w:color w:val="auto"/>
        </w:rPr>
      </w:pPr>
    </w:p>
    <w:p>
      <w:pPr>
        <w:ind w:left="180" w:firstLine="1286"/>
        <w:spacing w:after="0" w:line="343" w:lineRule="auto"/>
        <w:tabs>
          <w:tab w:leader="none" w:pos="1959" w:val="left"/>
        </w:tabs>
        <w:numPr>
          <w:ilvl w:val="0"/>
          <w:numId w:val="268"/>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an EEA Resolution Authority to any such liabilities arising hereunder which may be payable to it by any party hereto that is an EEA Financial Institution; and</w:t>
      </w:r>
    </w:p>
    <w:p>
      <w:pPr>
        <w:spacing w:after="0" w:line="104" w:lineRule="exact"/>
        <w:rPr>
          <w:rFonts w:ascii="Arial" w:cs="Arial" w:eastAsia="Arial" w:hAnsi="Arial"/>
          <w:sz w:val="19"/>
          <w:szCs w:val="19"/>
          <w:color w:val="auto"/>
        </w:rPr>
      </w:pPr>
    </w:p>
    <w:p>
      <w:pPr>
        <w:ind w:left="1940" w:hanging="474"/>
        <w:spacing w:after="0"/>
        <w:tabs>
          <w:tab w:leader="none" w:pos="1940" w:val="left"/>
        </w:tabs>
        <w:numPr>
          <w:ilvl w:val="0"/>
          <w:numId w:val="268"/>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19" w:lineRule="exact"/>
        <w:rPr>
          <w:rFonts w:ascii="Arial" w:cs="Arial" w:eastAsia="Arial" w:hAnsi="Arial"/>
          <w:sz w:val="22"/>
          <w:szCs w:val="22"/>
          <w:color w:val="auto"/>
        </w:rPr>
      </w:pPr>
    </w:p>
    <w:p>
      <w:pPr>
        <w:ind w:left="2600" w:hanging="528"/>
        <w:spacing w:after="0"/>
        <w:tabs>
          <w:tab w:leader="none" w:pos="2600" w:val="left"/>
        </w:tabs>
        <w:numPr>
          <w:ilvl w:val="1"/>
          <w:numId w:val="268"/>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19" w:lineRule="exact"/>
        <w:rPr>
          <w:rFonts w:ascii="Arial" w:cs="Arial" w:eastAsia="Arial" w:hAnsi="Arial"/>
          <w:sz w:val="22"/>
          <w:szCs w:val="22"/>
          <w:color w:val="auto"/>
        </w:rPr>
      </w:pPr>
    </w:p>
    <w:p>
      <w:pPr>
        <w:jc w:val="both"/>
        <w:ind w:left="340" w:firstLine="1672"/>
        <w:spacing w:after="0" w:line="250" w:lineRule="auto"/>
        <w:tabs>
          <w:tab w:leader="none" w:pos="2608" w:val="left"/>
        </w:tabs>
        <w:numPr>
          <w:ilvl w:val="1"/>
          <w:numId w:val="268"/>
        </w:numPr>
        <w:rPr>
          <w:rFonts w:ascii="Arial" w:cs="Arial" w:eastAsia="Arial" w:hAnsi="Arial"/>
          <w:sz w:val="22"/>
          <w:szCs w:val="22"/>
          <w:color w:val="auto"/>
        </w:rPr>
      </w:pPr>
      <w:r>
        <w:rPr>
          <w:rFonts w:ascii="Arial" w:cs="Arial" w:eastAsia="Arial" w:hAnsi="Arial"/>
          <w:sz w:val="22"/>
          <w:szCs w:val="22"/>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7" w:lineRule="exact"/>
        <w:rPr>
          <w:rFonts w:ascii="Arial" w:cs="Arial" w:eastAsia="Arial" w:hAnsi="Arial"/>
          <w:sz w:val="22"/>
          <w:szCs w:val="22"/>
          <w:color w:val="auto"/>
        </w:rPr>
      </w:pPr>
    </w:p>
    <w:p>
      <w:pPr>
        <w:ind w:left="340" w:firstLine="1612"/>
        <w:spacing w:after="0" w:line="263" w:lineRule="auto"/>
        <w:tabs>
          <w:tab w:leader="none" w:pos="2674" w:val="left"/>
        </w:tabs>
        <w:numPr>
          <w:ilvl w:val="1"/>
          <w:numId w:val="268"/>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any EEA Resolution Authority.</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u w:val="single" w:color="auto"/>
          <w:color w:val="0000FF"/>
        </w:rPr>
        <w:t>13.13 Acknowledgement Regarding Any Supported QFCs. To the extent that the Loan Documents provide support, through a guarantee or otherwise, for Secured Hedge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6" w:lineRule="exact"/>
        <w:rPr>
          <w:sz w:val="20"/>
          <w:szCs w:val="20"/>
          <w:color w:val="auto"/>
        </w:rPr>
      </w:pPr>
    </w:p>
    <w:p>
      <w:pPr>
        <w:jc w:val="both"/>
        <w:ind w:left="340" w:firstLine="1288"/>
        <w:spacing w:after="0" w:line="265" w:lineRule="auto"/>
        <w:tabs>
          <w:tab w:leader="none" w:pos="1957" w:val="left"/>
        </w:tabs>
        <w:numPr>
          <w:ilvl w:val="0"/>
          <w:numId w:val="269"/>
        </w:numPr>
        <w:rPr>
          <w:rFonts w:ascii="Arial" w:cs="Arial" w:eastAsia="Arial" w:hAnsi="Arial"/>
          <w:sz w:val="21"/>
          <w:szCs w:val="21"/>
          <w:u w:val="single" w:color="auto"/>
          <w:color w:val="0000FF"/>
        </w:rPr>
      </w:pPr>
      <w:r>
        <w:rPr>
          <w:rFonts w:ascii="Arial" w:cs="Arial" w:eastAsia="Arial" w:hAnsi="Arial"/>
          <w:sz w:val="21"/>
          <w:szCs w:val="21"/>
          <w:u w:val="single" w:color="auto"/>
          <w:color w:val="0000FF"/>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w:t>
      </w:r>
    </w:p>
    <w:p>
      <w:pPr>
        <w:sectPr>
          <w:pgSz w:w="11900" w:h="16838" w:orient="portrait"/>
          <w:cols w:equalWidth="0" w:num="1">
            <w:col w:w="11240"/>
          </w:cols>
          <w:pgMar w:left="320" w:top="1428" w:right="339" w:bottom="1440" w:gutter="0" w:footer="0" w:header="0"/>
        </w:sectPr>
      </w:pPr>
    </w:p>
    <w:bookmarkStart w:id="317" w:name="page318"/>
    <w:bookmarkEnd w:id="317"/>
    <w:p>
      <w:pPr>
        <w:jc w:val="both"/>
        <w:spacing w:after="0" w:line="288" w:lineRule="auto"/>
        <w:rPr>
          <w:sz w:val="20"/>
          <w:szCs w:val="20"/>
          <w:color w:val="auto"/>
        </w:rPr>
      </w:pPr>
      <w:r>
        <w:rPr>
          <w:rFonts w:ascii="Arial" w:cs="Arial" w:eastAsia="Arial" w:hAnsi="Arial"/>
          <w:sz w:val="19"/>
          <w:szCs w:val="19"/>
          <w:u w:val="single" w:color="auto"/>
          <w:color w:val="0000FF"/>
        </w:rPr>
        <w:t>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Resolutions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9" w:lineRule="exact"/>
        <w:rPr>
          <w:sz w:val="20"/>
          <w:szCs w:val="20"/>
          <w:color w:val="auto"/>
        </w:rPr>
      </w:pPr>
    </w:p>
    <w:p>
      <w:pPr>
        <w:ind w:left="1280"/>
        <w:spacing w:after="0"/>
        <w:rPr>
          <w:sz w:val="20"/>
          <w:szCs w:val="20"/>
          <w:color w:val="auto"/>
        </w:rPr>
      </w:pPr>
      <w:r>
        <w:rPr>
          <w:rFonts w:ascii="Arial" w:cs="Arial" w:eastAsia="Arial" w:hAnsi="Arial"/>
          <w:sz w:val="22"/>
          <w:szCs w:val="22"/>
          <w:u w:val="single" w:color="auto"/>
          <w:color w:val="0000FF"/>
        </w:rPr>
        <w:t>(b) As used in this Section 13.13, the following terms have the following meanings:</w:t>
      </w:r>
    </w:p>
    <w:p>
      <w:pPr>
        <w:spacing w:after="0" w:line="220" w:lineRule="exact"/>
        <w:rPr>
          <w:sz w:val="20"/>
          <w:szCs w:val="20"/>
          <w:color w:val="auto"/>
        </w:rPr>
      </w:pPr>
    </w:p>
    <w:p>
      <w:pPr>
        <w:ind w:left="960"/>
        <w:spacing w:after="0" w:line="263" w:lineRule="auto"/>
        <w:rPr>
          <w:sz w:val="20"/>
          <w:szCs w:val="20"/>
          <w:color w:val="auto"/>
        </w:rPr>
      </w:pPr>
      <w:r>
        <w:rPr>
          <w:rFonts w:ascii="Arial" w:cs="Arial" w:eastAsia="Arial" w:hAnsi="Arial"/>
          <w:sz w:val="22"/>
          <w:szCs w:val="22"/>
          <w:u w:val="single" w:color="auto"/>
          <w:color w:val="0000FF"/>
        </w:rPr>
        <w:t>“BHC Act Affiliate” of a party means an “affiliate” (as such term is defined under, and interpreted in accordance with, 12 U.S.C. 1841(k)) of such party.</w:t>
      </w:r>
    </w:p>
    <w:p>
      <w:pPr>
        <w:spacing w:after="0" w:line="175" w:lineRule="exact"/>
        <w:rPr>
          <w:sz w:val="20"/>
          <w:szCs w:val="20"/>
          <w:color w:val="auto"/>
        </w:rPr>
      </w:pPr>
    </w:p>
    <w:p>
      <w:pPr>
        <w:ind w:left="960"/>
        <w:spacing w:after="0"/>
        <w:rPr>
          <w:sz w:val="20"/>
          <w:szCs w:val="20"/>
          <w:color w:val="auto"/>
        </w:rPr>
      </w:pPr>
      <w:r>
        <w:rPr>
          <w:rFonts w:ascii="Arial" w:cs="Arial" w:eastAsia="Arial" w:hAnsi="Arial"/>
          <w:sz w:val="22"/>
          <w:szCs w:val="22"/>
          <w:u w:val="single" w:color="auto"/>
          <w:color w:val="0000FF"/>
        </w:rPr>
        <w:t>“Covered Entity” means any of the following:</w:t>
      </w:r>
    </w:p>
    <w:p>
      <w:pPr>
        <w:spacing w:after="0" w:line="220" w:lineRule="exact"/>
        <w:rPr>
          <w:sz w:val="20"/>
          <w:szCs w:val="20"/>
          <w:color w:val="auto"/>
        </w:rPr>
      </w:pPr>
    </w:p>
    <w:p>
      <w:pPr>
        <w:ind w:left="1620" w:hanging="502"/>
        <w:spacing w:after="0"/>
        <w:tabs>
          <w:tab w:leader="none" w:pos="1620" w:val="left"/>
        </w:tabs>
        <w:numPr>
          <w:ilvl w:val="0"/>
          <w:numId w:val="270"/>
        </w:numPr>
        <w:rPr>
          <w:rFonts w:ascii="Arial" w:cs="Arial" w:eastAsia="Arial" w:hAnsi="Arial"/>
          <w:sz w:val="16"/>
          <w:szCs w:val="16"/>
          <w:u w:val="single" w:color="auto"/>
          <w:color w:val="0000FF"/>
        </w:rPr>
      </w:pPr>
      <w:r>
        <w:rPr>
          <w:rFonts w:ascii="Arial" w:cs="Arial" w:eastAsia="Arial" w:hAnsi="Arial"/>
          <w:sz w:val="19"/>
          <w:szCs w:val="19"/>
          <w:u w:val="single" w:color="auto"/>
          <w:color w:val="0000FF"/>
        </w:rPr>
        <w:t>a “covered entity” as that term is defined in, and interpreted in accordance with, 12 C.F.R. § 252.82(b);</w:t>
      </w:r>
    </w:p>
    <w:p>
      <w:pPr>
        <w:spacing w:after="0" w:line="55" w:lineRule="exact"/>
        <w:rPr>
          <w:rFonts w:ascii="Arial" w:cs="Arial" w:eastAsia="Arial" w:hAnsi="Arial"/>
          <w:sz w:val="16"/>
          <w:szCs w:val="16"/>
          <w:u w:val="single" w:color="auto"/>
          <w:color w:val="0000FF"/>
        </w:rPr>
      </w:pPr>
    </w:p>
    <w:p>
      <w:pPr>
        <w:ind w:left="1620" w:hanging="552"/>
        <w:spacing w:after="0"/>
        <w:tabs>
          <w:tab w:leader="none" w:pos="1620" w:val="left"/>
        </w:tabs>
        <w:numPr>
          <w:ilvl w:val="0"/>
          <w:numId w:val="270"/>
        </w:numPr>
        <w:rPr>
          <w:rFonts w:ascii="Arial" w:cs="Arial" w:eastAsia="Arial" w:hAnsi="Arial"/>
          <w:sz w:val="16"/>
          <w:szCs w:val="16"/>
          <w:u w:val="single" w:color="auto"/>
          <w:color w:val="0000FF"/>
        </w:rPr>
      </w:pPr>
      <w:r>
        <w:rPr>
          <w:rFonts w:ascii="Arial" w:cs="Arial" w:eastAsia="Arial" w:hAnsi="Arial"/>
          <w:sz w:val="19"/>
          <w:szCs w:val="19"/>
          <w:u w:val="single" w:color="auto"/>
          <w:color w:val="0000FF"/>
        </w:rPr>
        <w:t>a “covered bank” as that term is defined in, and interpreted in accordance with, 12 C.F.R. § 47.3(b); or</w:t>
      </w:r>
    </w:p>
    <w:p>
      <w:pPr>
        <w:spacing w:after="0" w:line="38" w:lineRule="exact"/>
        <w:rPr>
          <w:rFonts w:ascii="Arial" w:cs="Arial" w:eastAsia="Arial" w:hAnsi="Arial"/>
          <w:sz w:val="16"/>
          <w:szCs w:val="16"/>
          <w:u w:val="single" w:color="auto"/>
          <w:color w:val="0000FF"/>
        </w:rPr>
      </w:pPr>
    </w:p>
    <w:p>
      <w:pPr>
        <w:ind w:left="1620" w:hanging="601"/>
        <w:spacing w:after="0"/>
        <w:tabs>
          <w:tab w:leader="none" w:pos="1620" w:val="left"/>
        </w:tabs>
        <w:numPr>
          <w:ilvl w:val="0"/>
          <w:numId w:val="270"/>
        </w:numPr>
        <w:rPr>
          <w:rFonts w:ascii="Arial" w:cs="Arial" w:eastAsia="Arial" w:hAnsi="Arial"/>
          <w:sz w:val="17"/>
          <w:szCs w:val="17"/>
          <w:u w:val="single" w:color="auto"/>
          <w:color w:val="0000FF"/>
        </w:rPr>
      </w:pPr>
      <w:r>
        <w:rPr>
          <w:rFonts w:ascii="Arial" w:cs="Arial" w:eastAsia="Arial" w:hAnsi="Arial"/>
          <w:sz w:val="21"/>
          <w:szCs w:val="21"/>
          <w:u w:val="single" w:color="auto"/>
          <w:color w:val="0000FF"/>
        </w:rPr>
        <w:t>a “covered FSI” as that term is defined in, and interpreted in accordance with, 12 C.F.R. § 382.2(b).</w:t>
      </w:r>
    </w:p>
    <w:p>
      <w:pPr>
        <w:spacing w:after="0" w:line="348" w:lineRule="exact"/>
        <w:rPr>
          <w:sz w:val="20"/>
          <w:szCs w:val="20"/>
          <w:color w:val="auto"/>
        </w:rPr>
      </w:pPr>
    </w:p>
    <w:p>
      <w:pPr>
        <w:ind w:left="960"/>
        <w:spacing w:after="0" w:line="263" w:lineRule="auto"/>
        <w:rPr>
          <w:sz w:val="20"/>
          <w:szCs w:val="20"/>
          <w:color w:val="auto"/>
        </w:rPr>
      </w:pPr>
      <w:r>
        <w:rPr>
          <w:rFonts w:ascii="Arial" w:cs="Arial" w:eastAsia="Arial" w:hAnsi="Arial"/>
          <w:sz w:val="22"/>
          <w:szCs w:val="22"/>
          <w:u w:val="single" w:color="auto"/>
          <w:color w:val="0000FF"/>
        </w:rPr>
        <w:t>“Default Right” has the meaning assigned to that term in, and shall be interpreted in accordance with, 12 C.F.R. §§ 252.81, 47.2 or 382.1, as applicable.</w:t>
      </w:r>
    </w:p>
    <w:p>
      <w:pPr>
        <w:spacing w:after="0" w:line="175" w:lineRule="exact"/>
        <w:rPr>
          <w:sz w:val="20"/>
          <w:szCs w:val="20"/>
          <w:color w:val="auto"/>
        </w:rPr>
      </w:pPr>
    </w:p>
    <w:p>
      <w:pPr>
        <w:ind w:left="960"/>
        <w:spacing w:after="0" w:line="263" w:lineRule="auto"/>
        <w:rPr>
          <w:sz w:val="20"/>
          <w:szCs w:val="20"/>
          <w:color w:val="auto"/>
        </w:rPr>
      </w:pPr>
      <w:r>
        <w:rPr>
          <w:rFonts w:ascii="Arial" w:cs="Arial" w:eastAsia="Arial" w:hAnsi="Arial"/>
          <w:sz w:val="22"/>
          <w:szCs w:val="22"/>
          <w:u w:val="single" w:color="auto"/>
          <w:color w:val="0000FF"/>
        </w:rPr>
        <w:t>“QFC” has the meaning assigned to the term “qualified financial contract” in, and shall be interpreted in accordance with, 12 U.S.C. 5390(c)(8)(D).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[SIGNATURE PAGES FOLLOW]</w:t>
      </w:r>
    </w:p>
    <w:p>
      <w:pPr>
        <w:sectPr>
          <w:pgSz w:w="11900" w:h="16838" w:orient="portrait"/>
          <w:cols w:equalWidth="0" w:num="1">
            <w:col w:w="10900"/>
          </w:cols>
          <w:pgMar w:left="660" w:top="1428" w:right="339" w:bottom="1440" w:gutter="0" w:footer="0" w:header="0"/>
        </w:sectPr>
      </w:pPr>
    </w:p>
    <w:bookmarkStart w:id="318" w:name="page319"/>
    <w:bookmarkEnd w:id="318"/>
    <w:p>
      <w:pPr>
        <w:spacing w:after="0"/>
        <w:rPr>
          <w:sz w:val="20"/>
          <w:szCs w:val="20"/>
          <w:color w:val="auto"/>
        </w:rPr>
      </w:pPr>
      <w:r>
        <w:rPr>
          <w:rFonts w:ascii="Arial" w:cs="Arial" w:eastAsia="Arial" w:hAnsi="Arial"/>
          <w:sz w:val="19"/>
          <w:szCs w:val="19"/>
          <w:color w:val="auto"/>
        </w:rPr>
        <w:t>IN WITNESS WHEREOF, this Agreement has been duly executed as of the date first written above.</w:t>
      </w:r>
    </w:p>
    <w:p>
      <w:pPr>
        <w:sectPr>
          <w:pgSz w:w="11900" w:h="16838" w:orient="portrait"/>
          <w:cols w:equalWidth="0" w:num="1">
            <w:col w:w="10139"/>
          </w:cols>
          <w:pgMar w:left="320" w:top="1428" w:right="1440" w:bottom="1440" w:gutter="0" w:footer="0" w:header="0"/>
        </w:sect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BORROWERS:</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XPO LOGISTICS, INC.</w:t>
      </w:r>
    </w:p>
    <w:p>
      <w:pPr>
        <w:spacing w:after="0" w:line="200" w:lineRule="exact"/>
        <w:rPr>
          <w:sz w:val="20"/>
          <w:szCs w:val="20"/>
          <w:color w:val="auto"/>
        </w:rPr>
      </w:pPr>
    </w:p>
    <w:p>
      <w:pPr>
        <w:spacing w:after="0" w:line="269"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By: ____________________________</w:t>
      </w:r>
    </w:p>
    <w:p>
      <w:pPr>
        <w:spacing w:after="0" w:line="56"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Name: John Hardig</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12"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XPO LOGISTICS CANADA INC.</w:t>
      </w:r>
    </w:p>
    <w:p>
      <w:pPr>
        <w:spacing w:after="0" w:line="200" w:lineRule="exact"/>
        <w:rPr>
          <w:sz w:val="20"/>
          <w:szCs w:val="20"/>
          <w:color w:val="auto"/>
        </w:rPr>
      </w:pPr>
    </w:p>
    <w:p>
      <w:pPr>
        <w:spacing w:after="0" w:line="242"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By: ____________________________</w:t>
      </w:r>
    </w:p>
    <w:p>
      <w:pPr>
        <w:spacing w:after="0" w:line="56"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Name: John Hardig</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0139"/>
          </w:cols>
          <w:pgMar w:left="320" w:top="1428" w:right="1440" w:bottom="1440" w:gutter="0" w:footer="0" w:header="0"/>
          <w:type w:val="continuous"/>
        </w:sectPr>
      </w:pPr>
    </w:p>
    <w:bookmarkStart w:id="319" w:name="page320"/>
    <w:bookmarkEnd w:id="3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0" w:name="page321"/>
    <w:bookmarkEnd w:id="320"/>
    <w:p>
      <w:pPr>
        <w:ind w:left="2780" w:right="60"/>
        <w:spacing w:after="0" w:line="269" w:lineRule="auto"/>
        <w:rPr>
          <w:sz w:val="20"/>
          <w:szCs w:val="20"/>
          <w:color w:val="auto"/>
        </w:rPr>
      </w:pPr>
      <w:r>
        <w:rPr>
          <w:rFonts w:ascii="Arial" w:cs="Arial" w:eastAsia="Arial" w:hAnsi="Arial"/>
          <w:sz w:val="22"/>
          <w:szCs w:val="22"/>
          <w:b w:val="1"/>
          <w:bCs w:val="1"/>
          <w:color w:val="auto"/>
        </w:rPr>
        <w:t>The following Persons are signatories to this Agreement in their capacity as Credit Parties and not as Borrowers.</w:t>
      </w:r>
    </w:p>
    <w:p>
      <w:pPr>
        <w:spacing w:after="0" w:line="162"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CREDIT PARTIES:</w:t>
      </w:r>
    </w:p>
    <w:p>
      <w:pPr>
        <w:spacing w:after="0" w:line="247"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GREENWICH AQ CORP</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PACER TRANSPORT,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 ____________________________</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Name: John Hardig</w:t>
      </w:r>
    </w:p>
    <w:p>
      <w:pPr>
        <w:spacing w:after="0" w:line="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3PD HOLDING, INC.</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CTP LEASING, INC.</w:t>
      </w:r>
    </w:p>
    <w:p>
      <w:pPr>
        <w:spacing w:after="0" w:line="4" w:lineRule="exact"/>
        <w:rPr>
          <w:sz w:val="20"/>
          <w:szCs w:val="20"/>
          <w:color w:val="auto"/>
        </w:rPr>
      </w:pPr>
    </w:p>
    <w:p>
      <w:pPr>
        <w:ind w:left="3420"/>
        <w:spacing w:after="0" w:line="243" w:lineRule="auto"/>
        <w:rPr>
          <w:sz w:val="20"/>
          <w:szCs w:val="20"/>
          <w:color w:val="auto"/>
        </w:rPr>
      </w:pPr>
      <w:r>
        <w:rPr>
          <w:rFonts w:ascii="Arial" w:cs="Arial" w:eastAsia="Arial" w:hAnsi="Arial"/>
          <w:sz w:val="22"/>
          <w:szCs w:val="22"/>
          <w:b w:val="1"/>
          <w:bCs w:val="1"/>
          <w:color w:val="auto"/>
        </w:rPr>
        <w:t>MANUFACTURERS CONSOLIDATION SERVICE OF CANADA, INC.</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PACER SERVICES, INC.</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XPO AQ, INC.</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XPO COURIER, LLC</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XPO DEDICATED, LLC</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XPO GLOBAL FORWARDING CANADA INC.</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XPO SERVCO, LLC</w:t>
      </w:r>
    </w:p>
    <w:p>
      <w:pPr>
        <w:spacing w:after="0" w:line="200" w:lineRule="exact"/>
        <w:rPr>
          <w:sz w:val="20"/>
          <w:szCs w:val="20"/>
          <w:color w:val="auto"/>
        </w:rPr>
      </w:pPr>
    </w:p>
    <w:p>
      <w:pPr>
        <w:spacing w:after="0" w:line="245"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By: ____________________________</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Name: John Hardig</w:t>
      </w:r>
    </w:p>
    <w:p>
      <w:pPr>
        <w:spacing w:after="0" w:line="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12"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S &amp; H TRANSPORT, INC.</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S &amp; H LEASING, INC.</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 ________________________</w:t>
      </w:r>
    </w:p>
    <w:p>
      <w:pPr>
        <w:spacing w:after="0" w:line="2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Name: Gordon Devens</w:t>
      </w:r>
    </w:p>
    <w:p>
      <w:pPr>
        <w:spacing w:after="0" w:line="4"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Title: Vice President and</w:t>
      </w:r>
    </w:p>
    <w:p>
      <w:pPr>
        <w:spacing w:after="0" w:line="4"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Assistant Secretary</w:t>
      </w:r>
    </w:p>
    <w:p>
      <w:pPr>
        <w:sectPr>
          <w:pgSz w:w="11900" w:h="16838" w:orient="portrait"/>
          <w:cols w:equalWidth="0" w:num="1">
            <w:col w:w="9760"/>
          </w:cols>
          <w:pgMar w:left="1440" w:top="1422" w:right="699" w:bottom="1440" w:gutter="0" w:footer="0" w:header="0"/>
        </w:sectPr>
      </w:pPr>
    </w:p>
    <w:bookmarkStart w:id="321" w:name="page322"/>
    <w:bookmarkEnd w:id="321"/>
    <w:p>
      <w:pPr>
        <w:spacing w:after="0" w:line="200" w:lineRule="exact"/>
        <w:rPr>
          <w:sz w:val="20"/>
          <w:szCs w:val="20"/>
          <w:color w:val="auto"/>
        </w:rPr>
      </w:pPr>
    </w:p>
    <w:p>
      <w:pPr>
        <w:spacing w:after="0" w:line="214" w:lineRule="exact"/>
        <w:rPr>
          <w:sz w:val="20"/>
          <w:szCs w:val="20"/>
          <w:color w:val="auto"/>
        </w:rPr>
      </w:pPr>
    </w:p>
    <w:p>
      <w:pPr>
        <w:ind w:left="3420"/>
        <w:spacing w:after="0"/>
        <w:rPr>
          <w:sz w:val="20"/>
          <w:szCs w:val="20"/>
          <w:color w:val="auto"/>
        </w:rPr>
      </w:pPr>
      <w:r>
        <w:rPr>
          <w:rFonts w:ascii="Arial" w:cs="Arial" w:eastAsia="Arial" w:hAnsi="Arial"/>
          <w:sz w:val="21"/>
          <w:szCs w:val="21"/>
          <w:b w:val="1"/>
          <w:bCs w:val="1"/>
          <w:color w:val="auto"/>
        </w:rPr>
        <w:t>[CON-WAY ENTITIES TO BE DETERMINED]</w:t>
      </w:r>
    </w:p>
    <w:p>
      <w:pPr>
        <w:sectPr>
          <w:pgSz w:w="11900" w:h="16838" w:orient="portrait"/>
          <w:cols w:equalWidth="0" w:num="1">
            <w:col w:w="9019"/>
          </w:cols>
          <w:pgMar w:left="1440" w:top="1440" w:right="1440" w:bottom="1440" w:gutter="0" w:footer="0" w:header="0"/>
        </w:sectPr>
      </w:pPr>
    </w:p>
    <w:bookmarkStart w:id="322" w:name="page323"/>
    <w:bookmarkEnd w:id="322"/>
    <w:p>
      <w:pPr>
        <w:ind w:left="2780"/>
        <w:spacing w:after="0"/>
        <w:rPr>
          <w:sz w:val="20"/>
          <w:szCs w:val="20"/>
          <w:color w:val="auto"/>
        </w:rPr>
      </w:pPr>
      <w:r>
        <w:rPr>
          <w:rFonts w:ascii="Arial" w:cs="Arial" w:eastAsia="Arial" w:hAnsi="Arial"/>
          <w:sz w:val="22"/>
          <w:szCs w:val="22"/>
          <w:b w:val="1"/>
          <w:bCs w:val="1"/>
          <w:color w:val="auto"/>
        </w:rPr>
        <w:t>AGENTS:</w:t>
      </w:r>
    </w:p>
    <w:p>
      <w:pPr>
        <w:spacing w:after="0" w:line="220" w:lineRule="exact"/>
        <w:rPr>
          <w:sz w:val="20"/>
          <w:szCs w:val="20"/>
          <w:color w:val="auto"/>
        </w:rPr>
      </w:pPr>
    </w:p>
    <w:p>
      <w:pPr>
        <w:ind w:left="2780"/>
        <w:spacing w:after="0" w:line="269" w:lineRule="auto"/>
        <w:rPr>
          <w:sz w:val="20"/>
          <w:szCs w:val="20"/>
          <w:color w:val="auto"/>
        </w:rPr>
      </w:pPr>
      <w:r>
        <w:rPr>
          <w:rFonts w:ascii="Arial" w:cs="Arial" w:eastAsia="Arial" w:hAnsi="Arial"/>
          <w:sz w:val="22"/>
          <w:szCs w:val="22"/>
          <w:b w:val="1"/>
          <w:bCs w:val="1"/>
          <w:color w:val="auto"/>
        </w:rPr>
        <w:t xml:space="preserve">MORGAN STANLEY SENIOR FUNDING, INC., </w:t>
      </w:r>
      <w:r>
        <w:rPr>
          <w:rFonts w:ascii="Arial" w:cs="Arial" w:eastAsia="Arial" w:hAnsi="Arial"/>
          <w:sz w:val="22"/>
          <w:szCs w:val="22"/>
          <w:color w:val="auto"/>
        </w:rPr>
        <w:t>as Agent and as Co-Collateral</w:t>
      </w:r>
      <w:r>
        <w:rPr>
          <w:rFonts w:ascii="Arial" w:cs="Arial" w:eastAsia="Arial" w:hAnsi="Arial"/>
          <w:sz w:val="22"/>
          <w:szCs w:val="22"/>
          <w:b w:val="1"/>
          <w:bCs w:val="1"/>
          <w:color w:val="auto"/>
        </w:rPr>
        <w:t xml:space="preserve"> </w:t>
      </w:r>
      <w:r>
        <w:rPr>
          <w:rFonts w:ascii="Arial" w:cs="Arial" w:eastAsia="Arial" w:hAnsi="Arial"/>
          <w:sz w:val="22"/>
          <w:szCs w:val="22"/>
          <w:color w:val="auto"/>
        </w:rPr>
        <w:t>Agent</w:t>
      </w:r>
    </w:p>
    <w:p>
      <w:pPr>
        <w:spacing w:after="0" w:line="19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____________________________</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040"/>
          </w:cols>
          <w:pgMar w:left="1440" w:top="1422" w:right="419" w:bottom="1440" w:gutter="0" w:footer="0" w:header="0"/>
        </w:sectPr>
      </w:pPr>
    </w:p>
    <w:bookmarkStart w:id="323" w:name="page324"/>
    <w:bookmarkEnd w:id="323"/>
    <w:p>
      <w:pPr>
        <w:ind w:left="2780"/>
        <w:spacing w:after="0"/>
        <w:rPr>
          <w:sz w:val="20"/>
          <w:szCs w:val="20"/>
          <w:color w:val="auto"/>
        </w:rPr>
      </w:pPr>
      <w:r>
        <w:rPr>
          <w:rFonts w:ascii="Arial" w:cs="Arial" w:eastAsia="Arial" w:hAnsi="Arial"/>
          <w:sz w:val="19"/>
          <w:szCs w:val="19"/>
          <w:b w:val="1"/>
          <w:bCs w:val="1"/>
          <w:color w:val="auto"/>
        </w:rPr>
        <w:t xml:space="preserve">JPMORGAN CHASE BANK, N.A., </w:t>
      </w:r>
      <w:r>
        <w:rPr>
          <w:rFonts w:ascii="Arial" w:cs="Arial" w:eastAsia="Arial" w:hAnsi="Arial"/>
          <w:sz w:val="19"/>
          <w:szCs w:val="19"/>
          <w:color w:val="auto"/>
        </w:rPr>
        <w:t>as Co-Collateral Agent</w:t>
      </w:r>
    </w:p>
    <w:p>
      <w:pPr>
        <w:spacing w:after="0" w:line="200" w:lineRule="exact"/>
        <w:rPr>
          <w:sz w:val="20"/>
          <w:szCs w:val="20"/>
          <w:color w:val="auto"/>
        </w:rPr>
      </w:pPr>
    </w:p>
    <w:p>
      <w:pPr>
        <w:spacing w:after="0" w:line="38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____________________________</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1422" w:right="1440" w:bottom="1440" w:gutter="0" w:footer="0" w:header="0"/>
        </w:sectPr>
      </w:pPr>
    </w:p>
    <w:bookmarkStart w:id="324" w:name="page325"/>
    <w:bookmarkEnd w:id="324"/>
    <w:p>
      <w:pPr>
        <w:ind w:left="2780"/>
        <w:spacing w:after="0"/>
        <w:rPr>
          <w:sz w:val="20"/>
          <w:szCs w:val="20"/>
          <w:color w:val="auto"/>
        </w:rPr>
      </w:pPr>
      <w:r>
        <w:rPr>
          <w:rFonts w:ascii="Arial" w:cs="Arial" w:eastAsia="Arial" w:hAnsi="Arial"/>
          <w:sz w:val="22"/>
          <w:szCs w:val="22"/>
          <w:b w:val="1"/>
          <w:bCs w:val="1"/>
          <w:color w:val="auto"/>
        </w:rPr>
        <w:t>LENDERS:</w:t>
      </w:r>
    </w:p>
    <w:p>
      <w:pPr>
        <w:spacing w:after="0" w:line="200" w:lineRule="exact"/>
        <w:rPr>
          <w:sz w:val="20"/>
          <w:szCs w:val="20"/>
          <w:color w:val="auto"/>
        </w:rPr>
      </w:pPr>
    </w:p>
    <w:p>
      <w:pPr>
        <w:spacing w:after="0" w:line="344" w:lineRule="exact"/>
        <w:rPr>
          <w:sz w:val="20"/>
          <w:szCs w:val="20"/>
          <w:color w:val="auto"/>
        </w:rPr>
      </w:pPr>
    </w:p>
    <w:p>
      <w:pPr>
        <w:ind w:left="2780"/>
        <w:spacing w:after="0"/>
        <w:rPr>
          <w:sz w:val="20"/>
          <w:szCs w:val="20"/>
          <w:color w:val="auto"/>
        </w:rPr>
      </w:pPr>
      <w:r>
        <w:rPr>
          <w:rFonts w:ascii="Arial" w:cs="Arial" w:eastAsia="Arial" w:hAnsi="Arial"/>
          <w:sz w:val="19"/>
          <w:szCs w:val="19"/>
          <w:b w:val="1"/>
          <w:bCs w:val="1"/>
          <w:color w:val="auto"/>
        </w:rPr>
        <w:t>MORGAN STANLEY BANK, N.A.</w:t>
      </w:r>
      <w:r>
        <w:rPr>
          <w:rFonts w:ascii="Arial" w:cs="Arial" w:eastAsia="Arial" w:hAnsi="Arial"/>
          <w:sz w:val="19"/>
          <w:szCs w:val="19"/>
          <w:color w:val="auto"/>
        </w:rPr>
        <w:t>, as a Lender and an L/C Issuer</w:t>
      </w:r>
    </w:p>
    <w:p>
      <w:pPr>
        <w:spacing w:after="0" w:line="200" w:lineRule="exact"/>
        <w:rPr>
          <w:sz w:val="20"/>
          <w:szCs w:val="20"/>
          <w:color w:val="auto"/>
        </w:rPr>
      </w:pPr>
    </w:p>
    <w:p>
      <w:pPr>
        <w:spacing w:after="0" w:line="38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____________________________</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20"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 xml:space="preserve">MORGAN STANLEY SENIOR FUNDING, INC., </w:t>
      </w:r>
      <w:r>
        <w:rPr>
          <w:rFonts w:ascii="Arial" w:cs="Arial" w:eastAsia="Arial" w:hAnsi="Arial"/>
          <w:sz w:val="22"/>
          <w:szCs w:val="22"/>
          <w:color w:val="auto"/>
        </w:rPr>
        <w:t>as a Lender</w:t>
      </w:r>
    </w:p>
    <w:p>
      <w:pPr>
        <w:spacing w:after="0" w:line="200" w:lineRule="exact"/>
        <w:rPr>
          <w:sz w:val="20"/>
          <w:szCs w:val="20"/>
          <w:color w:val="auto"/>
        </w:rPr>
      </w:pPr>
    </w:p>
    <w:p>
      <w:pPr>
        <w:spacing w:after="0" w:line="26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____________________________</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1422" w:right="1440" w:bottom="1440" w:gutter="0" w:footer="0" w:header="0"/>
        </w:sectPr>
      </w:pPr>
    </w:p>
    <w:bookmarkStart w:id="325" w:name="page326"/>
    <w:bookmarkEnd w:id="325"/>
    <w:p>
      <w:pPr>
        <w:ind w:left="2780"/>
        <w:spacing w:after="0"/>
        <w:rPr>
          <w:sz w:val="20"/>
          <w:szCs w:val="20"/>
          <w:color w:val="auto"/>
        </w:rPr>
      </w:pPr>
      <w:r>
        <w:rPr>
          <w:rFonts w:ascii="Arial" w:cs="Arial" w:eastAsia="Arial" w:hAnsi="Arial"/>
          <w:sz w:val="19"/>
          <w:szCs w:val="19"/>
          <w:b w:val="1"/>
          <w:bCs w:val="1"/>
          <w:color w:val="auto"/>
        </w:rPr>
        <w:t xml:space="preserve">CREDIT SUISSE AG, CAYMAN ISLANDS BRANCH, </w:t>
      </w:r>
      <w:r>
        <w:rPr>
          <w:rFonts w:ascii="Arial" w:cs="Arial" w:eastAsia="Arial" w:hAnsi="Arial"/>
          <w:sz w:val="19"/>
          <w:szCs w:val="19"/>
          <w:color w:val="auto"/>
        </w:rPr>
        <w:t>as a Lender</w:t>
      </w:r>
    </w:p>
    <w:p>
      <w:pPr>
        <w:spacing w:after="0" w:line="200" w:lineRule="exact"/>
        <w:rPr>
          <w:sz w:val="20"/>
          <w:szCs w:val="20"/>
          <w:color w:val="auto"/>
        </w:rPr>
      </w:pPr>
    </w:p>
    <w:p>
      <w:pPr>
        <w:spacing w:after="0" w:line="38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____________________________</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1422" w:right="1440" w:bottom="1440" w:gutter="0" w:footer="0" w:header="0"/>
        </w:sectPr>
      </w:pPr>
    </w:p>
    <w:bookmarkStart w:id="326" w:name="page327"/>
    <w:bookmarkEnd w:id="326"/>
    <w:p>
      <w:pPr>
        <w:ind w:left="2780"/>
        <w:spacing w:after="0"/>
        <w:rPr>
          <w:sz w:val="20"/>
          <w:szCs w:val="20"/>
          <w:color w:val="auto"/>
        </w:rPr>
      </w:pPr>
      <w:r>
        <w:rPr>
          <w:rFonts w:ascii="Arial" w:cs="Arial" w:eastAsia="Arial" w:hAnsi="Arial"/>
          <w:sz w:val="19"/>
          <w:szCs w:val="19"/>
          <w:b w:val="1"/>
          <w:bCs w:val="1"/>
          <w:color w:val="auto"/>
        </w:rPr>
        <w:t xml:space="preserve">DEUTSCHE BANK AG NEW YORK BRANCH, </w:t>
      </w:r>
      <w:r>
        <w:rPr>
          <w:rFonts w:ascii="Arial" w:cs="Arial" w:eastAsia="Arial" w:hAnsi="Arial"/>
          <w:sz w:val="19"/>
          <w:szCs w:val="19"/>
          <w:color w:val="auto"/>
        </w:rPr>
        <w:t>as a Lender and an L/C Issuer</w:t>
      </w:r>
    </w:p>
    <w:p>
      <w:pPr>
        <w:spacing w:after="0" w:line="200" w:lineRule="exact"/>
        <w:rPr>
          <w:sz w:val="20"/>
          <w:szCs w:val="20"/>
          <w:color w:val="auto"/>
        </w:rPr>
      </w:pPr>
    </w:p>
    <w:p>
      <w:pPr>
        <w:spacing w:after="0" w:line="38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____________________________</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32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____________________________</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960"/>
          </w:cols>
          <w:pgMar w:left="1440" w:top="1422" w:right="499" w:bottom="1440" w:gutter="0" w:footer="0" w:header="0"/>
        </w:sectPr>
      </w:pPr>
    </w:p>
    <w:bookmarkStart w:id="327" w:name="page328"/>
    <w:bookmarkEnd w:id="327"/>
    <w:p>
      <w:pPr>
        <w:ind w:left="2780"/>
        <w:spacing w:after="0"/>
        <w:rPr>
          <w:sz w:val="20"/>
          <w:szCs w:val="20"/>
          <w:color w:val="auto"/>
        </w:rPr>
      </w:pPr>
      <w:r>
        <w:rPr>
          <w:rFonts w:ascii="Arial" w:cs="Arial" w:eastAsia="Arial" w:hAnsi="Arial"/>
          <w:sz w:val="19"/>
          <w:szCs w:val="19"/>
          <w:b w:val="1"/>
          <w:bCs w:val="1"/>
          <w:color w:val="auto"/>
        </w:rPr>
        <w:t xml:space="preserve">JPMORGAN CHASE BANK, N.A., </w:t>
      </w:r>
      <w:r>
        <w:rPr>
          <w:rFonts w:ascii="Arial" w:cs="Arial" w:eastAsia="Arial" w:hAnsi="Arial"/>
          <w:sz w:val="19"/>
          <w:szCs w:val="19"/>
          <w:color w:val="auto"/>
        </w:rPr>
        <w:t>as a Lender and an L/C Issuer</w:t>
      </w:r>
    </w:p>
    <w:p>
      <w:pPr>
        <w:spacing w:after="0" w:line="200" w:lineRule="exact"/>
        <w:rPr>
          <w:sz w:val="20"/>
          <w:szCs w:val="20"/>
          <w:color w:val="auto"/>
        </w:rPr>
      </w:pPr>
    </w:p>
    <w:p>
      <w:pPr>
        <w:spacing w:after="0" w:line="38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____________________________</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1422" w:right="1440" w:bottom="1440" w:gutter="0" w:footer="0" w:header="0"/>
        </w:sectPr>
      </w:pPr>
    </w:p>
    <w:bookmarkStart w:id="328" w:name="page329"/>
    <w:bookmarkEnd w:id="328"/>
    <w:p>
      <w:pPr>
        <w:ind w:left="2780"/>
        <w:spacing w:after="0"/>
        <w:rPr>
          <w:sz w:val="20"/>
          <w:szCs w:val="20"/>
          <w:color w:val="auto"/>
        </w:rPr>
      </w:pPr>
      <w:r>
        <w:rPr>
          <w:rFonts w:ascii="Arial" w:cs="Arial" w:eastAsia="Arial" w:hAnsi="Arial"/>
          <w:sz w:val="22"/>
          <w:szCs w:val="22"/>
          <w:b w:val="1"/>
          <w:bCs w:val="1"/>
          <w:color w:val="auto"/>
        </w:rPr>
        <w:t xml:space="preserve">CITIBANK, N.A., </w:t>
      </w:r>
      <w:r>
        <w:rPr>
          <w:rFonts w:ascii="Arial" w:cs="Arial" w:eastAsia="Arial" w:hAnsi="Arial"/>
          <w:sz w:val="22"/>
          <w:szCs w:val="22"/>
          <w:color w:val="auto"/>
        </w:rPr>
        <w:t>as a Lender</w:t>
      </w:r>
    </w:p>
    <w:p>
      <w:pPr>
        <w:spacing w:after="0" w:line="200" w:lineRule="exact"/>
        <w:rPr>
          <w:sz w:val="20"/>
          <w:szCs w:val="20"/>
          <w:color w:val="auto"/>
        </w:rPr>
      </w:pPr>
    </w:p>
    <w:p>
      <w:pPr>
        <w:spacing w:after="0" w:line="350" w:lineRule="exact"/>
        <w:rPr>
          <w:sz w:val="20"/>
          <w:szCs w:val="20"/>
          <w:color w:val="auto"/>
        </w:rPr>
      </w:pPr>
    </w:p>
    <w:p>
      <w:pPr>
        <w:ind w:left="2780"/>
        <w:spacing w:after="0"/>
        <w:rPr>
          <w:sz w:val="20"/>
          <w:szCs w:val="20"/>
          <w:color w:val="auto"/>
        </w:rPr>
      </w:pPr>
      <w:r>
        <w:rPr>
          <w:rFonts w:ascii="Arial" w:cs="Arial" w:eastAsia="Arial" w:hAnsi="Arial"/>
          <w:sz w:val="19"/>
          <w:szCs w:val="19"/>
          <w:color w:val="auto"/>
        </w:rPr>
        <w:t>By: ____________________________</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1422" w:right="1440" w:bottom="1440" w:gutter="0" w:footer="0" w:header="0"/>
        </w:sectPr>
      </w:pPr>
    </w:p>
    <w:bookmarkStart w:id="329" w:name="page330"/>
    <w:bookmarkEnd w:id="329"/>
    <w:p>
      <w:pPr>
        <w:ind w:left="2780"/>
        <w:spacing w:after="0"/>
        <w:rPr>
          <w:sz w:val="20"/>
          <w:szCs w:val="20"/>
          <w:color w:val="auto"/>
        </w:rPr>
      </w:pPr>
      <w:r>
        <w:rPr>
          <w:rFonts w:ascii="Arial" w:cs="Arial" w:eastAsia="Arial" w:hAnsi="Arial"/>
          <w:sz w:val="21"/>
          <w:szCs w:val="21"/>
          <w:b w:val="1"/>
          <w:bCs w:val="1"/>
          <w:color w:val="auto"/>
        </w:rPr>
        <w:t xml:space="preserve">KEYBANK NATIONAL ASSOCIATION, </w:t>
      </w:r>
      <w:r>
        <w:rPr>
          <w:rFonts w:ascii="Arial" w:cs="Arial" w:eastAsia="Arial" w:hAnsi="Arial"/>
          <w:sz w:val="21"/>
          <w:szCs w:val="21"/>
          <w:color w:val="auto"/>
        </w:rPr>
        <w:t>as a Lender</w:t>
      </w:r>
    </w:p>
    <w:p>
      <w:pPr>
        <w:spacing w:after="0" w:line="200" w:lineRule="exact"/>
        <w:rPr>
          <w:sz w:val="20"/>
          <w:szCs w:val="20"/>
          <w:color w:val="auto"/>
        </w:rPr>
      </w:pPr>
    </w:p>
    <w:p>
      <w:pPr>
        <w:spacing w:after="0" w:line="36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____________________________</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[Other Lenders to be added]</w:t>
      </w:r>
    </w:p>
    <w:p>
      <w:pPr>
        <w:sectPr>
          <w:pgSz w:w="11900" w:h="16838" w:orient="portrait"/>
          <w:cols w:equalWidth="0" w:num="1">
            <w:col w:w="9019"/>
          </w:cols>
          <w:pgMar w:left="1440" w:top="1422" w:right="1440" w:bottom="1440" w:gutter="0" w:footer="0" w:header="0"/>
        </w:sectPr>
      </w:pPr>
    </w:p>
    <w:bookmarkStart w:id="330" w:name="page331"/>
    <w:bookmarkEnd w:id="330"/>
    <w:p>
      <w:pPr>
        <w:jc w:val="center"/>
        <w:spacing w:after="0"/>
        <w:rPr>
          <w:sz w:val="20"/>
          <w:szCs w:val="20"/>
          <w:color w:val="auto"/>
        </w:rPr>
      </w:pPr>
      <w:r>
        <w:rPr>
          <w:rFonts w:ascii="Arial" w:cs="Arial" w:eastAsia="Arial" w:hAnsi="Arial"/>
          <w:sz w:val="22"/>
          <w:szCs w:val="22"/>
          <w:b w:val="1"/>
          <w:bCs w:val="1"/>
          <w:u w:val="single" w:color="auto"/>
          <w:color w:val="auto"/>
        </w:rPr>
        <w:t>ANNEX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CREDIT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CASH MANAGEMENT SYSTEM</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Each Borrower shall, and shall cause each other Credit Party to, establish and maintain the Cash Management Systems described below:</w:t>
      </w:r>
    </w:p>
    <w:p>
      <w:pPr>
        <w:spacing w:after="0" w:line="175" w:lineRule="exact"/>
        <w:rPr>
          <w:sz w:val="20"/>
          <w:szCs w:val="20"/>
          <w:color w:val="auto"/>
        </w:rPr>
      </w:pPr>
    </w:p>
    <w:p>
      <w:pPr>
        <w:jc w:val="both"/>
        <w:ind w:left="180" w:firstLine="1286"/>
        <w:spacing w:after="0" w:line="286" w:lineRule="auto"/>
        <w:tabs>
          <w:tab w:leader="none" w:pos="1959" w:val="left"/>
        </w:tabs>
        <w:numPr>
          <w:ilvl w:val="0"/>
          <w:numId w:val="271"/>
        </w:numPr>
        <w:rPr>
          <w:rFonts w:ascii="Arial" w:cs="Arial" w:eastAsia="Arial" w:hAnsi="Arial"/>
          <w:sz w:val="19"/>
          <w:szCs w:val="19"/>
          <w:color w:val="auto"/>
        </w:rPr>
      </w:pPr>
      <w:r>
        <w:rPr>
          <w:rFonts w:ascii="Arial" w:cs="Arial" w:eastAsia="Arial" w:hAnsi="Arial"/>
          <w:sz w:val="19"/>
          <w:szCs w:val="19"/>
          <w:color w:val="auto"/>
        </w:rPr>
        <w:t>From and after the Amendment No. 3 Effective Date and until the Termination Date, Borrowers and the other Credit Parties shall (i) establish lock boxes (“</w:t>
      </w:r>
      <w:r>
        <w:rPr>
          <w:rFonts w:ascii="Arial" w:cs="Arial" w:eastAsia="Arial" w:hAnsi="Arial"/>
          <w:sz w:val="19"/>
          <w:szCs w:val="19"/>
          <w:u w:val="single" w:color="auto"/>
          <w:color w:val="auto"/>
        </w:rPr>
        <w:t>Lock Boxes</w:t>
      </w:r>
      <w:r>
        <w:rPr>
          <w:rFonts w:ascii="Arial" w:cs="Arial" w:eastAsia="Arial" w:hAnsi="Arial"/>
          <w:sz w:val="19"/>
          <w:szCs w:val="19"/>
          <w:color w:val="auto"/>
        </w:rPr>
        <w:t>”) or at Agent’s discretion, blocked accounts (“</w:t>
      </w:r>
      <w:r>
        <w:rPr>
          <w:rFonts w:ascii="Arial" w:cs="Arial" w:eastAsia="Arial" w:hAnsi="Arial"/>
          <w:sz w:val="19"/>
          <w:szCs w:val="19"/>
          <w:u w:val="single" w:color="auto"/>
          <w:color w:val="auto"/>
        </w:rPr>
        <w:t>Blocked</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Accounts</w:t>
      </w:r>
      <w:r>
        <w:rPr>
          <w:rFonts w:ascii="Arial" w:cs="Arial" w:eastAsia="Arial" w:hAnsi="Arial"/>
          <w:sz w:val="19"/>
          <w:szCs w:val="19"/>
          <w:color w:val="auto"/>
        </w:rPr>
        <w:t xml:space="preserve">”) at one or more of the banks set forth in </w:t>
      </w:r>
      <w:r>
        <w:rPr>
          <w:rFonts w:ascii="Arial" w:cs="Arial" w:eastAsia="Arial" w:hAnsi="Arial"/>
          <w:sz w:val="19"/>
          <w:szCs w:val="19"/>
          <w:u w:val="single" w:color="auto"/>
          <w:color w:val="auto"/>
        </w:rPr>
        <w:t>Schedule 4.19</w:t>
      </w:r>
      <w:r>
        <w:rPr>
          <w:rFonts w:ascii="Arial" w:cs="Arial" w:eastAsia="Arial" w:hAnsi="Arial"/>
          <w:sz w:val="19"/>
          <w:szCs w:val="19"/>
          <w:color w:val="auto"/>
        </w:rPr>
        <w:t xml:space="preserve">, and shall request in writing that all Account Debtors forward payment directly to such Lock Boxes, and (ii) deposit and cause the other Credit Parties to deposit or cause to be deposited promptly, in accordance with historical practices (but in any event no later than the fifth (5th) Business Day after the date of receipt thereof), all cash, checks, drafts or other similar items of payment relating to or constituting payments made in respect of any and all Collateral other than Term Priority Collateral (whether or not otherwise delivered to a Lock Box) into one or more Blocked Accounts in such Credit Parties’ name and at (x) a bank identified in </w:t>
      </w:r>
      <w:r>
        <w:rPr>
          <w:rFonts w:ascii="Arial" w:cs="Arial" w:eastAsia="Arial" w:hAnsi="Arial"/>
          <w:sz w:val="19"/>
          <w:szCs w:val="19"/>
          <w:u w:val="single" w:color="auto"/>
          <w:color w:val="auto"/>
        </w:rPr>
        <w:t>Schedule (4.19)</w:t>
      </w:r>
      <w:r>
        <w:rPr>
          <w:rFonts w:ascii="Arial" w:cs="Arial" w:eastAsia="Arial" w:hAnsi="Arial"/>
          <w:sz w:val="19"/>
          <w:szCs w:val="19"/>
          <w:color w:val="auto"/>
        </w:rPr>
        <w:t xml:space="preserve"> or (y) at other banks in accordance with (d) below (each, a “</w:t>
      </w:r>
      <w:r>
        <w:rPr>
          <w:rFonts w:ascii="Arial" w:cs="Arial" w:eastAsia="Arial" w:hAnsi="Arial"/>
          <w:sz w:val="19"/>
          <w:szCs w:val="19"/>
          <w:u w:val="single" w:color="auto"/>
          <w:color w:val="auto"/>
        </w:rPr>
        <w:t>Relationship Bank</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U.S. Borrowers may establish an account for the purpose of receiving and holding solely the proceeds of Term Priority Collateral (the “</w:t>
      </w:r>
      <w:r>
        <w:rPr>
          <w:rFonts w:ascii="Arial" w:cs="Arial" w:eastAsia="Arial" w:hAnsi="Arial"/>
          <w:sz w:val="19"/>
          <w:szCs w:val="19"/>
          <w:u w:val="single" w:color="auto"/>
          <w:color w:val="auto"/>
        </w:rPr>
        <w:t>Term Collateral Account</w:t>
      </w:r>
      <w:r>
        <w:rPr>
          <w:rFonts w:ascii="Arial" w:cs="Arial" w:eastAsia="Arial" w:hAnsi="Arial"/>
          <w:sz w:val="19"/>
          <w:szCs w:val="19"/>
          <w:color w:val="auto"/>
        </w:rPr>
        <w:t>”), it being understood that nothing herein shall require Borrowers to keep proceeds of Term Priority Collateral segregated from proceeds of other Collateral. On or before the Restatement Date, Borrowers and the other Credit Parties shall have established one or more concentration accounts in such Credit Parties’ name (each a “</w:t>
      </w:r>
      <w:r>
        <w:rPr>
          <w:rFonts w:ascii="Arial" w:cs="Arial" w:eastAsia="Arial" w:hAnsi="Arial"/>
          <w:sz w:val="19"/>
          <w:szCs w:val="19"/>
          <w:u w:val="single" w:color="auto"/>
          <w:color w:val="auto"/>
        </w:rPr>
        <w:t>Concentration Account</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Concentration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Accounts</w:t>
      </w:r>
      <w:r>
        <w:rPr>
          <w:rFonts w:ascii="Arial" w:cs="Arial" w:eastAsia="Arial" w:hAnsi="Arial"/>
          <w:sz w:val="19"/>
          <w:szCs w:val="19"/>
          <w:color w:val="auto"/>
        </w:rPr>
        <w:t xml:space="preserve">”) at (x) the bank or banks that shall be designated as the Concentration Account bank for each such Credit Party in </w:t>
      </w:r>
      <w:r>
        <w:rPr>
          <w:rFonts w:ascii="Arial" w:cs="Arial" w:eastAsia="Arial" w:hAnsi="Arial"/>
          <w:sz w:val="19"/>
          <w:szCs w:val="19"/>
          <w:u w:val="single" w:color="auto"/>
          <w:color w:val="auto"/>
        </w:rPr>
        <w:t>Schedule 4.19</w:t>
      </w:r>
      <w:r>
        <w:rPr>
          <w:rFonts w:ascii="Arial" w:cs="Arial" w:eastAsia="Arial" w:hAnsi="Arial"/>
          <w:sz w:val="19"/>
          <w:szCs w:val="19"/>
          <w:color w:val="auto"/>
        </w:rPr>
        <w:t xml:space="preserve"> or (y) at other banks in accordance with (d) below (each a “</w:t>
      </w:r>
      <w:r>
        <w:rPr>
          <w:rFonts w:ascii="Arial" w:cs="Arial" w:eastAsia="Arial" w:hAnsi="Arial"/>
          <w:sz w:val="19"/>
          <w:szCs w:val="19"/>
          <w:u w:val="single" w:color="auto"/>
          <w:color w:val="auto"/>
        </w:rPr>
        <w:t>Concentration Account Bank</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Concentration Account Banks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left="180" w:firstLine="1286"/>
        <w:spacing w:after="0" w:line="265" w:lineRule="auto"/>
        <w:tabs>
          <w:tab w:leader="none" w:pos="1957" w:val="left"/>
        </w:tabs>
        <w:numPr>
          <w:ilvl w:val="0"/>
          <w:numId w:val="271"/>
        </w:numPr>
        <w:rPr>
          <w:rFonts w:ascii="Arial" w:cs="Arial" w:eastAsia="Arial" w:hAnsi="Arial"/>
          <w:sz w:val="21"/>
          <w:szCs w:val="21"/>
          <w:color w:val="auto"/>
        </w:rPr>
      </w:pPr>
      <w:r>
        <w:rPr>
          <w:rFonts w:ascii="Arial" w:cs="Arial" w:eastAsia="Arial" w:hAnsi="Arial"/>
          <w:sz w:val="21"/>
          <w:szCs w:val="21"/>
          <w:color w:val="auto"/>
        </w:rPr>
        <w:t>Credit Parties may maintain, in their respective name, an account (each a “</w:t>
      </w:r>
      <w:r>
        <w:rPr>
          <w:rFonts w:ascii="Arial" w:cs="Arial" w:eastAsia="Arial" w:hAnsi="Arial"/>
          <w:sz w:val="21"/>
          <w:szCs w:val="21"/>
          <w:u w:val="single" w:color="auto"/>
          <w:color w:val="auto"/>
        </w:rPr>
        <w:t>Disbursement Account</w:t>
      </w:r>
      <w:r>
        <w:rPr>
          <w:rFonts w:ascii="Arial" w:cs="Arial" w:eastAsia="Arial" w:hAnsi="Arial"/>
          <w:sz w:val="21"/>
          <w:szCs w:val="21"/>
          <w:color w:val="auto"/>
        </w:rPr>
        <w:t>” and collectively, the “</w:t>
      </w:r>
      <w:r>
        <w:rPr>
          <w:rFonts w:ascii="Arial" w:cs="Arial" w:eastAsia="Arial" w:hAnsi="Arial"/>
          <w:sz w:val="21"/>
          <w:szCs w:val="21"/>
          <w:u w:val="single" w:color="auto"/>
          <w:color w:val="auto"/>
        </w:rPr>
        <w:t>Disbursement Accounts</w:t>
      </w:r>
      <w:r>
        <w:rPr>
          <w:rFonts w:ascii="Arial" w:cs="Arial" w:eastAsia="Arial" w:hAnsi="Arial"/>
          <w:sz w:val="21"/>
          <w:szCs w:val="21"/>
          <w:color w:val="auto"/>
        </w:rPr>
        <w:t xml:space="preserve">”) at a bank reasonably acceptable to Agent into which Agent shall, from time to time, deposit proceeds of Revolving Credit Advances and Swing Line Advances made to such Borrower pursuant to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for use by such Borrower solely in accordance with the provisions of </w:t>
      </w:r>
      <w:r>
        <w:rPr>
          <w:rFonts w:ascii="Arial" w:cs="Arial" w:eastAsia="Arial" w:hAnsi="Arial"/>
          <w:sz w:val="21"/>
          <w:szCs w:val="21"/>
          <w:u w:val="single" w:color="auto"/>
          <w:color w:val="auto"/>
        </w:rPr>
        <w:t>Section 2.4</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jc w:val="both"/>
        <w:ind w:left="180" w:firstLine="1286"/>
        <w:spacing w:after="0" w:line="263" w:lineRule="auto"/>
        <w:tabs>
          <w:tab w:leader="none" w:pos="1959" w:val="left"/>
        </w:tabs>
        <w:numPr>
          <w:ilvl w:val="0"/>
          <w:numId w:val="271"/>
        </w:numPr>
        <w:rPr>
          <w:rFonts w:ascii="Arial" w:cs="Arial" w:eastAsia="Arial" w:hAnsi="Arial"/>
          <w:sz w:val="20"/>
          <w:szCs w:val="20"/>
          <w:color w:val="auto"/>
        </w:rPr>
      </w:pPr>
      <w:r>
        <w:rPr>
          <w:rFonts w:ascii="Arial" w:cs="Arial" w:eastAsia="Arial" w:hAnsi="Arial"/>
          <w:sz w:val="20"/>
          <w:szCs w:val="20"/>
          <w:color w:val="auto"/>
        </w:rPr>
        <w:t>On or before the sixtieth day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Restatement Date (as may be extended by Agent in its reasonable discretion) or within forty-five (45) days of opening of any new Concentration Account or Disbursement Account (as may be extended by Agent in its reasonable discretion), as applicable, each Concentration Account Bank, each bank where a Disbursement Account is maintained and all other Relationship Banks, shall have entered into tri-party deposit account control agreements (other than with respect to (i) any payroll, withholding tax or other employee wage and benefit account so long as such account is funded only to the extent of payroll, employee wages or benefits; (ii) escrow, fiduciary or other trust accounts; (iii) tax accounts, including, without limitation, sales tax accounts and escrow</w:t>
      </w:r>
    </w:p>
    <w:p>
      <w:pPr>
        <w:sectPr>
          <w:pgSz w:w="11900" w:h="16838" w:orient="portrait"/>
          <w:cols w:equalWidth="0" w:num="1">
            <w:col w:w="11240"/>
          </w:cols>
          <w:pgMar w:left="320" w:top="1422" w:right="339" w:bottom="1440" w:gutter="0" w:footer="0" w:header="0"/>
        </w:sectPr>
      </w:pPr>
    </w:p>
    <w:bookmarkStart w:id="331" w:name="page332"/>
    <w:bookmarkEnd w:id="331"/>
    <w:p>
      <w:pPr>
        <w:jc w:val="both"/>
        <w:spacing w:after="0" w:line="288" w:lineRule="auto"/>
        <w:rPr>
          <w:sz w:val="20"/>
          <w:szCs w:val="20"/>
          <w:color w:val="auto"/>
        </w:rPr>
      </w:pPr>
      <w:r>
        <w:rPr>
          <w:rFonts w:ascii="Arial" w:cs="Arial" w:eastAsia="Arial" w:hAnsi="Arial"/>
          <w:sz w:val="19"/>
          <w:szCs w:val="19"/>
          <w:color w:val="auto"/>
        </w:rPr>
        <w:t>accounts; (iv) accounts which are used solely to make disbursements, (v) any other accounts that do not have a daily balance in excess of $30,000,000 collectively or in respect of which only proceeds of debt incurrences or other cash or assets that are not proceeds of ABL Priority Collateral are deposited, (vi) accounts subject to Liens permitted by clause (40) of the definition of “Permitted Liens” and (vii) any Term Collateral Account) ((i)-(vii), collectively, the “</w:t>
      </w:r>
      <w:r>
        <w:rPr>
          <w:rFonts w:ascii="Arial" w:cs="Arial" w:eastAsia="Arial" w:hAnsi="Arial"/>
          <w:sz w:val="19"/>
          <w:szCs w:val="19"/>
          <w:u w:val="single" w:color="auto"/>
          <w:color w:val="auto"/>
        </w:rPr>
        <w:t>Excluded Accounts</w:t>
      </w:r>
      <w:r>
        <w:rPr>
          <w:rFonts w:ascii="Arial" w:cs="Arial" w:eastAsia="Arial" w:hAnsi="Arial"/>
          <w:sz w:val="19"/>
          <w:szCs w:val="19"/>
          <w:color w:val="auto"/>
        </w:rPr>
        <w:t>”) with Agent, for the benefit of itself and Lenders, and the applicable Credit Party with respect to such accounts of the Credit Parties, in form and substance reasonably acceptable to Agent, which shall become operative on or before the sixtieth (60th) day following the Restatement Date (as may be extended by Agent in its reasonable discretion). With respect to any Concentration Account or Disbursement Account, Agent shall only give a notice (an “</w:t>
      </w:r>
      <w:r>
        <w:rPr>
          <w:rFonts w:ascii="Arial" w:cs="Arial" w:eastAsia="Arial" w:hAnsi="Arial"/>
          <w:sz w:val="19"/>
          <w:szCs w:val="19"/>
          <w:u w:val="single" w:color="auto"/>
          <w:color w:val="auto"/>
        </w:rPr>
        <w:t>Activation Notice</w:t>
      </w:r>
      <w:r>
        <w:rPr>
          <w:rFonts w:ascii="Arial" w:cs="Arial" w:eastAsia="Arial" w:hAnsi="Arial"/>
          <w:sz w:val="19"/>
          <w:szCs w:val="19"/>
          <w:color w:val="auto"/>
        </w:rPr>
        <w:t>”) at such time in which a Cash Dominion Period exists (an “</w:t>
      </w:r>
      <w:r>
        <w:rPr>
          <w:rFonts w:ascii="Arial" w:cs="Arial" w:eastAsia="Arial" w:hAnsi="Arial"/>
          <w:sz w:val="19"/>
          <w:szCs w:val="19"/>
          <w:u w:val="single" w:color="auto"/>
          <w:color w:val="auto"/>
        </w:rPr>
        <w:t>Activation Event</w:t>
      </w:r>
      <w:r>
        <w:rPr>
          <w:rFonts w:ascii="Arial" w:cs="Arial" w:eastAsia="Arial" w:hAnsi="Arial"/>
          <w:sz w:val="19"/>
          <w:szCs w:val="19"/>
          <w:color w:val="auto"/>
        </w:rPr>
        <w:t>”). Upon the termination (or waiver) of any Cash Dominion Period, Agent shall terminate such Activation Notice unless and until a subsequent Activation Event shall occur.</w:t>
      </w:r>
    </w:p>
    <w:p>
      <w:pPr>
        <w:spacing w:after="0" w:line="159" w:lineRule="exact"/>
        <w:rPr>
          <w:sz w:val="20"/>
          <w:szCs w:val="20"/>
          <w:color w:val="auto"/>
        </w:rPr>
      </w:pPr>
    </w:p>
    <w:p>
      <w:pPr>
        <w:jc w:val="both"/>
        <w:ind w:firstLine="1286"/>
        <w:spacing w:after="0" w:line="286" w:lineRule="auto"/>
        <w:tabs>
          <w:tab w:leader="none" w:pos="1777" w:val="left"/>
        </w:tabs>
        <w:numPr>
          <w:ilvl w:val="0"/>
          <w:numId w:val="272"/>
        </w:numPr>
        <w:rPr>
          <w:rFonts w:ascii="Arial" w:cs="Arial" w:eastAsia="Arial" w:hAnsi="Arial"/>
          <w:sz w:val="19"/>
          <w:szCs w:val="19"/>
          <w:color w:val="auto"/>
        </w:rPr>
      </w:pPr>
      <w:r>
        <w:rPr>
          <w:rFonts w:ascii="Arial" w:cs="Arial" w:eastAsia="Arial" w:hAnsi="Arial"/>
          <w:sz w:val="19"/>
          <w:szCs w:val="19"/>
          <w:color w:val="auto"/>
        </w:rPr>
        <w:t xml:space="preserve">So long as no Event of Default has occurred and is continuing, Credit Parties may add or replace a Relationship Bank, Lock Box or Blocked Account or to replace any Concentration Account or any Disbursement Account. Credit Parties shall close any of their accounts (and establish replacement accounts in accordance with the foregoing sentence) promptly and in any event within sixty (60) days (as may be extended by Agent in its discretion) following notice from Agent that the creditworthiness (as determined by Agent in its Permitted Discretion) of any bank holding an account is no longer acceptable in Agent’s reasonable judgment, or as promptly as practicable and in any event within sixty (60) days (as may be extended by Agent in its discretion) following notice from Agent that the operating performance, funds transfer or availability procedures or performance with respect to accounts or Lock Boxes of the bank holding such accounts or Agent’s liability under any tri-party blocked account agreement with such bank is no longer acceptable in Agent’s reasonable judgment;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bank shall have a period of thirty (30) days from the date of such notice from Agent to the Credit Parties to remedy the creditworthiness issues, in the Permitted Discretion of Agent, and if such issues are not resolved, in the Permitted Discretion of Agent, then the Credit Parties shall have sixty (60) days (as may be extended by Agent in its Permitted Discretion) following the expiration of the thirty (30) days or determination by Agent that the creditworthiness issues have not been resolved (whichever is shorter) to move such accounts.</w:t>
      </w:r>
    </w:p>
    <w:p>
      <w:pPr>
        <w:spacing w:after="0" w:line="161" w:lineRule="exact"/>
        <w:rPr>
          <w:rFonts w:ascii="Arial" w:cs="Arial" w:eastAsia="Arial" w:hAnsi="Arial"/>
          <w:sz w:val="19"/>
          <w:szCs w:val="19"/>
          <w:color w:val="auto"/>
        </w:rPr>
      </w:pPr>
    </w:p>
    <w:p>
      <w:pPr>
        <w:jc w:val="both"/>
        <w:ind w:firstLine="1286"/>
        <w:spacing w:after="0" w:line="250" w:lineRule="auto"/>
        <w:tabs>
          <w:tab w:leader="none" w:pos="1779" w:val="left"/>
        </w:tabs>
        <w:numPr>
          <w:ilvl w:val="0"/>
          <w:numId w:val="272"/>
        </w:numPr>
        <w:rPr>
          <w:rFonts w:ascii="Arial" w:cs="Arial" w:eastAsia="Arial" w:hAnsi="Arial"/>
          <w:sz w:val="22"/>
          <w:szCs w:val="22"/>
          <w:color w:val="auto"/>
        </w:rPr>
      </w:pPr>
      <w:r>
        <w:rPr>
          <w:rFonts w:ascii="Arial" w:cs="Arial" w:eastAsia="Arial" w:hAnsi="Arial"/>
          <w:sz w:val="22"/>
          <w:szCs w:val="22"/>
          <w:color w:val="auto"/>
        </w:rPr>
        <w:t>The Lock Boxes, Blocked Accounts, Disbursement Accounts and the Concentration Accounts shall be cash collateral accounts, with all cash, checks and other similar items of payment in such accounts securing payment of the Loans and all other Obligations, and in which a Credit Party shall have granted a Lien to Agent, on behalf of itself and the Secured Parties, pursuant to the U.S. Security Agreement.</w:t>
      </w:r>
    </w:p>
    <w:p>
      <w:pPr>
        <w:spacing w:after="0" w:line="187" w:lineRule="exact"/>
        <w:rPr>
          <w:rFonts w:ascii="Arial" w:cs="Arial" w:eastAsia="Arial" w:hAnsi="Arial"/>
          <w:sz w:val="22"/>
          <w:szCs w:val="22"/>
          <w:color w:val="auto"/>
        </w:rPr>
      </w:pPr>
    </w:p>
    <w:p>
      <w:pPr>
        <w:jc w:val="both"/>
        <w:ind w:firstLine="1286"/>
        <w:spacing w:after="0" w:line="250" w:lineRule="auto"/>
        <w:tabs>
          <w:tab w:leader="none" w:pos="1782" w:val="left"/>
        </w:tabs>
        <w:numPr>
          <w:ilvl w:val="0"/>
          <w:numId w:val="272"/>
        </w:numPr>
        <w:rPr>
          <w:rFonts w:ascii="Arial" w:cs="Arial" w:eastAsia="Arial" w:hAnsi="Arial"/>
          <w:sz w:val="22"/>
          <w:szCs w:val="22"/>
          <w:color w:val="auto"/>
        </w:rPr>
      </w:pPr>
      <w:r>
        <w:rPr>
          <w:rFonts w:ascii="Arial" w:cs="Arial" w:eastAsia="Arial" w:hAnsi="Arial"/>
          <w:sz w:val="22"/>
          <w:szCs w:val="22"/>
          <w:color w:val="auto"/>
        </w:rPr>
        <w:t xml:space="preserve">All amounts deposited in the Collection Account during a Cash Dominion Period shall be deemed received by Agent in accordance with </w:t>
      </w:r>
      <w:r>
        <w:rPr>
          <w:rFonts w:ascii="Arial" w:cs="Arial" w:eastAsia="Arial" w:hAnsi="Arial"/>
          <w:sz w:val="22"/>
          <w:szCs w:val="22"/>
          <w:u w:val="single" w:color="auto"/>
          <w:color w:val="auto"/>
        </w:rPr>
        <w:t>Section 2.8</w:t>
      </w:r>
      <w:r>
        <w:rPr>
          <w:rFonts w:ascii="Arial" w:cs="Arial" w:eastAsia="Arial" w:hAnsi="Arial"/>
          <w:sz w:val="22"/>
          <w:szCs w:val="22"/>
          <w:color w:val="auto"/>
        </w:rPr>
        <w:t xml:space="preserve"> and shall be applied (and allocated) by Agent in accordance with </w:t>
      </w:r>
      <w:r>
        <w:rPr>
          <w:rFonts w:ascii="Arial" w:cs="Arial" w:eastAsia="Arial" w:hAnsi="Arial"/>
          <w:sz w:val="22"/>
          <w:szCs w:val="22"/>
          <w:u w:val="single" w:color="auto"/>
          <w:color w:val="auto"/>
        </w:rPr>
        <w:t>Section 2.9</w:t>
      </w:r>
      <w:r>
        <w:rPr>
          <w:rFonts w:ascii="Arial" w:cs="Arial" w:eastAsia="Arial" w:hAnsi="Arial"/>
          <w:sz w:val="22"/>
          <w:szCs w:val="22"/>
          <w:color w:val="auto"/>
        </w:rPr>
        <w:t>. In no event shall any amount be so applied unless and until such amount shall have been credited in immediately available funds to the Collection Account.</w:t>
      </w:r>
    </w:p>
    <w:p>
      <w:pPr>
        <w:sectPr>
          <w:pgSz w:w="11900" w:h="16838" w:orient="portrait"/>
          <w:cols w:equalWidth="0" w:num="1">
            <w:col w:w="11060"/>
          </w:cols>
          <w:pgMar w:left="500" w:top="1428" w:right="339" w:bottom="1440" w:gutter="0" w:footer="0" w:header="0"/>
        </w:sectPr>
      </w:pPr>
    </w:p>
    <w:bookmarkStart w:id="332" w:name="page333"/>
    <w:bookmarkEnd w:id="332"/>
    <w:p>
      <w:pPr>
        <w:jc w:val="both"/>
        <w:ind w:left="10" w:firstLine="1286"/>
        <w:spacing w:after="0" w:line="288" w:lineRule="auto"/>
        <w:tabs>
          <w:tab w:leader="none" w:pos="1787" w:val="left"/>
        </w:tabs>
        <w:numPr>
          <w:ilvl w:val="1"/>
          <w:numId w:val="273"/>
        </w:numPr>
        <w:rPr>
          <w:rFonts w:ascii="Arial" w:cs="Arial" w:eastAsia="Arial" w:hAnsi="Arial"/>
          <w:sz w:val="19"/>
          <w:szCs w:val="19"/>
          <w:color w:val="auto"/>
        </w:rPr>
      </w:pPr>
      <w:r>
        <w:rPr>
          <w:rFonts w:ascii="Arial" w:cs="Arial" w:eastAsia="Arial" w:hAnsi="Arial"/>
          <w:sz w:val="19"/>
          <w:szCs w:val="19"/>
          <w:color w:val="auto"/>
        </w:rPr>
        <w:t>Each Credit Party shall and shall cause its Affiliates, officers, employees, agents, directors or other Persons acting for or in concert with such Credit Party to (i) hold in trust for Agent, for the benefit of itself and Lenders, all checks, cash and other items of payment received by such Credit Party or any such Related Person representing proceeds of Accounts, and</w:t>
      </w:r>
    </w:p>
    <w:p>
      <w:pPr>
        <w:jc w:val="both"/>
        <w:ind w:left="10" w:hanging="10"/>
        <w:spacing w:after="0" w:line="287" w:lineRule="auto"/>
        <w:tabs>
          <w:tab w:leader="none" w:pos="346" w:val="left"/>
        </w:tabs>
        <w:numPr>
          <w:ilvl w:val="0"/>
          <w:numId w:val="274"/>
        </w:numPr>
        <w:rPr>
          <w:rFonts w:ascii="Arial" w:cs="Arial" w:eastAsia="Arial" w:hAnsi="Arial"/>
          <w:sz w:val="19"/>
          <w:szCs w:val="19"/>
          <w:color w:val="auto"/>
        </w:rPr>
      </w:pPr>
      <w:r>
        <w:rPr>
          <w:rFonts w:ascii="Arial" w:cs="Arial" w:eastAsia="Arial" w:hAnsi="Arial"/>
          <w:sz w:val="19"/>
          <w:szCs w:val="19"/>
          <w:color w:val="auto"/>
        </w:rPr>
        <w:t>within five (5) Business Days after receipt by such Credit Party or any such Related Person of any checks, cash or other items of payment, deposit the same into a Blocked Account of such Credit Party. Each Credit Party acknowledges and agrees that all cash, checks or other items of payment constituting proceeds of ABL Priority Collateral are part of the Accounts, and each such item constituting proceeds of ABL Priority Collateral or Canadian Collateral are a part of the ABL Priority Collateral or Canadian Collateral, respectively. Subject to the ABL Intercreditor Agreement, all proceeds of the sale or other disposition of ABL Priority Collateral shall be deposited directly into the applicable Blocked Accounts unless transferred directly to Agent and applied toward repayment of the Loans in accordance with this Agreement, it being understood that proceeds of Term Priority Collateral may be deposited in the Term Collateral Account.</w:t>
      </w:r>
    </w:p>
    <w:p>
      <w:pPr>
        <w:sectPr>
          <w:pgSz w:w="11900" w:h="16838" w:orient="portrait"/>
          <w:cols w:equalWidth="0" w:num="1">
            <w:col w:w="11070"/>
          </w:cols>
          <w:pgMar w:left="490" w:top="1428" w:right="339" w:bottom="1440" w:gutter="0" w:footer="0" w:header="0"/>
        </w:sectPr>
      </w:pPr>
    </w:p>
    <w:bookmarkStart w:id="333" w:name="page334"/>
    <w:bookmarkEnd w:id="333"/>
    <w:p>
      <w:pPr>
        <w:jc w:val="center"/>
        <w:ind w:right="-1120"/>
        <w:spacing w:after="0"/>
        <w:rPr>
          <w:sz w:val="20"/>
          <w:szCs w:val="20"/>
          <w:color w:val="auto"/>
        </w:rPr>
      </w:pPr>
      <w:r>
        <w:rPr>
          <w:rFonts w:ascii="Arial" w:cs="Arial" w:eastAsia="Arial" w:hAnsi="Arial"/>
          <w:sz w:val="22"/>
          <w:szCs w:val="22"/>
          <w:b w:val="1"/>
          <w:bCs w:val="1"/>
          <w:u w:val="single" w:color="auto"/>
          <w:color w:val="auto"/>
        </w:rPr>
        <w:t>ANNEX B</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TO</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CREDIT AGREEMENT</w:t>
      </w:r>
    </w:p>
    <w:p>
      <w:pPr>
        <w:spacing w:after="0" w:line="196" w:lineRule="exact"/>
        <w:rPr>
          <w:sz w:val="20"/>
          <w:szCs w:val="20"/>
          <w:color w:val="auto"/>
        </w:rPr>
      </w:pPr>
    </w:p>
    <w:p>
      <w:pPr>
        <w:jc w:val="right"/>
        <w:ind w:right="2779"/>
        <w:spacing w:after="0"/>
        <w:rPr>
          <w:sz w:val="20"/>
          <w:szCs w:val="20"/>
          <w:color w:val="auto"/>
        </w:rPr>
      </w:pPr>
      <w:r>
        <w:rPr>
          <w:rFonts w:ascii="Arial" w:cs="Arial" w:eastAsia="Arial" w:hAnsi="Arial"/>
          <w:sz w:val="22"/>
          <w:szCs w:val="22"/>
          <w:b w:val="1"/>
          <w:bCs w:val="1"/>
          <w:u w:val="single" w:color="auto"/>
          <w:color w:val="auto"/>
        </w:rPr>
        <w:t>WIRE TRANSFER INFORMATION</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Bank: Morgan Stanley Bank, N.A.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ABA#: 021-000-089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Account Number: 3044-0947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REF: XPO Logistics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Account Name: Morgan Stanley Bank, NA</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Bank: Morgan Stanley Senior Funding,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ABA#: 021-000-089</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Account Number: 406-99-776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REF: XPO Logistics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Account Name: Morgan Stanley Senior Funding, Inc.</w:t>
      </w:r>
    </w:p>
    <w:p>
      <w:pPr>
        <w:sectPr>
          <w:pgSz w:w="11900" w:h="16838" w:orient="portrait"/>
          <w:cols w:equalWidth="0" w:num="1">
            <w:col w:w="10139"/>
          </w:cols>
          <w:pgMar w:left="320" w:top="1422" w:right="1440" w:bottom="1440" w:gutter="0" w:footer="0" w:header="0"/>
        </w:sectPr>
      </w:pPr>
    </w:p>
    <w:bookmarkStart w:id="334" w:name="page335"/>
    <w:bookmarkEnd w:id="334"/>
    <w:p>
      <w:pPr>
        <w:jc w:val="center"/>
        <w:spacing w:after="0"/>
        <w:rPr>
          <w:sz w:val="20"/>
          <w:szCs w:val="20"/>
          <w:color w:val="auto"/>
        </w:rPr>
      </w:pPr>
      <w:r>
        <w:rPr>
          <w:rFonts w:ascii="Arial" w:cs="Arial" w:eastAsia="Arial" w:hAnsi="Arial"/>
          <w:sz w:val="19"/>
          <w:szCs w:val="19"/>
          <w:color w:val="auto"/>
        </w:rPr>
        <w:t>[COMMITMENT SCHEDULES TO BE POSTED SEPARATELY]</w:t>
      </w:r>
    </w:p>
    <w:p>
      <w:pPr>
        <w:sectPr>
          <w:pgSz w:w="11900" w:h="16838" w:orient="portrait"/>
          <w:cols w:equalWidth="0" w:num="1">
            <w:col w:w="9019"/>
          </w:cols>
          <w:pgMar w:left="1440" w:top="1428" w:right="1440" w:bottom="1440" w:gutter="0" w:footer="0" w:header="0"/>
        </w:sectPr>
      </w:pPr>
    </w:p>
    <w:bookmarkStart w:id="335" w:name="page336"/>
    <w:bookmarkEnd w:id="335"/>
    <w:p>
      <w:pPr>
        <w:spacing w:after="0" w:line="306"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SCHEDULE 2.1</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TO</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u w:val="single" w:color="auto"/>
          <w:color w:val="auto"/>
        </w:rPr>
        <w:t>CREDIT AGREEMENT</w:t>
      </w:r>
    </w:p>
    <w:p>
      <w:pPr>
        <w:spacing w:after="0" w:line="196" w:lineRule="exact"/>
        <w:rPr>
          <w:sz w:val="20"/>
          <w:szCs w:val="20"/>
          <w:color w:val="auto"/>
        </w:rPr>
      </w:pPr>
    </w:p>
    <w:p>
      <w:pPr>
        <w:jc w:val="right"/>
        <w:ind w:right="2979"/>
        <w:spacing w:after="0"/>
        <w:rPr>
          <w:sz w:val="20"/>
          <w:szCs w:val="20"/>
          <w:color w:val="auto"/>
        </w:rPr>
      </w:pPr>
      <w:r>
        <w:rPr>
          <w:rFonts w:ascii="Arial" w:cs="Arial" w:eastAsia="Arial" w:hAnsi="Arial"/>
          <w:sz w:val="22"/>
          <w:szCs w:val="22"/>
          <w:b w:val="1"/>
          <w:bCs w:val="1"/>
          <w:u w:val="single" w:color="auto"/>
          <w:color w:val="auto"/>
        </w:rPr>
        <w:t>AGENTS’ REPRESENTATIVES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Senior Funding, Inc.</w:t>
      </w:r>
    </w:p>
    <w:p>
      <w:pPr>
        <w:spacing w:after="0" w:line="207" w:lineRule="auto"/>
        <w:rPr>
          <w:sz w:val="20"/>
          <w:szCs w:val="20"/>
          <w:color w:val="auto"/>
        </w:rPr>
      </w:pPr>
      <w:r>
        <w:rPr>
          <w:rFonts w:ascii="Arial" w:cs="Arial" w:eastAsia="Arial" w:hAnsi="Arial"/>
          <w:sz w:val="22"/>
          <w:szCs w:val="22"/>
          <w:color w:val="auto"/>
        </w:rPr>
        <w:t>1300 Thames Street, 4</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rPr>
          <w:sz w:val="20"/>
          <w:szCs w:val="20"/>
          <w:color w:val="auto"/>
        </w:rPr>
      </w:pPr>
      <w:r>
        <w:rPr>
          <w:rFonts w:ascii="Arial" w:cs="Arial" w:eastAsia="Arial" w:hAnsi="Arial"/>
          <w:sz w:val="22"/>
          <w:szCs w:val="22"/>
          <w:color w:val="auto"/>
        </w:rPr>
        <w:t>Thames Street Wharf</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Baltimore, Maryland 21231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No.: (917) 260-0588</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for Borrowers: agency.borrowers@morganstanley.com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for Lenders: msagency@morganstanley.com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For all E-System postings: borrower.documents@morganstanley.com</w:t>
      </w:r>
    </w:p>
    <w:p>
      <w:pPr>
        <w:sectPr>
          <w:pgSz w:w="11900" w:h="16838" w:orient="portrait"/>
          <w:cols w:equalWidth="0" w:num="1">
            <w:col w:w="10139"/>
          </w:cols>
          <w:pgMar w:left="320" w:top="1440" w:right="1440" w:bottom="1440" w:gutter="0" w:footer="0" w:header="0"/>
        </w:sectPr>
      </w:pPr>
    </w:p>
    <w:bookmarkStart w:id="336" w:name="page337"/>
    <w:bookmarkEnd w:id="336"/>
    <w:p>
      <w:pPr>
        <w:jc w:val="right"/>
        <w:spacing w:after="0"/>
        <w:rPr>
          <w:sz w:val="20"/>
          <w:szCs w:val="20"/>
          <w:color w:val="auto"/>
        </w:rPr>
      </w:pPr>
      <w:r>
        <w:rPr>
          <w:rFonts w:ascii="Arial" w:cs="Arial" w:eastAsia="Arial" w:hAnsi="Arial"/>
          <w:sz w:val="20"/>
          <w:szCs w:val="20"/>
          <w:u w:val="single" w:color="auto"/>
          <w:color w:val="auto"/>
        </w:rPr>
        <w:t>EXHIBIT 1.1</w:t>
      </w:r>
    </w:p>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[FORM OF]</w:t>
      </w:r>
    </w:p>
    <w:p>
      <w:pPr>
        <w:spacing w:after="0" w:line="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ABL INTERCREDITOR AGREEMENT</w:t>
      </w:r>
    </w:p>
    <w:p>
      <w:pPr>
        <w:spacing w:after="0" w:line="200" w:lineRule="exact"/>
        <w:rPr>
          <w:sz w:val="20"/>
          <w:szCs w:val="20"/>
          <w:color w:val="auto"/>
        </w:rPr>
      </w:pPr>
    </w:p>
    <w:p>
      <w:pPr>
        <w:spacing w:after="0" w:line="256"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See attached.</w:t>
      </w:r>
      <w:r>
        <w:rPr>
          <w:rFonts w:ascii="Arial" w:cs="Arial" w:eastAsia="Arial" w:hAnsi="Arial"/>
          <w:sz w:val="20"/>
          <w:szCs w:val="20"/>
          <w:color w:val="auto"/>
        </w:rPr>
        <w:t>]</w:t>
      </w:r>
    </w:p>
    <w:p>
      <w:pPr>
        <w:sectPr>
          <w:pgSz w:w="11900" w:h="16838" w:orient="portrait"/>
          <w:cols w:equalWidth="0" w:num="1">
            <w:col w:w="10120"/>
          </w:cols>
          <w:pgMar w:left="1440" w:top="1419" w:right="339" w:bottom="1440" w:gutter="0" w:footer="0" w:header="0"/>
        </w:sectPr>
      </w:pPr>
    </w:p>
    <w:bookmarkStart w:id="337" w:name="page338"/>
    <w:bookmarkEnd w:id="337"/>
    <w:p>
      <w:pPr>
        <w:jc w:val="right"/>
        <w:spacing w:after="0"/>
        <w:rPr>
          <w:sz w:val="20"/>
          <w:szCs w:val="20"/>
          <w:color w:val="auto"/>
        </w:rPr>
      </w:pPr>
      <w:r>
        <w:rPr>
          <w:rFonts w:ascii="Arial" w:cs="Arial" w:eastAsia="Arial" w:hAnsi="Arial"/>
          <w:sz w:val="20"/>
          <w:szCs w:val="20"/>
          <w:u w:val="single" w:color="auto"/>
          <w:color w:val="auto"/>
        </w:rPr>
        <w:t>EXHIBIT 1.1(a)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SUPPLEMENTAL GUARANTEE</w:t>
      </w:r>
    </w:p>
    <w:p>
      <w:pPr>
        <w:spacing w:after="0" w:line="213"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SUPPLEMENTAL GUARANTEE (this “</w:t>
      </w:r>
      <w:r>
        <w:rPr>
          <w:rFonts w:ascii="Arial" w:cs="Arial" w:eastAsia="Arial" w:hAnsi="Arial"/>
          <w:sz w:val="18"/>
          <w:szCs w:val="18"/>
          <w:u w:val="single" w:color="auto"/>
          <w:color w:val="auto"/>
        </w:rPr>
        <w:t>Supplemental Guarantee</w:t>
      </w:r>
      <w:r>
        <w:rPr>
          <w:rFonts w:ascii="Arial" w:cs="Arial" w:eastAsia="Arial" w:hAnsi="Arial"/>
          <w:sz w:val="18"/>
          <w:szCs w:val="18"/>
          <w:color w:val="auto"/>
        </w:rPr>
        <w:t>”) dated as of [●], between [●] (the “</w:t>
      </w:r>
      <w:r>
        <w:rPr>
          <w:rFonts w:ascii="Arial" w:cs="Arial" w:eastAsia="Arial" w:hAnsi="Arial"/>
          <w:sz w:val="18"/>
          <w:szCs w:val="18"/>
          <w:u w:val="single" w:color="auto"/>
          <w:color w:val="auto"/>
        </w:rPr>
        <w:t>New Guarantor</w:t>
      </w:r>
      <w:r>
        <w:rPr>
          <w:rFonts w:ascii="Arial" w:cs="Arial" w:eastAsia="Arial" w:hAnsi="Arial"/>
          <w:sz w:val="18"/>
          <w:szCs w:val="18"/>
          <w:color w:val="auto"/>
        </w:rPr>
        <w:t>”) and MORGAN STANLEY SENIOR FUNDING, INC., as administrative agent (the “</w:t>
      </w:r>
      <w:r>
        <w:rPr>
          <w:rFonts w:ascii="Arial" w:cs="Arial" w:eastAsia="Arial" w:hAnsi="Arial"/>
          <w:sz w:val="18"/>
          <w:szCs w:val="18"/>
          <w:u w:val="single" w:color="auto"/>
          <w:color w:val="auto"/>
        </w:rPr>
        <w:t>Agent</w:t>
      </w:r>
      <w:r>
        <w:rPr>
          <w:rFonts w:ascii="Arial" w:cs="Arial" w:eastAsia="Arial" w:hAnsi="Arial"/>
          <w:sz w:val="18"/>
          <w:szCs w:val="18"/>
          <w:color w:val="auto"/>
        </w:rPr>
        <w:t xml:space="preserve">”), under that certain Second Amended and Restated Revolving Loan Credit Agreement (as amended, amended and restated, supplemented or otherwise modified from time to time, including by that certain Amendment No. 1 to Second Amended and Restated Revolving Loan Credit Agreement, dated as of July 19, 2017, that certain Amendment No. 2 to Second Amended and Restated Revolving Loan Agreement, dated as of March 22, </w:t>
      </w:r>
      <w:r>
        <w:rPr>
          <w:rFonts w:ascii="Arial" w:cs="Arial" w:eastAsia="Arial" w:hAnsi="Arial"/>
          <w:sz w:val="18"/>
          <w:szCs w:val="18"/>
          <w:color w:val="FF0000"/>
          <w:strike w:val="1"/>
        </w:rPr>
        <w:t>2018 and</w:t>
      </w:r>
      <w:r>
        <w:rPr>
          <w:rFonts w:ascii="Arial" w:cs="Arial" w:eastAsia="Arial" w:hAnsi="Arial"/>
          <w:sz w:val="18"/>
          <w:szCs w:val="18"/>
          <w:u w:val="single" w:color="auto"/>
          <w:color w:val="0000FF"/>
        </w:rPr>
        <w:t>2018,</w:t>
      </w:r>
      <w:r>
        <w:rPr>
          <w:rFonts w:ascii="Arial" w:cs="Arial" w:eastAsia="Arial" w:hAnsi="Arial"/>
          <w:sz w:val="18"/>
          <w:szCs w:val="18"/>
          <w:color w:val="auto"/>
        </w:rPr>
        <w:t xml:space="preserve"> that certain Amendment No. 3 to Second Amended and Restated Revolving Loan Credit Agreement, dated as of April 30, 2019, </w:t>
      </w:r>
      <w:r>
        <w:rPr>
          <w:rFonts w:ascii="Arial" w:cs="Arial" w:eastAsia="Arial" w:hAnsi="Arial"/>
          <w:sz w:val="18"/>
          <w:szCs w:val="18"/>
          <w:color w:val="0000FF"/>
        </w:rPr>
        <w:t>that certain Amendment No. 4 to Second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Amended and Restated Revolving Loan Credit Agreement, dated as of April 3, 2020 and that certain Amendment No. 5 to Second Amended and Restated Revolving Loan Credit Agreement, dated as of June 29, 2020,</w:t>
      </w:r>
      <w:r>
        <w:rPr>
          <w:rFonts w:ascii="Arial" w:cs="Arial" w:eastAsia="Arial" w:hAnsi="Arial"/>
          <w:sz w:val="18"/>
          <w:szCs w:val="18"/>
          <w:color w:val="0000FF"/>
        </w:rPr>
        <w:t xml:space="preserve"> </w:t>
      </w:r>
      <w:r>
        <w:rPr>
          <w:rFonts w:ascii="Arial" w:cs="Arial" w:eastAsia="Arial" w:hAnsi="Arial"/>
          <w:sz w:val="18"/>
          <w:szCs w:val="18"/>
          <w:color w:val="000000"/>
        </w:rPr>
        <w:t>the “</w:t>
      </w:r>
      <w:r>
        <w:rPr>
          <w:rFonts w:ascii="Arial" w:cs="Arial" w:eastAsia="Arial" w:hAnsi="Arial"/>
          <w:sz w:val="18"/>
          <w:szCs w:val="18"/>
          <w:u w:val="single" w:color="auto"/>
          <w:color w:val="000000"/>
        </w:rPr>
        <w:t>Credit Agreement</w:t>
      </w:r>
      <w:r>
        <w:rPr>
          <w:rFonts w:ascii="Arial" w:cs="Arial" w:eastAsia="Arial" w:hAnsi="Arial"/>
          <w:sz w:val="18"/>
          <w:szCs w:val="18"/>
          <w:color w:val="000000"/>
        </w:rPr>
        <w:t>”), dated as of October 30, 2015, by and</w:t>
      </w:r>
      <w:r>
        <w:rPr>
          <w:rFonts w:ascii="Arial" w:cs="Arial" w:eastAsia="Arial" w:hAnsi="Arial"/>
          <w:sz w:val="18"/>
          <w:szCs w:val="18"/>
          <w:color w:val="0000FF"/>
        </w:rPr>
        <w:t xml:space="preserve"> </w:t>
      </w:r>
      <w:r>
        <w:rPr>
          <w:rFonts w:ascii="Arial" w:cs="Arial" w:eastAsia="Arial" w:hAnsi="Arial"/>
          <w:sz w:val="18"/>
          <w:szCs w:val="18"/>
          <w:color w:val="000000"/>
        </w:rPr>
        <w:t>among XPO LOGISTICS, INC., a Delaware corporation (“</w:t>
      </w:r>
      <w:r>
        <w:rPr>
          <w:rFonts w:ascii="Arial" w:cs="Arial" w:eastAsia="Arial" w:hAnsi="Arial"/>
          <w:sz w:val="18"/>
          <w:szCs w:val="18"/>
          <w:u w:val="single" w:color="auto"/>
          <w:color w:val="000000"/>
        </w:rPr>
        <w:t>Parent Borrower</w:t>
      </w:r>
      <w:r>
        <w:rPr>
          <w:rFonts w:ascii="Arial" w:cs="Arial" w:eastAsia="Arial" w:hAnsi="Arial"/>
          <w:sz w:val="18"/>
          <w:szCs w:val="18"/>
          <w:color w:val="000000"/>
        </w:rPr>
        <w:t>”), certain of Parent Borrower’s wholly-owned Domestic Subsidiaries signatory thereto, as borrowers (collectively with the Parent Borrower, referred to therein as the “</w:t>
      </w:r>
      <w:r>
        <w:rPr>
          <w:rFonts w:ascii="Arial" w:cs="Arial" w:eastAsia="Arial" w:hAnsi="Arial"/>
          <w:sz w:val="18"/>
          <w:szCs w:val="18"/>
          <w:u w:val="single" w:color="auto"/>
          <w:color w:val="000000"/>
        </w:rPr>
        <w:t>U.S. Borrowers</w:t>
      </w:r>
      <w:r>
        <w:rPr>
          <w:rFonts w:ascii="Arial" w:cs="Arial" w:eastAsia="Arial" w:hAnsi="Arial"/>
          <w:sz w:val="18"/>
          <w:szCs w:val="18"/>
          <w:color w:val="000000"/>
        </w:rPr>
        <w:t>” and each, individually, as a “</w:t>
      </w:r>
      <w:r>
        <w:rPr>
          <w:rFonts w:ascii="Arial" w:cs="Arial" w:eastAsia="Arial" w:hAnsi="Arial"/>
          <w:sz w:val="18"/>
          <w:szCs w:val="18"/>
          <w:u w:val="single" w:color="auto"/>
          <w:color w:val="000000"/>
        </w:rPr>
        <w:t>U.S. Borrower</w:t>
      </w:r>
      <w:r>
        <w:rPr>
          <w:rFonts w:ascii="Arial" w:cs="Arial" w:eastAsia="Arial" w:hAnsi="Arial"/>
          <w:sz w:val="18"/>
          <w:szCs w:val="18"/>
          <w:color w:val="000000"/>
        </w:rPr>
        <w:t>”), XPO LOGISTICS CANADA INC., an Ontario corporation (“</w:t>
      </w:r>
      <w:r>
        <w:rPr>
          <w:rFonts w:ascii="Arial" w:cs="Arial" w:eastAsia="Arial" w:hAnsi="Arial"/>
          <w:sz w:val="18"/>
          <w:szCs w:val="18"/>
          <w:u w:val="single" w:color="auto"/>
          <w:color w:val="000000"/>
        </w:rPr>
        <w:t>XPO Canada</w:t>
      </w:r>
      <w:r>
        <w:rPr>
          <w:rFonts w:ascii="Arial" w:cs="Arial" w:eastAsia="Arial" w:hAnsi="Arial"/>
          <w:sz w:val="18"/>
          <w:szCs w:val="18"/>
          <w:color w:val="000000"/>
        </w:rPr>
        <w:t>”), certain of Parent Borrower’s other wholly-owned Canadian subsidiaries signatory thereto, as borrowers (with XPO Canada, collectively referred to therein as the “</w:t>
      </w:r>
      <w:r>
        <w:rPr>
          <w:rFonts w:ascii="Arial" w:cs="Arial" w:eastAsia="Arial" w:hAnsi="Arial"/>
          <w:sz w:val="18"/>
          <w:szCs w:val="18"/>
          <w:u w:val="single" w:color="auto"/>
          <w:color w:val="000000"/>
        </w:rPr>
        <w:t>Canadian Borrowers</w:t>
      </w:r>
      <w:r>
        <w:rPr>
          <w:rFonts w:ascii="Arial" w:cs="Arial" w:eastAsia="Arial" w:hAnsi="Arial"/>
          <w:sz w:val="18"/>
          <w:szCs w:val="18"/>
          <w:color w:val="000000"/>
        </w:rPr>
        <w:t>” and each, individually, as a “</w:t>
      </w:r>
      <w:r>
        <w:rPr>
          <w:rFonts w:ascii="Arial" w:cs="Arial" w:eastAsia="Arial" w:hAnsi="Arial"/>
          <w:sz w:val="18"/>
          <w:szCs w:val="18"/>
          <w:u w:val="single" w:color="auto"/>
          <w:color w:val="000000"/>
        </w:rPr>
        <w:t>Canadian Borrower</w:t>
      </w:r>
      <w:r>
        <w:rPr>
          <w:rFonts w:ascii="Arial" w:cs="Arial" w:eastAsia="Arial" w:hAnsi="Arial"/>
          <w:sz w:val="18"/>
          <w:szCs w:val="18"/>
          <w:color w:val="000000"/>
        </w:rPr>
        <w:t>” and together with the U.S. Borrowers, collectively referred to therein as the “</w:t>
      </w:r>
      <w:r>
        <w:rPr>
          <w:rFonts w:ascii="Arial" w:cs="Arial" w:eastAsia="Arial" w:hAnsi="Arial"/>
          <w:sz w:val="18"/>
          <w:szCs w:val="18"/>
          <w:u w:val="single" w:color="auto"/>
          <w:color w:val="000000"/>
        </w:rPr>
        <w:t>Borrowers</w:t>
      </w:r>
      <w:r>
        <w:rPr>
          <w:rFonts w:ascii="Arial" w:cs="Arial" w:eastAsia="Arial" w:hAnsi="Arial"/>
          <w:sz w:val="18"/>
          <w:szCs w:val="18"/>
          <w:color w:val="000000"/>
        </w:rPr>
        <w:t>” and each, individually, as a “</w:t>
      </w:r>
      <w:r>
        <w:rPr>
          <w:rFonts w:ascii="Arial" w:cs="Arial" w:eastAsia="Arial" w:hAnsi="Arial"/>
          <w:sz w:val="18"/>
          <w:szCs w:val="18"/>
          <w:u w:val="single" w:color="auto"/>
          <w:color w:val="000000"/>
        </w:rPr>
        <w:t>Borrower</w:t>
      </w:r>
      <w:r>
        <w:rPr>
          <w:rFonts w:ascii="Arial" w:cs="Arial" w:eastAsia="Arial" w:hAnsi="Arial"/>
          <w:sz w:val="18"/>
          <w:szCs w:val="18"/>
          <w:color w:val="000000"/>
        </w:rPr>
        <w:t>”), the other Credit Parties signatory thereto, the Lenders and L/C Issuers from time to time party thereto, the Agent and Morgan Stanley Senior Funding, Inc. and JPMorgan Chase Bank, N.A., in their capacity as co-collateral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-1497330</wp:posOffset>
            </wp:positionV>
            <wp:extent cx="20866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2086610" cy="8890"/>
                    </a:xfrm>
                    <a:prstGeom prst="rect">
                      <a:avLst/>
                    </a:prstGeom>
                    <a:noFill/>
                  </pic:spPr>
                </pic:pic>
              </a:graphicData>
            </a:graphic>
          </wp:anchor>
        </w:drawing>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certain Subsidiaries of the Parent Borrower are party to the Credit Agreement as Guarantors;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 desires to become a party to the Credit Agreement as a [U.S.][Canadian] Guarantor thereunder; and</w:t>
      </w:r>
    </w:p>
    <w:p>
      <w:pPr>
        <w:spacing w:after="0" w:line="216" w:lineRule="exact"/>
        <w:rPr>
          <w:sz w:val="20"/>
          <w:szCs w:val="20"/>
          <w:color w:val="auto"/>
        </w:rPr>
      </w:pPr>
    </w:p>
    <w:p>
      <w:pPr>
        <w:ind w:right="200" w:firstLine="648"/>
        <w:spacing w:after="0" w:line="260" w:lineRule="auto"/>
        <w:rPr>
          <w:sz w:val="20"/>
          <w:szCs w:val="20"/>
          <w:color w:val="auto"/>
        </w:rPr>
      </w:pPr>
      <w:r>
        <w:rPr>
          <w:rFonts w:ascii="Arial" w:cs="Arial" w:eastAsia="Arial" w:hAnsi="Arial"/>
          <w:sz w:val="20"/>
          <w:szCs w:val="20"/>
          <w:color w:val="auto"/>
        </w:rPr>
        <w:t>WHEREAS, terms defined in the Credit Agreement and not otherwise defined herein have, as used herein, the respective meanings provided for therein;</w:t>
      </w:r>
    </w:p>
    <w:p>
      <w:pPr>
        <w:spacing w:after="0" w:line="177"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NOW, THEREFORE, in consideration of the foregoing and other good and valuable consideration, the receipt and sufficiency of which are hereby acknowledged, the parties hereto agree as follows:</w:t>
      </w:r>
    </w:p>
    <w:p>
      <w:pPr>
        <w:spacing w:after="0" w:line="204" w:lineRule="exact"/>
        <w:rPr>
          <w:sz w:val="20"/>
          <w:szCs w:val="20"/>
          <w:color w:val="auto"/>
        </w:rPr>
      </w:pPr>
    </w:p>
    <w:p>
      <w:pPr>
        <w:ind w:firstLine="850"/>
        <w:spacing w:after="0" w:line="257" w:lineRule="auto"/>
        <w:tabs>
          <w:tab w:leader="none" w:pos="1288" w:val="left"/>
        </w:tabs>
        <w:numPr>
          <w:ilvl w:val="0"/>
          <w:numId w:val="275"/>
        </w:numPr>
        <w:rPr>
          <w:rFonts w:ascii="Arial" w:cs="Arial" w:eastAsia="Arial" w:hAnsi="Arial"/>
          <w:sz w:val="19"/>
          <w:szCs w:val="19"/>
          <w:color w:val="auto"/>
        </w:rPr>
      </w:pPr>
      <w:r>
        <w:rPr>
          <w:rFonts w:ascii="Arial" w:cs="Arial" w:eastAsia="Arial" w:hAnsi="Arial"/>
          <w:sz w:val="19"/>
          <w:szCs w:val="19"/>
          <w:i w:val="1"/>
          <w:iCs w:val="1"/>
          <w:color w:val="auto"/>
        </w:rPr>
        <w:t xml:space="preserve">Guaranty. </w:t>
      </w:r>
      <w:r>
        <w:rPr>
          <w:rFonts w:ascii="Arial" w:cs="Arial" w:eastAsia="Arial" w:hAnsi="Arial"/>
          <w:sz w:val="19"/>
          <w:szCs w:val="19"/>
          <w:color w:val="auto"/>
        </w:rPr>
        <w:t>The New Guarantor hereby acknowledges, agrees and confirms that, by its execution of this Supplemental</w:t>
      </w:r>
      <w:r>
        <w:rPr>
          <w:rFonts w:ascii="Arial" w:cs="Arial" w:eastAsia="Arial" w:hAnsi="Arial"/>
          <w:sz w:val="19"/>
          <w:szCs w:val="19"/>
          <w:i w:val="1"/>
          <w:iCs w:val="1"/>
          <w:color w:val="auto"/>
        </w:rPr>
        <w:t xml:space="preserve"> </w:t>
      </w:r>
      <w:r>
        <w:rPr>
          <w:rFonts w:ascii="Arial" w:cs="Arial" w:eastAsia="Arial" w:hAnsi="Arial"/>
          <w:sz w:val="19"/>
          <w:szCs w:val="19"/>
          <w:color w:val="auto"/>
        </w:rPr>
        <w:t>Guarantee, the New Guarantor will be deemed to be a [U.S.][Canadian] Guarantor for all purposes under the Credit Agreement and shall have all of the obligations of a [U.S.][Canadian] Guarantor thereunder as if it had executed the Credit Agreement. The New Guarantor hereby ratifies, as of the date hereof, and agrees to be bound by, all of the terms, provisions and conditions contained in the Credit Agreement and applicable to a [U.S.][Canadian] Guarantor thereunder including without limitation all of the provisions of Section 13 of the Credit Agreement and hereby represents and warranties that all of the representations and warranties applicable to a [U.S.][Canadian] Guarantor under Section 4 of the Credit Agreement (including with respect to the execution and delivery by such New Guarantor of this Supplemental Guarantee) are true and correct in all material respects as to</w:t>
      </w:r>
    </w:p>
    <w:p>
      <w:pPr>
        <w:sectPr>
          <w:pgSz w:w="11900" w:h="16838" w:orient="portrait"/>
          <w:cols w:equalWidth="0" w:num="1">
            <w:col w:w="11240"/>
          </w:cols>
          <w:pgMar w:left="320" w:top="1419" w:right="339" w:bottom="1440" w:gutter="0" w:footer="0" w:header="0"/>
        </w:sectPr>
      </w:pPr>
    </w:p>
    <w:bookmarkStart w:id="338" w:name="page339"/>
    <w:bookmarkEnd w:id="338"/>
    <w:p>
      <w:pPr>
        <w:ind w:right="460"/>
        <w:spacing w:after="0" w:line="385" w:lineRule="auto"/>
        <w:rPr>
          <w:sz w:val="20"/>
          <w:szCs w:val="20"/>
          <w:color w:val="auto"/>
        </w:rPr>
      </w:pPr>
      <w:r>
        <w:rPr>
          <w:rFonts w:ascii="Arial" w:cs="Arial" w:eastAsia="Arial" w:hAnsi="Arial"/>
          <w:sz w:val="16"/>
          <w:szCs w:val="16"/>
          <w:color w:val="auto"/>
        </w:rPr>
        <w:t>such New Guarantor, except where such representations and warranties expressly relate to an earlier date. The New Guarantor hereby acknowledges that it has received a copy of the Loan Documents, as they may have been amended or supplemented from time to time.</w:t>
      </w:r>
    </w:p>
    <w:p>
      <w:pPr>
        <w:spacing w:after="0" w:line="85" w:lineRule="exact"/>
        <w:rPr>
          <w:sz w:val="20"/>
          <w:szCs w:val="20"/>
          <w:color w:val="auto"/>
        </w:rPr>
      </w:pPr>
    </w:p>
    <w:p>
      <w:pPr>
        <w:jc w:val="both"/>
        <w:ind w:right="220" w:firstLine="850"/>
        <w:spacing w:after="0" w:line="263" w:lineRule="auto"/>
        <w:tabs>
          <w:tab w:leader="none" w:pos="1288" w:val="left"/>
        </w:tabs>
        <w:numPr>
          <w:ilvl w:val="0"/>
          <w:numId w:val="276"/>
        </w:numPr>
        <w:rPr>
          <w:rFonts w:ascii="Arial" w:cs="Arial" w:eastAsia="Arial" w:hAnsi="Arial"/>
          <w:sz w:val="19"/>
          <w:szCs w:val="19"/>
          <w:color w:val="auto"/>
        </w:rPr>
      </w:pPr>
      <w:r>
        <w:rPr>
          <w:rFonts w:ascii="Arial" w:cs="Arial" w:eastAsia="Arial" w:hAnsi="Arial"/>
          <w:sz w:val="19"/>
          <w:szCs w:val="19"/>
          <w:color w:val="auto"/>
        </w:rPr>
        <w:t>Together herewith the New Guarantor has delivered to the Agent all documentation and other information the Agent may reasonably request (a) relating to the existence of the New Guarantor, (b) the corporate authority for and the validity of this Supplemental Guarantee and the guaranty under the Credit Agreement and (c) required by Governmental Authorities under applicable “know your customer” and anti-money laundering rules and regulations, including the Patriot Act.</w:t>
      </w:r>
    </w:p>
    <w:p>
      <w:pPr>
        <w:spacing w:after="0" w:line="176" w:lineRule="exact"/>
        <w:rPr>
          <w:rFonts w:ascii="Arial" w:cs="Arial" w:eastAsia="Arial" w:hAnsi="Arial"/>
          <w:sz w:val="19"/>
          <w:szCs w:val="19"/>
          <w:color w:val="auto"/>
        </w:rPr>
      </w:pPr>
    </w:p>
    <w:p>
      <w:pPr>
        <w:ind w:right="660" w:firstLine="850"/>
        <w:spacing w:after="0" w:line="260" w:lineRule="auto"/>
        <w:tabs>
          <w:tab w:leader="none" w:pos="1288" w:val="left"/>
        </w:tabs>
        <w:numPr>
          <w:ilvl w:val="0"/>
          <w:numId w:val="276"/>
        </w:numPr>
        <w:rPr>
          <w:rFonts w:ascii="Arial" w:cs="Arial" w:eastAsia="Arial" w:hAnsi="Arial"/>
          <w:sz w:val="20"/>
          <w:szCs w:val="20"/>
          <w:color w:val="auto"/>
        </w:rPr>
      </w:pPr>
      <w:r>
        <w:rPr>
          <w:rFonts w:ascii="Arial" w:cs="Arial" w:eastAsia="Arial" w:hAnsi="Arial"/>
          <w:sz w:val="20"/>
          <w:szCs w:val="20"/>
          <w:color w:val="auto"/>
        </w:rPr>
        <w:t>This Supplemental Guarantee may be executed in any number of counterparts, each of which when so executed and delivered shall be an original, but all of which shall constitute one and the same instrument.</w:t>
      </w:r>
    </w:p>
    <w:p>
      <w:pPr>
        <w:spacing w:after="0" w:line="176" w:lineRule="exact"/>
        <w:rPr>
          <w:rFonts w:ascii="Arial" w:cs="Arial" w:eastAsia="Arial" w:hAnsi="Arial"/>
          <w:sz w:val="20"/>
          <w:szCs w:val="20"/>
          <w:color w:val="auto"/>
        </w:rPr>
      </w:pPr>
    </w:p>
    <w:p>
      <w:pPr>
        <w:ind w:firstLine="850"/>
        <w:spacing w:after="0" w:line="250" w:lineRule="auto"/>
        <w:tabs>
          <w:tab w:leader="none" w:pos="1288" w:val="left"/>
        </w:tabs>
        <w:numPr>
          <w:ilvl w:val="0"/>
          <w:numId w:val="276"/>
        </w:numPr>
        <w:rPr>
          <w:rFonts w:ascii="Arial" w:cs="Arial" w:eastAsia="Arial" w:hAnsi="Arial"/>
          <w:sz w:val="20"/>
          <w:szCs w:val="20"/>
          <w:color w:val="auto"/>
        </w:rPr>
      </w:pPr>
      <w:r>
        <w:rPr>
          <w:rFonts w:ascii="Arial" w:cs="Arial" w:eastAsia="Arial" w:hAnsi="Arial"/>
          <w:sz w:val="20"/>
          <w:szCs w:val="20"/>
          <w:color w:val="auto"/>
        </w:rPr>
        <w:t>THIS SUPPLEMENTAL GUARANTEE AND THE RIGHTS AND OBLIGATIONS OF THE PARTIES HEREUNDER SHALL BE GOVERNED BY AND CONSTRUED AND ENFORCED IN ACCORDANCE WITH THE LAWS OF THE STATE OF NEW YORK.</w:t>
      </w:r>
    </w:p>
    <w:p>
      <w:pPr>
        <w:spacing w:after="0" w:line="186" w:lineRule="exact"/>
        <w:rPr>
          <w:sz w:val="20"/>
          <w:szCs w:val="20"/>
          <w:color w:val="auto"/>
        </w:rPr>
      </w:pPr>
    </w:p>
    <w:p>
      <w:pPr>
        <w:ind w:right="440" w:firstLine="648"/>
        <w:spacing w:after="0" w:line="260" w:lineRule="auto"/>
        <w:rPr>
          <w:sz w:val="20"/>
          <w:szCs w:val="20"/>
          <w:color w:val="auto"/>
        </w:rPr>
      </w:pPr>
      <w:r>
        <w:rPr>
          <w:rFonts w:ascii="Arial" w:cs="Arial" w:eastAsia="Arial" w:hAnsi="Arial"/>
          <w:sz w:val="20"/>
          <w:szCs w:val="20"/>
          <w:color w:val="auto"/>
        </w:rPr>
        <w:t>IN WITNESS WHEREOF, the parties hereto have caused this Supplemental Guarantee to be duly executed by their respective authorized officers as of the day and year first above written.</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New Guarantor</w:t>
      </w:r>
      <w:r>
        <w:rPr>
          <w:rFonts w:ascii="Arial" w:cs="Arial" w:eastAsia="Arial" w:hAnsi="Arial"/>
          <w:sz w:val="20"/>
          <w:szCs w:val="20"/>
          <w:color w:val="auto"/>
        </w:rPr>
        <w:t>], as a [U.S.][Canadian] Guarantor</w:t>
      </w:r>
    </w:p>
    <w:p>
      <w:pPr>
        <w:spacing w:after="0" w:line="200" w:lineRule="exact"/>
        <w:rPr>
          <w:sz w:val="20"/>
          <w:szCs w:val="20"/>
          <w:color w:val="auto"/>
        </w:rPr>
      </w:pPr>
    </w:p>
    <w:p>
      <w:pPr>
        <w:spacing w:after="0" w:line="259"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w:t>
      </w:r>
    </w:p>
    <w:p>
      <w:pPr>
        <w:spacing w:after="0" w:line="1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Acknowledged and Agreed</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of the date first above written: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MORGAN STANLEY SENIOR FUNDING, INC.,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 Agent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11120"/>
          </w:cols>
          <w:pgMar w:left="320" w:top="1419" w:right="459" w:bottom="1440" w:gutter="0" w:footer="0" w:header="0"/>
        </w:sectPr>
      </w:pPr>
    </w:p>
    <w:bookmarkStart w:id="339" w:name="page340"/>
    <w:bookmarkEnd w:id="339"/>
    <w:p>
      <w:pPr>
        <w:jc w:val="right"/>
        <w:spacing w:after="0"/>
        <w:rPr>
          <w:sz w:val="20"/>
          <w:szCs w:val="20"/>
          <w:color w:val="auto"/>
        </w:rPr>
      </w:pPr>
      <w:r>
        <w:rPr>
          <w:rFonts w:ascii="Arial" w:cs="Arial" w:eastAsia="Arial" w:hAnsi="Arial"/>
          <w:sz w:val="20"/>
          <w:szCs w:val="20"/>
          <w:u w:val="single" w:color="auto"/>
          <w:color w:val="auto"/>
        </w:rPr>
        <w:t>EXHIBIT 2.1(a)(i)</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ADVANCE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Reference is made to that certain Second Amended and Restated Revolving Loan Credit Agreement (as amended, amended and restated, supplemented or otherwise modified from time to time, including by that certain Amendment No. 1 to Second Amended and Restated Revolving Loan Credit Agreement, dated as of July 19, 2017, that certain Amendment No. 2 to Second Amended and Restated Revolving Loan Agreement, dated as of March 22, </w:t>
      </w:r>
      <w:r>
        <w:rPr>
          <w:rFonts w:ascii="Arial" w:cs="Arial" w:eastAsia="Arial" w:hAnsi="Arial"/>
          <w:sz w:val="18"/>
          <w:szCs w:val="18"/>
          <w:color w:val="FF0000"/>
          <w:strike w:val="1"/>
        </w:rPr>
        <w:t>2018 and</w:t>
      </w:r>
      <w:r>
        <w:rPr>
          <w:rFonts w:ascii="Arial" w:cs="Arial" w:eastAsia="Arial" w:hAnsi="Arial"/>
          <w:sz w:val="18"/>
          <w:szCs w:val="18"/>
          <w:u w:val="single" w:color="auto"/>
          <w:color w:val="0000FF"/>
        </w:rPr>
        <w:t>2018,</w:t>
      </w:r>
      <w:r>
        <w:rPr>
          <w:rFonts w:ascii="Arial" w:cs="Arial" w:eastAsia="Arial" w:hAnsi="Arial"/>
          <w:sz w:val="18"/>
          <w:szCs w:val="18"/>
          <w:color w:val="auto"/>
        </w:rPr>
        <w:t xml:space="preserve"> that certain Amendment No. 3 to Second Amended and Restated Revolving Loan Credit Agreement, dated as of April 30, 2019, </w:t>
      </w:r>
      <w:r>
        <w:rPr>
          <w:rFonts w:ascii="Arial" w:cs="Arial" w:eastAsia="Arial" w:hAnsi="Arial"/>
          <w:sz w:val="18"/>
          <w:szCs w:val="18"/>
          <w:u w:val="single" w:color="auto"/>
          <w:color w:val="0000FF"/>
        </w:rPr>
        <w:t>that certain Amendment No. 4 to Second Amended and Restated Revolving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Loan Credit Agreement, dated as of April 3, 2020 and that certain Amendment No. 5 to Second Amended and Restated Revolving Loan Credit Agreement, dated as of June 29, 2020,</w:t>
      </w:r>
      <w:r>
        <w:rPr>
          <w:rFonts w:ascii="Arial" w:cs="Arial" w:eastAsia="Arial" w:hAnsi="Arial"/>
          <w:sz w:val="18"/>
          <w:szCs w:val="18"/>
          <w:color w:val="0000FF"/>
        </w:rPr>
        <w:t xml:space="preserve"> </w:t>
      </w:r>
      <w:r>
        <w:rPr>
          <w:rFonts w:ascii="Arial" w:cs="Arial" w:eastAsia="Arial" w:hAnsi="Arial"/>
          <w:sz w:val="18"/>
          <w:szCs w:val="18"/>
          <w:color w:val="000000"/>
        </w:rPr>
        <w:t>the “</w:t>
      </w:r>
      <w:r>
        <w:rPr>
          <w:rFonts w:ascii="Arial" w:cs="Arial" w:eastAsia="Arial" w:hAnsi="Arial"/>
          <w:sz w:val="18"/>
          <w:szCs w:val="18"/>
          <w:u w:val="single" w:color="auto"/>
          <w:color w:val="000000"/>
        </w:rPr>
        <w:t>Credit Agreement</w:t>
      </w:r>
      <w:r>
        <w:rPr>
          <w:rFonts w:ascii="Arial" w:cs="Arial" w:eastAsia="Arial" w:hAnsi="Arial"/>
          <w:sz w:val="18"/>
          <w:szCs w:val="18"/>
          <w:color w:val="000000"/>
        </w:rPr>
        <w:t>”), dated as of October 30, 2015, by and among XPO LOGISTICS,</w:t>
      </w:r>
      <w:r>
        <w:rPr>
          <w:rFonts w:ascii="Arial" w:cs="Arial" w:eastAsia="Arial" w:hAnsi="Arial"/>
          <w:sz w:val="18"/>
          <w:szCs w:val="18"/>
          <w:color w:val="0000FF"/>
        </w:rPr>
        <w:t xml:space="preserve"> </w:t>
      </w:r>
      <w:r>
        <w:rPr>
          <w:rFonts w:ascii="Arial" w:cs="Arial" w:eastAsia="Arial" w:hAnsi="Arial"/>
          <w:sz w:val="18"/>
          <w:szCs w:val="18"/>
          <w:color w:val="000000"/>
        </w:rPr>
        <w:t>INC., a Delaware corporation (“</w:t>
      </w:r>
      <w:r>
        <w:rPr>
          <w:rFonts w:ascii="Arial" w:cs="Arial" w:eastAsia="Arial" w:hAnsi="Arial"/>
          <w:sz w:val="18"/>
          <w:szCs w:val="18"/>
          <w:u w:val="single" w:color="auto"/>
          <w:color w:val="000000"/>
        </w:rPr>
        <w:t>Parent Borrower</w:t>
      </w:r>
      <w:r>
        <w:rPr>
          <w:rFonts w:ascii="Arial" w:cs="Arial" w:eastAsia="Arial" w:hAnsi="Arial"/>
          <w:sz w:val="18"/>
          <w:szCs w:val="18"/>
          <w:color w:val="000000"/>
        </w:rPr>
        <w:t>”), certain of Parent Borrower’s wholly-owned Domestic Subsidiaries signatory thereto, as borrowers (collectively with the Parent Borrower, referred to therein as the “</w:t>
      </w:r>
      <w:r>
        <w:rPr>
          <w:rFonts w:ascii="Arial" w:cs="Arial" w:eastAsia="Arial" w:hAnsi="Arial"/>
          <w:sz w:val="18"/>
          <w:szCs w:val="18"/>
          <w:u w:val="single" w:color="auto"/>
          <w:color w:val="000000"/>
        </w:rPr>
        <w:t>U.S. Borrowers</w:t>
      </w:r>
      <w:r>
        <w:rPr>
          <w:rFonts w:ascii="Arial" w:cs="Arial" w:eastAsia="Arial" w:hAnsi="Arial"/>
          <w:sz w:val="18"/>
          <w:szCs w:val="18"/>
          <w:color w:val="000000"/>
        </w:rPr>
        <w:t>” and each, individually, as a “</w:t>
      </w:r>
      <w:r>
        <w:rPr>
          <w:rFonts w:ascii="Arial" w:cs="Arial" w:eastAsia="Arial" w:hAnsi="Arial"/>
          <w:sz w:val="18"/>
          <w:szCs w:val="18"/>
          <w:u w:val="single" w:color="auto"/>
          <w:color w:val="000000"/>
        </w:rPr>
        <w:t>U.S. Borrower</w:t>
      </w:r>
      <w:r>
        <w:rPr>
          <w:rFonts w:ascii="Arial" w:cs="Arial" w:eastAsia="Arial" w:hAnsi="Arial"/>
          <w:sz w:val="18"/>
          <w:szCs w:val="18"/>
          <w:color w:val="000000"/>
        </w:rPr>
        <w:t>”), XPO LOGISTICS CANADA INC., an Ontario corporation (“</w:t>
      </w:r>
      <w:r>
        <w:rPr>
          <w:rFonts w:ascii="Arial" w:cs="Arial" w:eastAsia="Arial" w:hAnsi="Arial"/>
          <w:sz w:val="18"/>
          <w:szCs w:val="18"/>
          <w:u w:val="single" w:color="auto"/>
          <w:color w:val="000000"/>
        </w:rPr>
        <w:t>XPO Canada</w:t>
      </w:r>
      <w:r>
        <w:rPr>
          <w:rFonts w:ascii="Arial" w:cs="Arial" w:eastAsia="Arial" w:hAnsi="Arial"/>
          <w:sz w:val="18"/>
          <w:szCs w:val="18"/>
          <w:color w:val="000000"/>
        </w:rPr>
        <w:t>”), certain of Parent Borrower’s other wholly-owned Canadian subsidiaries signatory thereto, as borrowers (with XPO Canada, collectively referred to therein as the “</w:t>
      </w:r>
      <w:r>
        <w:rPr>
          <w:rFonts w:ascii="Arial" w:cs="Arial" w:eastAsia="Arial" w:hAnsi="Arial"/>
          <w:sz w:val="18"/>
          <w:szCs w:val="18"/>
          <w:u w:val="single" w:color="auto"/>
          <w:color w:val="000000"/>
        </w:rPr>
        <w:t>Canadian Borrowers</w:t>
      </w:r>
      <w:r>
        <w:rPr>
          <w:rFonts w:ascii="Arial" w:cs="Arial" w:eastAsia="Arial" w:hAnsi="Arial"/>
          <w:sz w:val="18"/>
          <w:szCs w:val="18"/>
          <w:color w:val="000000"/>
        </w:rPr>
        <w:t>” and each, individually, as a “</w:t>
      </w:r>
      <w:r>
        <w:rPr>
          <w:rFonts w:ascii="Arial" w:cs="Arial" w:eastAsia="Arial" w:hAnsi="Arial"/>
          <w:sz w:val="18"/>
          <w:szCs w:val="18"/>
          <w:u w:val="single" w:color="auto"/>
          <w:color w:val="000000"/>
        </w:rPr>
        <w:t>Canadian Borrower</w:t>
      </w:r>
      <w:r>
        <w:rPr>
          <w:rFonts w:ascii="Arial" w:cs="Arial" w:eastAsia="Arial" w:hAnsi="Arial"/>
          <w:sz w:val="18"/>
          <w:szCs w:val="18"/>
          <w:color w:val="000000"/>
        </w:rPr>
        <w:t>” and together with the U.S. Borrowers, collectively referred to therein as the “</w:t>
      </w:r>
      <w:r>
        <w:rPr>
          <w:rFonts w:ascii="Arial" w:cs="Arial" w:eastAsia="Arial" w:hAnsi="Arial"/>
          <w:sz w:val="18"/>
          <w:szCs w:val="18"/>
          <w:u w:val="single" w:color="auto"/>
          <w:color w:val="000000"/>
        </w:rPr>
        <w:t>Borrowers</w:t>
      </w:r>
      <w:r>
        <w:rPr>
          <w:rFonts w:ascii="Arial" w:cs="Arial" w:eastAsia="Arial" w:hAnsi="Arial"/>
          <w:sz w:val="18"/>
          <w:szCs w:val="18"/>
          <w:color w:val="000000"/>
        </w:rPr>
        <w:t>” and each, individually, as a “</w:t>
      </w:r>
      <w:r>
        <w:rPr>
          <w:rFonts w:ascii="Arial" w:cs="Arial" w:eastAsia="Arial" w:hAnsi="Arial"/>
          <w:sz w:val="18"/>
          <w:szCs w:val="18"/>
          <w:u w:val="single" w:color="auto"/>
          <w:color w:val="000000"/>
        </w:rPr>
        <w:t>Borrower</w:t>
      </w:r>
      <w:r>
        <w:rPr>
          <w:rFonts w:ascii="Arial" w:cs="Arial" w:eastAsia="Arial" w:hAnsi="Arial"/>
          <w:sz w:val="18"/>
          <w:szCs w:val="18"/>
          <w:color w:val="000000"/>
        </w:rPr>
        <w:t>”), the other Credit Parties signatory thereto, the Lenders and L/C Issuers from time to time party thereto, MORGAN STANLEY SENIOR FUNDING, INC., in its capacity as administrative agent (in such capacity and together with any successors</w:t>
      </w:r>
    </w:p>
    <w:p>
      <w:pPr>
        <w:spacing w:after="0" w:line="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and assigns in such capacity, the “</w:t>
      </w:r>
      <w:r>
        <w:rPr>
          <w:rFonts w:ascii="Arial" w:cs="Arial" w:eastAsia="Arial" w:hAnsi="Arial"/>
          <w:sz w:val="18"/>
          <w:szCs w:val="18"/>
          <w:u w:val="single" w:color="auto"/>
          <w:color w:val="auto"/>
        </w:rPr>
        <w:t>Agent</w:t>
      </w:r>
      <w:r>
        <w:rPr>
          <w:rFonts w:ascii="Arial" w:cs="Arial" w:eastAsia="Arial" w:hAnsi="Arial"/>
          <w:sz w:val="18"/>
          <w:szCs w:val="18"/>
          <w:color w:val="auto"/>
        </w:rPr>
        <w:t>”) and Morgan Stanley Senior Funding, Inc. and JPMorgan Chase Bank, N.A., in their capacity as co-collateral agents. All capitalized terms but not otherwise defined herein have the meanings given to them in the Credit Agreement.</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[Borrower Representative on behalf of the U.S. Borrowers hereby gives its irrevocable notice, pursuant to Section 2.1(a)(i) of the Credit Agreement, of its request for an Advance in U.S. Dollars which shall be [a LIBOR Loan in the amount of $[____________] with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LIBOR Period of [____] months / a Base Rate Loan in the amount of $[____________]], which Advance is requested to be dated and made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 [______________, 20__]. To the extent this Advance is a Base Rate Loan, the Advance [shall/shall not] constitute a Swing Line Advance</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(and, for the avoidance of doubt, any Advance which does not constitute a Swing Line Advance shall constitute a Revolving Credit Advance). The proceeds of the Advance made to the U.S. Borrowers should be wired on behalf of the U.S. Borrowers as set forth below.] [Borrower Representative on behalf of the Canadian Borrowers hereby gives irrevocable notice, pursuant to Section 2.1(a)(i) of the Credit Agreement, of its request for an Advance in Canadian Dollars which shall be a LIBOR Loan in the amount of $[____________] with a</w:t>
      </w:r>
    </w:p>
    <w:p>
      <w:pPr>
        <w:spacing w:after="0"/>
        <w:rPr>
          <w:sz w:val="20"/>
          <w:szCs w:val="20"/>
          <w:color w:val="auto"/>
        </w:rPr>
      </w:pPr>
      <w:r>
        <w:rPr>
          <w:rFonts w:ascii="Arial" w:cs="Arial" w:eastAsia="Arial" w:hAnsi="Arial"/>
          <w:sz w:val="19"/>
          <w:szCs w:val="19"/>
          <w:color w:val="auto"/>
        </w:rPr>
        <w:t>LIBOR Period of [____] months, which Advance is requested to be dated and made on [______________, 20__]. The proceeds of the</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Advance made to the Canadian Borrowers should be wired on behalf of the Canadian Borrowers as set forth below.]</w:t>
      </w:r>
      <w:r>
        <w:rPr>
          <w:rFonts w:ascii="Arial" w:cs="Arial" w:eastAsia="Arial" w:hAnsi="Arial"/>
          <w:sz w:val="25"/>
          <w:szCs w:val="25"/>
          <w:color w:val="auto"/>
          <w:vertAlign w:val="superscript"/>
        </w:rPr>
        <w:t>1</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foregoing instructions shall be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1714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7" w:lineRule="exact"/>
        <w:rPr>
          <w:sz w:val="20"/>
          <w:szCs w:val="20"/>
          <w:color w:val="auto"/>
        </w:rPr>
      </w:pPr>
    </w:p>
    <w:p>
      <w:pPr>
        <w:ind w:left="760" w:hanging="104"/>
        <w:spacing w:after="0"/>
        <w:tabs>
          <w:tab w:leader="none" w:pos="760" w:val="left"/>
        </w:tabs>
        <w:numPr>
          <w:ilvl w:val="0"/>
          <w:numId w:val="277"/>
        </w:numPr>
        <w:rPr>
          <w:rFonts w:ascii="Arial" w:cs="Arial" w:eastAsia="Arial" w:hAnsi="Arial"/>
          <w:sz w:val="26"/>
          <w:szCs w:val="26"/>
          <w:color w:val="auto"/>
          <w:vertAlign w:val="superscript"/>
        </w:rPr>
      </w:pPr>
      <w:r>
        <w:rPr>
          <w:rFonts w:ascii="Arial" w:cs="Arial" w:eastAsia="Arial" w:hAnsi="Arial"/>
          <w:sz w:val="18"/>
          <w:szCs w:val="18"/>
          <w:color w:val="auto"/>
        </w:rPr>
        <w:t>Elect as applicable.</w:t>
      </w:r>
    </w:p>
    <w:p>
      <w:pPr>
        <w:sectPr>
          <w:pgSz w:w="11900" w:h="16838" w:orient="portrait"/>
          <w:cols w:equalWidth="0" w:num="1">
            <w:col w:w="11240"/>
          </w:cols>
          <w:pgMar w:left="320" w:top="1419" w:right="339" w:bottom="1440" w:gutter="0" w:footer="0" w:header="0"/>
        </w:sectPr>
      </w:pPr>
    </w:p>
    <w:bookmarkStart w:id="340" w:name="page341"/>
    <w:bookmarkEnd w:id="340"/>
    <w:p>
      <w:pPr>
        <w:ind w:left="20"/>
        <w:spacing w:after="0"/>
        <w:rPr>
          <w:sz w:val="20"/>
          <w:szCs w:val="20"/>
          <w:color w:val="auto"/>
        </w:rPr>
      </w:pPr>
      <w:r>
        <w:rPr>
          <w:rFonts w:ascii="Arial" w:cs="Arial" w:eastAsia="Arial" w:hAnsi="Arial"/>
          <w:sz w:val="20"/>
          <w:szCs w:val="20"/>
          <w:color w:val="auto"/>
        </w:rPr>
        <w:t>Bank Name: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20"/>
          <w:szCs w:val="20"/>
          <w:color w:val="auto"/>
        </w:rPr>
        <w:t>Bank Address:</w:t>
      </w:r>
    </w:p>
    <w:p>
      <w:pPr>
        <w:spacing w:after="0"/>
        <w:rPr>
          <w:sz w:val="20"/>
          <w:szCs w:val="20"/>
          <w:color w:val="auto"/>
        </w:rPr>
      </w:pPr>
      <w:r>
        <w:rPr>
          <w:rFonts w:ascii="Arial" w:cs="Arial" w:eastAsia="Arial" w:hAnsi="Arial"/>
          <w:sz w:val="20"/>
          <w:szCs w:val="20"/>
          <w:color w:val="auto"/>
        </w:rPr>
        <w:t>ABA#:</w:t>
      </w:r>
    </w:p>
    <w:p>
      <w:pPr>
        <w:spacing w:after="0"/>
        <w:rPr>
          <w:sz w:val="20"/>
          <w:szCs w:val="20"/>
          <w:color w:val="auto"/>
        </w:rPr>
      </w:pPr>
      <w:r>
        <w:rPr>
          <w:rFonts w:ascii="Arial" w:cs="Arial" w:eastAsia="Arial" w:hAnsi="Arial"/>
          <w:sz w:val="20"/>
          <w:szCs w:val="20"/>
          <w:color w:val="auto"/>
        </w:rPr>
        <w:t>Account Name:</w:t>
      </w:r>
    </w:p>
    <w:p>
      <w:pPr>
        <w:spacing w:after="0"/>
        <w:rPr>
          <w:sz w:val="20"/>
          <w:szCs w:val="20"/>
          <w:color w:val="auto"/>
        </w:rPr>
      </w:pPr>
      <w:r>
        <w:rPr>
          <w:rFonts w:ascii="Arial" w:cs="Arial" w:eastAsia="Arial" w:hAnsi="Arial"/>
          <w:sz w:val="18"/>
          <w:szCs w:val="18"/>
          <w:color w:val="auto"/>
        </w:rPr>
        <w:t>Account Number:</w:t>
      </w:r>
    </w:p>
    <w:p>
      <w:pPr>
        <w:sectPr>
          <w:pgSz w:w="11900" w:h="16838" w:orient="portrait"/>
          <w:cols w:equalWidth="0" w:num="1">
            <w:col w:w="9699"/>
          </w:cols>
          <w:pgMar w:left="760" w:top="1419" w:right="1440" w:bottom="1440" w:gutter="0" w:footer="0" w:header="0"/>
        </w:sectPr>
      </w:pPr>
    </w:p>
    <w:bookmarkStart w:id="341" w:name="page342"/>
    <w:bookmarkEnd w:id="341"/>
    <w:p>
      <w:pPr>
        <w:spacing w:after="0"/>
        <w:rPr>
          <w:sz w:val="20"/>
          <w:szCs w:val="20"/>
          <w:color w:val="auto"/>
        </w:rPr>
      </w:pPr>
      <w:r>
        <w:rPr>
          <w:rFonts w:ascii="Arial" w:cs="Arial" w:eastAsia="Arial" w:hAnsi="Arial"/>
          <w:sz w:val="20"/>
          <w:szCs w:val="20"/>
          <w:color w:val="auto"/>
        </w:rPr>
        <w:t>Borrower Representative hereby certifies as follows:</w:t>
      </w:r>
    </w:p>
    <w:p>
      <w:pPr>
        <w:spacing w:after="0" w:line="243" w:lineRule="exact"/>
        <w:rPr>
          <w:sz w:val="20"/>
          <w:szCs w:val="20"/>
          <w:color w:val="auto"/>
        </w:rPr>
      </w:pPr>
    </w:p>
    <w:p>
      <w:pPr>
        <w:ind w:left="1960" w:hanging="656"/>
        <w:spacing w:after="0"/>
        <w:tabs>
          <w:tab w:leader="none" w:pos="19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After giving effect to the making of the requested Advance, the number of separate LIBOR Loans outstanding shall</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not exceed ten (10).</w:t>
      </w:r>
    </w:p>
    <w:p>
      <w:pPr>
        <w:spacing w:after="0" w:line="199" w:lineRule="exact"/>
        <w:rPr>
          <w:rFonts w:ascii="Arial" w:cs="Arial" w:eastAsia="Arial" w:hAnsi="Arial"/>
          <w:sz w:val="18"/>
          <w:szCs w:val="18"/>
          <w:color w:val="auto"/>
        </w:rPr>
      </w:pPr>
    </w:p>
    <w:p>
      <w:pPr>
        <w:jc w:val="both"/>
        <w:ind w:firstLine="1304"/>
        <w:spacing w:after="0" w:line="273" w:lineRule="auto"/>
        <w:tabs>
          <w:tab w:leader="none" w:pos="1944" w:val="left"/>
        </w:tabs>
        <w:numPr>
          <w:ilvl w:val="0"/>
          <w:numId w:val="278"/>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Credit Parties in the Credit Agreement and in the other Loan Documents are true and correct in all material respects (with respect to any representation or warranty that is not otherwise qualified as to materiality) on and as of the date of this Advance, except to the extent such representations and warranties expressly relate to an earlier date, in which case such representations and warranties shall have been true and correct in all material respects as of such earlier date and </w:t>
      </w:r>
      <w:r>
        <w:rPr>
          <w:rFonts w:ascii="Arial" w:cs="Arial" w:eastAsia="Arial" w:hAnsi="Arial"/>
          <w:sz w:val="20"/>
          <w:szCs w:val="20"/>
          <w:color w:val="auto"/>
        </w:rPr>
        <w:t>except for changes</w:t>
      </w:r>
      <w:r>
        <w:rPr>
          <w:rFonts w:ascii="Arial" w:cs="Arial" w:eastAsia="Arial" w:hAnsi="Arial"/>
          <w:sz w:val="19"/>
          <w:szCs w:val="19"/>
          <w:color w:val="auto"/>
        </w:rPr>
        <w:t xml:space="preserve"> </w:t>
      </w:r>
      <w:r>
        <w:rPr>
          <w:rFonts w:ascii="Arial" w:cs="Arial" w:eastAsia="Arial" w:hAnsi="Arial"/>
          <w:sz w:val="20"/>
          <w:szCs w:val="20"/>
          <w:color w:val="auto"/>
        </w:rPr>
        <w:t>therein expressly permitted or expressly contemplated by the Credit Agreement</w:t>
      </w:r>
      <w:r>
        <w:rPr>
          <w:rFonts w:ascii="Arial" w:cs="Arial" w:eastAsia="Arial" w:hAnsi="Arial"/>
          <w:sz w:val="18"/>
          <w:szCs w:val="18"/>
          <w:color w:val="auto"/>
        </w:rPr>
        <w:t>.</w:t>
      </w:r>
    </w:p>
    <w:p>
      <w:pPr>
        <w:spacing w:after="0" w:line="161" w:lineRule="exact"/>
        <w:rPr>
          <w:rFonts w:ascii="Arial" w:cs="Arial" w:eastAsia="Arial" w:hAnsi="Arial"/>
          <w:sz w:val="19"/>
          <w:szCs w:val="19"/>
          <w:color w:val="auto"/>
        </w:rPr>
      </w:pPr>
    </w:p>
    <w:p>
      <w:pPr>
        <w:ind w:left="1960" w:hanging="656"/>
        <w:spacing w:after="0"/>
        <w:tabs>
          <w:tab w:leader="none" w:pos="1960" w:val="left"/>
        </w:tabs>
        <w:numPr>
          <w:ilvl w:val="0"/>
          <w:numId w:val="278"/>
        </w:numPr>
        <w:rPr>
          <w:rFonts w:ascii="Arial" w:cs="Arial" w:eastAsia="Arial" w:hAnsi="Arial"/>
          <w:sz w:val="20"/>
          <w:szCs w:val="20"/>
          <w:color w:val="auto"/>
        </w:rPr>
      </w:pPr>
      <w:r>
        <w:rPr>
          <w:rFonts w:ascii="Arial" w:cs="Arial" w:eastAsia="Arial" w:hAnsi="Arial"/>
          <w:sz w:val="20"/>
          <w:szCs w:val="20"/>
          <w:color w:val="auto"/>
        </w:rPr>
        <w:t>No Default or Event of Default has occurred and is continuing as of the date of this Advance.</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278"/>
        </w:numPr>
        <w:rPr>
          <w:rFonts w:ascii="Arial" w:cs="Arial" w:eastAsia="Arial" w:hAnsi="Arial"/>
          <w:sz w:val="20"/>
          <w:szCs w:val="20"/>
          <w:color w:val="auto"/>
        </w:rPr>
      </w:pPr>
      <w:r>
        <w:rPr>
          <w:rFonts w:ascii="Arial" w:cs="Arial" w:eastAsia="Arial" w:hAnsi="Arial"/>
          <w:sz w:val="20"/>
          <w:szCs w:val="20"/>
          <w:color w:val="auto"/>
        </w:rPr>
        <w:t>After giving effect to the Advance, (i) the Aggregate Revolving Credit Exposure will not exceed the Available Credit, (ii) the Canadian Loans will not exceed the Canadian Available Credit and (iii) the U.S. Loans will not exceed the U.S. Available Credit.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Empty</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342" w:name="page343"/>
    <w:bookmarkEnd w:id="342"/>
    <w:p>
      <w:pPr>
        <w:ind w:firstLine="648"/>
        <w:spacing w:after="0" w:line="260" w:lineRule="auto"/>
        <w:rPr>
          <w:sz w:val="20"/>
          <w:szCs w:val="20"/>
          <w:color w:val="auto"/>
        </w:rPr>
      </w:pPr>
      <w:r>
        <w:rPr>
          <w:rFonts w:ascii="Arial" w:cs="Arial" w:eastAsia="Arial" w:hAnsi="Arial"/>
          <w:sz w:val="20"/>
          <w:szCs w:val="20"/>
          <w:color w:val="auto"/>
        </w:rPr>
        <w:t>IN WITNESS WHEREOF, Borrower Representative has caused this Notice of Advance to be executed and delivered by its duly authorized officer as of the date first set forth above.</w:t>
      </w: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XPO LOGISTICS, INC.</w:t>
      </w:r>
      <w:r>
        <w:rPr>
          <w:rFonts w:ascii="Arial" w:cs="Arial" w:eastAsia="Arial" w:hAnsi="Arial"/>
          <w:sz w:val="20"/>
          <w:szCs w:val="20"/>
          <w:color w:val="auto"/>
        </w:rPr>
        <w:t>, as the Borrower Representative</w:t>
      </w: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By:________________________________</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Notice of Revolving Credit Advance</w:t>
      </w:r>
      <w:r>
        <w:rPr>
          <w:rFonts w:ascii="Arial" w:cs="Arial" w:eastAsia="Arial" w:hAnsi="Arial"/>
          <w:sz w:val="16"/>
          <w:szCs w:val="16"/>
          <w:color w:val="auto"/>
        </w:rPr>
        <w:t>]</w:t>
      </w:r>
    </w:p>
    <w:p>
      <w:pPr>
        <w:sectPr>
          <w:pgSz w:w="11900" w:h="16838" w:orient="portrait"/>
          <w:cols w:equalWidth="0" w:num="1">
            <w:col w:w="11240"/>
          </w:cols>
          <w:pgMar w:left="320" w:top="1419" w:right="339" w:bottom="1440" w:gutter="0" w:footer="0" w:header="0"/>
        </w:sectPr>
      </w:pPr>
    </w:p>
    <w:bookmarkStart w:id="343" w:name="page344"/>
    <w:bookmarkEnd w:id="343"/>
    <w:p>
      <w:pPr>
        <w:ind w:left="9700"/>
        <w:spacing w:after="0"/>
        <w:rPr>
          <w:sz w:val="20"/>
          <w:szCs w:val="20"/>
          <w:color w:val="auto"/>
        </w:rPr>
      </w:pPr>
      <w:r>
        <w:rPr>
          <w:rFonts w:ascii="Arial" w:cs="Arial" w:eastAsia="Arial" w:hAnsi="Arial"/>
          <w:sz w:val="19"/>
          <w:szCs w:val="19"/>
          <w:u w:val="single" w:color="auto"/>
          <w:color w:val="auto"/>
        </w:rPr>
        <w:t>EXHIBIT 2.1(a)(ii)</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REVOLVING NOTE</w:t>
      </w:r>
    </w:p>
    <w:p>
      <w:pPr>
        <w:spacing w:after="0" w:line="22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New York, New York</w:t>
      </w:r>
    </w:p>
    <w:p>
      <w:pPr>
        <w:spacing w:after="0" w:line="216" w:lineRule="exact"/>
        <w:rPr>
          <w:sz w:val="20"/>
          <w:szCs w:val="20"/>
          <w:color w:val="auto"/>
        </w:rPr>
      </w:pPr>
    </w:p>
    <w:p>
      <w:pPr>
        <w:jc w:val="right"/>
        <w:spacing w:after="0"/>
        <w:tabs>
          <w:tab w:leader="none" w:pos="1920" w:val="left"/>
        </w:tabs>
        <w:rPr>
          <w:sz w:val="20"/>
          <w:szCs w:val="20"/>
          <w:color w:val="auto"/>
        </w:rPr>
      </w:pPr>
      <w:r>
        <w:rPr>
          <w:rFonts w:ascii="Arial" w:cs="Arial" w:eastAsia="Arial" w:hAnsi="Arial"/>
          <w:sz w:val="20"/>
          <w:szCs w:val="20"/>
          <w:color w:val="auto"/>
        </w:rPr>
        <w:t>$[__________]</w:t>
      </w:r>
      <w:r>
        <w:rPr>
          <w:sz w:val="20"/>
          <w:szCs w:val="20"/>
          <w:color w:val="auto"/>
        </w:rPr>
        <w:tab/>
      </w:r>
      <w:r>
        <w:rPr>
          <w:rFonts w:ascii="Arial" w:cs="Arial" w:eastAsia="Arial" w:hAnsi="Arial"/>
          <w:sz w:val="18"/>
          <w:szCs w:val="18"/>
          <w:color w:val="auto"/>
        </w:rPr>
        <w:t>[_____________], 20[_]</w:t>
      </w:r>
    </w:p>
    <w:p>
      <w:pPr>
        <w:spacing w:after="0" w:line="216" w:lineRule="exact"/>
        <w:rPr>
          <w:sz w:val="20"/>
          <w:szCs w:val="20"/>
          <w:color w:val="auto"/>
        </w:rPr>
      </w:pPr>
    </w:p>
    <w:p>
      <w:pPr>
        <w:jc w:val="both"/>
        <w:ind w:firstLine="444"/>
        <w:spacing w:after="0" w:line="255" w:lineRule="auto"/>
        <w:rPr>
          <w:sz w:val="20"/>
          <w:szCs w:val="20"/>
          <w:color w:val="auto"/>
        </w:rPr>
      </w:pPr>
      <w:r>
        <w:rPr>
          <w:rFonts w:ascii="Arial" w:cs="Arial" w:eastAsia="Arial" w:hAnsi="Arial"/>
          <w:sz w:val="18"/>
          <w:szCs w:val="18"/>
          <w:color w:val="auto"/>
        </w:rPr>
        <w:t>FOR VALUE RECEIVED, the undersigned, [XPO LOGISTICS, INC., a Delaware corporation, (the “</w:t>
      </w:r>
      <w:r>
        <w:rPr>
          <w:rFonts w:ascii="Arial" w:cs="Arial" w:eastAsia="Arial" w:hAnsi="Arial"/>
          <w:sz w:val="18"/>
          <w:szCs w:val="18"/>
          <w:u w:val="single" w:color="auto"/>
          <w:color w:val="auto"/>
        </w:rPr>
        <w:t>Parent Borrower</w:t>
      </w:r>
      <w:r>
        <w:rPr>
          <w:rFonts w:ascii="Arial" w:cs="Arial" w:eastAsia="Arial" w:hAnsi="Arial"/>
          <w:sz w:val="18"/>
          <w:szCs w:val="18"/>
          <w:color w:val="auto"/>
        </w:rPr>
        <w:t>”) and certain of its wholly-owned Domestic Subsidiaries which are Credit Parties signatory hereto (collectively with Parent Borrower, referred to herein as “</w:t>
      </w:r>
      <w:r>
        <w:rPr>
          <w:rFonts w:ascii="Arial" w:cs="Arial" w:eastAsia="Arial" w:hAnsi="Arial"/>
          <w:sz w:val="18"/>
          <w:szCs w:val="18"/>
          <w:u w:val="single" w:color="auto"/>
          <w:color w:val="auto"/>
        </w:rPr>
        <w:t>U.S. Borrowers</w:t>
      </w:r>
      <w:r>
        <w:rPr>
          <w:rFonts w:ascii="Arial" w:cs="Arial" w:eastAsia="Arial" w:hAnsi="Arial"/>
          <w:sz w:val="18"/>
          <w:szCs w:val="18"/>
          <w:color w:val="auto"/>
        </w:rPr>
        <w:t xml:space="preserve"> ” and each individually as a “</w:t>
      </w:r>
      <w:r>
        <w:rPr>
          <w:rFonts w:ascii="Arial" w:cs="Arial" w:eastAsia="Arial" w:hAnsi="Arial"/>
          <w:sz w:val="18"/>
          <w:szCs w:val="18"/>
          <w:u w:val="single" w:color="auto"/>
          <w:color w:val="auto"/>
        </w:rPr>
        <w:t>U.S. Borrower</w:t>
      </w:r>
      <w:r>
        <w:rPr>
          <w:rFonts w:ascii="Arial" w:cs="Arial" w:eastAsia="Arial" w:hAnsi="Arial"/>
          <w:sz w:val="18"/>
          <w:szCs w:val="18"/>
          <w:color w:val="auto"/>
        </w:rPr>
        <w:t>”)][XPO LOGISTICS CANADA INC., an Ontario corporation (the “</w:t>
      </w:r>
      <w:r>
        <w:rPr>
          <w:rFonts w:ascii="Arial" w:cs="Arial" w:eastAsia="Arial" w:hAnsi="Arial"/>
          <w:sz w:val="18"/>
          <w:szCs w:val="18"/>
          <w:u w:val="single" w:color="auto"/>
          <w:color w:val="auto"/>
        </w:rPr>
        <w:t>Canadian</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Borrower</w:t>
      </w:r>
      <w:r>
        <w:rPr>
          <w:rFonts w:ascii="Arial" w:cs="Arial" w:eastAsia="Arial" w:hAnsi="Arial"/>
          <w:sz w:val="18"/>
          <w:szCs w:val="18"/>
          <w:color w:val="auto"/>
        </w:rPr>
        <w:t>”) and certain wholly-owned Canadian Subsidiaries of Parent Borrower which are Credit Parties signatory hereto]</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HEREBY PROMISE TO PAY to [___________] (“</w:t>
      </w:r>
      <w:r>
        <w:rPr>
          <w:rFonts w:ascii="Arial" w:cs="Arial" w:eastAsia="Arial" w:hAnsi="Arial"/>
          <w:sz w:val="18"/>
          <w:szCs w:val="18"/>
          <w:u w:val="single" w:color="auto"/>
          <w:color w:val="auto"/>
        </w:rPr>
        <w:t>Lender</w:t>
      </w:r>
      <w:r>
        <w:rPr>
          <w:rFonts w:ascii="Arial" w:cs="Arial" w:eastAsia="Arial" w:hAnsi="Arial"/>
          <w:sz w:val="18"/>
          <w:szCs w:val="18"/>
          <w:color w:val="auto"/>
        </w:rPr>
        <w:t>”) or its registered assigns, at the offices of MORGAN STANLEY SENIOR FUNDING,</w:t>
      </w:r>
    </w:p>
    <w:p>
      <w:pPr>
        <w:spacing w:after="0" w:line="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INC., in its capacity as administrative agent (in such capacity and together with any successors and assigns in such capacity, the “</w:t>
      </w:r>
      <w:r>
        <w:rPr>
          <w:rFonts w:ascii="Arial" w:cs="Arial" w:eastAsia="Arial" w:hAnsi="Arial"/>
          <w:sz w:val="18"/>
          <w:szCs w:val="18"/>
          <w:u w:val="single" w:color="auto"/>
          <w:color w:val="auto"/>
        </w:rPr>
        <w:t>Agent</w:t>
      </w:r>
      <w:r>
        <w:rPr>
          <w:rFonts w:ascii="Arial" w:cs="Arial" w:eastAsia="Arial" w:hAnsi="Arial"/>
          <w:sz w:val="18"/>
          <w:szCs w:val="18"/>
          <w:color w:val="auto"/>
        </w:rPr>
        <w:t>”), at its address at 1585 Broadway, New York, New York 10036, or at such other place as Agent may designate from time to time in writing, in lawful money of the United States of America and in immediately available funds, the amount of [___________] DOLLARS AND [______]</w:t>
      </w:r>
    </w:p>
    <w:p>
      <w:pPr>
        <w:spacing w:after="0"/>
        <w:rPr>
          <w:sz w:val="20"/>
          <w:szCs w:val="20"/>
          <w:color w:val="auto"/>
        </w:rPr>
      </w:pPr>
      <w:r>
        <w:rPr>
          <w:rFonts w:ascii="Arial" w:cs="Arial" w:eastAsia="Arial" w:hAnsi="Arial"/>
          <w:sz w:val="18"/>
          <w:szCs w:val="18"/>
          <w:color w:val="auto"/>
        </w:rPr>
        <w:t>CENTS ($[_________]) or, if less, the aggregate unpaid amount of all Revolving Credit Advances made to the undersigned under the Credit</w:t>
      </w:r>
    </w:p>
    <w:p>
      <w:pPr>
        <w:spacing w:after="0" w:line="2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Agreement (as hereinafter defined). All capitalized terms used but not otherwise defined herein have the meanings given to them in the Credit Agreement.</w:t>
      </w:r>
    </w:p>
    <w:p>
      <w:pPr>
        <w:spacing w:after="0" w:line="21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This Revolving Note is one of the Revolving Notes issued pursuant to that certain Second Amended and Restated Revolving Loan Credit Agreement, dated as of October 30, 2015, by and among the Borrowers, the other Credit Parties signatory thereto, Agent, Morgan Stanley Senior Funding, Inc. and JPMorgan Chase Bank, N.A., in their capacity as co-collateral agents and the Lenders and L/C Issuers signatory thereto from time to time (including all annexes, exhibits and schedules thereto, and as amended, amended and restated, supplemented or otherwise modified from time to time, including by that certain Amendment No. 1 to Second Amended and Restated Revolving Loan Credit Agreement, dated as of July 19, 2017, that certain Amendment No. 2 to Second Amended and Restated Revolving Loan Agreement, dated as of March 22, </w:t>
      </w:r>
      <w:r>
        <w:rPr>
          <w:rFonts w:ascii="Arial" w:cs="Arial" w:eastAsia="Arial" w:hAnsi="Arial"/>
          <w:sz w:val="18"/>
          <w:szCs w:val="18"/>
          <w:color w:val="FF0000"/>
          <w:strike w:val="1"/>
        </w:rPr>
        <w:t>2018 and</w:t>
      </w:r>
      <w:r>
        <w:rPr>
          <w:rFonts w:ascii="Arial" w:cs="Arial" w:eastAsia="Arial" w:hAnsi="Arial"/>
          <w:sz w:val="18"/>
          <w:szCs w:val="18"/>
          <w:u w:val="single" w:color="auto"/>
          <w:color w:val="0000FF"/>
        </w:rPr>
        <w:t>2018,</w:t>
      </w:r>
      <w:r>
        <w:rPr>
          <w:rFonts w:ascii="Arial" w:cs="Arial" w:eastAsia="Arial" w:hAnsi="Arial"/>
          <w:sz w:val="18"/>
          <w:szCs w:val="18"/>
          <w:color w:val="auto"/>
        </w:rPr>
        <w:t xml:space="preserve"> that certain Amendment No. 3 to Second Amended and Restated Revolving Loan Credit Agreement, dated as of April 30, 2019, </w:t>
      </w:r>
      <w:r>
        <w:rPr>
          <w:rFonts w:ascii="Arial" w:cs="Arial" w:eastAsia="Arial" w:hAnsi="Arial"/>
          <w:sz w:val="18"/>
          <w:szCs w:val="18"/>
          <w:u w:val="single" w:color="auto"/>
          <w:color w:val="0000FF"/>
        </w:rPr>
        <w:t>that certain Amendment No. 4 to Second Amended and Restated Revolving Loan Credit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Agreement, dated as of April 3, 2020 and that certain Amendment No. 5 to Second Amended and Restated Revolving Loan Credit Agreement, dated as of June 29, 2020,</w:t>
      </w:r>
      <w:r>
        <w:rPr>
          <w:rFonts w:ascii="Arial" w:cs="Arial" w:eastAsia="Arial" w:hAnsi="Arial"/>
          <w:sz w:val="18"/>
          <w:szCs w:val="18"/>
          <w:color w:val="0000FF"/>
        </w:rPr>
        <w:t xml:space="preserve"> </w:t>
      </w:r>
      <w:r>
        <w:rPr>
          <w:rFonts w:ascii="Arial" w:cs="Arial" w:eastAsia="Arial" w:hAnsi="Arial"/>
          <w:sz w:val="18"/>
          <w:szCs w:val="18"/>
          <w:color w:val="000000"/>
        </w:rPr>
        <w:t>the “</w:t>
      </w:r>
      <w:r>
        <w:rPr>
          <w:rFonts w:ascii="Arial" w:cs="Arial" w:eastAsia="Arial" w:hAnsi="Arial"/>
          <w:sz w:val="18"/>
          <w:szCs w:val="18"/>
          <w:u w:val="single" w:color="auto"/>
          <w:color w:val="000000"/>
        </w:rPr>
        <w:t>Credit Agreement</w:t>
      </w:r>
      <w:r>
        <w:rPr>
          <w:rFonts w:ascii="Arial" w:cs="Arial" w:eastAsia="Arial" w:hAnsi="Arial"/>
          <w:sz w:val="18"/>
          <w:szCs w:val="18"/>
          <w:color w:val="000000"/>
        </w:rPr>
        <w:t>”), and is entitled to the benefit and security of the Credit Agreement, the</w:t>
      </w:r>
      <w:r>
        <w:rPr>
          <w:rFonts w:ascii="Arial" w:cs="Arial" w:eastAsia="Arial" w:hAnsi="Arial"/>
          <w:sz w:val="18"/>
          <w:szCs w:val="18"/>
          <w:color w:val="0000FF"/>
        </w:rPr>
        <w:t xml:space="preserve"> </w:t>
      </w:r>
      <w:r>
        <w:rPr>
          <w:rFonts w:ascii="Arial" w:cs="Arial" w:eastAsia="Arial" w:hAnsi="Arial"/>
          <w:sz w:val="18"/>
          <w:szCs w:val="18"/>
          <w:color w:val="000000"/>
        </w:rPr>
        <w:t>Collateral Documents and all of the other Loan Documents referred to therein. Reference is hereby made to the Credit Agreement for a statement of all of the terms and conditions under which the Revolving Loans evidenced hereby are made and are to be repaid.</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principal amount of the indebtedness evidenced hereby shall be payable in the amounts and on the dates specified in the Credit Agreement. Interest thereon shall be paid until such principal amount is paid in full at such interest rates and at such times, and pursuant to such calculations, as are specified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714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8" w:lineRule="exact"/>
        <w:rPr>
          <w:sz w:val="20"/>
          <w:szCs w:val="20"/>
          <w:color w:val="auto"/>
        </w:rPr>
      </w:pPr>
    </w:p>
    <w:p>
      <w:pPr>
        <w:ind w:left="760" w:hanging="104"/>
        <w:spacing w:after="0"/>
        <w:tabs>
          <w:tab w:leader="none" w:pos="760" w:val="left"/>
        </w:tabs>
        <w:numPr>
          <w:ilvl w:val="0"/>
          <w:numId w:val="279"/>
        </w:numPr>
        <w:rPr>
          <w:rFonts w:ascii="Arial" w:cs="Arial" w:eastAsia="Arial" w:hAnsi="Arial"/>
          <w:sz w:val="26"/>
          <w:szCs w:val="26"/>
          <w:color w:val="auto"/>
          <w:vertAlign w:val="superscript"/>
        </w:rPr>
      </w:pPr>
      <w:r>
        <w:rPr>
          <w:rFonts w:ascii="Arial" w:cs="Arial" w:eastAsia="Arial" w:hAnsi="Arial"/>
          <w:sz w:val="18"/>
          <w:szCs w:val="18"/>
          <w:color w:val="auto"/>
        </w:rPr>
        <w:t>Note: Canadian Borrowers will not be party to any Note of the U.S. Borrowers.</w:t>
      </w:r>
    </w:p>
    <w:p>
      <w:pPr>
        <w:sectPr>
          <w:pgSz w:w="11900" w:h="16838" w:orient="portrait"/>
          <w:cols w:equalWidth="0" w:num="1">
            <w:col w:w="11240"/>
          </w:cols>
          <w:pgMar w:left="320" w:top="1419" w:right="339" w:bottom="1440" w:gutter="0" w:footer="0" w:header="0"/>
        </w:sectPr>
      </w:pPr>
    </w:p>
    <w:bookmarkStart w:id="344" w:name="page345"/>
    <w:bookmarkEnd w:id="344"/>
    <w:p>
      <w:pPr>
        <w:ind w:firstLine="648"/>
        <w:spacing w:after="0" w:line="260" w:lineRule="auto"/>
        <w:rPr>
          <w:sz w:val="20"/>
          <w:szCs w:val="20"/>
          <w:color w:val="auto"/>
        </w:rPr>
      </w:pPr>
      <w:r>
        <w:rPr>
          <w:rFonts w:ascii="Arial" w:cs="Arial" w:eastAsia="Arial" w:hAnsi="Arial"/>
          <w:sz w:val="20"/>
          <w:szCs w:val="20"/>
          <w:color w:val="auto"/>
        </w:rPr>
        <w:t>The right to receive principal of, and stated interest on, this Revolving Note may only be transferred in accordance with the provisions of the Credit Agreement.</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Time is of the essence of this Revolving Note. Demand, presentment, protest and notice of nonpayment and protest are hereby waived by each Borrower to the extent permitted by applicable law.</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REVOLVING NOTE SHALL BE GOVERNED BY AND CONSTRUED AND ENFORCED IN ACCORDANCE WITH THE LAWS OF THE STATE OF NEW YORK APPLICABLE TO CONTRACTS MADE AND PERFORMED IN THAT STATE.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Empty</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345" w:name="page346"/>
    <w:bookmarkEnd w:id="345"/>
    <w:p>
      <w:pPr>
        <w:ind w:firstLine="513"/>
        <w:spacing w:after="0" w:line="260" w:lineRule="auto"/>
        <w:rPr>
          <w:sz w:val="20"/>
          <w:szCs w:val="20"/>
          <w:color w:val="auto"/>
        </w:rPr>
      </w:pPr>
      <w:r>
        <w:rPr>
          <w:rFonts w:ascii="Arial" w:cs="Arial" w:eastAsia="Arial" w:hAnsi="Arial"/>
          <w:sz w:val="20"/>
          <w:szCs w:val="20"/>
          <w:color w:val="auto"/>
        </w:rPr>
        <w:t>IN WITNESS WHEREOF, each Borrower has caused this Revolving Note to be executed and delivered by its duly authorized officer as of the date first set forth above.</w:t>
      </w:r>
    </w:p>
    <w:p>
      <w:pPr>
        <w:spacing w:after="0" w:line="387"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[XPO LOGISTICS, INC.</w:t>
      </w:r>
      <w:r>
        <w:rPr>
          <w:rFonts w:ascii="Arial" w:cs="Arial" w:eastAsia="Arial" w:hAnsi="Arial"/>
          <w:sz w:val="20"/>
          <w:szCs w:val="20"/>
          <w:color w:val="auto"/>
        </w:rPr>
        <w:t>, as a Borrower</w:t>
      </w:r>
    </w:p>
    <w:p>
      <w:pPr>
        <w:spacing w:after="0" w:line="200" w:lineRule="exact"/>
        <w:rPr>
          <w:sz w:val="20"/>
          <w:szCs w:val="20"/>
          <w:color w:val="auto"/>
        </w:rPr>
      </w:pPr>
    </w:p>
    <w:p>
      <w:pPr>
        <w:spacing w:after="0" w:line="238"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By:__________________________</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w:t>
      </w:r>
    </w:p>
    <w:p>
      <w:pPr>
        <w:ind w:left="3240"/>
        <w:spacing w:after="0"/>
        <w:rPr>
          <w:sz w:val="20"/>
          <w:szCs w:val="20"/>
          <w:color w:val="auto"/>
        </w:rPr>
      </w:pPr>
      <w:r>
        <w:rPr>
          <w:rFonts w:ascii="Arial" w:cs="Arial" w:eastAsia="Arial" w:hAnsi="Arial"/>
          <w:sz w:val="20"/>
          <w:szCs w:val="20"/>
          <w:color w:val="auto"/>
        </w:rPr>
        <w:t>Title:]</w:t>
      </w:r>
    </w:p>
    <w:p>
      <w:pPr>
        <w:spacing w:after="0" w:line="221" w:lineRule="exact"/>
        <w:rPr>
          <w:sz w:val="20"/>
          <w:szCs w:val="20"/>
          <w:color w:val="auto"/>
        </w:rPr>
      </w:pPr>
    </w:p>
    <w:p>
      <w:pPr>
        <w:ind w:left="3280"/>
        <w:spacing w:after="0"/>
        <w:rPr>
          <w:sz w:val="20"/>
          <w:szCs w:val="20"/>
          <w:color w:val="auto"/>
        </w:rPr>
      </w:pPr>
      <w:r>
        <w:rPr>
          <w:rFonts w:ascii="Arial" w:cs="Arial" w:eastAsia="Arial" w:hAnsi="Arial"/>
          <w:sz w:val="20"/>
          <w:szCs w:val="20"/>
          <w:b w:val="1"/>
          <w:bCs w:val="1"/>
          <w:color w:val="auto"/>
        </w:rPr>
        <w:t>[XPO LOGISTICS CANADA INC.</w:t>
      </w:r>
      <w:r>
        <w:rPr>
          <w:rFonts w:ascii="Arial" w:cs="Arial" w:eastAsia="Arial" w:hAnsi="Arial"/>
          <w:sz w:val="20"/>
          <w:szCs w:val="20"/>
          <w:color w:val="auto"/>
        </w:rPr>
        <w:t>, as a Borrower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By:__________________________</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w:t>
      </w:r>
    </w:p>
    <w:p>
      <w:pPr>
        <w:ind w:left="32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ind w:left="1200"/>
        <w:spacing w:after="0"/>
        <w:rPr>
          <w:sz w:val="20"/>
          <w:szCs w:val="20"/>
          <w:color w:val="auto"/>
        </w:rPr>
      </w:pPr>
      <w:r>
        <w:rPr>
          <w:rFonts w:ascii="Arial" w:cs="Arial" w:eastAsia="Arial" w:hAnsi="Arial"/>
          <w:sz w:val="20"/>
          <w:szCs w:val="20"/>
          <w:color w:val="auto"/>
        </w:rPr>
        <w:t>[Name of Borrower]</w:t>
      </w:r>
      <w:r>
        <w:rPr>
          <w:rFonts w:ascii="Arial" w:cs="Arial" w:eastAsia="Arial" w:hAnsi="Arial"/>
          <w:sz w:val="25"/>
          <w:szCs w:val="25"/>
          <w:color w:val="auto"/>
          <w:vertAlign w:val="superscript"/>
        </w:rPr>
        <w:t>1</w:t>
      </w:r>
      <w:r>
        <w:rPr>
          <w:rFonts w:ascii="Arial" w:cs="Arial" w:eastAsia="Arial" w:hAnsi="Arial"/>
          <w:sz w:val="20"/>
          <w:szCs w:val="20"/>
          <w:color w:val="auto"/>
        </w:rPr>
        <w:t>, as a Borrower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0"/>
        <w:spacing w:after="0"/>
        <w:rPr>
          <w:sz w:val="20"/>
          <w:szCs w:val="20"/>
          <w:color w:val="auto"/>
        </w:rPr>
      </w:pPr>
      <w:r>
        <w:rPr>
          <w:rFonts w:ascii="Arial" w:cs="Arial" w:eastAsia="Arial" w:hAnsi="Arial"/>
          <w:sz w:val="20"/>
          <w:szCs w:val="20"/>
          <w:color w:val="auto"/>
        </w:rPr>
        <w:t>By:__________________________</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Name:</w:t>
      </w:r>
    </w:p>
    <w:p>
      <w:pPr>
        <w:ind w:left="32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1714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760" w:hanging="104"/>
        <w:spacing w:after="0"/>
        <w:tabs>
          <w:tab w:leader="none" w:pos="760" w:val="left"/>
        </w:tabs>
        <w:numPr>
          <w:ilvl w:val="0"/>
          <w:numId w:val="280"/>
        </w:numPr>
        <w:rPr>
          <w:rFonts w:ascii="Arial" w:cs="Arial" w:eastAsia="Arial" w:hAnsi="Arial"/>
          <w:sz w:val="26"/>
          <w:szCs w:val="26"/>
          <w:color w:val="auto"/>
          <w:vertAlign w:val="superscript"/>
        </w:rPr>
      </w:pPr>
      <w:r>
        <w:rPr>
          <w:rFonts w:ascii="Arial" w:cs="Arial" w:eastAsia="Arial" w:hAnsi="Arial"/>
          <w:sz w:val="18"/>
          <w:szCs w:val="18"/>
          <w:color w:val="auto"/>
        </w:rPr>
        <w:t>To include all other U.S. Borrowers or Canadian Borrowers, as applicable.</w:t>
      </w:r>
    </w:p>
    <w:p>
      <w:pPr>
        <w:spacing w:after="0" w:line="200" w:lineRule="exact"/>
        <w:rPr>
          <w:rFonts w:ascii="Arial" w:cs="Arial" w:eastAsia="Arial" w:hAnsi="Arial"/>
          <w:sz w:val="26"/>
          <w:szCs w:val="26"/>
          <w:color w:val="auto"/>
          <w:vertAlign w:val="superscript"/>
        </w:rPr>
      </w:pPr>
    </w:p>
    <w:p>
      <w:pPr>
        <w:spacing w:after="0" w:line="200" w:lineRule="exact"/>
        <w:rPr>
          <w:rFonts w:ascii="Arial" w:cs="Arial" w:eastAsia="Arial" w:hAnsi="Arial"/>
          <w:sz w:val="26"/>
          <w:szCs w:val="26"/>
          <w:color w:val="auto"/>
          <w:vertAlign w:val="superscript"/>
        </w:rPr>
      </w:pPr>
    </w:p>
    <w:p>
      <w:pPr>
        <w:spacing w:after="0" w:line="200" w:lineRule="exact"/>
        <w:rPr>
          <w:rFonts w:ascii="Arial" w:cs="Arial" w:eastAsia="Arial" w:hAnsi="Arial"/>
          <w:sz w:val="26"/>
          <w:szCs w:val="26"/>
          <w:color w:val="auto"/>
          <w:vertAlign w:val="superscript"/>
        </w:rPr>
      </w:pPr>
    </w:p>
    <w:p>
      <w:pPr>
        <w:spacing w:after="0" w:line="281" w:lineRule="exact"/>
        <w:rPr>
          <w:rFonts w:ascii="Arial" w:cs="Arial" w:eastAsia="Arial" w:hAnsi="Arial"/>
          <w:sz w:val="26"/>
          <w:szCs w:val="26"/>
          <w:color w:val="auto"/>
          <w:vertAlign w:val="superscript"/>
        </w:rPr>
      </w:pPr>
    </w:p>
    <w:p>
      <w:pPr>
        <w:ind w:left="5080"/>
        <w:spacing w:after="0"/>
        <w:rPr>
          <w:rFonts w:ascii="Arial" w:cs="Arial" w:eastAsia="Arial" w:hAnsi="Arial"/>
          <w:sz w:val="26"/>
          <w:szCs w:val="26"/>
          <w:color w:val="auto"/>
          <w:vertAlign w:val="superscript"/>
        </w:rPr>
      </w:pPr>
      <w:r>
        <w:rPr>
          <w:rFonts w:ascii="Arial" w:cs="Arial" w:eastAsia="Arial" w:hAnsi="Arial"/>
          <w:sz w:val="16"/>
          <w:szCs w:val="16"/>
          <w:color w:val="auto"/>
        </w:rPr>
        <w:t>[</w:t>
      </w:r>
      <w:r>
        <w:rPr>
          <w:rFonts w:ascii="Arial" w:cs="Arial" w:eastAsia="Arial" w:hAnsi="Arial"/>
          <w:sz w:val="16"/>
          <w:szCs w:val="16"/>
          <w:i w:val="1"/>
          <w:iCs w:val="1"/>
          <w:color w:val="auto"/>
        </w:rPr>
        <w:t>Revolving Note</w:t>
      </w:r>
      <w:r>
        <w:rPr>
          <w:rFonts w:ascii="Arial" w:cs="Arial" w:eastAsia="Arial" w:hAnsi="Arial"/>
          <w:sz w:val="16"/>
          <w:szCs w:val="16"/>
          <w:color w:val="auto"/>
        </w:rPr>
        <w:t>]</w:t>
      </w:r>
    </w:p>
    <w:p>
      <w:pPr>
        <w:sectPr>
          <w:pgSz w:w="11900" w:h="16838" w:orient="portrait"/>
          <w:cols w:equalWidth="0" w:num="1">
            <w:col w:w="11220"/>
          </w:cols>
          <w:pgMar w:left="320" w:top="1419" w:right="359" w:bottom="1440" w:gutter="0" w:footer="0" w:header="0"/>
        </w:sectPr>
      </w:pPr>
    </w:p>
    <w:bookmarkStart w:id="346" w:name="page347"/>
    <w:bookmarkEnd w:id="346"/>
    <w:p>
      <w:pPr>
        <w:jc w:val="right"/>
        <w:spacing w:after="0"/>
        <w:rPr>
          <w:sz w:val="20"/>
          <w:szCs w:val="20"/>
          <w:color w:val="auto"/>
        </w:rPr>
      </w:pPr>
      <w:r>
        <w:rPr>
          <w:rFonts w:ascii="Arial" w:cs="Arial" w:eastAsia="Arial" w:hAnsi="Arial"/>
          <w:sz w:val="20"/>
          <w:szCs w:val="20"/>
          <w:u w:val="single" w:color="auto"/>
          <w:color w:val="auto"/>
        </w:rPr>
        <w:t>EXHIBIT 2.1(b)(ii)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jc w:val="center"/>
        <w:spacing w:after="0"/>
        <w:rPr>
          <w:sz w:val="20"/>
          <w:szCs w:val="20"/>
          <w:color w:val="auto"/>
        </w:rPr>
      </w:pPr>
      <w:r>
        <w:rPr>
          <w:rFonts w:ascii="Arial" w:cs="Arial" w:eastAsia="Arial" w:hAnsi="Arial"/>
          <w:sz w:val="20"/>
          <w:szCs w:val="20"/>
          <w:b w:val="1"/>
          <w:bCs w:val="1"/>
          <w:color w:val="auto"/>
        </w:rPr>
        <w:t>SWING LINE NOTE</w:t>
      </w:r>
    </w:p>
    <w:p>
      <w:pPr>
        <w:ind w:left="840"/>
        <w:spacing w:after="0"/>
        <w:rPr>
          <w:sz w:val="20"/>
          <w:szCs w:val="20"/>
          <w:color w:val="auto"/>
        </w:rPr>
      </w:pPr>
      <w:r>
        <w:rPr>
          <w:rFonts w:ascii="Arial" w:cs="Arial" w:eastAsia="Arial" w:hAnsi="Arial"/>
          <w:sz w:val="20"/>
          <w:szCs w:val="20"/>
          <w:color w:val="auto"/>
        </w:rPr>
        <w:t>New York, New York</w:t>
      </w:r>
    </w:p>
    <w:p>
      <w:pPr>
        <w:spacing w:after="0" w:line="200" w:lineRule="exact"/>
        <w:rPr>
          <w:sz w:val="20"/>
          <w:szCs w:val="20"/>
          <w:color w:val="auto"/>
        </w:rPr>
      </w:pPr>
    </w:p>
    <w:p>
      <w:pPr>
        <w:spacing w:after="0"/>
        <w:tabs>
          <w:tab w:leader="none" w:pos="1560" w:val="left"/>
        </w:tabs>
        <w:rPr>
          <w:sz w:val="20"/>
          <w:szCs w:val="20"/>
          <w:color w:val="auto"/>
        </w:rPr>
      </w:pPr>
      <w:r>
        <w:rPr>
          <w:rFonts w:ascii="Arial" w:cs="Arial" w:eastAsia="Arial" w:hAnsi="Arial"/>
          <w:sz w:val="20"/>
          <w:szCs w:val="20"/>
          <w:color w:val="auto"/>
        </w:rPr>
        <w:t>[$50,000,000]</w:t>
      </w:r>
      <w:r>
        <w:rPr>
          <w:sz w:val="20"/>
          <w:szCs w:val="20"/>
          <w:color w:val="auto"/>
        </w:rPr>
        <w:tab/>
      </w:r>
      <w:r>
        <w:rPr>
          <w:rFonts w:ascii="Arial" w:cs="Arial" w:eastAsia="Arial" w:hAnsi="Arial"/>
          <w:sz w:val="18"/>
          <w:szCs w:val="18"/>
          <w:color w:val="auto"/>
        </w:rPr>
        <w:t>[___________], 20[_]</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FOR VALUE RECEIVED, the undersigned, XPO LOGISTICS, INC. (the “</w:t>
      </w:r>
      <w:r>
        <w:rPr>
          <w:rFonts w:ascii="Arial" w:cs="Arial" w:eastAsia="Arial" w:hAnsi="Arial"/>
          <w:sz w:val="18"/>
          <w:szCs w:val="18"/>
          <w:u w:val="single" w:color="auto"/>
          <w:color w:val="auto"/>
        </w:rPr>
        <w:t>Parent Borrower</w:t>
      </w:r>
      <w:r>
        <w:rPr>
          <w:rFonts w:ascii="Arial" w:cs="Arial" w:eastAsia="Arial" w:hAnsi="Arial"/>
          <w:sz w:val="18"/>
          <w:szCs w:val="18"/>
          <w:color w:val="auto"/>
        </w:rPr>
        <w:t>”), a Delaware corporation, and certain of its wholly-owned domestic Subsidiaries signatory hereto (collectively with Parent Borrower, referred to herein as “</w:t>
      </w:r>
      <w:r>
        <w:rPr>
          <w:rFonts w:ascii="Arial" w:cs="Arial" w:eastAsia="Arial" w:hAnsi="Arial"/>
          <w:sz w:val="18"/>
          <w:szCs w:val="18"/>
          <w:u w:val="single" w:color="auto"/>
          <w:color w:val="auto"/>
        </w:rPr>
        <w:t>U.S. Borrowers</w:t>
      </w:r>
      <w:r>
        <w:rPr>
          <w:rFonts w:ascii="Arial" w:cs="Arial" w:eastAsia="Arial" w:hAnsi="Arial"/>
          <w:sz w:val="18"/>
          <w:szCs w:val="18"/>
          <w:color w:val="auto"/>
        </w:rPr>
        <w:t xml:space="preserve"> ” and each individually as a “</w:t>
      </w:r>
      <w:r>
        <w:rPr>
          <w:rFonts w:ascii="Arial" w:cs="Arial" w:eastAsia="Arial" w:hAnsi="Arial"/>
          <w:sz w:val="18"/>
          <w:szCs w:val="18"/>
          <w:u w:val="single" w:color="auto"/>
          <w:color w:val="auto"/>
        </w:rPr>
        <w:t>U.S. Borrower</w:t>
      </w:r>
      <w:r>
        <w:rPr>
          <w:rFonts w:ascii="Arial" w:cs="Arial" w:eastAsia="Arial" w:hAnsi="Arial"/>
          <w:sz w:val="18"/>
          <w:szCs w:val="18"/>
          <w:color w:val="auto"/>
        </w:rPr>
        <w:t>”), HEREBY PROMISE TO PAY to MORGAN STANLEY SENIOR FUNDING, INC. (in such capacity, “</w:t>
      </w:r>
      <w:r>
        <w:rPr>
          <w:rFonts w:ascii="Arial" w:cs="Arial" w:eastAsia="Arial" w:hAnsi="Arial"/>
          <w:sz w:val="18"/>
          <w:szCs w:val="18"/>
          <w:u w:val="single" w:color="auto"/>
          <w:color w:val="auto"/>
        </w:rPr>
        <w:t>Swing Line Lender</w:t>
      </w:r>
      <w:r>
        <w:rPr>
          <w:rFonts w:ascii="Arial" w:cs="Arial" w:eastAsia="Arial" w:hAnsi="Arial"/>
          <w:sz w:val="18"/>
          <w:szCs w:val="18"/>
          <w:color w:val="auto"/>
        </w:rPr>
        <w:t>”), and its registered assigns at the offices of Morgan Stanley Senior Funding, Inc., as administrative agent for Lenders (“</w:t>
      </w:r>
      <w:r>
        <w:rPr>
          <w:rFonts w:ascii="Arial" w:cs="Arial" w:eastAsia="Arial" w:hAnsi="Arial"/>
          <w:sz w:val="18"/>
          <w:szCs w:val="18"/>
          <w:u w:val="single" w:color="auto"/>
          <w:color w:val="auto"/>
        </w:rPr>
        <w:t>Agent</w:t>
      </w:r>
      <w:r>
        <w:rPr>
          <w:rFonts w:ascii="Arial" w:cs="Arial" w:eastAsia="Arial" w:hAnsi="Arial"/>
          <w:sz w:val="18"/>
          <w:szCs w:val="18"/>
          <w:color w:val="auto"/>
        </w:rPr>
        <w:t>”), at its address at 1585 Broadway, New York, New York 10036, in lawful money of the United States of America and in immediately available funds, the amount of [FIFTY MILLION DOLLARS AND NO CENTS ($50,000,000.00)] or, if less, the aggregate unpaid amount of all Swing Line Advances made to the undersigned under the Credit Agreement (as hereinafter defined). All capitalized terms used but not otherwise defined herein have the meanings given to them in the Credit Agreement.</w:t>
      </w:r>
    </w:p>
    <w:p>
      <w:pPr>
        <w:spacing w:after="0" w:line="16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This Swing Line Note is issued pursuant to that certain Second Amended and Restated Revolving Loan Credit Agreement, dated as of October 30, 2015, by and among the Borrowers, the other Credit Parties signatory thereto, Agent, Morgan Stanley Senior Funding, Inc. and JPMorgan Chase Bank, N.A., in their capacity as co-collateral agents and the Lenders and L/C Issuers signatory thereto from time to time (including all annexes, exhibits and schedules thereto, and as amended, amended and restated, supplemented or otherwise modified from time to time, including by that certain Amendment No. 1 to Second Amended and Restated Revolving Loan Credit Agreement, dated as of July 19, 2017, that certain Amendment No. 2 to Second Amended and Restated Revolving Loan Agreement, dated as of March 22, </w:t>
      </w:r>
      <w:r>
        <w:rPr>
          <w:rFonts w:ascii="Arial" w:cs="Arial" w:eastAsia="Arial" w:hAnsi="Arial"/>
          <w:sz w:val="18"/>
          <w:szCs w:val="18"/>
          <w:color w:val="FF0000"/>
          <w:strike w:val="1"/>
        </w:rPr>
        <w:t>2018</w:t>
      </w:r>
      <w:r>
        <w:rPr>
          <w:rFonts w:ascii="Arial" w:cs="Arial" w:eastAsia="Arial" w:hAnsi="Arial"/>
          <w:sz w:val="18"/>
          <w:szCs w:val="18"/>
          <w:color w:val="auto"/>
        </w:rPr>
        <w:t xml:space="preserve"> </w:t>
      </w:r>
      <w:r>
        <w:rPr>
          <w:rFonts w:ascii="Arial" w:cs="Arial" w:eastAsia="Arial" w:hAnsi="Arial"/>
          <w:sz w:val="18"/>
          <w:szCs w:val="18"/>
          <w:color w:val="FF0000"/>
          <w:strike w:val="1"/>
        </w:rPr>
        <w:t>and</w:t>
      </w:r>
      <w:r>
        <w:rPr>
          <w:rFonts w:ascii="Arial" w:cs="Arial" w:eastAsia="Arial" w:hAnsi="Arial"/>
          <w:sz w:val="18"/>
          <w:szCs w:val="18"/>
          <w:u w:val="single" w:color="auto"/>
          <w:color w:val="0000FF"/>
        </w:rPr>
        <w:t>2018,</w:t>
      </w:r>
      <w:r>
        <w:rPr>
          <w:rFonts w:ascii="Arial" w:cs="Arial" w:eastAsia="Arial" w:hAnsi="Arial"/>
          <w:sz w:val="18"/>
          <w:szCs w:val="18"/>
          <w:color w:val="FF0000"/>
        </w:rPr>
        <w:t xml:space="preserve"> </w:t>
      </w:r>
      <w:r>
        <w:rPr>
          <w:rFonts w:ascii="Arial" w:cs="Arial" w:eastAsia="Arial" w:hAnsi="Arial"/>
          <w:sz w:val="18"/>
          <w:szCs w:val="18"/>
          <w:color w:val="000000"/>
        </w:rPr>
        <w:t>that certain Amendment No. 3 to Second Amended and Restated Revolving Loan Credit Agreement, dated as of April 30, 2019,</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that certain Amendment No. 4 to Second Amended and Restated Revolving Loan Credit Agreement, dated as of April 3, 2020 and that certain Amendment No. 5 to Second Amended and Restated Revolving Loan Credit Agreement, dated as of June 29, 2020,</w:t>
      </w:r>
      <w:r>
        <w:rPr>
          <w:rFonts w:ascii="Arial" w:cs="Arial" w:eastAsia="Arial" w:hAnsi="Arial"/>
          <w:sz w:val="18"/>
          <w:szCs w:val="18"/>
          <w:color w:val="0000FF"/>
        </w:rPr>
        <w:t xml:space="preserve"> </w:t>
      </w:r>
      <w:r>
        <w:rPr>
          <w:rFonts w:ascii="Arial" w:cs="Arial" w:eastAsia="Arial" w:hAnsi="Arial"/>
          <w:sz w:val="18"/>
          <w:szCs w:val="18"/>
          <w:color w:val="000000"/>
        </w:rPr>
        <w:t>the “</w:t>
      </w:r>
      <w:r>
        <w:rPr>
          <w:rFonts w:ascii="Arial" w:cs="Arial" w:eastAsia="Arial" w:hAnsi="Arial"/>
          <w:sz w:val="18"/>
          <w:szCs w:val="18"/>
          <w:u w:val="single" w:color="auto"/>
          <w:color w:val="000000"/>
        </w:rPr>
        <w:t>Credit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Agreement</w:t>
      </w:r>
      <w:r>
        <w:rPr>
          <w:rFonts w:ascii="Arial" w:cs="Arial" w:eastAsia="Arial" w:hAnsi="Arial"/>
          <w:sz w:val="18"/>
          <w:szCs w:val="18"/>
          <w:color w:val="000000"/>
        </w:rPr>
        <w:t>”), and is entitled to the benefit and security of the Credit Agreement, the Collateral Documents and all of the other Loan Documents referred to therein. Reference is hereby made to the Credit Agreement for a statement of all of the terms and conditions under which the Swing Line Loans evidenced hereby are made and are to be repaid.</w:t>
      </w:r>
    </w:p>
    <w:p>
      <w:pPr>
        <w:spacing w:after="0" w:line="17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principal amount of the indebtedness evidenced hereby shall be payable in the amounts and on the dates specified in the Credit Agreement. Interest thereon shall be paid until such principal amount is paid in full at such interest rates and at such times, and pursuant to such calculations, as are specified in the Credit Agreement.</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Time is of the essence of this Swing Line Note. Demand, presentment, protest and notice of nonpayment and protest are hereby waived by each U.S. Borrower to the extent permitted by applicable law.</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right to receive principal of, and stated interest on, this Swing Line Note may only be transferred in accordance with the provisions of the Credit Agreement.</w:t>
      </w:r>
    </w:p>
    <w:p>
      <w:pPr>
        <w:sectPr>
          <w:pgSz w:w="11900" w:h="16838" w:orient="portrait"/>
          <w:cols w:equalWidth="0" w:num="1">
            <w:col w:w="11240"/>
          </w:cols>
          <w:pgMar w:left="320" w:top="1419" w:right="339" w:bottom="1440" w:gutter="0" w:footer="0" w:header="0"/>
        </w:sectPr>
      </w:pPr>
    </w:p>
    <w:bookmarkStart w:id="347" w:name="page348"/>
    <w:bookmarkEnd w:id="347"/>
    <w:p>
      <w:pPr>
        <w:ind w:firstLine="648"/>
        <w:spacing w:after="0" w:line="287" w:lineRule="auto"/>
        <w:rPr>
          <w:sz w:val="20"/>
          <w:szCs w:val="20"/>
          <w:color w:val="auto"/>
        </w:rPr>
      </w:pPr>
      <w:r>
        <w:rPr>
          <w:rFonts w:ascii="Arial" w:cs="Arial" w:eastAsia="Arial" w:hAnsi="Arial"/>
          <w:sz w:val="19"/>
          <w:szCs w:val="19"/>
          <w:color w:val="auto"/>
        </w:rPr>
        <w:t>THIS SWING LINE NOTE GOVERNED BY AND CONSTRUED AND ENFORCED IN ACCORDANCE WITH THE INTERNAL LAWS OF THE STATE OF NEW YORK APPLICABLE TO CONTRACTS MADE AND PERFORMED IN THAT STATE.</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Empty</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348" w:name="page349"/>
    <w:bookmarkEnd w:id="348"/>
    <w:p>
      <w:pPr>
        <w:ind w:firstLine="533"/>
        <w:spacing w:after="0" w:line="260" w:lineRule="auto"/>
        <w:rPr>
          <w:sz w:val="20"/>
          <w:szCs w:val="20"/>
          <w:color w:val="auto"/>
        </w:rPr>
      </w:pPr>
      <w:r>
        <w:rPr>
          <w:rFonts w:ascii="Arial" w:cs="Arial" w:eastAsia="Arial" w:hAnsi="Arial"/>
          <w:sz w:val="20"/>
          <w:szCs w:val="20"/>
          <w:color w:val="auto"/>
        </w:rPr>
        <w:t>IN WITNESS WHEREOF, each U.S. Borrower has caused this Swing Line Note to be executed and delivered by its duly authorized officer as of the date first set forth above.</w:t>
      </w:r>
    </w:p>
    <w:p>
      <w:pPr>
        <w:spacing w:after="0" w:line="387" w:lineRule="exact"/>
        <w:rPr>
          <w:sz w:val="20"/>
          <w:szCs w:val="20"/>
          <w:color w:val="auto"/>
        </w:rPr>
      </w:pPr>
    </w:p>
    <w:p>
      <w:pPr>
        <w:jc w:val="center"/>
        <w:ind w:right="-259"/>
        <w:spacing w:after="0"/>
        <w:rPr>
          <w:sz w:val="20"/>
          <w:szCs w:val="20"/>
          <w:color w:val="auto"/>
        </w:rPr>
      </w:pPr>
      <w:r>
        <w:rPr>
          <w:rFonts w:ascii="Arial" w:cs="Arial" w:eastAsia="Arial" w:hAnsi="Arial"/>
          <w:sz w:val="20"/>
          <w:szCs w:val="20"/>
          <w:b w:val="1"/>
          <w:bCs w:val="1"/>
          <w:color w:val="auto"/>
        </w:rPr>
        <w:t>XPO LOGISTICS, INC.</w:t>
      </w:r>
      <w:r>
        <w:rPr>
          <w:rFonts w:ascii="Arial" w:cs="Arial" w:eastAsia="Arial" w:hAnsi="Arial"/>
          <w:sz w:val="20"/>
          <w:szCs w:val="20"/>
          <w:color w:val="auto"/>
        </w:rPr>
        <w:t>, as Parent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w:t>
      </w:r>
    </w:p>
    <w:p>
      <w:pPr>
        <w:spacing w:after="0" w:line="15"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Name:</w:t>
      </w:r>
    </w:p>
    <w:p>
      <w:pPr>
        <w:ind w:left="41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[_______________]</w:t>
      </w:r>
      <w:r>
        <w:rPr>
          <w:rFonts w:ascii="Arial" w:cs="Arial" w:eastAsia="Arial" w:hAnsi="Arial"/>
          <w:sz w:val="20"/>
          <w:szCs w:val="20"/>
          <w:color w:val="auto"/>
        </w:rPr>
        <w:t>, as a U.S. Borrower</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w:t>
      </w:r>
    </w:p>
    <w:p>
      <w:pPr>
        <w:spacing w:after="0" w:line="15"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Name:</w:t>
      </w:r>
    </w:p>
    <w:p>
      <w:pPr>
        <w:ind w:left="41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Swing Line Note</w:t>
      </w:r>
      <w:r>
        <w:rPr>
          <w:rFonts w:ascii="Arial" w:cs="Arial" w:eastAsia="Arial" w:hAnsi="Arial"/>
          <w:sz w:val="16"/>
          <w:szCs w:val="16"/>
          <w:color w:val="auto"/>
        </w:rPr>
        <w:t>]</w:t>
      </w:r>
    </w:p>
    <w:p>
      <w:pPr>
        <w:sectPr>
          <w:pgSz w:w="11900" w:h="16838" w:orient="portrait"/>
          <w:cols w:equalWidth="0" w:num="1">
            <w:col w:w="11240"/>
          </w:cols>
          <w:pgMar w:left="320" w:top="1419" w:right="339" w:bottom="1440" w:gutter="0" w:footer="0" w:header="0"/>
        </w:sectPr>
      </w:pPr>
    </w:p>
    <w:bookmarkStart w:id="349" w:name="page350"/>
    <w:bookmarkEnd w:id="349"/>
    <w:p>
      <w:pPr>
        <w:jc w:val="right"/>
        <w:spacing w:after="0"/>
        <w:rPr>
          <w:sz w:val="20"/>
          <w:szCs w:val="20"/>
          <w:color w:val="auto"/>
        </w:rPr>
      </w:pPr>
      <w:r>
        <w:rPr>
          <w:rFonts w:ascii="Arial" w:cs="Arial" w:eastAsia="Arial" w:hAnsi="Arial"/>
          <w:sz w:val="20"/>
          <w:szCs w:val="20"/>
          <w:u w:val="single" w:color="auto"/>
          <w:color w:val="auto"/>
        </w:rPr>
        <w:t>EXHIBIT 2.5(e)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CONVERSION/CONTINUATION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w:t>
      </w:r>
    </w:p>
    <w:p>
      <w:pPr>
        <w:spacing w:after="0" w:line="2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Reference is made to that certain Second Amended and Restated Revolving Loan Credit Agreement (as amended, amended and restated, supplemented or otherwise modified from time to time, including by that certain Amendment No. 1 to Second Amended and Restated Revolving Loan Credit Agreement, dated as of July 19, 2017, that certain Amendment No. 2 to Second Amended and Restated Revolving Loan Agreement, dated as of March 22, </w:t>
      </w:r>
      <w:r>
        <w:rPr>
          <w:rFonts w:ascii="Arial" w:cs="Arial" w:eastAsia="Arial" w:hAnsi="Arial"/>
          <w:sz w:val="18"/>
          <w:szCs w:val="18"/>
          <w:color w:val="FF0000"/>
          <w:strike w:val="1"/>
        </w:rPr>
        <w:t>2018 and</w:t>
      </w:r>
      <w:r>
        <w:rPr>
          <w:rFonts w:ascii="Arial" w:cs="Arial" w:eastAsia="Arial" w:hAnsi="Arial"/>
          <w:sz w:val="18"/>
          <w:szCs w:val="18"/>
          <w:u w:val="single" w:color="auto"/>
          <w:color w:val="0000FF"/>
        </w:rPr>
        <w:t>2018,</w:t>
      </w:r>
      <w:r>
        <w:rPr>
          <w:rFonts w:ascii="Arial" w:cs="Arial" w:eastAsia="Arial" w:hAnsi="Arial"/>
          <w:sz w:val="18"/>
          <w:szCs w:val="18"/>
          <w:color w:val="auto"/>
        </w:rPr>
        <w:t xml:space="preserve"> that certain Amendment No. 3 to Second Amended and Restated Revolving Loan Credit Agreement, dated as of April 30, 2019, </w:t>
      </w:r>
      <w:r>
        <w:rPr>
          <w:rFonts w:ascii="Arial" w:cs="Arial" w:eastAsia="Arial" w:hAnsi="Arial"/>
          <w:sz w:val="18"/>
          <w:szCs w:val="18"/>
          <w:u w:val="single" w:color="auto"/>
          <w:color w:val="0000FF"/>
        </w:rPr>
        <w:t>that certain Amendment No. 4 to Second Amended and Restated Revolving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Loan Credit Agreement, dated as of April 3, 2020 and that certain Amendment No. 5 to Second Amended and Restated Revolving Loan Credit Agreement, dated as of June 29, 2020,</w:t>
      </w:r>
      <w:r>
        <w:rPr>
          <w:rFonts w:ascii="Arial" w:cs="Arial" w:eastAsia="Arial" w:hAnsi="Arial"/>
          <w:sz w:val="18"/>
          <w:szCs w:val="18"/>
          <w:color w:val="0000FF"/>
        </w:rPr>
        <w:t xml:space="preserve"> </w:t>
      </w:r>
      <w:r>
        <w:rPr>
          <w:rFonts w:ascii="Arial" w:cs="Arial" w:eastAsia="Arial" w:hAnsi="Arial"/>
          <w:sz w:val="18"/>
          <w:szCs w:val="18"/>
          <w:color w:val="000000"/>
        </w:rPr>
        <w:t>the “</w:t>
      </w:r>
      <w:r>
        <w:rPr>
          <w:rFonts w:ascii="Arial" w:cs="Arial" w:eastAsia="Arial" w:hAnsi="Arial"/>
          <w:sz w:val="18"/>
          <w:szCs w:val="18"/>
          <w:u w:val="single" w:color="auto"/>
          <w:color w:val="000000"/>
        </w:rPr>
        <w:t>Credit Agreement</w:t>
      </w:r>
      <w:r>
        <w:rPr>
          <w:rFonts w:ascii="Arial" w:cs="Arial" w:eastAsia="Arial" w:hAnsi="Arial"/>
          <w:sz w:val="18"/>
          <w:szCs w:val="18"/>
          <w:color w:val="000000"/>
        </w:rPr>
        <w:t>”), dated as of October 30, 2015, by and among XPO LOGISTICS,</w:t>
      </w:r>
      <w:r>
        <w:rPr>
          <w:rFonts w:ascii="Arial" w:cs="Arial" w:eastAsia="Arial" w:hAnsi="Arial"/>
          <w:sz w:val="18"/>
          <w:szCs w:val="18"/>
          <w:color w:val="0000FF"/>
        </w:rPr>
        <w:t xml:space="preserve"> </w:t>
      </w:r>
      <w:r>
        <w:rPr>
          <w:rFonts w:ascii="Arial" w:cs="Arial" w:eastAsia="Arial" w:hAnsi="Arial"/>
          <w:sz w:val="18"/>
          <w:szCs w:val="18"/>
          <w:color w:val="000000"/>
        </w:rPr>
        <w:t>INC., a Delaware corporation (“</w:t>
      </w:r>
      <w:r>
        <w:rPr>
          <w:rFonts w:ascii="Arial" w:cs="Arial" w:eastAsia="Arial" w:hAnsi="Arial"/>
          <w:sz w:val="18"/>
          <w:szCs w:val="18"/>
          <w:u w:val="single" w:color="auto"/>
          <w:color w:val="000000"/>
        </w:rPr>
        <w:t>Parent Borrower</w:t>
      </w:r>
      <w:r>
        <w:rPr>
          <w:rFonts w:ascii="Arial" w:cs="Arial" w:eastAsia="Arial" w:hAnsi="Arial"/>
          <w:sz w:val="18"/>
          <w:szCs w:val="18"/>
          <w:color w:val="000000"/>
        </w:rPr>
        <w:t>”), certain of Parent Borrower’s wholly-owned Domestic Subsidiaries signatory thereto, as borrowers (collectively with Parent Borrower, referred to therein as the “</w:t>
      </w:r>
      <w:r>
        <w:rPr>
          <w:rFonts w:ascii="Arial" w:cs="Arial" w:eastAsia="Arial" w:hAnsi="Arial"/>
          <w:sz w:val="18"/>
          <w:szCs w:val="18"/>
          <w:u w:val="single" w:color="auto"/>
          <w:color w:val="000000"/>
        </w:rPr>
        <w:t>U.S. Borrowers</w:t>
      </w:r>
      <w:r>
        <w:rPr>
          <w:rFonts w:ascii="Arial" w:cs="Arial" w:eastAsia="Arial" w:hAnsi="Arial"/>
          <w:sz w:val="18"/>
          <w:szCs w:val="18"/>
          <w:color w:val="000000"/>
        </w:rPr>
        <w:t xml:space="preserve"> ” and each, individually, as a “</w:t>
      </w:r>
      <w:r>
        <w:rPr>
          <w:rFonts w:ascii="Arial" w:cs="Arial" w:eastAsia="Arial" w:hAnsi="Arial"/>
          <w:sz w:val="18"/>
          <w:szCs w:val="18"/>
          <w:u w:val="single" w:color="auto"/>
          <w:color w:val="000000"/>
        </w:rPr>
        <w:t>U.S. Borrower</w:t>
      </w:r>
      <w:r>
        <w:rPr>
          <w:rFonts w:ascii="Arial" w:cs="Arial" w:eastAsia="Arial" w:hAnsi="Arial"/>
          <w:sz w:val="18"/>
          <w:szCs w:val="18"/>
          <w:color w:val="000000"/>
        </w:rPr>
        <w:t>”), XPO LOGISTICS CANADA INC., an Ontario corporation (“</w:t>
      </w:r>
      <w:r>
        <w:rPr>
          <w:rFonts w:ascii="Arial" w:cs="Arial" w:eastAsia="Arial" w:hAnsi="Arial"/>
          <w:sz w:val="18"/>
          <w:szCs w:val="18"/>
          <w:u w:val="single" w:color="auto"/>
          <w:color w:val="000000"/>
        </w:rPr>
        <w:t>XPO Canada</w:t>
      </w:r>
      <w:r>
        <w:rPr>
          <w:rFonts w:ascii="Arial" w:cs="Arial" w:eastAsia="Arial" w:hAnsi="Arial"/>
          <w:sz w:val="18"/>
          <w:szCs w:val="18"/>
          <w:color w:val="000000"/>
        </w:rPr>
        <w:t>”), certain of Parent Borrower’s other wholly-owned Canadian subsidiaries signatory thereto, as borrowers (with XPO Canada, collectively referred to therein as the “</w:t>
      </w:r>
      <w:r>
        <w:rPr>
          <w:rFonts w:ascii="Arial" w:cs="Arial" w:eastAsia="Arial" w:hAnsi="Arial"/>
          <w:sz w:val="18"/>
          <w:szCs w:val="18"/>
          <w:u w:val="single" w:color="auto"/>
          <w:color w:val="000000"/>
        </w:rPr>
        <w:t>Canadian Borrowers</w:t>
      </w:r>
      <w:r>
        <w:rPr>
          <w:rFonts w:ascii="Arial" w:cs="Arial" w:eastAsia="Arial" w:hAnsi="Arial"/>
          <w:sz w:val="18"/>
          <w:szCs w:val="18"/>
          <w:color w:val="000000"/>
        </w:rPr>
        <w:t>” and each, individually, as a “</w:t>
      </w:r>
      <w:r>
        <w:rPr>
          <w:rFonts w:ascii="Arial" w:cs="Arial" w:eastAsia="Arial" w:hAnsi="Arial"/>
          <w:sz w:val="18"/>
          <w:szCs w:val="18"/>
          <w:u w:val="single" w:color="auto"/>
          <w:color w:val="000000"/>
        </w:rPr>
        <w:t>Canadian Borrower</w:t>
      </w:r>
      <w:r>
        <w:rPr>
          <w:rFonts w:ascii="Arial" w:cs="Arial" w:eastAsia="Arial" w:hAnsi="Arial"/>
          <w:sz w:val="18"/>
          <w:szCs w:val="18"/>
          <w:color w:val="000000"/>
        </w:rPr>
        <w:t>” and together with the U.S. Borrowers, collectively, referred to therein as the “</w:t>
      </w:r>
      <w:r>
        <w:rPr>
          <w:rFonts w:ascii="Arial" w:cs="Arial" w:eastAsia="Arial" w:hAnsi="Arial"/>
          <w:sz w:val="18"/>
          <w:szCs w:val="18"/>
          <w:u w:val="single" w:color="auto"/>
          <w:color w:val="000000"/>
        </w:rPr>
        <w:t>Borrowers</w:t>
      </w:r>
      <w:r>
        <w:rPr>
          <w:rFonts w:ascii="Arial" w:cs="Arial" w:eastAsia="Arial" w:hAnsi="Arial"/>
          <w:sz w:val="18"/>
          <w:szCs w:val="18"/>
          <w:color w:val="000000"/>
        </w:rPr>
        <w:t>” and each, individually, as a “</w:t>
      </w:r>
      <w:r>
        <w:rPr>
          <w:rFonts w:ascii="Arial" w:cs="Arial" w:eastAsia="Arial" w:hAnsi="Arial"/>
          <w:sz w:val="18"/>
          <w:szCs w:val="18"/>
          <w:u w:val="single" w:color="auto"/>
          <w:color w:val="000000"/>
        </w:rPr>
        <w:t>Borrower</w:t>
      </w:r>
      <w:r>
        <w:rPr>
          <w:rFonts w:ascii="Arial" w:cs="Arial" w:eastAsia="Arial" w:hAnsi="Arial"/>
          <w:sz w:val="18"/>
          <w:szCs w:val="18"/>
          <w:color w:val="000000"/>
        </w:rPr>
        <w:t>”), the other Credit Parties signatory thereto, the Lenders and L/C Issuers from time to time party thereto, MORGAN STANLEY SENIOR FUNDING, INC., in its capacity as administrative agent (in such capacity and together with any successors</w:t>
      </w:r>
    </w:p>
    <w:p>
      <w:pPr>
        <w:spacing w:after="0" w:line="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and assigns in such capacity, the “</w:t>
      </w:r>
      <w:r>
        <w:rPr>
          <w:rFonts w:ascii="Arial" w:cs="Arial" w:eastAsia="Arial" w:hAnsi="Arial"/>
          <w:sz w:val="18"/>
          <w:szCs w:val="18"/>
          <w:u w:val="single" w:color="auto"/>
          <w:color w:val="auto"/>
        </w:rPr>
        <w:t>Agent</w:t>
      </w:r>
      <w:r>
        <w:rPr>
          <w:rFonts w:ascii="Arial" w:cs="Arial" w:eastAsia="Arial" w:hAnsi="Arial"/>
          <w:sz w:val="18"/>
          <w:szCs w:val="18"/>
          <w:color w:val="auto"/>
        </w:rPr>
        <w:t>”) and Morgan Stanley Senior Funding, Inc. and JPMorgan Chase Bank, N.A., in their capacity as co-collateral agents. All capitalized terms but not otherwise defined herein have the meanings given to them in the Credit Agreement.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Parent Borrower hereby gives irrevocable notice, pursuant to Section 2.5(e) of the Credit Agreement, of its request to:</w:t>
      </w:r>
    </w:p>
    <w:p>
      <w:pPr>
        <w:spacing w:after="0" w:line="216" w:lineRule="exact"/>
        <w:rPr>
          <w:sz w:val="20"/>
          <w:szCs w:val="20"/>
          <w:color w:val="auto"/>
        </w:rPr>
      </w:pPr>
    </w:p>
    <w:p>
      <w:pPr>
        <w:jc w:val="both"/>
        <w:ind w:firstLine="656"/>
        <w:spacing w:after="0" w:line="250" w:lineRule="auto"/>
        <w:tabs>
          <w:tab w:leader="none" w:pos="931" w:val="left"/>
        </w:tabs>
        <w:numPr>
          <w:ilvl w:val="0"/>
          <w:numId w:val="281"/>
        </w:numPr>
        <w:rPr>
          <w:rFonts w:ascii="Arial" w:cs="Arial" w:eastAsia="Arial" w:hAnsi="Arial"/>
          <w:sz w:val="20"/>
          <w:szCs w:val="20"/>
          <w:color w:val="auto"/>
        </w:rPr>
      </w:pPr>
      <w:r>
        <w:rPr>
          <w:rFonts w:ascii="Arial" w:cs="Arial" w:eastAsia="Arial" w:hAnsi="Arial"/>
          <w:sz w:val="20"/>
          <w:szCs w:val="20"/>
          <w:color w:val="auto"/>
        </w:rPr>
        <w:t>[on [ _____ __, 20__], convert $[________] of the aggregate outstanding principal amount of the Revolving Credit Advances, constituting [U.S./Canadian Loans] and bearing interest at the [Base/LIBOR] Rate, into a [Base Rate/LIBOR] Loan [and, in the case of a LIBOR Loan, having a LIBOR Period of [_____] month(s)]];</w:t>
      </w:r>
    </w:p>
    <w:p>
      <w:pPr>
        <w:spacing w:after="0" w:line="185" w:lineRule="exact"/>
        <w:rPr>
          <w:rFonts w:ascii="Arial" w:cs="Arial" w:eastAsia="Arial" w:hAnsi="Arial"/>
          <w:sz w:val="20"/>
          <w:szCs w:val="20"/>
          <w:color w:val="auto"/>
        </w:rPr>
      </w:pPr>
    </w:p>
    <w:p>
      <w:pPr>
        <w:ind w:right="20" w:firstLine="656"/>
        <w:spacing w:after="0" w:line="260" w:lineRule="auto"/>
        <w:tabs>
          <w:tab w:leader="none" w:pos="938" w:val="left"/>
        </w:tabs>
        <w:numPr>
          <w:ilvl w:val="0"/>
          <w:numId w:val="281"/>
        </w:numPr>
        <w:rPr>
          <w:rFonts w:ascii="Arial" w:cs="Arial" w:eastAsia="Arial" w:hAnsi="Arial"/>
          <w:sz w:val="20"/>
          <w:szCs w:val="20"/>
          <w:color w:val="auto"/>
        </w:rPr>
      </w:pPr>
      <w:r>
        <w:rPr>
          <w:rFonts w:ascii="Arial" w:cs="Arial" w:eastAsia="Arial" w:hAnsi="Arial"/>
          <w:sz w:val="20"/>
          <w:szCs w:val="20"/>
          <w:color w:val="auto"/>
        </w:rPr>
        <w:t xml:space="preserve">[on [ _____ </w:t>
      </w:r>
      <w:r>
        <w:rPr>
          <w:rFonts w:ascii="Arial" w:cs="Arial" w:eastAsia="Arial" w:hAnsi="Arial"/>
          <w:sz w:val="20"/>
          <w:szCs w:val="20"/>
          <w:u w:val="single" w:color="auto"/>
          <w:color w:val="auto"/>
        </w:rPr>
        <w:t>__</w:t>
      </w:r>
      <w:r>
        <w:rPr>
          <w:rFonts w:ascii="Arial" w:cs="Arial" w:eastAsia="Arial" w:hAnsi="Arial"/>
          <w:sz w:val="20"/>
          <w:szCs w:val="20"/>
          <w:color w:val="auto"/>
        </w:rPr>
        <w:t>, 20__], continue $[________] of the aggregate outstanding principal amount of the Revolving Credit Advances, bearing interest at the LIBOR Rate, as a LIBOR Loan having a LIBOR Period of [_____]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-759460</wp:posOffset>
            </wp:positionV>
            <wp:extent cx="400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4000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Empty</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350" w:name="page351"/>
    <w:bookmarkEnd w:id="350"/>
    <w:p>
      <w:pPr>
        <w:ind w:firstLine="648"/>
        <w:spacing w:after="0" w:line="260" w:lineRule="auto"/>
        <w:rPr>
          <w:sz w:val="20"/>
          <w:szCs w:val="20"/>
          <w:color w:val="auto"/>
        </w:rPr>
      </w:pPr>
      <w:r>
        <w:rPr>
          <w:rFonts w:ascii="Arial" w:cs="Arial" w:eastAsia="Arial" w:hAnsi="Arial"/>
          <w:sz w:val="20"/>
          <w:szCs w:val="20"/>
          <w:color w:val="auto"/>
        </w:rPr>
        <w:t>IN WITNESS WHEREOF, Parent Borrower has caused this Notice of Conversion/Continuation be executed and delivered by its duly authorized officer as of the date first set forth above.</w:t>
      </w:r>
    </w:p>
    <w:p>
      <w:pPr>
        <w:spacing w:after="0" w:line="171"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XPO LOGISTICS, INC.</w:t>
      </w:r>
      <w:r>
        <w:rPr>
          <w:rFonts w:ascii="Arial" w:cs="Arial" w:eastAsia="Arial" w:hAnsi="Arial"/>
          <w:sz w:val="20"/>
          <w:szCs w:val="20"/>
          <w:color w:val="auto"/>
        </w:rPr>
        <w:t>, as Parent Borrower</w:t>
      </w:r>
    </w:p>
    <w:p>
      <w:pPr>
        <w:spacing w:after="0" w:line="200" w:lineRule="exact"/>
        <w:rPr>
          <w:sz w:val="20"/>
          <w:szCs w:val="20"/>
          <w:color w:val="auto"/>
        </w:rPr>
      </w:pPr>
    </w:p>
    <w:p>
      <w:pPr>
        <w:spacing w:after="0" w:line="29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By:________________________________</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Notice of Conversion/Continuation</w:t>
      </w:r>
      <w:r>
        <w:rPr>
          <w:rFonts w:ascii="Arial" w:cs="Arial" w:eastAsia="Arial" w:hAnsi="Arial"/>
          <w:sz w:val="16"/>
          <w:szCs w:val="16"/>
          <w:color w:val="auto"/>
        </w:rPr>
        <w:t>]</w:t>
      </w:r>
    </w:p>
    <w:p>
      <w:pPr>
        <w:sectPr>
          <w:pgSz w:w="11900" w:h="16838" w:orient="portrait"/>
          <w:cols w:equalWidth="0" w:num="1">
            <w:col w:w="11240"/>
          </w:cols>
          <w:pgMar w:left="320" w:top="1419" w:right="339" w:bottom="1440" w:gutter="0" w:footer="0" w:header="0"/>
        </w:sectPr>
      </w:pPr>
    </w:p>
    <w:bookmarkStart w:id="351" w:name="page352"/>
    <w:bookmarkEnd w:id="351"/>
    <w:p>
      <w:pPr>
        <w:jc w:val="right"/>
        <w:spacing w:after="0"/>
        <w:rPr>
          <w:sz w:val="20"/>
          <w:szCs w:val="20"/>
          <w:color w:val="auto"/>
        </w:rPr>
      </w:pPr>
      <w:r>
        <w:rPr>
          <w:rFonts w:ascii="Arial" w:cs="Arial" w:eastAsia="Arial" w:hAnsi="Arial"/>
          <w:sz w:val="20"/>
          <w:szCs w:val="20"/>
          <w:u w:val="single" w:color="auto"/>
          <w:color w:val="auto"/>
        </w:rPr>
        <w:t>EXHIBIT 3.1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SOLVENCY CERTIFICATE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w:t>
      </w:r>
    </w:p>
    <w:p>
      <w:pPr>
        <w:spacing w:after="0" w:line="24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Reference is made to that certain Second Amended and Restated Revolving Loan Credit Agreement (as amended, amended and restated, supplemented or otherwise modified from time to time, including by that certain Amendment No. 1 to Second Amended and Restated Revolving Loan Credit Agreement, dated as of July 19, 2017, that certain Amendment No. 2 to Second Amended and Restated Revolving Loan Agreement, dated as of March 22, </w:t>
      </w:r>
      <w:r>
        <w:rPr>
          <w:rFonts w:ascii="Arial" w:cs="Arial" w:eastAsia="Arial" w:hAnsi="Arial"/>
          <w:sz w:val="18"/>
          <w:szCs w:val="18"/>
          <w:color w:val="FF0000"/>
          <w:strike w:val="1"/>
        </w:rPr>
        <w:t>2018 and</w:t>
      </w:r>
      <w:r>
        <w:rPr>
          <w:rFonts w:ascii="Arial" w:cs="Arial" w:eastAsia="Arial" w:hAnsi="Arial"/>
          <w:sz w:val="18"/>
          <w:szCs w:val="18"/>
          <w:u w:val="single" w:color="auto"/>
          <w:color w:val="0000FF"/>
        </w:rPr>
        <w:t>2018,</w:t>
      </w:r>
      <w:r>
        <w:rPr>
          <w:rFonts w:ascii="Arial" w:cs="Arial" w:eastAsia="Arial" w:hAnsi="Arial"/>
          <w:sz w:val="18"/>
          <w:szCs w:val="18"/>
          <w:color w:val="auto"/>
        </w:rPr>
        <w:t xml:space="preserve"> that certain Amendment No. 3 to Second Amended and Restated Revolving Loan Credit Agreement, dated as of April 30, 2019, </w:t>
      </w:r>
      <w:r>
        <w:rPr>
          <w:rFonts w:ascii="Arial" w:cs="Arial" w:eastAsia="Arial" w:hAnsi="Arial"/>
          <w:sz w:val="18"/>
          <w:szCs w:val="18"/>
          <w:u w:val="single" w:color="auto"/>
          <w:color w:val="0000FF"/>
        </w:rPr>
        <w:t>that certain Amendment No. 4 to Second Amended and Restated Revolving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Loan Credit Agreement, dated as of April 3, 2020 and that certain Amendment No. 5 to Second Amended and Restated Revolving Loan Credit Agreement, dated as of June 29, 2020,</w:t>
      </w:r>
      <w:r>
        <w:rPr>
          <w:rFonts w:ascii="Arial" w:cs="Arial" w:eastAsia="Arial" w:hAnsi="Arial"/>
          <w:sz w:val="18"/>
          <w:szCs w:val="18"/>
          <w:color w:val="0000FF"/>
        </w:rPr>
        <w:t xml:space="preserve"> </w:t>
      </w:r>
      <w:r>
        <w:rPr>
          <w:rFonts w:ascii="Arial" w:cs="Arial" w:eastAsia="Arial" w:hAnsi="Arial"/>
          <w:sz w:val="18"/>
          <w:szCs w:val="18"/>
          <w:color w:val="000000"/>
        </w:rPr>
        <w:t>the “</w:t>
      </w:r>
      <w:r>
        <w:rPr>
          <w:rFonts w:ascii="Arial" w:cs="Arial" w:eastAsia="Arial" w:hAnsi="Arial"/>
          <w:sz w:val="18"/>
          <w:szCs w:val="18"/>
          <w:u w:val="single" w:color="auto"/>
          <w:color w:val="000000"/>
        </w:rPr>
        <w:t>Credit Agreement</w:t>
      </w:r>
      <w:r>
        <w:rPr>
          <w:rFonts w:ascii="Arial" w:cs="Arial" w:eastAsia="Arial" w:hAnsi="Arial"/>
          <w:sz w:val="18"/>
          <w:szCs w:val="18"/>
          <w:color w:val="000000"/>
        </w:rPr>
        <w:t>”), dated as of October 30, 2015, by and among XPO LOGISTICS,</w:t>
      </w:r>
      <w:r>
        <w:rPr>
          <w:rFonts w:ascii="Arial" w:cs="Arial" w:eastAsia="Arial" w:hAnsi="Arial"/>
          <w:sz w:val="18"/>
          <w:szCs w:val="18"/>
          <w:color w:val="0000FF"/>
        </w:rPr>
        <w:t xml:space="preserve"> </w:t>
      </w:r>
      <w:r>
        <w:rPr>
          <w:rFonts w:ascii="Arial" w:cs="Arial" w:eastAsia="Arial" w:hAnsi="Arial"/>
          <w:sz w:val="18"/>
          <w:szCs w:val="18"/>
          <w:color w:val="000000"/>
        </w:rPr>
        <w:t>INC., a Delaware corporation (“</w:t>
      </w:r>
      <w:r>
        <w:rPr>
          <w:rFonts w:ascii="Arial" w:cs="Arial" w:eastAsia="Arial" w:hAnsi="Arial"/>
          <w:sz w:val="18"/>
          <w:szCs w:val="18"/>
          <w:u w:val="single" w:color="auto"/>
          <w:color w:val="000000"/>
        </w:rPr>
        <w:t>Parent Borrower</w:t>
      </w:r>
      <w:r>
        <w:rPr>
          <w:rFonts w:ascii="Arial" w:cs="Arial" w:eastAsia="Arial" w:hAnsi="Arial"/>
          <w:sz w:val="18"/>
          <w:szCs w:val="18"/>
          <w:color w:val="000000"/>
        </w:rPr>
        <w:t>”), certain of Parent Borrower’s wholly-owned Domestic Subsidiaries signatory thereto, as borrowers (collectively with Parent Borrower, referred to therein as the “</w:t>
      </w:r>
      <w:r>
        <w:rPr>
          <w:rFonts w:ascii="Arial" w:cs="Arial" w:eastAsia="Arial" w:hAnsi="Arial"/>
          <w:sz w:val="18"/>
          <w:szCs w:val="18"/>
          <w:u w:val="single" w:color="auto"/>
          <w:color w:val="000000"/>
        </w:rPr>
        <w:t>U.S. Borrowers</w:t>
      </w:r>
      <w:r>
        <w:rPr>
          <w:rFonts w:ascii="Arial" w:cs="Arial" w:eastAsia="Arial" w:hAnsi="Arial"/>
          <w:sz w:val="18"/>
          <w:szCs w:val="18"/>
          <w:color w:val="000000"/>
        </w:rPr>
        <w:t xml:space="preserve"> ” and each, individually, as a “</w:t>
      </w:r>
      <w:r>
        <w:rPr>
          <w:rFonts w:ascii="Arial" w:cs="Arial" w:eastAsia="Arial" w:hAnsi="Arial"/>
          <w:sz w:val="18"/>
          <w:szCs w:val="18"/>
          <w:u w:val="single" w:color="auto"/>
          <w:color w:val="000000"/>
        </w:rPr>
        <w:t>U.S. Borrower</w:t>
      </w:r>
      <w:r>
        <w:rPr>
          <w:rFonts w:ascii="Arial" w:cs="Arial" w:eastAsia="Arial" w:hAnsi="Arial"/>
          <w:sz w:val="18"/>
          <w:szCs w:val="18"/>
          <w:color w:val="000000"/>
        </w:rPr>
        <w:t>”), XPO LOGISTICS CANADA INC., an Ontario corporation (“</w:t>
      </w:r>
      <w:r>
        <w:rPr>
          <w:rFonts w:ascii="Arial" w:cs="Arial" w:eastAsia="Arial" w:hAnsi="Arial"/>
          <w:sz w:val="18"/>
          <w:szCs w:val="18"/>
          <w:u w:val="single" w:color="auto"/>
          <w:color w:val="000000"/>
        </w:rPr>
        <w:t>XPO Canada</w:t>
      </w:r>
      <w:r>
        <w:rPr>
          <w:rFonts w:ascii="Arial" w:cs="Arial" w:eastAsia="Arial" w:hAnsi="Arial"/>
          <w:sz w:val="18"/>
          <w:szCs w:val="18"/>
          <w:color w:val="000000"/>
        </w:rPr>
        <w:t>”), certain of Parent Borrower’s other wholly-owned Canadian subsidiaries signatory thereto, as borrowers (with XPO Canada, collectively referred to therein as the “</w:t>
      </w:r>
      <w:r>
        <w:rPr>
          <w:rFonts w:ascii="Arial" w:cs="Arial" w:eastAsia="Arial" w:hAnsi="Arial"/>
          <w:sz w:val="18"/>
          <w:szCs w:val="18"/>
          <w:u w:val="single" w:color="auto"/>
          <w:color w:val="000000"/>
        </w:rPr>
        <w:t>Canadian Borrowers</w:t>
      </w:r>
      <w:r>
        <w:rPr>
          <w:rFonts w:ascii="Arial" w:cs="Arial" w:eastAsia="Arial" w:hAnsi="Arial"/>
          <w:sz w:val="18"/>
          <w:szCs w:val="18"/>
          <w:color w:val="000000"/>
        </w:rPr>
        <w:t>” and each, individually, as a “</w:t>
      </w:r>
      <w:r>
        <w:rPr>
          <w:rFonts w:ascii="Arial" w:cs="Arial" w:eastAsia="Arial" w:hAnsi="Arial"/>
          <w:sz w:val="18"/>
          <w:szCs w:val="18"/>
          <w:u w:val="single" w:color="auto"/>
          <w:color w:val="000000"/>
        </w:rPr>
        <w:t>Canadian Borrower</w:t>
      </w:r>
      <w:r>
        <w:rPr>
          <w:rFonts w:ascii="Arial" w:cs="Arial" w:eastAsia="Arial" w:hAnsi="Arial"/>
          <w:sz w:val="18"/>
          <w:szCs w:val="18"/>
          <w:color w:val="000000"/>
        </w:rPr>
        <w:t>” and together with the U.S. Borrowers, collectively, referred to therein as the “</w:t>
      </w:r>
      <w:r>
        <w:rPr>
          <w:rFonts w:ascii="Arial" w:cs="Arial" w:eastAsia="Arial" w:hAnsi="Arial"/>
          <w:sz w:val="18"/>
          <w:szCs w:val="18"/>
          <w:u w:val="single" w:color="auto"/>
          <w:color w:val="000000"/>
        </w:rPr>
        <w:t>Borrowers</w:t>
      </w:r>
      <w:r>
        <w:rPr>
          <w:rFonts w:ascii="Arial" w:cs="Arial" w:eastAsia="Arial" w:hAnsi="Arial"/>
          <w:sz w:val="18"/>
          <w:szCs w:val="18"/>
          <w:color w:val="000000"/>
        </w:rPr>
        <w:t>” and each, individually, as a “</w:t>
      </w:r>
      <w:r>
        <w:rPr>
          <w:rFonts w:ascii="Arial" w:cs="Arial" w:eastAsia="Arial" w:hAnsi="Arial"/>
          <w:sz w:val="18"/>
          <w:szCs w:val="18"/>
          <w:u w:val="single" w:color="auto"/>
          <w:color w:val="000000"/>
        </w:rPr>
        <w:t>Borrower</w:t>
      </w:r>
      <w:r>
        <w:rPr>
          <w:rFonts w:ascii="Arial" w:cs="Arial" w:eastAsia="Arial" w:hAnsi="Arial"/>
          <w:sz w:val="18"/>
          <w:szCs w:val="18"/>
          <w:color w:val="000000"/>
        </w:rPr>
        <w:t>”), the other Credit Parties signatory thereto, the Lenders and L/C Issuers from time to time party thereto, MORGAN STANLEY SENIOR FUNDING, INC., in its capacity as administrative agent (in such capacity and together with any successors</w:t>
      </w:r>
    </w:p>
    <w:p>
      <w:pPr>
        <w:spacing w:after="0" w:line="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and assigns in such capacity, the “</w:t>
      </w:r>
      <w:r>
        <w:rPr>
          <w:rFonts w:ascii="Arial" w:cs="Arial" w:eastAsia="Arial" w:hAnsi="Arial"/>
          <w:sz w:val="18"/>
          <w:szCs w:val="18"/>
          <w:u w:val="single" w:color="auto"/>
          <w:color w:val="auto"/>
        </w:rPr>
        <w:t>Agent</w:t>
      </w:r>
      <w:r>
        <w:rPr>
          <w:rFonts w:ascii="Arial" w:cs="Arial" w:eastAsia="Arial" w:hAnsi="Arial"/>
          <w:sz w:val="18"/>
          <w:szCs w:val="18"/>
          <w:color w:val="auto"/>
        </w:rPr>
        <w:t>”) and Morgan Stanley Senior Funding, Inc. and JPMorgan Chase Bank, N.A., in their capacity as co-collateral agents. All capitalized terms but not otherwise defined herein have the meanings given to them in the Credit Agreement. The undersigned hereby represents that he or she is the duly qualified and acting Chief Financial Officer or Senior Vice President and Treasurer of the Parent Borrower and, in such capacity (and not in his or her personal capacity), further represents and warrants as follows:</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As of the date hereof, immediately after giving effect to (a) the Loans and Letter of Credit Obligations to be made or incurred on the date hereof, (b) the disbursement of proceeds of such Loans (if any) pursuant to the instructions of the Parent Borrower, and (c) the payment and accrual of all transaction costs in connection with the foregoing:</w:t>
      </w:r>
    </w:p>
    <w:p>
      <w:pPr>
        <w:spacing w:after="0" w:line="186" w:lineRule="exact"/>
        <w:rPr>
          <w:sz w:val="20"/>
          <w:szCs w:val="20"/>
          <w:color w:val="auto"/>
        </w:rPr>
      </w:pPr>
    </w:p>
    <w:p>
      <w:pPr>
        <w:jc w:val="both"/>
        <w:ind w:left="660" w:firstLine="644"/>
        <w:spacing w:after="0" w:line="250" w:lineRule="auto"/>
        <w:tabs>
          <w:tab w:leader="none" w:pos="1544" w:val="left"/>
        </w:tabs>
        <w:numPr>
          <w:ilvl w:val="0"/>
          <w:numId w:val="282"/>
        </w:numPr>
        <w:rPr>
          <w:rFonts w:ascii="Arial" w:cs="Arial" w:eastAsia="Arial" w:hAnsi="Arial"/>
          <w:sz w:val="20"/>
          <w:szCs w:val="20"/>
          <w:color w:val="auto"/>
        </w:rPr>
      </w:pPr>
      <w:r>
        <w:rPr>
          <w:rFonts w:ascii="Arial" w:cs="Arial" w:eastAsia="Arial" w:hAnsi="Arial"/>
          <w:sz w:val="20"/>
          <w:szCs w:val="20"/>
          <w:color w:val="auto"/>
        </w:rPr>
        <w:t>the fair value of the assets of Parent Borrower and its Subsidiaries on a consolidated basis, at a fair valuation, will exceed the debts and liabilities, direct, subordinated, contingent or otherwise, of Parent Borrower and its Subsidiaries on a consolidated basis, respectively;</w:t>
      </w:r>
    </w:p>
    <w:p>
      <w:pPr>
        <w:spacing w:after="0" w:line="185" w:lineRule="exact"/>
        <w:rPr>
          <w:rFonts w:ascii="Arial" w:cs="Arial" w:eastAsia="Arial" w:hAnsi="Arial"/>
          <w:sz w:val="20"/>
          <w:szCs w:val="20"/>
          <w:color w:val="auto"/>
        </w:rPr>
      </w:pPr>
    </w:p>
    <w:p>
      <w:pPr>
        <w:jc w:val="both"/>
        <w:ind w:left="660" w:firstLine="644"/>
        <w:spacing w:after="0" w:line="246" w:lineRule="auto"/>
        <w:tabs>
          <w:tab w:leader="none" w:pos="1613" w:val="left"/>
        </w:tabs>
        <w:numPr>
          <w:ilvl w:val="0"/>
          <w:numId w:val="282"/>
        </w:numPr>
        <w:rPr>
          <w:rFonts w:ascii="Arial" w:cs="Arial" w:eastAsia="Arial" w:hAnsi="Arial"/>
          <w:sz w:val="20"/>
          <w:szCs w:val="20"/>
          <w:color w:val="auto"/>
        </w:rPr>
      </w:pPr>
      <w:r>
        <w:rPr>
          <w:rFonts w:ascii="Arial" w:cs="Arial" w:eastAsia="Arial" w:hAnsi="Arial"/>
          <w:sz w:val="20"/>
          <w:szCs w:val="20"/>
          <w:color w:val="auto"/>
        </w:rPr>
        <w:t>the present fair saleable value of the property of Parent Borrower and its Subsidiaries on a consolidated basis will be greater than the amount that will be required to pay the probable liability of Parent Borrower and its Subsidiaries on a consolidated basis, respectively, on their debts and other liabilities, direct, subordinated, contingent or otherwise, as such debts and other liabilities become absolute and matured;</w:t>
      </w:r>
    </w:p>
    <w:p>
      <w:pPr>
        <w:sectPr>
          <w:pgSz w:w="11900" w:h="16838" w:orient="portrait"/>
          <w:cols w:equalWidth="0" w:num="1">
            <w:col w:w="11240"/>
          </w:cols>
          <w:pgMar w:left="320" w:top="1419" w:right="339" w:bottom="1440" w:gutter="0" w:footer="0" w:header="0"/>
        </w:sectPr>
      </w:pPr>
    </w:p>
    <w:bookmarkStart w:id="352" w:name="page353"/>
    <w:bookmarkEnd w:id="352"/>
    <w:p>
      <w:pPr>
        <w:ind w:left="-460" w:right="20" w:firstLine="644"/>
        <w:spacing w:after="0" w:line="260" w:lineRule="auto"/>
        <w:tabs>
          <w:tab w:leader="none" w:pos="570" w:val="left"/>
        </w:tabs>
        <w:numPr>
          <w:ilvl w:val="0"/>
          <w:numId w:val="283"/>
        </w:numPr>
        <w:rPr>
          <w:rFonts w:ascii="Arial" w:cs="Arial" w:eastAsia="Arial" w:hAnsi="Arial"/>
          <w:sz w:val="20"/>
          <w:szCs w:val="20"/>
          <w:color w:val="auto"/>
        </w:rPr>
      </w:pPr>
      <w:r>
        <w:rPr>
          <w:rFonts w:ascii="Arial" w:cs="Arial" w:eastAsia="Arial" w:hAnsi="Arial"/>
          <w:sz w:val="20"/>
          <w:szCs w:val="20"/>
          <w:color w:val="auto"/>
        </w:rPr>
        <w:t>Parent Borrower and its Subsidiaries on a consolidated basis will be able to pay their debts and liabilities, direct, subordinated, contingent or otherwise, as such debts and liabilities become absolute and matured; and</w:t>
      </w:r>
    </w:p>
    <w:p>
      <w:pPr>
        <w:spacing w:after="0" w:line="176" w:lineRule="exact"/>
        <w:rPr>
          <w:rFonts w:ascii="Arial" w:cs="Arial" w:eastAsia="Arial" w:hAnsi="Arial"/>
          <w:sz w:val="20"/>
          <w:szCs w:val="20"/>
          <w:color w:val="auto"/>
        </w:rPr>
      </w:pPr>
    </w:p>
    <w:p>
      <w:pPr>
        <w:jc w:val="both"/>
        <w:ind w:left="-460" w:firstLine="644"/>
        <w:spacing w:after="0" w:line="250" w:lineRule="auto"/>
        <w:tabs>
          <w:tab w:leader="none" w:pos="547" w:val="left"/>
        </w:tabs>
        <w:numPr>
          <w:ilvl w:val="0"/>
          <w:numId w:val="283"/>
        </w:numPr>
        <w:rPr>
          <w:rFonts w:ascii="Arial" w:cs="Arial" w:eastAsia="Arial" w:hAnsi="Arial"/>
          <w:sz w:val="20"/>
          <w:szCs w:val="20"/>
          <w:color w:val="auto"/>
        </w:rPr>
      </w:pPr>
      <w:r>
        <w:rPr>
          <w:rFonts w:ascii="Arial" w:cs="Arial" w:eastAsia="Arial" w:hAnsi="Arial"/>
          <w:sz w:val="20"/>
          <w:szCs w:val="20"/>
          <w:color w:val="auto"/>
        </w:rPr>
        <w:t>Parent Borrower and its Subsidiaries on a consolidated basis will not have unreasonably small capital with which to conduct the businesses in which they are engaged as such businesses are now conducted and are proposed to be conducted after the date hereof.</w:t>
      </w:r>
    </w:p>
    <w:p>
      <w:pPr>
        <w:spacing w:after="0" w:line="186"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Empty</w:t>
      </w:r>
      <w:r>
        <w:rPr>
          <w:rFonts w:ascii="Arial" w:cs="Arial" w:eastAsia="Arial" w:hAnsi="Arial"/>
          <w:sz w:val="20"/>
          <w:szCs w:val="20"/>
          <w:color w:val="auto"/>
        </w:rPr>
        <w:t>]</w:t>
      </w:r>
    </w:p>
    <w:p>
      <w:pPr>
        <w:sectPr>
          <w:pgSz w:w="11900" w:h="16838" w:orient="portrait"/>
          <w:cols w:equalWidth="0" w:num="1">
            <w:col w:w="10120"/>
          </w:cols>
          <w:pgMar w:left="1440" w:top="1419" w:right="339" w:bottom="1440" w:gutter="0" w:footer="0" w:header="0"/>
        </w:sectPr>
      </w:pPr>
    </w:p>
    <w:bookmarkStart w:id="353" w:name="page354"/>
    <w:bookmarkEnd w:id="353"/>
    <w:p>
      <w:pPr>
        <w:ind w:firstLine="648"/>
        <w:spacing w:after="0" w:line="260" w:lineRule="auto"/>
        <w:rPr>
          <w:sz w:val="20"/>
          <w:szCs w:val="20"/>
          <w:color w:val="auto"/>
        </w:rPr>
      </w:pPr>
      <w:r>
        <w:rPr>
          <w:rFonts w:ascii="Arial" w:cs="Arial" w:eastAsia="Arial" w:hAnsi="Arial"/>
          <w:sz w:val="20"/>
          <w:szCs w:val="20"/>
          <w:color w:val="auto"/>
        </w:rPr>
        <w:t>IN WITNESS WHEREOF, the undersigned, being the [Chief Financial Officer][Senior Vice President and Treasurer] of the Parent Borrower, has caused this Solvency Certificate be executed and delivered as of the date first set forth above.</w:t>
      </w: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XPO LOGISTICS, INC.</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140"/>
        <w:spacing w:after="0"/>
        <w:rPr>
          <w:sz w:val="20"/>
          <w:szCs w:val="20"/>
          <w:color w:val="auto"/>
        </w:rPr>
      </w:pPr>
      <w:r>
        <w:rPr>
          <w:rFonts w:ascii="Arial" w:cs="Arial" w:eastAsia="Arial" w:hAnsi="Arial"/>
          <w:sz w:val="20"/>
          <w:szCs w:val="20"/>
          <w:color w:val="auto"/>
        </w:rPr>
        <w:t>By:__________________________________</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 [Chief Financial Officer][Senior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Solvency Certificate</w:t>
      </w:r>
      <w:r>
        <w:rPr>
          <w:rFonts w:ascii="Arial" w:cs="Arial" w:eastAsia="Arial" w:hAnsi="Arial"/>
          <w:sz w:val="16"/>
          <w:szCs w:val="16"/>
          <w:color w:val="auto"/>
        </w:rPr>
        <w:t>]</w:t>
      </w:r>
    </w:p>
    <w:p>
      <w:pPr>
        <w:sectPr>
          <w:pgSz w:w="11900" w:h="16838" w:orient="portrait"/>
          <w:cols w:equalWidth="0" w:num="1">
            <w:col w:w="11220"/>
          </w:cols>
          <w:pgMar w:left="320" w:top="1419" w:right="359" w:bottom="1440" w:gutter="0" w:footer="0" w:header="0"/>
        </w:sectPr>
      </w:pPr>
    </w:p>
    <w:bookmarkStart w:id="354" w:name="page355"/>
    <w:bookmarkEnd w:id="354"/>
    <w:p>
      <w:pPr>
        <w:jc w:val="right"/>
        <w:spacing w:after="0"/>
        <w:rPr>
          <w:sz w:val="20"/>
          <w:szCs w:val="20"/>
          <w:color w:val="auto"/>
        </w:rPr>
      </w:pPr>
      <w:r>
        <w:rPr>
          <w:rFonts w:ascii="Arial" w:cs="Arial" w:eastAsia="Arial" w:hAnsi="Arial"/>
          <w:sz w:val="20"/>
          <w:szCs w:val="20"/>
          <w:u w:val="single" w:color="auto"/>
          <w:color w:val="auto"/>
        </w:rPr>
        <w:t>EXHIBIT 5.2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BORROWING BASE CERTIFICATE</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[DATE]</w:t>
      </w:r>
    </w:p>
    <w:p>
      <w:pPr>
        <w:spacing w:after="0" w:line="20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Reference is made to that certain Second Amended and Restated Revolving Loan Credit Agreement (as amended, amended and restated, supplemented or otherwise modified from time to time, including by that certain Amendment No. 1 to Second Amended and Restated Revolving Loan Credit Agreement, dated as of July 19, 2017, that certain Amendment No. 2 to Second Amended and Restated Revolving Loan Agreement, dated as of March 22, </w:t>
      </w:r>
      <w:r>
        <w:rPr>
          <w:rFonts w:ascii="Arial" w:cs="Arial" w:eastAsia="Arial" w:hAnsi="Arial"/>
          <w:sz w:val="18"/>
          <w:szCs w:val="18"/>
          <w:color w:val="FF0000"/>
          <w:strike w:val="1"/>
        </w:rPr>
        <w:t>2018 and</w:t>
      </w:r>
      <w:r>
        <w:rPr>
          <w:rFonts w:ascii="Arial" w:cs="Arial" w:eastAsia="Arial" w:hAnsi="Arial"/>
          <w:sz w:val="18"/>
          <w:szCs w:val="18"/>
          <w:u w:val="single" w:color="auto"/>
          <w:color w:val="0000FF"/>
        </w:rPr>
        <w:t>2018,</w:t>
      </w:r>
      <w:r>
        <w:rPr>
          <w:rFonts w:ascii="Arial" w:cs="Arial" w:eastAsia="Arial" w:hAnsi="Arial"/>
          <w:sz w:val="18"/>
          <w:szCs w:val="18"/>
          <w:color w:val="auto"/>
        </w:rPr>
        <w:t xml:space="preserve"> that certain Amendment No. 3 to Second Amended and Restated Revolving Loan Credit Agreement, dated as of April 30, 2019, </w:t>
      </w:r>
      <w:r>
        <w:rPr>
          <w:rFonts w:ascii="Arial" w:cs="Arial" w:eastAsia="Arial" w:hAnsi="Arial"/>
          <w:sz w:val="18"/>
          <w:szCs w:val="18"/>
          <w:u w:val="single" w:color="auto"/>
          <w:color w:val="0000FF"/>
        </w:rPr>
        <w:t>that certain Amendment No. 4 to Second Amended and Restated Revolving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Loan Credit Agreement, dated as of April 3, 2020 and that certain Amendment No. 5 to Second Amended and Restated Revolving Loan Credit Agreement, dated as of June 29, 2020,</w:t>
      </w:r>
      <w:r>
        <w:rPr>
          <w:rFonts w:ascii="Arial" w:cs="Arial" w:eastAsia="Arial" w:hAnsi="Arial"/>
          <w:sz w:val="18"/>
          <w:szCs w:val="18"/>
          <w:color w:val="0000FF"/>
        </w:rPr>
        <w:t xml:space="preserve"> </w:t>
      </w:r>
      <w:r>
        <w:rPr>
          <w:rFonts w:ascii="Arial" w:cs="Arial" w:eastAsia="Arial" w:hAnsi="Arial"/>
          <w:sz w:val="18"/>
          <w:szCs w:val="18"/>
          <w:color w:val="000000"/>
        </w:rPr>
        <w:t>the “</w:t>
      </w:r>
      <w:r>
        <w:rPr>
          <w:rFonts w:ascii="Arial" w:cs="Arial" w:eastAsia="Arial" w:hAnsi="Arial"/>
          <w:sz w:val="18"/>
          <w:szCs w:val="18"/>
          <w:u w:val="single" w:color="auto"/>
          <w:color w:val="000000"/>
        </w:rPr>
        <w:t>Credit Agreement</w:t>
      </w:r>
      <w:r>
        <w:rPr>
          <w:rFonts w:ascii="Arial" w:cs="Arial" w:eastAsia="Arial" w:hAnsi="Arial"/>
          <w:sz w:val="18"/>
          <w:szCs w:val="18"/>
          <w:color w:val="000000"/>
        </w:rPr>
        <w:t>”), dated as of October 30, 2015, by and among XPO LOGISTICS,</w:t>
      </w:r>
      <w:r>
        <w:rPr>
          <w:rFonts w:ascii="Arial" w:cs="Arial" w:eastAsia="Arial" w:hAnsi="Arial"/>
          <w:sz w:val="18"/>
          <w:szCs w:val="18"/>
          <w:color w:val="0000FF"/>
        </w:rPr>
        <w:t xml:space="preserve"> </w:t>
      </w:r>
      <w:r>
        <w:rPr>
          <w:rFonts w:ascii="Arial" w:cs="Arial" w:eastAsia="Arial" w:hAnsi="Arial"/>
          <w:sz w:val="18"/>
          <w:szCs w:val="18"/>
          <w:color w:val="000000"/>
        </w:rPr>
        <w:t>INC., a Delaware corporation (“</w:t>
      </w:r>
      <w:r>
        <w:rPr>
          <w:rFonts w:ascii="Arial" w:cs="Arial" w:eastAsia="Arial" w:hAnsi="Arial"/>
          <w:sz w:val="18"/>
          <w:szCs w:val="18"/>
          <w:u w:val="single" w:color="auto"/>
          <w:color w:val="000000"/>
        </w:rPr>
        <w:t>Parent Borrower</w:t>
      </w:r>
      <w:r>
        <w:rPr>
          <w:rFonts w:ascii="Arial" w:cs="Arial" w:eastAsia="Arial" w:hAnsi="Arial"/>
          <w:sz w:val="18"/>
          <w:szCs w:val="18"/>
          <w:color w:val="000000"/>
        </w:rPr>
        <w:t>”), certain of Parent Borrower’s wholly-owned Domestic Subsidiaries signatory thereto, as borrowers (collectively with Parent Borrower, referred to therein as the “</w:t>
      </w:r>
      <w:r>
        <w:rPr>
          <w:rFonts w:ascii="Arial" w:cs="Arial" w:eastAsia="Arial" w:hAnsi="Arial"/>
          <w:sz w:val="18"/>
          <w:szCs w:val="18"/>
          <w:u w:val="single" w:color="auto"/>
          <w:color w:val="000000"/>
        </w:rPr>
        <w:t>U.S. Borrowers</w:t>
      </w:r>
      <w:r>
        <w:rPr>
          <w:rFonts w:ascii="Arial" w:cs="Arial" w:eastAsia="Arial" w:hAnsi="Arial"/>
          <w:sz w:val="18"/>
          <w:szCs w:val="18"/>
          <w:color w:val="000000"/>
        </w:rPr>
        <w:t xml:space="preserve"> ” and each, individually, as a “</w:t>
      </w:r>
      <w:r>
        <w:rPr>
          <w:rFonts w:ascii="Arial" w:cs="Arial" w:eastAsia="Arial" w:hAnsi="Arial"/>
          <w:sz w:val="18"/>
          <w:szCs w:val="18"/>
          <w:u w:val="single" w:color="auto"/>
          <w:color w:val="000000"/>
        </w:rPr>
        <w:t>U.S. Borrower</w:t>
      </w:r>
      <w:r>
        <w:rPr>
          <w:rFonts w:ascii="Arial" w:cs="Arial" w:eastAsia="Arial" w:hAnsi="Arial"/>
          <w:sz w:val="18"/>
          <w:szCs w:val="18"/>
          <w:color w:val="000000"/>
        </w:rPr>
        <w:t>”), XPO LOGISTICS CANADA INC., an Ontario corporation (“</w:t>
      </w:r>
      <w:r>
        <w:rPr>
          <w:rFonts w:ascii="Arial" w:cs="Arial" w:eastAsia="Arial" w:hAnsi="Arial"/>
          <w:sz w:val="18"/>
          <w:szCs w:val="18"/>
          <w:u w:val="single" w:color="auto"/>
          <w:color w:val="000000"/>
        </w:rPr>
        <w:t>XPO Canada</w:t>
      </w:r>
      <w:r>
        <w:rPr>
          <w:rFonts w:ascii="Arial" w:cs="Arial" w:eastAsia="Arial" w:hAnsi="Arial"/>
          <w:sz w:val="18"/>
          <w:szCs w:val="18"/>
          <w:color w:val="000000"/>
        </w:rPr>
        <w:t>”), certain of Parent Borrower’s other wholly-owned Canadian subsidiaries signatory thereto, as borrowers (with XPO Canada, collectively referred to therein as the “</w:t>
      </w:r>
      <w:r>
        <w:rPr>
          <w:rFonts w:ascii="Arial" w:cs="Arial" w:eastAsia="Arial" w:hAnsi="Arial"/>
          <w:sz w:val="18"/>
          <w:szCs w:val="18"/>
          <w:u w:val="single" w:color="auto"/>
          <w:color w:val="000000"/>
        </w:rPr>
        <w:t>Canadian Borrowers</w:t>
      </w:r>
      <w:r>
        <w:rPr>
          <w:rFonts w:ascii="Arial" w:cs="Arial" w:eastAsia="Arial" w:hAnsi="Arial"/>
          <w:sz w:val="18"/>
          <w:szCs w:val="18"/>
          <w:color w:val="000000"/>
        </w:rPr>
        <w:t>” and each, individually, as a “</w:t>
      </w:r>
      <w:r>
        <w:rPr>
          <w:rFonts w:ascii="Arial" w:cs="Arial" w:eastAsia="Arial" w:hAnsi="Arial"/>
          <w:sz w:val="18"/>
          <w:szCs w:val="18"/>
          <w:u w:val="single" w:color="auto"/>
          <w:color w:val="000000"/>
        </w:rPr>
        <w:t>Canadian Borrower</w:t>
      </w:r>
      <w:r>
        <w:rPr>
          <w:rFonts w:ascii="Arial" w:cs="Arial" w:eastAsia="Arial" w:hAnsi="Arial"/>
          <w:sz w:val="18"/>
          <w:szCs w:val="18"/>
          <w:color w:val="000000"/>
        </w:rPr>
        <w:t>” and together with the U.S. Borrowers, collectively, referred to therein as the “</w:t>
      </w:r>
      <w:r>
        <w:rPr>
          <w:rFonts w:ascii="Arial" w:cs="Arial" w:eastAsia="Arial" w:hAnsi="Arial"/>
          <w:sz w:val="18"/>
          <w:szCs w:val="18"/>
          <w:u w:val="single" w:color="auto"/>
          <w:color w:val="000000"/>
        </w:rPr>
        <w:t>Borrowers</w:t>
      </w:r>
      <w:r>
        <w:rPr>
          <w:rFonts w:ascii="Arial" w:cs="Arial" w:eastAsia="Arial" w:hAnsi="Arial"/>
          <w:sz w:val="18"/>
          <w:szCs w:val="18"/>
          <w:color w:val="000000"/>
        </w:rPr>
        <w:t>” and each, individually, as a “</w:t>
      </w:r>
      <w:r>
        <w:rPr>
          <w:rFonts w:ascii="Arial" w:cs="Arial" w:eastAsia="Arial" w:hAnsi="Arial"/>
          <w:sz w:val="18"/>
          <w:szCs w:val="18"/>
          <w:u w:val="single" w:color="auto"/>
          <w:color w:val="000000"/>
        </w:rPr>
        <w:t>Borrower</w:t>
      </w:r>
      <w:r>
        <w:rPr>
          <w:rFonts w:ascii="Arial" w:cs="Arial" w:eastAsia="Arial" w:hAnsi="Arial"/>
          <w:sz w:val="18"/>
          <w:szCs w:val="18"/>
          <w:color w:val="000000"/>
        </w:rPr>
        <w:t>”), the other Credit Parties party thereto, the Lenders and L/C Issuers from time to time party thereto, MORGAN STANLEY SENIOR FUNDING, INC., in its capacity as administrative agent (in such capacity and together with any successors and assigns</w:t>
      </w:r>
    </w:p>
    <w:p>
      <w:pPr>
        <w:spacing w:after="0" w:line="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 such capacity, the “</w:t>
      </w:r>
      <w:r>
        <w:rPr>
          <w:rFonts w:ascii="Arial" w:cs="Arial" w:eastAsia="Arial" w:hAnsi="Arial"/>
          <w:sz w:val="19"/>
          <w:szCs w:val="19"/>
          <w:u w:val="single" w:color="auto"/>
          <w:color w:val="auto"/>
        </w:rPr>
        <w:t>Agent</w:t>
      </w:r>
      <w:r>
        <w:rPr>
          <w:rFonts w:ascii="Arial" w:cs="Arial" w:eastAsia="Arial" w:hAnsi="Arial"/>
          <w:sz w:val="19"/>
          <w:szCs w:val="19"/>
          <w:color w:val="auto"/>
        </w:rPr>
        <w:t>”) and Morgan Stanley Senior Funding, Inc. and JPMorgan Chase Bank, N.A., in their capacity as co-collateral agents. All capitalized terms but not otherwise defined herein have the meanings given to them in the Credit Agreement.</w:t>
      </w:r>
    </w:p>
    <w:p>
      <w:pPr>
        <w:spacing w:after="0" w:line="1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Pursuant to the Credit Agreement, the undersigned Financial Officer certifies, in such capacity (and not in their personal capacity), that the information provided in this Borrowing Base Certificate (including, without limitation, the information attached hereto as </w:t>
      </w:r>
      <w:r>
        <w:rPr>
          <w:rFonts w:ascii="Arial" w:cs="Arial" w:eastAsia="Arial" w:hAnsi="Arial"/>
          <w:sz w:val="19"/>
          <w:szCs w:val="19"/>
          <w:u w:val="single" w:color="auto"/>
          <w:color w:val="auto"/>
        </w:rPr>
        <w:t>Schedule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w:t>
      </w:r>
      <w:r>
        <w:rPr>
          <w:rFonts w:ascii="Arial" w:cs="Arial" w:eastAsia="Arial" w:hAnsi="Arial"/>
          <w:sz w:val="19"/>
          <w:szCs w:val="19"/>
          <w:color w:val="auto"/>
        </w:rPr>
        <w:t>) to Agent is true and correct in all material respects based on the accounting records of the Credit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Empty</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bookmarkStart w:id="355" w:name="page356"/>
    <w:bookmarkEnd w:id="355"/>
    <w:p>
      <w:pPr>
        <w:ind w:firstLine="648"/>
        <w:spacing w:after="0" w:line="260" w:lineRule="auto"/>
        <w:rPr>
          <w:sz w:val="20"/>
          <w:szCs w:val="20"/>
          <w:color w:val="auto"/>
        </w:rPr>
      </w:pPr>
      <w:r>
        <w:rPr>
          <w:rFonts w:ascii="Arial" w:cs="Arial" w:eastAsia="Arial" w:hAnsi="Arial"/>
          <w:sz w:val="20"/>
          <w:szCs w:val="20"/>
          <w:color w:val="auto"/>
        </w:rPr>
        <w:t>IN WITNESS WHEREOF, Parent Borrower has caused this Borrowing Base Certificate to be executed and delivered by its duly authorized officer as of the date first set forth above.</w:t>
      </w:r>
    </w:p>
    <w:p>
      <w:pPr>
        <w:spacing w:after="0" w:line="200" w:lineRule="exact"/>
        <w:rPr>
          <w:sz w:val="20"/>
          <w:szCs w:val="20"/>
          <w:color w:val="auto"/>
        </w:rPr>
      </w:pPr>
    </w:p>
    <w:p>
      <w:pPr>
        <w:spacing w:after="0" w:line="214"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XPO LOGISTICS, INC.</w:t>
      </w:r>
      <w:r>
        <w:rPr>
          <w:rFonts w:ascii="Arial" w:cs="Arial" w:eastAsia="Arial" w:hAnsi="Arial"/>
          <w:sz w:val="20"/>
          <w:szCs w:val="20"/>
          <w:color w:val="auto"/>
        </w:rPr>
        <w:t>, as Parent Borrower</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By:__________________________________</w:t>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Name:</w:t>
      </w:r>
    </w:p>
    <w:p>
      <w:pPr>
        <w:ind w:left="39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Borrowing Base Certificate</w:t>
      </w:r>
      <w:r>
        <w:rPr>
          <w:rFonts w:ascii="Arial" w:cs="Arial" w:eastAsia="Arial" w:hAnsi="Arial"/>
          <w:sz w:val="16"/>
          <w:szCs w:val="16"/>
          <w:color w:val="auto"/>
        </w:rPr>
        <w:t>]</w:t>
      </w:r>
    </w:p>
    <w:p>
      <w:pPr>
        <w:sectPr>
          <w:pgSz w:w="11900" w:h="16838" w:orient="portrait"/>
          <w:cols w:equalWidth="0" w:num="1">
            <w:col w:w="11240"/>
          </w:cols>
          <w:pgMar w:left="320" w:top="1419" w:right="339" w:bottom="1440" w:gutter="0" w:footer="0" w:header="0"/>
        </w:sectPr>
      </w:pPr>
    </w:p>
    <w:bookmarkStart w:id="356" w:name="page357"/>
    <w:bookmarkEnd w:id="356"/>
    <w:p>
      <w:pPr>
        <w:jc w:val="right"/>
        <w:spacing w:after="0"/>
        <w:rPr>
          <w:sz w:val="20"/>
          <w:szCs w:val="20"/>
          <w:color w:val="auto"/>
        </w:rPr>
      </w:pPr>
      <w:r>
        <w:rPr>
          <w:rFonts w:ascii="Arial" w:cs="Arial" w:eastAsia="Arial" w:hAnsi="Arial"/>
          <w:sz w:val="20"/>
          <w:szCs w:val="20"/>
          <w:u w:val="single" w:color="auto"/>
          <w:color w:val="auto"/>
        </w:rPr>
        <w:t>SCHEDULE 1 TO</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BORROWING BASE CERTIFICATE</w:t>
      </w:r>
    </w:p>
    <w:p>
      <w:pPr>
        <w:spacing w:after="0" w:line="200" w:lineRule="exact"/>
        <w:rPr>
          <w:sz w:val="20"/>
          <w:szCs w:val="20"/>
          <w:color w:val="auto"/>
        </w:rPr>
      </w:pPr>
    </w:p>
    <w:p>
      <w:pPr>
        <w:spacing w:after="0" w:line="270"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Current Borrowing Base Spreadsheet on File with Agent</w:t>
      </w:r>
      <w:r>
        <w:rPr>
          <w:rFonts w:ascii="Arial" w:cs="Arial" w:eastAsia="Arial" w:hAnsi="Arial"/>
          <w:sz w:val="20"/>
          <w:szCs w:val="20"/>
          <w:color w:val="auto"/>
        </w:rPr>
        <w:t>]</w:t>
      </w:r>
    </w:p>
    <w:p>
      <w:pPr>
        <w:sectPr>
          <w:pgSz w:w="11900" w:h="16838" w:orient="portrait"/>
          <w:cols w:equalWidth="0" w:num="1">
            <w:col w:w="10120"/>
          </w:cols>
          <w:pgMar w:left="1440" w:top="1419" w:right="339" w:bottom="1440" w:gutter="0" w:footer="0" w:header="0"/>
        </w:sectPr>
      </w:pPr>
    </w:p>
    <w:bookmarkStart w:id="357" w:name="page358"/>
    <w:bookmarkEnd w:id="357"/>
    <w:p>
      <w:pPr>
        <w:jc w:val="right"/>
        <w:spacing w:after="0"/>
        <w:rPr>
          <w:sz w:val="20"/>
          <w:szCs w:val="20"/>
          <w:color w:val="auto"/>
        </w:rPr>
      </w:pPr>
      <w:r>
        <w:rPr>
          <w:rFonts w:ascii="Arial" w:cs="Arial" w:eastAsia="Arial" w:hAnsi="Arial"/>
          <w:sz w:val="20"/>
          <w:szCs w:val="20"/>
          <w:u w:val="single" w:color="auto"/>
          <w:color w:val="auto"/>
        </w:rPr>
        <w:t>EXHIBIT 11.1(a)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ASSIGNMENT AGREEMENT</w:t>
      </w:r>
    </w:p>
    <w:p>
      <w:pPr>
        <w:spacing w:after="0" w:line="2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Assignment Agreement (the “</w:t>
      </w:r>
      <w:r>
        <w:rPr>
          <w:rFonts w:ascii="Arial" w:cs="Arial" w:eastAsia="Arial" w:hAnsi="Arial"/>
          <w:sz w:val="20"/>
          <w:szCs w:val="20"/>
          <w:u w:val="single" w:color="auto"/>
          <w:color w:val="auto"/>
        </w:rPr>
        <w:t>Assignment Agreement</w:t>
      </w:r>
      <w:r>
        <w:rPr>
          <w:rFonts w:ascii="Arial" w:cs="Arial" w:eastAsia="Arial" w:hAnsi="Arial"/>
          <w:sz w:val="20"/>
          <w:szCs w:val="20"/>
          <w:color w:val="auto"/>
        </w:rPr>
        <w:t>”) is dated as of the Effective Date set forth below and is entered into by and between [</w:t>
      </w:r>
      <w:r>
        <w:rPr>
          <w:rFonts w:ascii="Arial" w:cs="Arial" w:eastAsia="Arial" w:hAnsi="Arial"/>
          <w:sz w:val="20"/>
          <w:szCs w:val="20"/>
          <w:i w:val="1"/>
          <w:iCs w:val="1"/>
          <w:color w:val="auto"/>
        </w:rPr>
        <w:t>Insert Name of Assignor</w:t>
      </w:r>
      <w:r>
        <w:rPr>
          <w:rFonts w:ascii="Arial" w:cs="Arial" w:eastAsia="Arial" w:hAnsi="Arial"/>
          <w:sz w:val="20"/>
          <w:szCs w:val="20"/>
          <w:color w:val="auto"/>
        </w:rPr>
        <w:t>] (the “</w:t>
      </w:r>
      <w:r>
        <w:rPr>
          <w:rFonts w:ascii="Arial" w:cs="Arial" w:eastAsia="Arial" w:hAnsi="Arial"/>
          <w:sz w:val="20"/>
          <w:szCs w:val="20"/>
          <w:u w:val="single" w:color="auto"/>
          <w:color w:val="auto"/>
        </w:rPr>
        <w:t>Assignor</w:t>
      </w:r>
      <w:r>
        <w:rPr>
          <w:rFonts w:ascii="Arial" w:cs="Arial" w:eastAsia="Arial" w:hAnsi="Arial"/>
          <w:sz w:val="20"/>
          <w:szCs w:val="20"/>
          <w:color w:val="auto"/>
        </w:rPr>
        <w:t>”) and [</w:t>
      </w:r>
      <w:r>
        <w:rPr>
          <w:rFonts w:ascii="Arial" w:cs="Arial" w:eastAsia="Arial" w:hAnsi="Arial"/>
          <w:sz w:val="20"/>
          <w:szCs w:val="20"/>
          <w:i w:val="1"/>
          <w:iCs w:val="1"/>
          <w:color w:val="auto"/>
        </w:rPr>
        <w:t>Insert Name of Assignee</w:t>
      </w:r>
      <w:r>
        <w:rPr>
          <w:rFonts w:ascii="Arial" w:cs="Arial" w:eastAsia="Arial" w:hAnsi="Arial"/>
          <w:sz w:val="20"/>
          <w:szCs w:val="20"/>
          <w:color w:val="auto"/>
        </w:rPr>
        <w:t>] (the “</w:t>
      </w:r>
      <w:r>
        <w:rPr>
          <w:rFonts w:ascii="Arial" w:cs="Arial" w:eastAsia="Arial" w:hAnsi="Arial"/>
          <w:sz w:val="20"/>
          <w:szCs w:val="20"/>
          <w:u w:val="single" w:color="auto"/>
          <w:color w:val="auto"/>
        </w:rPr>
        <w:t>Assignee</w:t>
      </w:r>
      <w:r>
        <w:rPr>
          <w:rFonts w:ascii="Arial" w:cs="Arial" w:eastAsia="Arial" w:hAnsi="Arial"/>
          <w:sz w:val="20"/>
          <w:szCs w:val="20"/>
          <w:color w:val="auto"/>
        </w:rPr>
        <w:t xml:space="preserve">”). Capitalized terms used but not defined herein shall have the meanings given to them in the Credit Agreement (as defined below), receipt of a copy of which is hereby acknowledged by the Assignee. The Standard Terms and Conditions set forth in </w:t>
      </w:r>
      <w:r>
        <w:rPr>
          <w:rFonts w:ascii="Arial" w:cs="Arial" w:eastAsia="Arial" w:hAnsi="Arial"/>
          <w:sz w:val="20"/>
          <w:szCs w:val="20"/>
          <w:u w:val="single" w:color="auto"/>
          <w:color w:val="auto"/>
        </w:rPr>
        <w:t>Annex 1</w:t>
      </w:r>
      <w:r>
        <w:rPr>
          <w:rFonts w:ascii="Arial" w:cs="Arial" w:eastAsia="Arial" w:hAnsi="Arial"/>
          <w:sz w:val="20"/>
          <w:szCs w:val="20"/>
          <w:color w:val="auto"/>
        </w:rPr>
        <w:t xml:space="preserve"> attached hereto (the “</w:t>
      </w:r>
      <w:r>
        <w:rPr>
          <w:rFonts w:ascii="Arial" w:cs="Arial" w:eastAsia="Arial" w:hAnsi="Arial"/>
          <w:sz w:val="20"/>
          <w:szCs w:val="20"/>
          <w:u w:val="single" w:color="auto"/>
          <w:color w:val="auto"/>
        </w:rPr>
        <w:t>Standard Terms and</w:t>
      </w:r>
      <w:r>
        <w:rPr>
          <w:rFonts w:ascii="Arial" w:cs="Arial" w:eastAsia="Arial" w:hAnsi="Arial"/>
          <w:sz w:val="20"/>
          <w:szCs w:val="20"/>
          <w:color w:val="auto"/>
        </w:rPr>
        <w:t xml:space="preserve"> </w:t>
      </w:r>
      <w:r>
        <w:rPr>
          <w:rFonts w:ascii="Arial" w:cs="Arial" w:eastAsia="Arial" w:hAnsi="Arial"/>
          <w:sz w:val="20"/>
          <w:szCs w:val="20"/>
          <w:u w:val="single" w:color="auto"/>
          <w:color w:val="auto"/>
        </w:rPr>
        <w:t>Conditions</w:t>
      </w:r>
      <w:r>
        <w:rPr>
          <w:rFonts w:ascii="Arial" w:cs="Arial" w:eastAsia="Arial" w:hAnsi="Arial"/>
          <w:sz w:val="20"/>
          <w:szCs w:val="20"/>
          <w:color w:val="auto"/>
        </w:rPr>
        <w:t>”) are hereby agreed to and incorporated herein by reference and made a part of this Assignment Agreement as if set forth herein in full.</w:t>
      </w:r>
    </w:p>
    <w:p>
      <w:pPr>
        <w:spacing w:after="0" w:line="22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any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Assignor to the Assignee pursuant to clauses (i) and (ii) above being referred to herein collectively as the “</w:t>
      </w:r>
      <w:r>
        <w:rPr>
          <w:rFonts w:ascii="Arial" w:cs="Arial" w:eastAsia="Arial" w:hAnsi="Arial"/>
          <w:sz w:val="19"/>
          <w:szCs w:val="19"/>
          <w:u w:val="single" w:color="auto"/>
          <w:color w:val="auto"/>
        </w:rPr>
        <w:t>Assigned Interest</w:t>
      </w:r>
      <w:r>
        <w:rPr>
          <w:rFonts w:ascii="Arial" w:cs="Arial" w:eastAsia="Arial" w:hAnsi="Arial"/>
          <w:sz w:val="19"/>
          <w:szCs w:val="19"/>
          <w:color w:val="auto"/>
        </w:rPr>
        <w:t>”). Such sale and assignment is without recourse to the Assignor and, except as expressly provided in this Assignment Agreement, without representation or warranty by the Assignor.</w:t>
      </w:r>
    </w:p>
    <w:p>
      <w:pPr>
        <w:spacing w:after="0" w:line="219" w:lineRule="exact"/>
        <w:rPr>
          <w:sz w:val="20"/>
          <w:szCs w:val="20"/>
          <w:color w:val="auto"/>
        </w:rPr>
      </w:pPr>
    </w:p>
    <w:p>
      <w:pPr>
        <w:ind w:left="660" w:hanging="328"/>
        <w:spacing w:after="0"/>
        <w:tabs>
          <w:tab w:leader="none" w:pos="66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Assignor: ____________________________________</w:t>
      </w:r>
    </w:p>
    <w:p>
      <w:pPr>
        <w:spacing w:after="0" w:line="242" w:lineRule="exact"/>
        <w:rPr>
          <w:rFonts w:ascii="Arial" w:cs="Arial" w:eastAsia="Arial" w:hAnsi="Arial"/>
          <w:sz w:val="20"/>
          <w:szCs w:val="20"/>
          <w:color w:val="auto"/>
        </w:rPr>
      </w:pPr>
    </w:p>
    <w:p>
      <w:pPr>
        <w:ind w:left="660" w:hanging="328"/>
        <w:spacing w:after="0"/>
        <w:tabs>
          <w:tab w:leader="none" w:pos="660" w:val="left"/>
        </w:tabs>
        <w:numPr>
          <w:ilvl w:val="0"/>
          <w:numId w:val="284"/>
        </w:numPr>
        <w:rPr>
          <w:rFonts w:ascii="Arial" w:cs="Arial" w:eastAsia="Arial" w:hAnsi="Arial"/>
          <w:sz w:val="20"/>
          <w:szCs w:val="20"/>
          <w:color w:val="auto"/>
        </w:rPr>
      </w:pPr>
      <w:r>
        <w:rPr>
          <w:rFonts w:ascii="Arial" w:cs="Arial" w:eastAsia="Arial" w:hAnsi="Arial"/>
          <w:sz w:val="20"/>
          <w:szCs w:val="20"/>
          <w:color w:val="auto"/>
        </w:rPr>
        <w:t>Assignee: ______________________________ ____</w:t>
      </w:r>
    </w:p>
    <w:p>
      <w:pPr>
        <w:ind w:left="1160"/>
        <w:spacing w:after="0" w:line="199" w:lineRule="auto"/>
        <w:rPr>
          <w:sz w:val="20"/>
          <w:szCs w:val="20"/>
          <w:color w:val="auto"/>
        </w:rPr>
      </w:pPr>
      <w:r>
        <w:rPr>
          <w:rFonts w:ascii="Arial" w:cs="Arial" w:eastAsia="Arial" w:hAnsi="Arial"/>
          <w:sz w:val="20"/>
          <w:szCs w:val="20"/>
          <w:color w:val="auto"/>
        </w:rPr>
        <w:t>[and is a Lender, an Affiliate of [</w:t>
      </w:r>
      <w:r>
        <w:rPr>
          <w:rFonts w:ascii="Arial" w:cs="Arial" w:eastAsia="Arial" w:hAnsi="Arial"/>
          <w:sz w:val="20"/>
          <w:szCs w:val="20"/>
          <w:i w:val="1"/>
          <w:iCs w:val="1"/>
          <w:color w:val="auto"/>
        </w:rPr>
        <w:t>Identify Lender</w:t>
      </w:r>
      <w:r>
        <w:rPr>
          <w:rFonts w:ascii="Arial" w:cs="Arial" w:eastAsia="Arial" w:hAnsi="Arial"/>
          <w:sz w:val="20"/>
          <w:szCs w:val="20"/>
          <w:color w:val="auto"/>
        </w:rPr>
        <w:t>] or an Approved Fund]</w:t>
      </w:r>
      <w:r>
        <w:rPr>
          <w:rFonts w:ascii="Arial" w:cs="Arial" w:eastAsia="Arial" w:hAnsi="Arial"/>
          <w:sz w:val="25"/>
          <w:szCs w:val="25"/>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FFFFFF"/>
        </w:rPr>
        <w:t>4</w:t>
      </w:r>
    </w:p>
    <w:p>
      <w:pPr>
        <w:spacing w:after="0" w:line="23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20"/>
          <w:szCs w:val="20"/>
          <w:color w:val="auto"/>
        </w:rPr>
        <w:t>3.</w:t>
      </w:r>
      <w:r>
        <w:rPr>
          <w:sz w:val="20"/>
          <w:szCs w:val="20"/>
          <w:color w:val="auto"/>
        </w:rPr>
        <w:tab/>
      </w:r>
      <w:r>
        <w:rPr>
          <w:rFonts w:ascii="Arial" w:cs="Arial" w:eastAsia="Arial" w:hAnsi="Arial"/>
          <w:sz w:val="18"/>
          <w:szCs w:val="18"/>
          <w:color w:val="auto"/>
        </w:rPr>
        <w:t>Borrowers: XPO Logistics, Inc. (the “</w:t>
      </w:r>
      <w:r>
        <w:rPr>
          <w:rFonts w:ascii="Arial" w:cs="Arial" w:eastAsia="Arial" w:hAnsi="Arial"/>
          <w:sz w:val="18"/>
          <w:szCs w:val="18"/>
          <w:u w:val="single" w:color="auto"/>
          <w:color w:val="auto"/>
        </w:rPr>
        <w:t>Parent Borrower</w:t>
      </w:r>
      <w:r>
        <w:rPr>
          <w:rFonts w:ascii="Arial" w:cs="Arial" w:eastAsia="Arial" w:hAnsi="Arial"/>
          <w:sz w:val="18"/>
          <w:szCs w:val="18"/>
          <w:color w:val="auto"/>
        </w:rPr>
        <w:t>”) and certain of the Parent</w:t>
      </w:r>
    </w:p>
    <w:p>
      <w:pPr>
        <w:spacing w:after="0" w:line="16" w:lineRule="exact"/>
        <w:rPr>
          <w:sz w:val="20"/>
          <w:szCs w:val="20"/>
          <w:color w:val="auto"/>
        </w:rPr>
      </w:pPr>
    </w:p>
    <w:p>
      <w:pPr>
        <w:ind w:left="2600" w:right="240"/>
        <w:spacing w:after="0" w:line="244" w:lineRule="auto"/>
        <w:rPr>
          <w:sz w:val="20"/>
          <w:szCs w:val="20"/>
          <w:color w:val="auto"/>
        </w:rPr>
      </w:pPr>
      <w:r>
        <w:rPr>
          <w:rFonts w:ascii="Arial" w:cs="Arial" w:eastAsia="Arial" w:hAnsi="Arial"/>
          <w:sz w:val="20"/>
          <w:szCs w:val="20"/>
          <w:color w:val="auto"/>
        </w:rPr>
        <w:t>Borrower’s wholly-owned domestic and Canadian subsidiaries (collectively with the Parent Borrower, the “</w:t>
      </w:r>
      <w:r>
        <w:rPr>
          <w:rFonts w:ascii="Arial" w:cs="Arial" w:eastAsia="Arial" w:hAnsi="Arial"/>
          <w:sz w:val="20"/>
          <w:szCs w:val="20"/>
          <w:u w:val="single" w:color="auto"/>
          <w:color w:val="auto"/>
        </w:rPr>
        <w:t>Borrowers</w:t>
      </w:r>
      <w:r>
        <w:rPr>
          <w:rFonts w:ascii="Arial" w:cs="Arial" w:eastAsia="Arial" w:hAnsi="Arial"/>
          <w:sz w:val="20"/>
          <w:szCs w:val="20"/>
          <w:color w:val="auto"/>
        </w:rPr>
        <w:t>”)</w:t>
      </w:r>
    </w:p>
    <w:p>
      <w:pPr>
        <w:spacing w:after="0" w:line="218" w:lineRule="exact"/>
        <w:rPr>
          <w:sz w:val="20"/>
          <w:szCs w:val="20"/>
          <w:color w:val="auto"/>
        </w:rPr>
      </w:pPr>
    </w:p>
    <w:p>
      <w:pPr>
        <w:jc w:val="center"/>
        <w:ind w:left="2600" w:right="4540" w:hanging="2268"/>
        <w:spacing w:after="0" w:line="260" w:lineRule="auto"/>
        <w:tabs>
          <w:tab w:leader="none" w:pos="656" w:val="left"/>
        </w:tabs>
        <w:numPr>
          <w:ilvl w:val="0"/>
          <w:numId w:val="285"/>
        </w:numPr>
        <w:rPr>
          <w:rFonts w:ascii="Arial" w:cs="Arial" w:eastAsia="Arial" w:hAnsi="Arial"/>
          <w:sz w:val="20"/>
          <w:szCs w:val="20"/>
          <w:color w:val="auto"/>
        </w:rPr>
      </w:pPr>
      <w:r>
        <w:rPr>
          <w:rFonts w:ascii="Arial" w:cs="Arial" w:eastAsia="Arial" w:hAnsi="Arial"/>
          <w:sz w:val="20"/>
          <w:szCs w:val="20"/>
          <w:color w:val="auto"/>
        </w:rPr>
        <w:t>Agent:  Morgan Stanley Senior Funding, Inc., as the Agent under the Credit Agreement (the “</w:t>
      </w:r>
      <w:r>
        <w:rPr>
          <w:rFonts w:ascii="Arial" w:cs="Arial" w:eastAsia="Arial" w:hAnsi="Arial"/>
          <w:sz w:val="20"/>
          <w:szCs w:val="20"/>
          <w:u w:val="single" w:color="auto"/>
          <w:color w:val="auto"/>
        </w:rPr>
        <w:t>Agent</w:t>
      </w:r>
      <w:r>
        <w:rPr>
          <w:rFonts w:ascii="Arial" w:cs="Arial" w:eastAsia="Arial" w:hAnsi="Arial"/>
          <w:sz w:val="20"/>
          <w:szCs w:val="20"/>
          <w:color w:val="auto"/>
        </w:rPr>
        <w:t>”)</w:t>
      </w:r>
    </w:p>
    <w:p>
      <w:pPr>
        <w:spacing w:after="0" w:line="203" w:lineRule="exact"/>
        <w:rPr>
          <w:rFonts w:ascii="Arial" w:cs="Arial" w:eastAsia="Arial" w:hAnsi="Arial"/>
          <w:sz w:val="20"/>
          <w:szCs w:val="20"/>
          <w:color w:val="auto"/>
        </w:rPr>
      </w:pPr>
    </w:p>
    <w:p>
      <w:pPr>
        <w:ind w:left="660" w:hanging="328"/>
        <w:spacing w:after="0"/>
        <w:tabs>
          <w:tab w:leader="none" w:pos="660" w:val="left"/>
        </w:tabs>
        <w:numPr>
          <w:ilvl w:val="0"/>
          <w:numId w:val="285"/>
        </w:numPr>
        <w:rPr>
          <w:rFonts w:ascii="Arial" w:cs="Arial" w:eastAsia="Arial" w:hAnsi="Arial"/>
          <w:sz w:val="20"/>
          <w:szCs w:val="20"/>
          <w:color w:val="auto"/>
        </w:rPr>
      </w:pPr>
      <w:r>
        <w:rPr>
          <w:rFonts w:ascii="Arial" w:cs="Arial" w:eastAsia="Arial" w:hAnsi="Arial"/>
          <w:sz w:val="20"/>
          <w:szCs w:val="20"/>
          <w:color w:val="auto"/>
        </w:rPr>
        <w:t>Credit Agreement: The Second Amended and Restated Revolving Loan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14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7" w:lineRule="exact"/>
        <w:rPr>
          <w:sz w:val="20"/>
          <w:szCs w:val="20"/>
          <w:color w:val="auto"/>
        </w:rPr>
      </w:pPr>
    </w:p>
    <w:p>
      <w:pPr>
        <w:ind w:left="760" w:hanging="104"/>
        <w:spacing w:after="0"/>
        <w:tabs>
          <w:tab w:leader="none" w:pos="760" w:val="left"/>
        </w:tabs>
        <w:numPr>
          <w:ilvl w:val="0"/>
          <w:numId w:val="286"/>
        </w:numPr>
        <w:rPr>
          <w:rFonts w:ascii="Arial" w:cs="Arial" w:eastAsia="Arial" w:hAnsi="Arial"/>
          <w:sz w:val="26"/>
          <w:szCs w:val="26"/>
          <w:color w:val="auto"/>
          <w:vertAlign w:val="superscript"/>
        </w:rPr>
      </w:pPr>
      <w:r>
        <w:rPr>
          <w:rFonts w:ascii="Arial" w:cs="Arial" w:eastAsia="Arial" w:hAnsi="Arial"/>
          <w:sz w:val="16"/>
          <w:szCs w:val="16"/>
          <w:color w:val="auto"/>
        </w:rPr>
        <w:t>Select as applicable</w:t>
      </w:r>
    </w:p>
    <w:p>
      <w:pPr>
        <w:sectPr>
          <w:pgSz w:w="11900" w:h="16838" w:orient="portrait"/>
          <w:cols w:equalWidth="0" w:num="1">
            <w:col w:w="11240"/>
          </w:cols>
          <w:pgMar w:left="320" w:top="1419" w:right="339" w:bottom="1440" w:gutter="0" w:footer="0" w:header="0"/>
        </w:sectPr>
      </w:pPr>
    </w:p>
    <w:bookmarkStart w:id="358" w:name="page359"/>
    <w:bookmarkEnd w:id="358"/>
    <w:p>
      <w:pPr>
        <w:ind w:left="2600" w:right="40"/>
        <w:spacing w:after="0" w:line="257" w:lineRule="auto"/>
        <w:rPr>
          <w:sz w:val="20"/>
          <w:szCs w:val="20"/>
          <w:color w:val="auto"/>
        </w:rPr>
      </w:pPr>
      <w:r>
        <w:rPr>
          <w:rFonts w:ascii="Arial" w:cs="Arial" w:eastAsia="Arial" w:hAnsi="Arial"/>
          <w:sz w:val="19"/>
          <w:szCs w:val="19"/>
          <w:color w:val="auto"/>
        </w:rPr>
        <w:t xml:space="preserve">(as amended, amended and restated, supplemented or otherwise modified from time to time, including by that certain Amendment No. 1 to Second Amended and Restated Revolving Loan Credit Agreement, dated as of July 19, 2017, that certain Amendment No. 2 to Second Amended and Restated Revolving Loan Agreement, dated as of March 22, </w:t>
      </w:r>
      <w:r>
        <w:rPr>
          <w:rFonts w:ascii="Arial" w:cs="Arial" w:eastAsia="Arial" w:hAnsi="Arial"/>
          <w:sz w:val="19"/>
          <w:szCs w:val="19"/>
          <w:color w:val="FF0000"/>
          <w:strike w:val="1"/>
        </w:rPr>
        <w:t>2018 and</w:t>
      </w:r>
      <w:r>
        <w:rPr>
          <w:rFonts w:ascii="Arial" w:cs="Arial" w:eastAsia="Arial" w:hAnsi="Arial"/>
          <w:sz w:val="19"/>
          <w:szCs w:val="19"/>
          <w:u w:val="single" w:color="auto"/>
          <w:color w:val="0000FF"/>
        </w:rPr>
        <w:t>2018,</w:t>
      </w:r>
      <w:r>
        <w:rPr>
          <w:rFonts w:ascii="Arial" w:cs="Arial" w:eastAsia="Arial" w:hAnsi="Arial"/>
          <w:sz w:val="19"/>
          <w:szCs w:val="19"/>
          <w:color w:val="auto"/>
        </w:rPr>
        <w:t xml:space="preserve"> that certain Amendment No. 3 to Second Amended and Restated Revolving Loan Credit Agreement, dated as of April 30, 2019, </w:t>
      </w:r>
      <w:r>
        <w:rPr>
          <w:rFonts w:ascii="Arial" w:cs="Arial" w:eastAsia="Arial" w:hAnsi="Arial"/>
          <w:sz w:val="19"/>
          <w:szCs w:val="19"/>
          <w:u w:val="single" w:color="auto"/>
          <w:color w:val="0000FF"/>
        </w:rPr>
        <w:t>that certain Amendment No. 4 to</w:t>
      </w:r>
      <w:r>
        <w:rPr>
          <w:rFonts w:ascii="Arial" w:cs="Arial" w:eastAsia="Arial" w:hAnsi="Arial"/>
          <w:sz w:val="19"/>
          <w:szCs w:val="19"/>
          <w:color w:val="auto"/>
        </w:rPr>
        <w:t xml:space="preserve"> </w:t>
      </w:r>
      <w:r>
        <w:rPr>
          <w:rFonts w:ascii="Arial" w:cs="Arial" w:eastAsia="Arial" w:hAnsi="Arial"/>
          <w:sz w:val="19"/>
          <w:szCs w:val="19"/>
          <w:u w:val="single" w:color="auto"/>
          <w:color w:val="0000FF"/>
        </w:rPr>
        <w:t>Second Amended and Restated Revolving Loan Credit Agreement, dated as of April 3, 2020 and that certain Amendment No. 5 to Second Amended and Restated Revolving Loan Credit Agreement, dated as of June 29, 2020,</w:t>
      </w:r>
      <w:r>
        <w:rPr>
          <w:rFonts w:ascii="Arial" w:cs="Arial" w:eastAsia="Arial" w:hAnsi="Arial"/>
          <w:sz w:val="19"/>
          <w:szCs w:val="19"/>
          <w:color w:val="0000FF"/>
        </w:rPr>
        <w:t xml:space="preserve"> </w:t>
      </w:r>
      <w:r>
        <w:rPr>
          <w:rFonts w:ascii="Arial" w:cs="Arial" w:eastAsia="Arial" w:hAnsi="Arial"/>
          <w:sz w:val="19"/>
          <w:szCs w:val="19"/>
          <w:color w:val="000000"/>
        </w:rPr>
        <w:t>the “</w:t>
      </w:r>
      <w:r>
        <w:rPr>
          <w:rFonts w:ascii="Arial" w:cs="Arial" w:eastAsia="Arial" w:hAnsi="Arial"/>
          <w:sz w:val="19"/>
          <w:szCs w:val="19"/>
          <w:u w:val="single" w:color="auto"/>
          <w:color w:val="000000"/>
        </w:rPr>
        <w:t>Credit Agreement</w:t>
      </w:r>
      <w:r>
        <w:rPr>
          <w:rFonts w:ascii="Arial" w:cs="Arial" w:eastAsia="Arial" w:hAnsi="Arial"/>
          <w:sz w:val="19"/>
          <w:szCs w:val="19"/>
          <w:color w:val="000000"/>
        </w:rPr>
        <w:t>”),</w:t>
      </w:r>
    </w:p>
    <w:p>
      <w:pPr>
        <w:spacing w:after="0" w:line="207" w:lineRule="exact"/>
        <w:rPr>
          <w:sz w:val="20"/>
          <w:szCs w:val="20"/>
          <w:color w:val="auto"/>
        </w:rPr>
      </w:pPr>
    </w:p>
    <w:p>
      <w:pPr>
        <w:jc w:val="both"/>
        <w:ind w:left="2600"/>
        <w:spacing w:after="0" w:line="269" w:lineRule="auto"/>
        <w:rPr>
          <w:sz w:val="20"/>
          <w:szCs w:val="20"/>
          <w:color w:val="auto"/>
        </w:rPr>
      </w:pPr>
      <w:r>
        <w:rPr>
          <w:rFonts w:ascii="Arial" w:cs="Arial" w:eastAsia="Arial" w:hAnsi="Arial"/>
          <w:sz w:val="19"/>
          <w:szCs w:val="19"/>
          <w:color w:val="auto"/>
        </w:rPr>
        <w:t>dated as of October 30, 2015, by and among the Borrowers, the other Credit Parties party thereto, the Lenders and L/C Issuers from time to time party thereto, the Agent and Morgan Stanley Senior Funding, Inc. and JPMorgan Chase Bank, N.A., in their capacity as co-collateral agents.</w:t>
      </w:r>
    </w:p>
    <w:p>
      <w:pPr>
        <w:spacing w:after="0" w:line="197" w:lineRule="exact"/>
        <w:rPr>
          <w:sz w:val="20"/>
          <w:szCs w:val="20"/>
          <w:color w:val="auto"/>
        </w:rPr>
      </w:pPr>
    </w:p>
    <w:p>
      <w:pPr>
        <w:ind w:left="660" w:hanging="328"/>
        <w:spacing w:after="0"/>
        <w:tabs>
          <w:tab w:leader="none" w:pos="660" w:val="left"/>
        </w:tabs>
        <w:numPr>
          <w:ilvl w:val="0"/>
          <w:numId w:val="287"/>
        </w:numPr>
        <w:rPr>
          <w:rFonts w:ascii="Arial" w:cs="Arial" w:eastAsia="Arial" w:hAnsi="Arial"/>
          <w:sz w:val="20"/>
          <w:szCs w:val="20"/>
          <w:color w:val="auto"/>
        </w:rPr>
      </w:pPr>
      <w:r>
        <w:rPr>
          <w:rFonts w:ascii="Arial" w:cs="Arial" w:eastAsia="Arial" w:hAnsi="Arial"/>
          <w:sz w:val="20"/>
          <w:szCs w:val="20"/>
          <w:color w:val="auto"/>
        </w:rPr>
        <w:t>Assigned Interest[s]:</w:t>
      </w:r>
    </w:p>
    <w:p>
      <w:pPr>
        <w:spacing w:after="0" w:line="242"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Assignor Lender’s Commitment/Loans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6995160" cy="514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6995160" cy="514350"/>
                    </a:xfrm>
                    <a:prstGeom prst="rect">
                      <a:avLst/>
                    </a:prstGeom>
                    <a:noFill/>
                  </pic:spPr>
                </pic:pic>
              </a:graphicData>
            </a:graphic>
          </wp:anchor>
        </w:drawing>
      </w:r>
    </w:p>
    <w:p>
      <w:pPr>
        <w:sectPr>
          <w:pgSz w:w="11900" w:h="16838" w:orient="portrait"/>
          <w:cols w:equalWidth="0" w:num="1">
            <w:col w:w="11240"/>
          </w:cols>
          <w:pgMar w:left="320" w:top="1419" w:right="339" w:bottom="1440" w:gutter="0" w:footer="0" w:header="0"/>
        </w:sectPr>
      </w:pPr>
    </w:p>
    <w:p>
      <w:pPr>
        <w:spacing w:after="0" w:line="61" w:lineRule="exact"/>
        <w:rPr>
          <w:sz w:val="20"/>
          <w:szCs w:val="20"/>
          <w:color w:val="auto"/>
        </w:rPr>
      </w:pPr>
    </w:p>
    <w:p>
      <w:pPr>
        <w:jc w:val="center"/>
        <w:ind w:left="180"/>
        <w:spacing w:after="0" w:line="267" w:lineRule="auto"/>
        <w:rPr>
          <w:sz w:val="20"/>
          <w:szCs w:val="20"/>
          <w:color w:val="auto"/>
        </w:rPr>
      </w:pPr>
      <w:r>
        <w:rPr>
          <w:rFonts w:ascii="Arial" w:cs="Arial" w:eastAsia="Arial" w:hAnsi="Arial"/>
          <w:sz w:val="20"/>
          <w:szCs w:val="20"/>
          <w:b w:val="1"/>
          <w:bCs w:val="1"/>
          <w:color w:val="auto"/>
        </w:rPr>
        <w:t>Aggregate Amount of Commitment/Loans for all Lenders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auto"/>
        </w:rPr>
        <w:t>Amount of Commitment/Loans</w:t>
      </w:r>
    </w:p>
    <w:p>
      <w:pPr>
        <w:spacing w:after="0" w:line="45" w:lineRule="exact"/>
        <w:rPr>
          <w:sz w:val="20"/>
          <w:szCs w:val="20"/>
          <w:color w:val="auto"/>
        </w:rPr>
      </w:pPr>
    </w:p>
    <w:p>
      <w:pPr>
        <w:jc w:val="center"/>
        <w:ind w:right="540"/>
        <w:spacing w:after="0"/>
        <w:rPr>
          <w:sz w:val="20"/>
          <w:szCs w:val="20"/>
          <w:color w:val="auto"/>
        </w:rPr>
      </w:pPr>
      <w:r>
        <w:rPr>
          <w:rFonts w:ascii="Arial" w:cs="Arial" w:eastAsia="Arial" w:hAnsi="Arial"/>
          <w:sz w:val="20"/>
          <w:szCs w:val="20"/>
          <w:b w:val="1"/>
          <w:bCs w:val="1"/>
          <w:color w:val="auto"/>
        </w:rPr>
        <w:t>Assigned</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center"/>
        <w:ind w:right="1080"/>
        <w:spacing w:after="0"/>
        <w:rPr>
          <w:sz w:val="20"/>
          <w:szCs w:val="20"/>
          <w:color w:val="auto"/>
        </w:rPr>
      </w:pPr>
      <w:r>
        <w:rPr>
          <w:rFonts w:ascii="Arial" w:cs="Arial" w:eastAsia="Arial" w:hAnsi="Arial"/>
          <w:sz w:val="16"/>
          <w:szCs w:val="16"/>
          <w:b w:val="1"/>
          <w:bCs w:val="1"/>
          <w:color w:val="auto"/>
        </w:rPr>
        <w:t>Percentage Assigned of</w:t>
      </w:r>
    </w:p>
    <w:p>
      <w:pPr>
        <w:spacing w:after="0" w:line="68" w:lineRule="exact"/>
        <w:rPr>
          <w:sz w:val="20"/>
          <w:szCs w:val="20"/>
          <w:color w:val="auto"/>
        </w:rPr>
      </w:pPr>
    </w:p>
    <w:p>
      <w:pPr>
        <w:jc w:val="center"/>
        <w:ind w:right="1080"/>
        <w:spacing w:after="0"/>
        <w:rPr>
          <w:sz w:val="20"/>
          <w:szCs w:val="20"/>
          <w:color w:val="auto"/>
        </w:rPr>
      </w:pPr>
      <w:r>
        <w:rPr>
          <w:rFonts w:ascii="Arial" w:cs="Arial" w:eastAsia="Arial" w:hAnsi="Arial"/>
          <w:sz w:val="20"/>
          <w:szCs w:val="20"/>
          <w:b w:val="1"/>
          <w:bCs w:val="1"/>
          <w:color w:val="auto"/>
        </w:rPr>
        <w:t>Commitment/Loans</w:t>
      </w:r>
    </w:p>
    <w:p>
      <w:pPr>
        <w:spacing w:after="0" w:line="230" w:lineRule="exact"/>
        <w:rPr>
          <w:sz w:val="20"/>
          <w:szCs w:val="20"/>
          <w:color w:val="auto"/>
        </w:rPr>
      </w:pPr>
    </w:p>
    <w:p>
      <w:pPr>
        <w:sectPr>
          <w:pgSz w:w="11900" w:h="16838" w:orient="portrait"/>
          <w:cols w:equalWidth="0" w:num="3">
            <w:col w:w="3740" w:space="580"/>
            <w:col w:w="3180" w:space="720"/>
            <w:col w:w="3020"/>
          </w:cols>
          <w:pgMar w:left="320" w:top="1419" w:right="3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Effective Date: _____________ ___, 20___ [TO BE INSERTED BY AGENT AND WHICH SHALL BE THE EFFECTIVE DATE OF</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RECORDATION OF TRANSFER IN THE REGISTER THEREFOR.]</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Empty</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Assignment Agreement</w:t>
      </w:r>
      <w:r>
        <w:rPr>
          <w:rFonts w:ascii="Arial" w:cs="Arial" w:eastAsia="Arial" w:hAnsi="Arial"/>
          <w:sz w:val="16"/>
          <w:szCs w:val="16"/>
          <w:color w:val="auto"/>
        </w:rPr>
        <w:t>]</w:t>
      </w:r>
    </w:p>
    <w:p>
      <w:pPr>
        <w:sectPr>
          <w:pgSz w:w="11900" w:h="16838" w:orient="portrait"/>
          <w:cols w:equalWidth="0" w:num="1">
            <w:col w:w="11240"/>
          </w:cols>
          <w:pgMar w:left="320" w:top="1419" w:right="339" w:bottom="1440" w:gutter="0" w:footer="0" w:header="0"/>
          <w:type w:val="continuous"/>
        </w:sectPr>
      </w:pPr>
    </w:p>
    <w:bookmarkStart w:id="359" w:name="page360"/>
    <w:bookmarkEnd w:id="359"/>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terms set forth in this Assignment Agreement are hereby agreed to:</w:t>
      </w: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ASSIGNOR</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OF ASSIGNOR]</w:t>
      </w: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By:______________________________</w:t>
      </w:r>
    </w:p>
    <w:p>
      <w:pPr>
        <w:spacing w:after="0" w:line="6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70"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ASSIGNEE</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OF ASSIGNEE]</w:t>
      </w:r>
    </w:p>
    <w:p>
      <w:pPr>
        <w:spacing w:after="0" w:line="227"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By:______________________________</w:t>
      </w:r>
    </w:p>
    <w:p>
      <w:pPr>
        <w:spacing w:after="0" w:line="6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w:t>
      </w:r>
    </w:p>
    <w:p>
      <w:pPr>
        <w:ind w:left="45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Assignment Agreement</w:t>
      </w:r>
      <w:r>
        <w:rPr>
          <w:rFonts w:ascii="Arial" w:cs="Arial" w:eastAsia="Arial" w:hAnsi="Arial"/>
          <w:sz w:val="16"/>
          <w:szCs w:val="16"/>
          <w:color w:val="auto"/>
        </w:rPr>
        <w:t>]</w:t>
      </w:r>
    </w:p>
    <w:p>
      <w:pPr>
        <w:sectPr>
          <w:pgSz w:w="11900" w:h="16838" w:orient="portrait"/>
          <w:cols w:equalWidth="0" w:num="1">
            <w:col w:w="10139"/>
          </w:cols>
          <w:pgMar w:left="320" w:top="1440" w:right="1440" w:bottom="1440" w:gutter="0" w:footer="0" w:header="0"/>
        </w:sectPr>
      </w:pPr>
    </w:p>
    <w:bookmarkStart w:id="360" w:name="page361"/>
    <w:bookmarkEnd w:id="360"/>
    <w:p>
      <w:pPr>
        <w:spacing w:after="0"/>
        <w:rPr>
          <w:sz w:val="20"/>
          <w:szCs w:val="20"/>
          <w:color w:val="auto"/>
        </w:rPr>
      </w:pPr>
      <w:r>
        <w:rPr>
          <w:rFonts w:ascii="Arial" w:cs="Arial" w:eastAsia="Arial" w:hAnsi="Arial"/>
          <w:sz w:val="20"/>
          <w:szCs w:val="20"/>
          <w:color w:val="auto"/>
        </w:rPr>
        <w:t>[Consented to and]</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Accepted: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MORGAN STANLEY SENIOR FUNDING, INC.,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Agent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171450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0" w:hanging="104"/>
        <w:spacing w:after="0"/>
        <w:tabs>
          <w:tab w:leader="none" w:pos="760" w:val="left"/>
        </w:tabs>
        <w:numPr>
          <w:ilvl w:val="0"/>
          <w:numId w:val="288"/>
        </w:numPr>
        <w:rPr>
          <w:rFonts w:ascii="Arial" w:cs="Arial" w:eastAsia="Arial" w:hAnsi="Arial"/>
          <w:sz w:val="22"/>
          <w:szCs w:val="22"/>
          <w:color w:val="auto"/>
          <w:vertAlign w:val="superscript"/>
        </w:rPr>
      </w:pPr>
      <w:r>
        <w:rPr>
          <w:rFonts w:ascii="Arial" w:cs="Arial" w:eastAsia="Arial" w:hAnsi="Arial"/>
          <w:sz w:val="14"/>
          <w:szCs w:val="14"/>
          <w:color w:val="auto"/>
        </w:rPr>
        <w:t>To be added only if the consent of the Agent is required by the terms of the Credit Agreement.</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330" w:lineRule="exact"/>
        <w:rPr>
          <w:rFonts w:ascii="Arial" w:cs="Arial" w:eastAsia="Arial" w:hAnsi="Arial"/>
          <w:sz w:val="22"/>
          <w:szCs w:val="22"/>
          <w:color w:val="auto"/>
          <w:vertAlign w:val="superscript"/>
        </w:rPr>
      </w:pPr>
    </w:p>
    <w:p>
      <w:pPr>
        <w:ind w:left="4820"/>
        <w:spacing w:after="0"/>
        <w:rPr>
          <w:rFonts w:ascii="Arial" w:cs="Arial" w:eastAsia="Arial" w:hAnsi="Arial"/>
          <w:sz w:val="22"/>
          <w:szCs w:val="22"/>
          <w:color w:val="auto"/>
          <w:vertAlign w:val="superscript"/>
        </w:rPr>
      </w:pPr>
      <w:r>
        <w:rPr>
          <w:rFonts w:ascii="Arial" w:cs="Arial" w:eastAsia="Arial" w:hAnsi="Arial"/>
          <w:sz w:val="16"/>
          <w:szCs w:val="16"/>
          <w:color w:val="auto"/>
        </w:rPr>
        <w:t>[</w:t>
      </w:r>
      <w:r>
        <w:rPr>
          <w:rFonts w:ascii="Arial" w:cs="Arial" w:eastAsia="Arial" w:hAnsi="Arial"/>
          <w:sz w:val="16"/>
          <w:szCs w:val="16"/>
          <w:i w:val="1"/>
          <w:iCs w:val="1"/>
          <w:color w:val="auto"/>
        </w:rPr>
        <w:t>Assignment Agreement</w:t>
      </w:r>
      <w:r>
        <w:rPr>
          <w:rFonts w:ascii="Arial" w:cs="Arial" w:eastAsia="Arial" w:hAnsi="Arial"/>
          <w:sz w:val="16"/>
          <w:szCs w:val="16"/>
          <w:color w:val="auto"/>
        </w:rPr>
        <w:t>]</w:t>
      </w:r>
    </w:p>
    <w:p>
      <w:pPr>
        <w:sectPr>
          <w:pgSz w:w="11900" w:h="16838" w:orient="portrait"/>
          <w:cols w:equalWidth="0" w:num="1">
            <w:col w:w="10139"/>
          </w:cols>
          <w:pgMar w:left="320" w:top="1419" w:right="1440" w:bottom="1440" w:gutter="0" w:footer="0" w:header="0"/>
        </w:sectPr>
      </w:pPr>
    </w:p>
    <w:bookmarkStart w:id="361" w:name="page362"/>
    <w:bookmarkEnd w:id="361"/>
    <w:p>
      <w:pPr>
        <w:spacing w:after="0"/>
        <w:rPr>
          <w:sz w:val="20"/>
          <w:szCs w:val="20"/>
          <w:color w:val="auto"/>
        </w:rPr>
      </w:pPr>
      <w:r>
        <w:rPr>
          <w:rFonts w:ascii="Arial" w:cs="Arial" w:eastAsia="Arial" w:hAnsi="Arial"/>
          <w:sz w:val="20"/>
          <w:szCs w:val="20"/>
          <w:color w:val="auto"/>
        </w:rPr>
        <w:t>[Consented to: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[Name of each L/C Issuer],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L/C Issuer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 ]</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1714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60" w:hanging="104"/>
        <w:spacing w:after="0"/>
        <w:tabs>
          <w:tab w:leader="none" w:pos="760" w:val="left"/>
        </w:tabs>
        <w:numPr>
          <w:ilvl w:val="0"/>
          <w:numId w:val="289"/>
        </w:numPr>
        <w:rPr>
          <w:rFonts w:ascii="Arial" w:cs="Arial" w:eastAsia="Arial" w:hAnsi="Arial"/>
          <w:sz w:val="22"/>
          <w:szCs w:val="22"/>
          <w:color w:val="auto"/>
          <w:vertAlign w:val="superscript"/>
        </w:rPr>
      </w:pPr>
      <w:r>
        <w:rPr>
          <w:rFonts w:ascii="Arial" w:cs="Arial" w:eastAsia="Arial" w:hAnsi="Arial"/>
          <w:sz w:val="14"/>
          <w:szCs w:val="14"/>
          <w:color w:val="auto"/>
        </w:rPr>
        <w:t>To be added only if the consent of each L/C Issuer is required by the terms of the Credit Agreement.</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330" w:lineRule="exact"/>
        <w:rPr>
          <w:rFonts w:ascii="Arial" w:cs="Arial" w:eastAsia="Arial" w:hAnsi="Arial"/>
          <w:sz w:val="22"/>
          <w:szCs w:val="22"/>
          <w:color w:val="auto"/>
          <w:vertAlign w:val="superscript"/>
        </w:rPr>
      </w:pPr>
    </w:p>
    <w:p>
      <w:pPr>
        <w:ind w:left="4820"/>
        <w:spacing w:after="0"/>
        <w:rPr>
          <w:rFonts w:ascii="Arial" w:cs="Arial" w:eastAsia="Arial" w:hAnsi="Arial"/>
          <w:sz w:val="22"/>
          <w:szCs w:val="22"/>
          <w:color w:val="auto"/>
          <w:vertAlign w:val="superscript"/>
        </w:rPr>
      </w:pPr>
      <w:r>
        <w:rPr>
          <w:rFonts w:ascii="Arial" w:cs="Arial" w:eastAsia="Arial" w:hAnsi="Arial"/>
          <w:sz w:val="16"/>
          <w:szCs w:val="16"/>
          <w:color w:val="auto"/>
        </w:rPr>
        <w:t>[</w:t>
      </w:r>
      <w:r>
        <w:rPr>
          <w:rFonts w:ascii="Arial" w:cs="Arial" w:eastAsia="Arial" w:hAnsi="Arial"/>
          <w:sz w:val="16"/>
          <w:szCs w:val="16"/>
          <w:i w:val="1"/>
          <w:iCs w:val="1"/>
          <w:color w:val="auto"/>
        </w:rPr>
        <w:t>Assignment Agreement</w:t>
      </w:r>
      <w:r>
        <w:rPr>
          <w:rFonts w:ascii="Arial" w:cs="Arial" w:eastAsia="Arial" w:hAnsi="Arial"/>
          <w:sz w:val="16"/>
          <w:szCs w:val="16"/>
          <w:color w:val="auto"/>
        </w:rPr>
        <w:t>]</w:t>
      </w:r>
    </w:p>
    <w:p>
      <w:pPr>
        <w:sectPr>
          <w:pgSz w:w="11900" w:h="16838" w:orient="portrait"/>
          <w:cols w:equalWidth="0" w:num="1">
            <w:col w:w="10139"/>
          </w:cols>
          <w:pgMar w:left="320" w:top="1419" w:right="1440" w:bottom="1440" w:gutter="0" w:footer="0" w:header="0"/>
        </w:sectPr>
      </w:pPr>
    </w:p>
    <w:bookmarkStart w:id="362" w:name="page363"/>
    <w:bookmarkEnd w:id="362"/>
    <w:p>
      <w:pPr>
        <w:spacing w:after="0"/>
        <w:rPr>
          <w:sz w:val="20"/>
          <w:szCs w:val="20"/>
          <w:color w:val="auto"/>
        </w:rPr>
      </w:pPr>
      <w:r>
        <w:rPr>
          <w:rFonts w:ascii="Arial" w:cs="Arial" w:eastAsia="Arial" w:hAnsi="Arial"/>
          <w:sz w:val="20"/>
          <w:szCs w:val="20"/>
          <w:color w:val="auto"/>
        </w:rPr>
        <w:t>[Consented to: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MORGAN STANLEY SENIOR FUNDING, INC.,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Swing Line Lender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 ]</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1714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60" w:hanging="104"/>
        <w:spacing w:after="0"/>
        <w:tabs>
          <w:tab w:leader="none" w:pos="760" w:val="left"/>
        </w:tabs>
        <w:numPr>
          <w:ilvl w:val="0"/>
          <w:numId w:val="290"/>
        </w:numPr>
        <w:rPr>
          <w:rFonts w:ascii="Arial" w:cs="Arial" w:eastAsia="Arial" w:hAnsi="Arial"/>
          <w:sz w:val="22"/>
          <w:szCs w:val="22"/>
          <w:color w:val="auto"/>
          <w:vertAlign w:val="superscript"/>
        </w:rPr>
      </w:pPr>
      <w:r>
        <w:rPr>
          <w:rFonts w:ascii="Arial" w:cs="Arial" w:eastAsia="Arial" w:hAnsi="Arial"/>
          <w:sz w:val="14"/>
          <w:szCs w:val="14"/>
          <w:color w:val="auto"/>
        </w:rPr>
        <w:t>To be added only if the consent of the Swing Line Lender is required by the terms of the Credit Agreement.</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330" w:lineRule="exact"/>
        <w:rPr>
          <w:rFonts w:ascii="Arial" w:cs="Arial" w:eastAsia="Arial" w:hAnsi="Arial"/>
          <w:sz w:val="22"/>
          <w:szCs w:val="22"/>
          <w:color w:val="auto"/>
          <w:vertAlign w:val="superscript"/>
        </w:rPr>
      </w:pPr>
    </w:p>
    <w:p>
      <w:pPr>
        <w:ind w:left="4820"/>
        <w:spacing w:after="0"/>
        <w:rPr>
          <w:rFonts w:ascii="Arial" w:cs="Arial" w:eastAsia="Arial" w:hAnsi="Arial"/>
          <w:sz w:val="22"/>
          <w:szCs w:val="22"/>
          <w:color w:val="auto"/>
          <w:vertAlign w:val="superscript"/>
        </w:rPr>
      </w:pPr>
      <w:r>
        <w:rPr>
          <w:rFonts w:ascii="Arial" w:cs="Arial" w:eastAsia="Arial" w:hAnsi="Arial"/>
          <w:sz w:val="16"/>
          <w:szCs w:val="16"/>
          <w:color w:val="auto"/>
        </w:rPr>
        <w:t>[</w:t>
      </w:r>
      <w:r>
        <w:rPr>
          <w:rFonts w:ascii="Arial" w:cs="Arial" w:eastAsia="Arial" w:hAnsi="Arial"/>
          <w:sz w:val="16"/>
          <w:szCs w:val="16"/>
          <w:i w:val="1"/>
          <w:iCs w:val="1"/>
          <w:color w:val="auto"/>
        </w:rPr>
        <w:t>Assignment Agreement</w:t>
      </w:r>
      <w:r>
        <w:rPr>
          <w:rFonts w:ascii="Arial" w:cs="Arial" w:eastAsia="Arial" w:hAnsi="Arial"/>
          <w:sz w:val="16"/>
          <w:szCs w:val="16"/>
          <w:color w:val="auto"/>
        </w:rPr>
        <w:t>]</w:t>
      </w:r>
    </w:p>
    <w:p>
      <w:pPr>
        <w:sectPr>
          <w:pgSz w:w="11900" w:h="16838" w:orient="portrait"/>
          <w:cols w:equalWidth="0" w:num="1">
            <w:col w:w="10139"/>
          </w:cols>
          <w:pgMar w:left="320" w:top="1419" w:right="1440" w:bottom="1440" w:gutter="0" w:footer="0" w:header="0"/>
        </w:sectPr>
      </w:pPr>
    </w:p>
    <w:bookmarkStart w:id="363" w:name="page364"/>
    <w:bookmarkEnd w:id="363"/>
    <w:p>
      <w:pPr>
        <w:spacing w:after="0"/>
        <w:rPr>
          <w:sz w:val="20"/>
          <w:szCs w:val="20"/>
          <w:color w:val="auto"/>
        </w:rPr>
      </w:pPr>
      <w:r>
        <w:rPr>
          <w:rFonts w:ascii="Arial" w:cs="Arial" w:eastAsia="Arial" w:hAnsi="Arial"/>
          <w:sz w:val="20"/>
          <w:szCs w:val="20"/>
          <w:color w:val="auto"/>
        </w:rPr>
        <w:t>[Consented to:</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XPO LOGISTICS, INC., as</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20"/>
          <w:szCs w:val="20"/>
          <w:color w:val="auto"/>
        </w:rPr>
        <w:t>Parent Borrower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[Each other Borrower], 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Borrower</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r>
        <w:rPr>
          <w:rFonts w:ascii="Arial" w:cs="Arial" w:eastAsia="Arial" w:hAnsi="Arial"/>
          <w:sz w:val="25"/>
          <w:szCs w:val="25"/>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1714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56" w:lineRule="exact"/>
        <w:rPr>
          <w:sz w:val="20"/>
          <w:szCs w:val="20"/>
          <w:color w:val="auto"/>
        </w:rPr>
      </w:pPr>
    </w:p>
    <w:p>
      <w:pPr>
        <w:ind w:left="760" w:hanging="104"/>
        <w:spacing w:after="0"/>
        <w:tabs>
          <w:tab w:leader="none" w:pos="760" w:val="left"/>
        </w:tabs>
        <w:numPr>
          <w:ilvl w:val="0"/>
          <w:numId w:val="291"/>
        </w:numPr>
        <w:rPr>
          <w:rFonts w:ascii="Arial" w:cs="Arial" w:eastAsia="Arial" w:hAnsi="Arial"/>
          <w:sz w:val="22"/>
          <w:szCs w:val="22"/>
          <w:color w:val="auto"/>
          <w:vertAlign w:val="superscript"/>
        </w:rPr>
      </w:pPr>
      <w:r>
        <w:rPr>
          <w:rFonts w:ascii="Arial" w:cs="Arial" w:eastAsia="Arial" w:hAnsi="Arial"/>
          <w:sz w:val="14"/>
          <w:szCs w:val="14"/>
          <w:color w:val="auto"/>
        </w:rPr>
        <w:t>To be added only if the consent of the Borrowers is required by the terms of the Credit Agreement.</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330" w:lineRule="exact"/>
        <w:rPr>
          <w:rFonts w:ascii="Arial" w:cs="Arial" w:eastAsia="Arial" w:hAnsi="Arial"/>
          <w:sz w:val="22"/>
          <w:szCs w:val="22"/>
          <w:color w:val="auto"/>
          <w:vertAlign w:val="superscript"/>
        </w:rPr>
      </w:pPr>
    </w:p>
    <w:p>
      <w:pPr>
        <w:ind w:left="4820"/>
        <w:spacing w:after="0"/>
        <w:rPr>
          <w:rFonts w:ascii="Arial" w:cs="Arial" w:eastAsia="Arial" w:hAnsi="Arial"/>
          <w:sz w:val="22"/>
          <w:szCs w:val="22"/>
          <w:color w:val="auto"/>
          <w:vertAlign w:val="superscript"/>
        </w:rPr>
      </w:pPr>
      <w:r>
        <w:rPr>
          <w:rFonts w:ascii="Arial" w:cs="Arial" w:eastAsia="Arial" w:hAnsi="Arial"/>
          <w:sz w:val="16"/>
          <w:szCs w:val="16"/>
          <w:color w:val="auto"/>
        </w:rPr>
        <w:t>[</w:t>
      </w:r>
      <w:r>
        <w:rPr>
          <w:rFonts w:ascii="Arial" w:cs="Arial" w:eastAsia="Arial" w:hAnsi="Arial"/>
          <w:sz w:val="16"/>
          <w:szCs w:val="16"/>
          <w:i w:val="1"/>
          <w:iCs w:val="1"/>
          <w:color w:val="auto"/>
        </w:rPr>
        <w:t>Assignment Agreement</w:t>
      </w:r>
      <w:r>
        <w:rPr>
          <w:rFonts w:ascii="Arial" w:cs="Arial" w:eastAsia="Arial" w:hAnsi="Arial"/>
          <w:sz w:val="16"/>
          <w:szCs w:val="16"/>
          <w:color w:val="auto"/>
        </w:rPr>
        <w:t>]</w:t>
      </w:r>
    </w:p>
    <w:p>
      <w:pPr>
        <w:sectPr>
          <w:pgSz w:w="11900" w:h="16838" w:orient="portrait"/>
          <w:cols w:equalWidth="0" w:num="1">
            <w:col w:w="10139"/>
          </w:cols>
          <w:pgMar w:left="320" w:top="1419" w:right="1440" w:bottom="1440" w:gutter="0" w:footer="0" w:header="0"/>
        </w:sectPr>
      </w:pPr>
    </w:p>
    <w:bookmarkStart w:id="364" w:name="page365"/>
    <w:bookmarkEnd w:id="364"/>
    <w:p>
      <w:pPr>
        <w:jc w:val="right"/>
        <w:spacing w:after="0"/>
        <w:rPr>
          <w:sz w:val="20"/>
          <w:szCs w:val="20"/>
          <w:color w:val="auto"/>
        </w:rPr>
      </w:pPr>
      <w:r>
        <w:rPr>
          <w:rFonts w:ascii="Arial" w:cs="Arial" w:eastAsia="Arial" w:hAnsi="Arial"/>
          <w:sz w:val="20"/>
          <w:szCs w:val="20"/>
          <w:u w:val="single" w:color="auto"/>
          <w:color w:val="auto"/>
        </w:rPr>
        <w:t>ANNEX 1 TO</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ASSIGNMENT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STANDARD TERMS AND CONDITIONS FOR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ASSIGNMENT AGREEMENT</w:t>
      </w:r>
    </w:p>
    <w:p>
      <w:pPr>
        <w:spacing w:after="0" w:line="227" w:lineRule="exact"/>
        <w:rPr>
          <w:sz w:val="20"/>
          <w:szCs w:val="20"/>
          <w:color w:val="auto"/>
        </w:rPr>
      </w:pPr>
    </w:p>
    <w:p>
      <w:pPr>
        <w:ind w:left="860" w:hanging="204"/>
        <w:spacing w:after="0"/>
        <w:tabs>
          <w:tab w:leader="none" w:pos="860" w:val="left"/>
        </w:tabs>
        <w:numPr>
          <w:ilvl w:val="0"/>
          <w:numId w:val="292"/>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w:t>
      </w:r>
    </w:p>
    <w:p>
      <w:pPr>
        <w:spacing w:after="0" w:line="243" w:lineRule="exact"/>
        <w:rPr>
          <w:sz w:val="20"/>
          <w:szCs w:val="20"/>
          <w:color w:val="auto"/>
        </w:rPr>
      </w:pPr>
    </w:p>
    <w:p>
      <w:pPr>
        <w:jc w:val="both"/>
        <w:ind w:firstLine="1092"/>
        <w:spacing w:after="0" w:line="27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Agreement and to consummate the transactions contemplated hereby and (iv) it is not a Non-Funding Lender; and (b) assumes no responsibility with respect to (i) any statements, warranties or representations made in or in connection with the Credit Agreement or any other Loan Document (other than this Assignment Agreement), (ii) the execution, legality, validity, enforceability, genuineness, sufficiency or value of the Loan Documents (other than this Assignment Agreement) or any collateral thereunder, (iii) the financial condition of the Borrowers, any of their Subsidiaries or Affiliates or any other Person obligated in respect of any Loan Document, or (iv) the performance or observance by the Borrowers, any of their Subsidiaries or Affiliates or any other Person of any of their respective obligations under any Loan Document.</w:t>
      </w:r>
    </w:p>
    <w:p>
      <w:pPr>
        <w:spacing w:after="0" w:line="197" w:lineRule="exact"/>
        <w:rPr>
          <w:sz w:val="20"/>
          <w:szCs w:val="20"/>
          <w:color w:val="auto"/>
        </w:rPr>
      </w:pPr>
    </w:p>
    <w:p>
      <w:pPr>
        <w:jc w:val="both"/>
        <w:ind w:firstLine="1260"/>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The Assignee (a) represents and warrants that (i) it has full power and authority, and has taken all action necessary, to execute and deliver this Assignment Agreement and to consummate the transactions contemplated hereby and to become a Lender under the Credit Agreement, (ii) it is not a Disqualified Institution and it meets all the requirements of an Eligible Assignee under the Credit Agreement (subject to such consents, if any, as may be required under the Credit Agreement),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thereof, as applicable, and such other documents and information as it deems appropriate to make its own credit analysis and decision to enter into this Assignment Agreement and to purchase the Assigned Interest, (vi) it has, independently and without reliance upon the Agent or any other Lender and based on such documents and information as it has deemed appropriate, made its own credit analysis and decision to enter into this Assignment Agreement and to purchase the Assigned Interest, (vii) it is not a Borrower, an Affiliate of any Borrower, a Non-Funding Lender or a natural person, (viii) if it is not already a Lender under the Credit Agreement, attached to the Assignment Agreement is an administrative questionnaire in the form provided by the Agent and (ix) attached to the Assignment Agreement is any documentation required to be delivered by it pursuant to the Credit Agreement, including </w:t>
      </w:r>
      <w:r>
        <w:rPr>
          <w:rFonts w:ascii="Arial" w:cs="Arial" w:eastAsia="Arial" w:hAnsi="Arial"/>
          <w:sz w:val="18"/>
          <w:szCs w:val="18"/>
          <w:u w:val="single" w:color="auto"/>
          <w:color w:val="auto"/>
        </w:rPr>
        <w:t>Section 2.13</w:t>
      </w:r>
      <w:r>
        <w:rPr>
          <w:rFonts w:ascii="Arial" w:cs="Arial" w:eastAsia="Arial" w:hAnsi="Arial"/>
          <w:sz w:val="18"/>
          <w:szCs w:val="18"/>
          <w:color w:val="auto"/>
        </w:rPr>
        <w:t>, duly completed and executed by the Assignee; and (b) agrees that (i) it will, independently and without reliance on the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ectPr>
          <w:pgSz w:w="11900" w:h="16838" w:orient="portrait"/>
          <w:cols w:equalWidth="0" w:num="1">
            <w:col w:w="11240"/>
          </w:cols>
          <w:pgMar w:left="320" w:top="1419" w:right="339" w:bottom="1440" w:gutter="0" w:footer="0" w:header="0"/>
        </w:sectPr>
      </w:pPr>
    </w:p>
    <w:bookmarkStart w:id="365" w:name="page366"/>
    <w:bookmarkEnd w:id="365"/>
    <w:p>
      <w:pPr>
        <w:jc w:val="both"/>
        <w:ind w:left="-656" w:firstLine="656"/>
        <w:spacing w:after="0" w:line="250" w:lineRule="auto"/>
        <w:tabs>
          <w:tab w:leader="none" w:pos="203" w:val="left"/>
        </w:tabs>
        <w:numPr>
          <w:ilvl w:val="0"/>
          <w:numId w:val="293"/>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From and after the Effective Date, the Agent shall make all payments in respect of the Assigned Interest (including payments of principal, interest, fees and other amounts) to the Assignor for amounts that have accrued to but excluding the Effective Date and to the Assignee for amounts that have accrued from and after the Effective Date.</w:t>
      </w:r>
    </w:p>
    <w:p>
      <w:pPr>
        <w:spacing w:after="0" w:line="212" w:lineRule="exact"/>
        <w:rPr>
          <w:rFonts w:ascii="Arial" w:cs="Arial" w:eastAsia="Arial" w:hAnsi="Arial"/>
          <w:sz w:val="20"/>
          <w:szCs w:val="20"/>
          <w:color w:val="auto"/>
        </w:rPr>
      </w:pPr>
    </w:p>
    <w:p>
      <w:pPr>
        <w:jc w:val="both"/>
        <w:ind w:left="-656" w:firstLine="656"/>
        <w:spacing w:after="0" w:line="260" w:lineRule="auto"/>
        <w:tabs>
          <w:tab w:leader="none" w:pos="203" w:val="left"/>
        </w:tabs>
        <w:numPr>
          <w:ilvl w:val="0"/>
          <w:numId w:val="293"/>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This Assignment Agreement shall be binding upon, and inure to the benefit of, the parties hereto and their respective successors and assigns. This Assignment Agreement may be executed in any number of counterparts, which together shall constitute one instrument. Delivery of an executed counterpart of a signature page of this Assignment Agreement by telecopy shall be effective as delivery of a manually executed counterpart of this Assignment Agreement. This Assignment Agreement shall be governed by, and construed and enforced in accordance with, the law of the State of New York.</w:t>
      </w:r>
    </w:p>
    <w:p>
      <w:pPr>
        <w:sectPr>
          <w:pgSz w:w="11900" w:h="16838" w:orient="portrait"/>
          <w:cols w:equalWidth="0" w:num="1">
            <w:col w:w="10584"/>
          </w:cols>
          <w:pgMar w:left="976" w:top="1419" w:right="339" w:bottom="1440" w:gutter="0" w:footer="0" w:header="0"/>
        </w:sectPr>
      </w:pPr>
    </w:p>
    <w:bookmarkStart w:id="366" w:name="page367"/>
    <w:bookmarkEnd w:id="366"/>
    <w:p>
      <w:pPr>
        <w:jc w:val="right"/>
        <w:spacing w:after="0"/>
        <w:rPr>
          <w:sz w:val="20"/>
          <w:szCs w:val="20"/>
          <w:color w:val="auto"/>
        </w:rPr>
      </w:pPr>
      <w:r>
        <w:rPr>
          <w:rFonts w:ascii="Arial" w:cs="Arial" w:eastAsia="Arial" w:hAnsi="Arial"/>
          <w:sz w:val="22"/>
          <w:szCs w:val="22"/>
          <w:b w:val="1"/>
          <w:bCs w:val="1"/>
          <w:color w:val="auto"/>
        </w:rPr>
        <w:t>Exhibit 10.5</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26"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effective as of the date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Start Date</w:t>
      </w:r>
      <w:r>
        <w:rPr>
          <w:rFonts w:ascii="Arial" w:cs="Arial" w:eastAsia="Arial" w:hAnsi="Arial"/>
          <w:sz w:val="22"/>
          <w:szCs w:val="22"/>
          <w:color w:val="auto"/>
        </w:rPr>
        <w:t>”), by and between XPO Logistics, Inc., a Delaware corporation (together with its successors and assigns,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the individual named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w:t>
      </w:r>
      <w:r>
        <w:rPr>
          <w:rFonts w:ascii="Arial" w:cs="Arial" w:eastAsia="Arial" w:hAnsi="Arial"/>
          <w:sz w:val="22"/>
          <w:szCs w:val="22"/>
          <w:color w:val="auto"/>
        </w:rPr>
        <w:t>”).</w:t>
      </w:r>
    </w:p>
    <w:p>
      <w:pPr>
        <w:spacing w:after="0" w:line="185"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WHEREAS, the Company desires to continue to employ Employee and Employee desires to accept such employment with the Company, subject to the terms and conditions set forth herein.</w:t>
      </w:r>
    </w:p>
    <w:p>
      <w:pPr>
        <w:spacing w:after="0" w:line="175"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NOW, THEREFORE, in consideration of the premises and mutual covenants herein and for other good and valuable consideration, Employee and the Company agree as follows:</w:t>
      </w:r>
    </w:p>
    <w:p>
      <w:pPr>
        <w:spacing w:after="0" w:line="175" w:lineRule="exact"/>
        <w:rPr>
          <w:sz w:val="20"/>
          <w:szCs w:val="20"/>
          <w:color w:val="auto"/>
        </w:rPr>
      </w:pPr>
    </w:p>
    <w:p>
      <w:pPr>
        <w:ind w:right="100" w:firstLine="656"/>
        <w:spacing w:after="0" w:line="250" w:lineRule="auto"/>
        <w:tabs>
          <w:tab w:leader="none" w:pos="864" w:val="left"/>
        </w:tabs>
        <w:numPr>
          <w:ilvl w:val="0"/>
          <w:numId w:val="294"/>
        </w:numPr>
        <w:rPr>
          <w:rFonts w:ascii="Arial" w:cs="Arial" w:eastAsia="Arial" w:hAnsi="Arial"/>
          <w:sz w:val="22"/>
          <w:szCs w:val="22"/>
          <w:color w:val="010000"/>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Employee’s employment hereunder (the “</w:t>
      </w:r>
      <w:r>
        <w:rPr>
          <w:rFonts w:ascii="Arial" w:cs="Arial" w:eastAsia="Arial" w:hAnsi="Arial"/>
          <w:sz w:val="22"/>
          <w:szCs w:val="22"/>
          <w:u w:val="single" w:color="auto"/>
          <w:color w:val="auto"/>
        </w:rPr>
        <w:t>Term</w:t>
      </w:r>
      <w:r>
        <w:rPr>
          <w:rFonts w:ascii="Arial" w:cs="Arial" w:eastAsia="Arial" w:hAnsi="Arial"/>
          <w:sz w:val="22"/>
          <w:szCs w:val="22"/>
          <w:color w:val="auto"/>
        </w:rPr>
        <w:t>”) shall begin on the Start Date and end on the fourth anniversary of the Start Date. Notwithstanding the foregoing, the Term may be earlier terminated by either party in accordance with the terms of Section 5 of this Agreement, and the Term shall automatically expire on the last day of the Term (the “</w:t>
      </w:r>
      <w:r>
        <w:rPr>
          <w:rFonts w:ascii="Arial" w:cs="Arial" w:eastAsia="Arial" w:hAnsi="Arial"/>
          <w:sz w:val="22"/>
          <w:szCs w:val="22"/>
          <w:u w:val="single" w:color="auto"/>
          <w:color w:val="auto"/>
        </w:rPr>
        <w:t>Expiration Date</w:t>
      </w:r>
      <w:r>
        <w:rPr>
          <w:rFonts w:ascii="Arial" w:cs="Arial" w:eastAsia="Arial" w:hAnsi="Arial"/>
          <w:sz w:val="22"/>
          <w:szCs w:val="22"/>
          <w:color w:val="auto"/>
        </w:rPr>
        <w:t>”) without notice required by any party to the other.</w:t>
      </w:r>
    </w:p>
    <w:p>
      <w:pPr>
        <w:spacing w:after="0" w:line="187" w:lineRule="exact"/>
        <w:rPr>
          <w:rFonts w:ascii="Arial" w:cs="Arial" w:eastAsia="Arial" w:hAnsi="Arial"/>
          <w:sz w:val="22"/>
          <w:szCs w:val="22"/>
          <w:color w:val="010000"/>
        </w:rPr>
      </w:pPr>
    </w:p>
    <w:p>
      <w:pPr>
        <w:ind w:right="20" w:firstLine="656"/>
        <w:spacing w:after="0" w:line="257" w:lineRule="auto"/>
        <w:tabs>
          <w:tab w:leader="none" w:pos="864" w:val="left"/>
        </w:tabs>
        <w:numPr>
          <w:ilvl w:val="0"/>
          <w:numId w:val="294"/>
        </w:numPr>
        <w:rPr>
          <w:rFonts w:ascii="Arial" w:cs="Arial" w:eastAsia="Arial" w:hAnsi="Arial"/>
          <w:sz w:val="21"/>
          <w:szCs w:val="21"/>
          <w:color w:val="010000"/>
        </w:rPr>
      </w:pPr>
      <w:r>
        <w:rPr>
          <w:rFonts w:ascii="Arial" w:cs="Arial" w:eastAsia="Arial" w:hAnsi="Arial"/>
          <w:sz w:val="21"/>
          <w:szCs w:val="21"/>
          <w:u w:val="single" w:color="auto"/>
          <w:color w:val="auto"/>
        </w:rPr>
        <w:t>Employment Duties</w:t>
      </w:r>
      <w:r>
        <w:rPr>
          <w:rFonts w:ascii="Arial" w:cs="Arial" w:eastAsia="Arial" w:hAnsi="Arial"/>
          <w:sz w:val="21"/>
          <w:szCs w:val="21"/>
          <w:color w:val="auto"/>
        </w:rPr>
        <w:t xml:space="preserve">. During the Term, Employee shall serve in the position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excluding any periods of paid time-off or approved sick leave to which Employee is entitled, Employee shall devote his full working time, energy and attention to the performance of his duties and responsibilities hereunder and shall faithfully and diligently endeavor to promote the business and best interests of the Company. Employee shall perform such duties as are customarily performed by an individual in Employee’s position at a public company and as assigned from time to time by the individual or governing body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Reporting Person</w:t>
      </w:r>
      <w:r>
        <w:rPr>
          <w:rFonts w:ascii="Arial" w:cs="Arial" w:eastAsia="Arial" w:hAnsi="Arial"/>
          <w:sz w:val="21"/>
          <w:szCs w:val="21"/>
          <w:color w:val="auto"/>
        </w:rPr>
        <w:t>”), and Employee shall report directly to the Reporting Person. During the Term, Employee may not, without the prior written consent of the Reporting Person, directly or indirectly, operate, participate in the management, operations or control of, or act as an employee, officer, consultant, partner, member, agent or representative of, any type of business or service other than as an employee and member of the Company. It shall not, however, be a violation of the foregoing provisions of this Section 2 for Employee to (a) serve as an officer or director or otherwise participate in non-profit, educational, social welfare, religious and civic organizations or (b) manage his personal, financial and legal affairs, in each case so long as any such activities do not unreasonably interfere with the performance of his duties and responsibilities to the Company.</w:t>
      </w:r>
    </w:p>
    <w:p>
      <w:pPr>
        <w:spacing w:after="0" w:line="188" w:lineRule="exact"/>
        <w:rPr>
          <w:rFonts w:ascii="Arial" w:cs="Arial" w:eastAsia="Arial" w:hAnsi="Arial"/>
          <w:sz w:val="21"/>
          <w:szCs w:val="21"/>
          <w:color w:val="010000"/>
        </w:rPr>
      </w:pPr>
    </w:p>
    <w:p>
      <w:pPr>
        <w:ind w:right="20" w:firstLine="656"/>
        <w:spacing w:after="0" w:line="302" w:lineRule="auto"/>
        <w:tabs>
          <w:tab w:leader="none" w:pos="864" w:val="left"/>
        </w:tabs>
        <w:numPr>
          <w:ilvl w:val="0"/>
          <w:numId w:val="294"/>
        </w:numPr>
        <w:rPr>
          <w:rFonts w:ascii="Arial" w:cs="Arial" w:eastAsia="Arial" w:hAnsi="Arial"/>
          <w:sz w:val="19"/>
          <w:szCs w:val="19"/>
          <w:color w:val="010000"/>
        </w:rPr>
      </w:pPr>
      <w:r>
        <w:rPr>
          <w:rFonts w:ascii="Arial" w:cs="Arial" w:eastAsia="Arial" w:hAnsi="Arial"/>
          <w:sz w:val="19"/>
          <w:szCs w:val="19"/>
          <w:u w:val="single" w:color="auto"/>
          <w:color w:val="auto"/>
        </w:rPr>
        <w:t>Compensation</w:t>
      </w:r>
      <w:r>
        <w:rPr>
          <w:rFonts w:ascii="Arial" w:cs="Arial" w:eastAsia="Arial" w:hAnsi="Arial"/>
          <w:sz w:val="19"/>
          <w:szCs w:val="19"/>
          <w:color w:val="auto"/>
        </w:rPr>
        <w:t xml:space="preserve">. (a) </w:t>
      </w:r>
      <w:r>
        <w:rPr>
          <w:rFonts w:ascii="Arial" w:cs="Arial" w:eastAsia="Arial" w:hAnsi="Arial"/>
          <w:sz w:val="19"/>
          <w:szCs w:val="19"/>
          <w:u w:val="single" w:color="auto"/>
          <w:color w:val="auto"/>
        </w:rPr>
        <w:t>Base Salary</w:t>
      </w:r>
      <w:r>
        <w:rPr>
          <w:rFonts w:ascii="Arial" w:cs="Arial" w:eastAsia="Arial" w:hAnsi="Arial"/>
          <w:sz w:val="19"/>
          <w:szCs w:val="19"/>
          <w:color w:val="auto"/>
        </w:rPr>
        <w:t xml:space="preserve">. During the Term, the Company shall pay Employee, pursuant to the Company’s normal and customary payroll procedures but not less frequently than monthly, a base salary at the rate per annum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Base Salary</w:t>
      </w:r>
      <w:r>
        <w:rPr>
          <w:rFonts w:ascii="Arial" w:cs="Arial" w:eastAsia="Arial" w:hAnsi="Arial"/>
          <w:sz w:val="19"/>
          <w:szCs w:val="19"/>
          <w:color w:val="auto"/>
        </w:rPr>
        <w:t>”). The Base Salary is subject to review annually throughout the Term by the Compensation Committee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of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in its sole discretion.</w:t>
      </w:r>
    </w:p>
    <w:p>
      <w:pPr>
        <w:spacing w:after="0" w:line="142" w:lineRule="exact"/>
        <w:rPr>
          <w:rFonts w:ascii="Arial" w:cs="Arial" w:eastAsia="Arial" w:hAnsi="Arial"/>
          <w:sz w:val="19"/>
          <w:szCs w:val="19"/>
          <w:color w:val="010000"/>
        </w:rPr>
      </w:pPr>
    </w:p>
    <w:p>
      <w:pPr>
        <w:ind w:right="80" w:firstLine="1304"/>
        <w:spacing w:after="0" w:line="263" w:lineRule="auto"/>
        <w:tabs>
          <w:tab w:leader="none" w:pos="1602" w:val="left"/>
        </w:tabs>
        <w:numPr>
          <w:ilvl w:val="1"/>
          <w:numId w:val="294"/>
        </w:numPr>
        <w:rPr>
          <w:rFonts w:ascii="Arial" w:cs="Arial" w:eastAsia="Arial" w:hAnsi="Arial"/>
          <w:sz w:val="22"/>
          <w:szCs w:val="22"/>
          <w:color w:val="010000"/>
        </w:rPr>
      </w:pPr>
      <w:r>
        <w:rPr>
          <w:rFonts w:ascii="Arial" w:cs="Arial" w:eastAsia="Arial" w:hAnsi="Arial"/>
          <w:sz w:val="22"/>
          <w:szCs w:val="22"/>
          <w:u w:val="single" w:color="auto"/>
          <w:color w:val="auto"/>
        </w:rPr>
        <w:t>Annual Bonus</w:t>
      </w:r>
      <w:r>
        <w:rPr>
          <w:rFonts w:ascii="Arial" w:cs="Arial" w:eastAsia="Arial" w:hAnsi="Arial"/>
          <w:sz w:val="22"/>
          <w:szCs w:val="22"/>
          <w:color w:val="auto"/>
        </w:rPr>
        <w:t>. As additional compensation, Employee shall have the opportunity to earn a performance-based bonus (the “</w:t>
      </w:r>
      <w:r>
        <w:rPr>
          <w:rFonts w:ascii="Arial" w:cs="Arial" w:eastAsia="Arial" w:hAnsi="Arial"/>
          <w:sz w:val="22"/>
          <w:szCs w:val="22"/>
          <w:u w:val="single" w:color="auto"/>
          <w:color w:val="auto"/>
        </w:rPr>
        <w:t>Annual Bonus</w:t>
      </w:r>
      <w:r>
        <w:rPr>
          <w:rFonts w:ascii="Arial" w:cs="Arial" w:eastAsia="Arial" w:hAnsi="Arial"/>
          <w:sz w:val="22"/>
          <w:szCs w:val="22"/>
          <w:color w:val="auto"/>
        </w:rPr>
        <w:t>”) for each year during the</w:t>
      </w:r>
    </w:p>
    <w:p>
      <w:pPr>
        <w:sectPr>
          <w:pgSz w:w="11900" w:h="16838" w:orient="portrait"/>
          <w:cols w:equalWidth="0" w:num="1">
            <w:col w:w="11240"/>
          </w:cols>
          <w:pgMar w:left="320" w:top="126" w:right="339" w:bottom="1440" w:gutter="0" w:footer="0" w:header="0"/>
        </w:sectPr>
      </w:pPr>
    </w:p>
    <w:bookmarkStart w:id="367" w:name="page368"/>
    <w:bookmarkEnd w:id="367"/>
    <w:p>
      <w:pPr>
        <w:ind w:right="80"/>
        <w:spacing w:after="0" w:line="287" w:lineRule="auto"/>
        <w:rPr>
          <w:sz w:val="20"/>
          <w:szCs w:val="20"/>
          <w:color w:val="auto"/>
        </w:rPr>
      </w:pPr>
      <w:r>
        <w:rPr>
          <w:rFonts w:ascii="Arial" w:cs="Arial" w:eastAsia="Arial" w:hAnsi="Arial"/>
          <w:sz w:val="19"/>
          <w:szCs w:val="19"/>
          <w:color w:val="auto"/>
        </w:rPr>
        <w:t xml:space="preserve">Term of Employee’s employment commencing in the 2020 fiscal year with a target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Target</w:t>
      </w:r>
      <w:r>
        <w:rPr>
          <w:rFonts w:ascii="Arial" w:cs="Arial" w:eastAsia="Arial" w:hAnsi="Arial"/>
          <w:sz w:val="19"/>
          <w:szCs w:val="19"/>
          <w:color w:val="auto"/>
        </w:rPr>
        <w:t xml:space="preserve"> </w:t>
      </w:r>
      <w:r>
        <w:rPr>
          <w:rFonts w:ascii="Arial" w:cs="Arial" w:eastAsia="Arial" w:hAnsi="Arial"/>
          <w:sz w:val="19"/>
          <w:szCs w:val="19"/>
          <w:u w:val="single" w:color="auto"/>
          <w:color w:val="auto"/>
        </w:rPr>
        <w:t>Bonus</w:t>
      </w:r>
      <w:r>
        <w:rPr>
          <w:rFonts w:ascii="Arial" w:cs="Arial" w:eastAsia="Arial" w:hAnsi="Arial"/>
          <w:sz w:val="19"/>
          <w:szCs w:val="19"/>
          <w:color w:val="auto"/>
        </w:rPr>
        <w:t>”), based upon Employee’s achievement of performance goals as determined by the Compensation Committee. Notwithstanding anything to the contrary contained herein and without limiting any other rights and remedies of the Company (including as may be required by law), if Employee has engaged in fraud or other willful misconduct that contributes materially to any financial restatements or material loss to the Company or any of its affiliates, the Company may require repayment by Employee of any cash bonus or Annual Bonus (net of any taxes paid by Employee on such payments) previously paid to Employee, or cancel any earned but unpaid cash bonus or Annual Bonus or adjust the future compensation of Employee in order to recover the amount by which any compensation paid to Employee exceeded the lower amount that would have been payable after giving effect to the restated financial results or the material loss. In addition, Employee’s Annual Bonus shall be subject to any other clawback or recoupment policy of the Company as may be in effect from time to time prior to a Change of Control (as defined in the Company’s 2016 Omnibus Incentive Compensation Plan) (“</w:t>
      </w:r>
      <w:r>
        <w:rPr>
          <w:rFonts w:ascii="Arial" w:cs="Arial" w:eastAsia="Arial" w:hAnsi="Arial"/>
          <w:sz w:val="19"/>
          <w:szCs w:val="19"/>
          <w:u w:val="single" w:color="auto"/>
          <w:color w:val="auto"/>
        </w:rPr>
        <w:t>Change of Control</w:t>
      </w:r>
      <w:r>
        <w:rPr>
          <w:rFonts w:ascii="Arial" w:cs="Arial" w:eastAsia="Arial" w:hAnsi="Arial"/>
          <w:sz w:val="19"/>
          <w:szCs w:val="19"/>
          <w:color w:val="auto"/>
        </w:rPr>
        <w:t>”), or any clawback or recoupment as may be required by applicable law.</w:t>
      </w:r>
    </w:p>
    <w:p>
      <w:pPr>
        <w:spacing w:after="0" w:line="159" w:lineRule="exact"/>
        <w:rPr>
          <w:sz w:val="20"/>
          <w:szCs w:val="20"/>
          <w:color w:val="auto"/>
        </w:rPr>
      </w:pPr>
    </w:p>
    <w:p>
      <w:pPr>
        <w:ind w:right="260" w:firstLine="1304"/>
        <w:spacing w:after="0" w:line="253" w:lineRule="auto"/>
        <w:tabs>
          <w:tab w:leader="none" w:pos="1590" w:val="left"/>
        </w:tabs>
        <w:numPr>
          <w:ilvl w:val="1"/>
          <w:numId w:val="295"/>
        </w:numPr>
        <w:rPr>
          <w:rFonts w:ascii="Arial" w:cs="Arial" w:eastAsia="Arial" w:hAnsi="Arial"/>
          <w:sz w:val="22"/>
          <w:szCs w:val="22"/>
          <w:color w:val="010000"/>
        </w:rPr>
      </w:pPr>
      <w:r>
        <w:rPr>
          <w:rFonts w:ascii="Arial" w:cs="Arial" w:eastAsia="Arial" w:hAnsi="Arial"/>
          <w:sz w:val="22"/>
          <w:szCs w:val="22"/>
          <w:u w:val="single" w:color="auto"/>
          <w:color w:val="auto"/>
        </w:rPr>
        <w:t>Benefits</w:t>
      </w:r>
      <w:r>
        <w:rPr>
          <w:rFonts w:ascii="Arial" w:cs="Arial" w:eastAsia="Arial" w:hAnsi="Arial"/>
          <w:sz w:val="22"/>
          <w:szCs w:val="22"/>
          <w:color w:val="auto"/>
        </w:rPr>
        <w:t>. During the Term, Employee shall be eligible to participate in the benefit plans and programs of the Company that are generally available to other members of the Company’s senior executive team, subject to the terms and conditions of such plans and programs.</w:t>
      </w:r>
    </w:p>
    <w:p>
      <w:pPr>
        <w:spacing w:after="0" w:line="185" w:lineRule="exact"/>
        <w:rPr>
          <w:rFonts w:ascii="Arial" w:cs="Arial" w:eastAsia="Arial" w:hAnsi="Arial"/>
          <w:sz w:val="22"/>
          <w:szCs w:val="22"/>
          <w:color w:val="010000"/>
        </w:rPr>
      </w:pPr>
    </w:p>
    <w:p>
      <w:pPr>
        <w:ind w:right="160" w:firstLine="1304"/>
        <w:spacing w:after="0" w:line="250" w:lineRule="auto"/>
        <w:tabs>
          <w:tab w:leader="none" w:pos="1602" w:val="left"/>
        </w:tabs>
        <w:numPr>
          <w:ilvl w:val="1"/>
          <w:numId w:val="295"/>
        </w:numPr>
        <w:rPr>
          <w:rFonts w:ascii="Arial" w:cs="Arial" w:eastAsia="Arial" w:hAnsi="Arial"/>
          <w:sz w:val="22"/>
          <w:szCs w:val="22"/>
          <w:color w:val="010000"/>
        </w:rPr>
      </w:pPr>
      <w:r>
        <w:rPr>
          <w:rFonts w:ascii="Arial" w:cs="Arial" w:eastAsia="Arial" w:hAnsi="Arial"/>
          <w:sz w:val="22"/>
          <w:szCs w:val="22"/>
          <w:u w:val="single" w:color="auto"/>
          <w:color w:val="auto"/>
        </w:rPr>
        <w:t>Paid-Time Off</w:t>
      </w:r>
      <w:r>
        <w:rPr>
          <w:rFonts w:ascii="Arial" w:cs="Arial" w:eastAsia="Arial" w:hAnsi="Arial"/>
          <w:sz w:val="22"/>
          <w:szCs w:val="22"/>
          <w:color w:val="auto"/>
        </w:rPr>
        <w:t>. Employee shall be entitled to 15 days paid-time off, and any holidays that are generally afforded to the Company’s employees, in each case, per calendar year during the Term, prorated for the portion(s) of any partial calendar year during the Term. Employee may take paid-time off only with the consent of the Reporting Person, which consent shall not be withheld unreasonably.</w:t>
      </w:r>
    </w:p>
    <w:p>
      <w:pPr>
        <w:spacing w:after="0" w:line="187" w:lineRule="exact"/>
        <w:rPr>
          <w:rFonts w:ascii="Arial" w:cs="Arial" w:eastAsia="Arial" w:hAnsi="Arial"/>
          <w:sz w:val="22"/>
          <w:szCs w:val="22"/>
          <w:color w:val="010000"/>
        </w:rPr>
      </w:pPr>
    </w:p>
    <w:p>
      <w:pPr>
        <w:jc w:val="both"/>
        <w:ind w:firstLine="1304"/>
        <w:spacing w:after="0" w:line="250" w:lineRule="auto"/>
        <w:tabs>
          <w:tab w:leader="none" w:pos="1590" w:val="left"/>
        </w:tabs>
        <w:numPr>
          <w:ilvl w:val="1"/>
          <w:numId w:val="295"/>
        </w:numPr>
        <w:rPr>
          <w:rFonts w:ascii="Arial" w:cs="Arial" w:eastAsia="Arial" w:hAnsi="Arial"/>
          <w:sz w:val="22"/>
          <w:szCs w:val="22"/>
          <w:color w:val="010000"/>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The Company shall provide Employee a Company-owned wireless smartphone and Company-owned laptop computer during the Term and shall pay or reimburse Employee for all reasonable and necessary business expenses incurred in the performance of his duties to the Company during the Term upon the presentation of appropriate statements of such expenses.</w:t>
      </w:r>
    </w:p>
    <w:p>
      <w:pPr>
        <w:spacing w:after="0" w:line="187" w:lineRule="exact"/>
        <w:rPr>
          <w:rFonts w:ascii="Arial" w:cs="Arial" w:eastAsia="Arial" w:hAnsi="Arial"/>
          <w:sz w:val="22"/>
          <w:szCs w:val="22"/>
          <w:color w:val="010000"/>
        </w:rPr>
      </w:pPr>
    </w:p>
    <w:p>
      <w:pPr>
        <w:ind w:firstLine="656"/>
        <w:spacing w:after="0" w:line="343" w:lineRule="auto"/>
        <w:tabs>
          <w:tab w:leader="none" w:pos="864" w:val="left"/>
        </w:tabs>
        <w:numPr>
          <w:ilvl w:val="0"/>
          <w:numId w:val="296"/>
        </w:numPr>
        <w:rPr>
          <w:rFonts w:ascii="Arial" w:cs="Arial" w:eastAsia="Arial" w:hAnsi="Arial"/>
          <w:sz w:val="19"/>
          <w:szCs w:val="19"/>
          <w:color w:val="010000"/>
        </w:rPr>
      </w:pPr>
      <w:r>
        <w:rPr>
          <w:rFonts w:ascii="Arial" w:cs="Arial" w:eastAsia="Arial" w:hAnsi="Arial"/>
          <w:sz w:val="19"/>
          <w:szCs w:val="19"/>
          <w:u w:val="single" w:color="auto"/>
          <w:color w:val="auto"/>
        </w:rPr>
        <w:t>Long-Term Incentive Awards</w:t>
      </w:r>
      <w:r>
        <w:rPr>
          <w:rFonts w:ascii="Arial" w:cs="Arial" w:eastAsia="Arial" w:hAnsi="Arial"/>
          <w:sz w:val="19"/>
          <w:szCs w:val="19"/>
          <w:color w:val="auto"/>
        </w:rPr>
        <w:t>. Employee shall be eligible to receive long-term incentive compensation awards, whether cash-based or equity-based or both, periodically throughout the Term, subject to approval by the Compensation Committee.</w:t>
      </w:r>
    </w:p>
    <w:p>
      <w:pPr>
        <w:spacing w:after="0" w:line="104" w:lineRule="exact"/>
        <w:rPr>
          <w:rFonts w:ascii="Arial" w:cs="Arial" w:eastAsia="Arial" w:hAnsi="Arial"/>
          <w:sz w:val="19"/>
          <w:szCs w:val="19"/>
          <w:color w:val="010000"/>
        </w:rPr>
      </w:pPr>
    </w:p>
    <w:p>
      <w:pPr>
        <w:ind w:right="640" w:firstLine="656"/>
        <w:spacing w:after="0" w:line="287" w:lineRule="auto"/>
        <w:tabs>
          <w:tab w:leader="none" w:pos="864" w:val="left"/>
        </w:tabs>
        <w:numPr>
          <w:ilvl w:val="0"/>
          <w:numId w:val="296"/>
        </w:numPr>
        <w:rPr>
          <w:rFonts w:ascii="Arial" w:cs="Arial" w:eastAsia="Arial" w:hAnsi="Arial"/>
          <w:sz w:val="21"/>
          <w:szCs w:val="21"/>
          <w:color w:val="010000"/>
        </w:rPr>
      </w:pPr>
      <w:r>
        <w:rPr>
          <w:rFonts w:ascii="Arial" w:cs="Arial" w:eastAsia="Arial" w:hAnsi="Arial"/>
          <w:sz w:val="21"/>
          <w:szCs w:val="21"/>
          <w:u w:val="single" w:color="auto"/>
          <w:color w:val="auto"/>
        </w:rPr>
        <w:t>Termination</w:t>
      </w:r>
      <w:r>
        <w:rPr>
          <w:rFonts w:ascii="Arial" w:cs="Arial" w:eastAsia="Arial" w:hAnsi="Arial"/>
          <w:sz w:val="21"/>
          <w:szCs w:val="21"/>
          <w:color w:val="auto"/>
        </w:rPr>
        <w:t>. Employee’s employment hereunder shall be terminated upon the earliest to occur of any one of the following events (in which case the Term shall terminate as of the applicable Date of Termination):</w:t>
      </w:r>
    </w:p>
    <w:p>
      <w:pPr>
        <w:spacing w:after="0" w:line="151" w:lineRule="exact"/>
        <w:rPr>
          <w:rFonts w:ascii="Arial" w:cs="Arial" w:eastAsia="Arial" w:hAnsi="Arial"/>
          <w:sz w:val="21"/>
          <w:szCs w:val="21"/>
          <w:color w:val="010000"/>
        </w:rPr>
      </w:pPr>
    </w:p>
    <w:p>
      <w:pPr>
        <w:ind w:right="220" w:firstLine="1304"/>
        <w:spacing w:after="0" w:line="250" w:lineRule="auto"/>
        <w:tabs>
          <w:tab w:leader="none" w:pos="1590" w:val="left"/>
        </w:tabs>
        <w:numPr>
          <w:ilvl w:val="1"/>
          <w:numId w:val="296"/>
        </w:numPr>
        <w:rPr>
          <w:rFonts w:ascii="Arial" w:cs="Arial" w:eastAsia="Arial" w:hAnsi="Arial"/>
          <w:sz w:val="22"/>
          <w:szCs w:val="22"/>
          <w:color w:val="010000"/>
        </w:rPr>
      </w:pPr>
      <w:r>
        <w:rPr>
          <w:rFonts w:ascii="Arial" w:cs="Arial" w:eastAsia="Arial" w:hAnsi="Arial"/>
          <w:sz w:val="22"/>
          <w:szCs w:val="22"/>
          <w:u w:val="single" w:color="auto"/>
          <w:color w:val="auto"/>
        </w:rPr>
        <w:t>Expiration of Term</w:t>
      </w:r>
      <w:r>
        <w:rPr>
          <w:rFonts w:ascii="Arial" w:cs="Arial" w:eastAsia="Arial" w:hAnsi="Arial"/>
          <w:sz w:val="22"/>
          <w:szCs w:val="22"/>
          <w:color w:val="auto"/>
        </w:rPr>
        <w:t>. Unless sooner terminated, Employee’s employment hereunder shall terminate automatically in accordance with Section 1 of this Agreement on the Expiration Date, unless otherwise agreed by the parties in writing, in which case employment hereunder will continue on an at-will basis or pursuant to the terms of any subsequent agreement between Employee and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00"/>
          </w:cols>
          <w:pgMar w:left="320" w:top="1266" w:right="379" w:bottom="1440" w:gutter="0" w:footer="0" w:header="0"/>
        </w:sectPr>
      </w:pPr>
    </w:p>
    <w:bookmarkStart w:id="368" w:name="page369"/>
    <w:bookmarkEnd w:id="368"/>
    <w:p>
      <w:pPr>
        <w:ind w:left="1600" w:hanging="296"/>
        <w:spacing w:after="0"/>
        <w:tabs>
          <w:tab w:leader="none" w:pos="1600" w:val="left"/>
        </w:tabs>
        <w:numPr>
          <w:ilvl w:val="0"/>
          <w:numId w:val="297"/>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Employee’s employment hereunder shall terminate upon his death.</w:t>
      </w:r>
    </w:p>
    <w:p>
      <w:pPr>
        <w:spacing w:after="0" w:line="219" w:lineRule="exact"/>
        <w:rPr>
          <w:rFonts w:ascii="Arial" w:cs="Arial" w:eastAsia="Arial" w:hAnsi="Arial"/>
          <w:sz w:val="22"/>
          <w:szCs w:val="22"/>
          <w:color w:val="010000"/>
        </w:rPr>
      </w:pPr>
    </w:p>
    <w:p>
      <w:pPr>
        <w:ind w:firstLine="1304"/>
        <w:spacing w:after="0" w:line="284" w:lineRule="auto"/>
        <w:tabs>
          <w:tab w:leader="none" w:pos="1590" w:val="left"/>
        </w:tabs>
        <w:numPr>
          <w:ilvl w:val="0"/>
          <w:numId w:val="297"/>
        </w:numPr>
        <w:rPr>
          <w:rFonts w:ascii="Arial" w:cs="Arial" w:eastAsia="Arial" w:hAnsi="Arial"/>
          <w:sz w:val="19"/>
          <w:szCs w:val="19"/>
          <w:color w:val="010000"/>
        </w:rPr>
      </w:pPr>
      <w:r>
        <w:rPr>
          <w:rFonts w:ascii="Arial" w:cs="Arial" w:eastAsia="Arial" w:hAnsi="Arial"/>
          <w:sz w:val="19"/>
          <w:szCs w:val="19"/>
          <w:u w:val="single" w:color="auto"/>
          <w:color w:val="auto"/>
        </w:rPr>
        <w:t>Cause</w:t>
      </w:r>
      <w:r>
        <w:rPr>
          <w:rFonts w:ascii="Arial" w:cs="Arial" w:eastAsia="Arial" w:hAnsi="Arial"/>
          <w:sz w:val="19"/>
          <w:szCs w:val="19"/>
          <w:color w:val="auto"/>
        </w:rPr>
        <w:t>. The Company may terminate Employee’s employment hereunder for Cause by written notice at any time. For purposes of this Agreement, the term “</w:t>
      </w:r>
      <w:r>
        <w:rPr>
          <w:rFonts w:ascii="Arial" w:cs="Arial" w:eastAsia="Arial" w:hAnsi="Arial"/>
          <w:sz w:val="19"/>
          <w:szCs w:val="19"/>
          <w:u w:val="single" w:color="auto"/>
          <w:color w:val="auto"/>
        </w:rPr>
        <w:t>Cause</w:t>
      </w:r>
      <w:r>
        <w:rPr>
          <w:rFonts w:ascii="Arial" w:cs="Arial" w:eastAsia="Arial" w:hAnsi="Arial"/>
          <w:sz w:val="19"/>
          <w:szCs w:val="19"/>
          <w:color w:val="auto"/>
        </w:rPr>
        <w:t>” shall mean Employee’s (i) gross negligence or willful failure to perform his duties hereunder or willful refusal to follow any lawful directive of the Reporting Person; (ii) abuse of or dependency on alcohol or drugs (illicit or otherwise) that adversely affects Employee’s performance of duties hereunder; (iii) commission of any fraud, embezzlement, theft or dishonesty, or any deliberate misappropriation of money or other assets of the Company; (iv) breach of any term of this Agreement, including, without limitation, by virtue of failing to provide at least 30 days’ advanced written notice of resignation as required by Section 5(f), or any agreement governing any of the long-term incentive compensation or equity compensation awards granted to Employee by the Company, its affiliates or any of their respective predecessors (the “</w:t>
      </w:r>
      <w:r>
        <w:rPr>
          <w:rFonts w:ascii="Arial" w:cs="Arial" w:eastAsia="Arial" w:hAnsi="Arial"/>
          <w:sz w:val="19"/>
          <w:szCs w:val="19"/>
          <w:u w:val="single" w:color="auto"/>
          <w:color w:val="auto"/>
        </w:rPr>
        <w:t>Long-Term Incentive Compensation</w:t>
      </w:r>
      <w:r>
        <w:rPr>
          <w:rFonts w:ascii="Arial" w:cs="Arial" w:eastAsia="Arial" w:hAnsi="Arial"/>
          <w:sz w:val="19"/>
          <w:szCs w:val="19"/>
          <w:color w:val="auto"/>
        </w:rPr>
        <w:t>”), in each case, prior to a Change of Control, or breach of his fiduciary duties to the Company; (v) any willful act, or failure to act, in bad faith to the detriment of the Company; (vi) willful failure to cooperate in good faith with a governmental or internal investigation of the Company or any of its directors, managers, officers or employees, if the Company requests his cooperation; (vii) prior to a Change in Control, failure to follow the Company’s code of conduct or ethics policy; and (viii) conviction of, or plea of nolo contendere to, a felony or any serious crime; provided that, the Company will provide Employee with written notice describing the facts and circumstances that the Company believes constitutes Cause and, in cases where cure is possible, Employee shall first be provided a 15-day cure period. If, subsequent to Employee’s termination of employment hereunder for any reason other than by the Company for Cause, it is determined in good faith by the Reporting Person that Employee’s employment could have been terminated by the Company for Cause pursuant to this Section 5(c), Employee’s employment shall, at the election of the Reporting Person at any time up to two years after Employee’s termination of employment but in no event more than six months after the Reporting Person learns of the facts or events that could give rise to the termination for Cause, be deemed to have been terminated for Cause retroactively to the date the events giving rise to Cause occurred, provided that the Company’s ability to deem an Employee’s employment under this sentence to be terminated for Cause shall lapse upon a Change of Control.</w:t>
      </w:r>
    </w:p>
    <w:p>
      <w:pPr>
        <w:spacing w:after="0" w:line="200" w:lineRule="exact"/>
        <w:rPr>
          <w:rFonts w:ascii="Arial" w:cs="Arial" w:eastAsia="Arial" w:hAnsi="Arial"/>
          <w:sz w:val="19"/>
          <w:szCs w:val="19"/>
          <w:color w:val="010000"/>
        </w:rPr>
      </w:pPr>
    </w:p>
    <w:p>
      <w:pPr>
        <w:spacing w:after="0" w:line="229" w:lineRule="exact"/>
        <w:rPr>
          <w:rFonts w:ascii="Arial" w:cs="Arial" w:eastAsia="Arial" w:hAnsi="Arial"/>
          <w:sz w:val="19"/>
          <w:szCs w:val="19"/>
          <w:color w:val="010000"/>
        </w:rPr>
      </w:pPr>
    </w:p>
    <w:p>
      <w:pPr>
        <w:ind w:left="1600" w:hanging="296"/>
        <w:spacing w:after="0"/>
        <w:tabs>
          <w:tab w:leader="none" w:pos="1600" w:val="left"/>
        </w:tabs>
        <w:numPr>
          <w:ilvl w:val="0"/>
          <w:numId w:val="297"/>
        </w:numPr>
        <w:rPr>
          <w:rFonts w:ascii="Arial" w:cs="Arial" w:eastAsia="Arial" w:hAnsi="Arial"/>
          <w:sz w:val="19"/>
          <w:szCs w:val="19"/>
          <w:color w:val="010000"/>
        </w:rPr>
      </w:pPr>
      <w:r>
        <w:rPr>
          <w:rFonts w:ascii="Arial" w:cs="Arial" w:eastAsia="Arial" w:hAnsi="Arial"/>
          <w:sz w:val="19"/>
          <w:szCs w:val="19"/>
          <w:u w:val="single" w:color="auto"/>
          <w:color w:val="auto"/>
        </w:rPr>
        <w:t>Without Cause</w:t>
      </w:r>
      <w:r>
        <w:rPr>
          <w:rFonts w:ascii="Arial" w:cs="Arial" w:eastAsia="Arial" w:hAnsi="Arial"/>
          <w:sz w:val="19"/>
          <w:szCs w:val="19"/>
          <w:color w:val="auto"/>
        </w:rPr>
        <w:t>. The Company may terminate Employee’s employment hereunder without Cause by written</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notice at any time.</w:t>
      </w:r>
    </w:p>
    <w:p>
      <w:pPr>
        <w:spacing w:after="0" w:line="201" w:lineRule="exact"/>
        <w:rPr>
          <w:rFonts w:ascii="Arial" w:cs="Arial" w:eastAsia="Arial" w:hAnsi="Arial"/>
          <w:sz w:val="19"/>
          <w:szCs w:val="19"/>
          <w:color w:val="010000"/>
        </w:rPr>
      </w:pPr>
    </w:p>
    <w:p>
      <w:pPr>
        <w:ind w:right="40" w:firstLine="1304"/>
        <w:spacing w:after="0" w:line="259" w:lineRule="auto"/>
        <w:tabs>
          <w:tab w:leader="none" w:pos="1590" w:val="left"/>
        </w:tabs>
        <w:numPr>
          <w:ilvl w:val="0"/>
          <w:numId w:val="297"/>
        </w:numPr>
        <w:rPr>
          <w:rFonts w:ascii="Arial" w:cs="Arial" w:eastAsia="Arial" w:hAnsi="Arial"/>
          <w:sz w:val="21"/>
          <w:szCs w:val="21"/>
          <w:color w:val="010000"/>
        </w:rPr>
      </w:pPr>
      <w:r>
        <w:rPr>
          <w:rFonts w:ascii="Arial" w:cs="Arial" w:eastAsia="Arial" w:hAnsi="Arial"/>
          <w:sz w:val="21"/>
          <w:szCs w:val="21"/>
          <w:u w:val="single" w:color="auto"/>
          <w:color w:val="auto"/>
        </w:rPr>
        <w:t>Good Reason</w:t>
      </w:r>
      <w:r>
        <w:rPr>
          <w:rFonts w:ascii="Arial" w:cs="Arial" w:eastAsia="Arial" w:hAnsi="Arial"/>
          <w:sz w:val="21"/>
          <w:szCs w:val="21"/>
          <w:color w:val="auto"/>
        </w:rPr>
        <w:t>. Upon or during the two-year period following a Change of Control, Employee may terminate his employment hereunder for Good Reason in accordance with the terms of this Section 5(e). For purposes of this Agreement, “</w:t>
      </w:r>
      <w:r>
        <w:rPr>
          <w:rFonts w:ascii="Arial" w:cs="Arial" w:eastAsia="Arial" w:hAnsi="Arial"/>
          <w:sz w:val="21"/>
          <w:szCs w:val="21"/>
          <w:u w:val="single" w:color="auto"/>
          <w:color w:val="auto"/>
        </w:rPr>
        <w:t>Good Reason</w:t>
      </w:r>
      <w:r>
        <w:rPr>
          <w:rFonts w:ascii="Arial" w:cs="Arial" w:eastAsia="Arial" w:hAnsi="Arial"/>
          <w:sz w:val="21"/>
          <w:szCs w:val="21"/>
          <w:color w:val="auto"/>
        </w:rPr>
        <w:t>” shall mean, without first obtaining Employee’s written consent: (i) the Company materially breaches the terms of this Agreement; (ii) the Company materially diminishes Employee’s title, duties, authorities, reporting relationship(s), responsibilities or position from any of those in effect immediately preceding the Change of Control (including by virtue of Employee not having duties of a senior executive of a publicly-traded company) or as subsequently increased or enhanced; (iii) the Company reduces the Base Salary or Target Bonus; or (iv) the Company requires that Employee be based in a location that is more than 35 miles from the location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66" w:right="339" w:bottom="1440" w:gutter="0" w:footer="0" w:header="0"/>
        </w:sectPr>
      </w:pPr>
    </w:p>
    <w:bookmarkStart w:id="369" w:name="page370"/>
    <w:bookmarkEnd w:id="369"/>
    <w:p>
      <w:pPr>
        <w:spacing w:after="0"/>
        <w:rPr>
          <w:sz w:val="20"/>
          <w:szCs w:val="20"/>
          <w:color w:val="auto"/>
        </w:rPr>
      </w:pPr>
      <w:r>
        <w:rPr>
          <w:rFonts w:ascii="Arial" w:cs="Arial" w:eastAsia="Arial" w:hAnsi="Arial"/>
          <w:sz w:val="19"/>
          <w:szCs w:val="19"/>
          <w:color w:val="auto"/>
        </w:rPr>
        <w:t>Employee’s employment immediately prior to a Change of Control; or (v) Employee not reporting directly and exclusively to the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board of directors of a publicly-traded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first be provided a 30-day cure period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Cure Period</w:t>
      </w:r>
      <w:r>
        <w:rPr>
          <w:rFonts w:ascii="Arial" w:cs="Arial" w:eastAsia="Arial" w:hAnsi="Arial"/>
          <w:sz w:val="19"/>
          <w:szCs w:val="19"/>
          <w:color w:val="auto"/>
        </w:rPr>
        <w:t>”), following receipt of written notice setting forth in reasonable detail the specific event, circumstance or conduct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Company that constitutes Good Reason, to cease, and to cure, any event, circumstance or conduct specified in such written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notice, if curable;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such notice shall be provided to the Company within 45 days of the occurrence of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event, circumstance or conduct constituting Good Reason. If, at the end of the Cure Period, the event, circumstance or conduct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that constitutes Good Reason has not been remedied, Employee will be entitled to terminate employment for Good Reason during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the 90-day period that follows the end of the Cure Period. If Employee does not terminate employment during such 90-day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period, Employee will not be permitted to terminate employment for Good Reason as a result of such event, circumstance or</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conduct.</w:t>
      </w:r>
    </w:p>
    <w:p>
      <w:pPr>
        <w:spacing w:after="0" w:line="202" w:lineRule="exact"/>
        <w:rPr>
          <w:sz w:val="20"/>
          <w:szCs w:val="20"/>
          <w:color w:val="auto"/>
        </w:rPr>
      </w:pPr>
    </w:p>
    <w:p>
      <w:pPr>
        <w:ind w:right="280" w:firstLine="1304"/>
        <w:spacing w:after="0" w:line="263" w:lineRule="auto"/>
        <w:tabs>
          <w:tab w:leader="none" w:pos="1566" w:val="left"/>
        </w:tabs>
        <w:numPr>
          <w:ilvl w:val="1"/>
          <w:numId w:val="298"/>
        </w:numPr>
        <w:rPr>
          <w:rFonts w:ascii="Arial" w:cs="Arial" w:eastAsia="Arial" w:hAnsi="Arial"/>
          <w:sz w:val="22"/>
          <w:szCs w:val="22"/>
          <w:color w:val="010000"/>
        </w:rPr>
      </w:pPr>
      <w:r>
        <w:rPr>
          <w:rFonts w:ascii="Arial" w:cs="Arial" w:eastAsia="Arial" w:hAnsi="Arial"/>
          <w:sz w:val="22"/>
          <w:szCs w:val="22"/>
          <w:u w:val="single" w:color="auto"/>
          <w:color w:val="auto"/>
        </w:rPr>
        <w:t>Resignation</w:t>
      </w:r>
      <w:r>
        <w:rPr>
          <w:rFonts w:ascii="Arial" w:cs="Arial" w:eastAsia="Arial" w:hAnsi="Arial"/>
          <w:sz w:val="22"/>
          <w:szCs w:val="22"/>
          <w:color w:val="auto"/>
        </w:rPr>
        <w:t>. Employee may terminate his employment hereunder at any time upon at least 30 days’ advance written notice to the Company.</w:t>
      </w:r>
    </w:p>
    <w:p>
      <w:pPr>
        <w:spacing w:after="0" w:line="174" w:lineRule="exact"/>
        <w:rPr>
          <w:rFonts w:ascii="Arial" w:cs="Arial" w:eastAsia="Arial" w:hAnsi="Arial"/>
          <w:sz w:val="22"/>
          <w:szCs w:val="22"/>
          <w:color w:val="010000"/>
        </w:rPr>
      </w:pPr>
    </w:p>
    <w:p>
      <w:pPr>
        <w:ind w:right="280" w:firstLine="1304"/>
        <w:spacing w:after="0" w:line="297" w:lineRule="auto"/>
        <w:tabs>
          <w:tab w:leader="none" w:pos="1602" w:val="left"/>
        </w:tabs>
        <w:numPr>
          <w:ilvl w:val="1"/>
          <w:numId w:val="298"/>
        </w:numPr>
        <w:rPr>
          <w:rFonts w:ascii="Arial" w:cs="Arial" w:eastAsia="Arial" w:hAnsi="Arial"/>
          <w:sz w:val="19"/>
          <w:szCs w:val="19"/>
          <w:color w:val="010000"/>
        </w:rPr>
      </w:pPr>
      <w:r>
        <w:rPr>
          <w:rFonts w:ascii="Arial" w:cs="Arial" w:eastAsia="Arial" w:hAnsi="Arial"/>
          <w:sz w:val="19"/>
          <w:szCs w:val="19"/>
          <w:u w:val="single" w:color="auto"/>
          <w:color w:val="auto"/>
        </w:rPr>
        <w:t>Disability</w:t>
      </w:r>
      <w:r>
        <w:rPr>
          <w:rFonts w:ascii="Arial" w:cs="Arial" w:eastAsia="Arial" w:hAnsi="Arial"/>
          <w:sz w:val="19"/>
          <w:szCs w:val="19"/>
          <w:color w:val="auto"/>
        </w:rPr>
        <w:t>. Employee’s employment hereunder shall terminate in the event of Employee’s Disability. For purposes of this Agreement,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the inability of Employee, due to illness, accident or any other physical or mental incapacity, to perform Employee’s duties for the Company for an aggregate of 180 days within any period of 12 consecutive months, which inability is determined to be total and permanent by a board-certified physician selected by the Company, and the determination of such physician shall be binding upon Employee and the Company.</w:t>
      </w:r>
    </w:p>
    <w:p>
      <w:pPr>
        <w:spacing w:after="0" w:line="146" w:lineRule="exact"/>
        <w:rPr>
          <w:rFonts w:ascii="Arial" w:cs="Arial" w:eastAsia="Arial" w:hAnsi="Arial"/>
          <w:sz w:val="19"/>
          <w:szCs w:val="19"/>
          <w:color w:val="010000"/>
        </w:rPr>
      </w:pPr>
    </w:p>
    <w:p>
      <w:pPr>
        <w:ind w:right="20" w:firstLine="1304"/>
        <w:spacing w:after="0" w:line="259" w:lineRule="auto"/>
        <w:tabs>
          <w:tab w:leader="none" w:pos="1602" w:val="left"/>
        </w:tabs>
        <w:numPr>
          <w:ilvl w:val="1"/>
          <w:numId w:val="298"/>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u w:val="single" w:color="auto"/>
          <w:color w:val="auto"/>
        </w:rPr>
        <w:t>Date of Termination</w:t>
      </w:r>
      <w:r>
        <w:rPr>
          <w:rFonts w:ascii="Arial" w:cs="Arial" w:eastAsia="Arial" w:hAnsi="Arial"/>
          <w:sz w:val="21"/>
          <w:szCs w:val="21"/>
          <w:color w:val="auto"/>
        </w:rPr>
        <w:t>” shall mean: (i) the scheduled expiration of the Term in the event of termination of Employee’s employment pursuant to Section 5(a) of this Agreement; (ii) the date of Employee’s death in the event of termination of Employee’s employment pursuant to Section 5(b) of this Agreement; (iii) the date of the Company’s delivery of a notice of termination to Employee or such later date as specified in such notice in the event of termination by the Company pursuant to Section 5(c) or 5(d) of this Agreement; (iv) the 30th day following delivery of Employee’s notice to the Company of his resignation in accordance with Section 5(f) (or such earlier date as selected by the Company); (v) the date specified in accordance with Section 5(e) in the event of Employee’s resignation for Good Reason upon or during the two years following a Change of Control; and (vi) the date of a determination of Employee’s Disability in the event of a termination of Employee’s employment pursuant to Section 5(g) of this Agreement.</w:t>
      </w:r>
    </w:p>
    <w:p>
      <w:pPr>
        <w:spacing w:after="0" w:line="179" w:lineRule="exact"/>
        <w:rPr>
          <w:rFonts w:ascii="Arial" w:cs="Arial" w:eastAsia="Arial" w:hAnsi="Arial"/>
          <w:sz w:val="21"/>
          <w:szCs w:val="21"/>
          <w:color w:val="010000"/>
        </w:rPr>
      </w:pPr>
    </w:p>
    <w:p>
      <w:pPr>
        <w:ind w:firstLine="656"/>
        <w:spacing w:after="0" w:line="260" w:lineRule="auto"/>
        <w:tabs>
          <w:tab w:leader="none" w:pos="864" w:val="left"/>
        </w:tabs>
        <w:numPr>
          <w:ilvl w:val="0"/>
          <w:numId w:val="299"/>
        </w:numPr>
        <w:rPr>
          <w:rFonts w:ascii="Arial" w:cs="Arial" w:eastAsia="Arial" w:hAnsi="Arial"/>
          <w:sz w:val="21"/>
          <w:szCs w:val="21"/>
          <w:color w:val="010000"/>
        </w:rPr>
      </w:pPr>
      <w:r>
        <w:rPr>
          <w:rFonts w:ascii="Arial" w:cs="Arial" w:eastAsia="Arial" w:hAnsi="Arial"/>
          <w:sz w:val="21"/>
          <w:szCs w:val="21"/>
          <w:u w:val="single" w:color="auto"/>
          <w:color w:val="auto"/>
        </w:rPr>
        <w:t>Termination Payments</w:t>
      </w:r>
      <w:r>
        <w:rPr>
          <w:rFonts w:ascii="Arial" w:cs="Arial" w:eastAsia="Arial" w:hAnsi="Arial"/>
          <w:sz w:val="21"/>
          <w:szCs w:val="21"/>
          <w:color w:val="auto"/>
        </w:rPr>
        <w:t xml:space="preserve">. (a) </w:t>
      </w:r>
      <w:r>
        <w:rPr>
          <w:rFonts w:ascii="Arial" w:cs="Arial" w:eastAsia="Arial" w:hAnsi="Arial"/>
          <w:sz w:val="21"/>
          <w:szCs w:val="21"/>
          <w:u w:val="single" w:color="auto"/>
          <w:color w:val="auto"/>
        </w:rPr>
        <w:t>General</w:t>
      </w:r>
      <w:r>
        <w:rPr>
          <w:rFonts w:ascii="Arial" w:cs="Arial" w:eastAsia="Arial" w:hAnsi="Arial"/>
          <w:sz w:val="21"/>
          <w:szCs w:val="21"/>
          <w:color w:val="auto"/>
        </w:rPr>
        <w:t>. Except as otherwise set forth in this Section 6, following any termination of Employee’s employment hereunder, the obligations of the Company to pay or provide Employee with compensation and benefits under Section 3 of this Agreement shall cease, and the Company shall have no further obligations to provide compensation or benefits to Employee hereunder except for payment of (i) any unpaid Base Salary accrued through the Date of Termination; (ii) to the extent required by law, any unused vacation accrued through the Date of Termination, and (iii) any unpaid or unreimbursed obligations and expenses under Section 3(e) of this Agreement accrued or incurred through the Date of Termination (collectively items 6(a)(i) through 6(a)(iii) above, the “</w:t>
      </w:r>
      <w:r>
        <w:rPr>
          <w:rFonts w:ascii="Arial" w:cs="Arial" w:eastAsia="Arial" w:hAnsi="Arial"/>
          <w:sz w:val="21"/>
          <w:szCs w:val="21"/>
          <w:u w:val="single" w:color="auto"/>
          <w:color w:val="auto"/>
        </w:rPr>
        <w:t>Accrued Benefits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66" w:right="339" w:bottom="1440" w:gutter="0" w:footer="0" w:header="0"/>
        </w:sectPr>
      </w:pPr>
    </w:p>
    <w:bookmarkStart w:id="370" w:name="page371"/>
    <w:bookmarkEnd w:id="370"/>
    <w:p>
      <w:pPr>
        <w:ind w:right="40"/>
        <w:spacing w:after="0" w:line="297" w:lineRule="auto"/>
        <w:rPr>
          <w:sz w:val="20"/>
          <w:szCs w:val="20"/>
          <w:color w:val="auto"/>
        </w:rPr>
      </w:pPr>
      <w:r>
        <w:rPr>
          <w:rFonts w:ascii="Arial" w:cs="Arial" w:eastAsia="Arial" w:hAnsi="Arial"/>
          <w:sz w:val="19"/>
          <w:szCs w:val="19"/>
          <w:color w:val="auto"/>
        </w:rPr>
        <w:t>The payments referred to in Sections 6(a)(i) and 6(a)(ii) of this Agreement shall be paid within 30 days following the Date of Termination, subject to compliance with Section 409A of the Internal Revenue Code of 1986, as amended (“</w:t>
      </w:r>
      <w:r>
        <w:rPr>
          <w:rFonts w:ascii="Arial" w:cs="Arial" w:eastAsia="Arial" w:hAnsi="Arial"/>
          <w:sz w:val="19"/>
          <w:szCs w:val="19"/>
          <w:u w:val="single" w:color="auto"/>
          <w:color w:val="auto"/>
        </w:rPr>
        <w:t>Section 409A</w:t>
      </w:r>
      <w:r>
        <w:rPr>
          <w:rFonts w:ascii="Arial" w:cs="Arial" w:eastAsia="Arial" w:hAnsi="Arial"/>
          <w:sz w:val="19"/>
          <w:szCs w:val="19"/>
          <w:color w:val="auto"/>
        </w:rPr>
        <w:t>”). The payments referred to in Section 6(a)(iii) of this Agreement shall be paid at the times such amounts would otherwise be paid had Employee’s services hereunder not terminated. The payments and benefits to be provided to Employee under Sections 6(c) and 6(d) of this Agreement, if any, shall in all events be subject to the satisfaction of the conditions of Section 6(e) of this Agreement.</w:t>
      </w:r>
    </w:p>
    <w:p>
      <w:pPr>
        <w:spacing w:after="0" w:line="147" w:lineRule="exact"/>
        <w:rPr>
          <w:sz w:val="20"/>
          <w:szCs w:val="20"/>
          <w:color w:val="auto"/>
        </w:rPr>
      </w:pPr>
    </w:p>
    <w:p>
      <w:pPr>
        <w:ind w:right="80" w:firstLine="1304"/>
        <w:spacing w:after="0" w:line="250" w:lineRule="auto"/>
        <w:tabs>
          <w:tab w:leader="none" w:pos="1602" w:val="left"/>
        </w:tabs>
        <w:numPr>
          <w:ilvl w:val="1"/>
          <w:numId w:val="300"/>
        </w:numPr>
        <w:rPr>
          <w:rFonts w:ascii="Arial" w:cs="Arial" w:eastAsia="Arial" w:hAnsi="Arial"/>
          <w:sz w:val="22"/>
          <w:szCs w:val="22"/>
          <w:color w:val="010000"/>
        </w:rPr>
      </w:pPr>
      <w:r>
        <w:rPr>
          <w:rFonts w:ascii="Arial" w:cs="Arial" w:eastAsia="Arial" w:hAnsi="Arial"/>
          <w:sz w:val="22"/>
          <w:szCs w:val="22"/>
          <w:u w:val="single" w:color="auto"/>
          <w:color w:val="auto"/>
        </w:rPr>
        <w:t>Automatic Expiration of the Term, Resignation, Cause, or Disability</w:t>
      </w:r>
      <w:r>
        <w:rPr>
          <w:rFonts w:ascii="Arial" w:cs="Arial" w:eastAsia="Arial" w:hAnsi="Arial"/>
          <w:sz w:val="22"/>
          <w:szCs w:val="22"/>
          <w:color w:val="auto"/>
        </w:rPr>
        <w:t>. If Employee’s employment is terminated pursuant to Section 5(a), 5(c), 5(f) or 5(g) of this Agreement (excluding, for the avoidance of doubt, a resignation for Good Reason upon or within two years following a Change of Control as described in Section 6(d)), the Company shall have no obligation to Employee other than with respect to the Accrued Benefits.</w:t>
      </w:r>
    </w:p>
    <w:p>
      <w:pPr>
        <w:spacing w:after="0" w:line="187" w:lineRule="exact"/>
        <w:rPr>
          <w:rFonts w:ascii="Arial" w:cs="Arial" w:eastAsia="Arial" w:hAnsi="Arial"/>
          <w:sz w:val="22"/>
          <w:szCs w:val="22"/>
          <w:color w:val="010000"/>
        </w:rPr>
      </w:pPr>
    </w:p>
    <w:p>
      <w:pPr>
        <w:ind w:right="180" w:firstLine="1304"/>
        <w:spacing w:after="0" w:line="271" w:lineRule="auto"/>
        <w:tabs>
          <w:tab w:leader="none" w:pos="1590" w:val="left"/>
        </w:tabs>
        <w:numPr>
          <w:ilvl w:val="1"/>
          <w:numId w:val="300"/>
        </w:numPr>
        <w:rPr>
          <w:rFonts w:ascii="Arial" w:cs="Arial" w:eastAsia="Arial" w:hAnsi="Arial"/>
          <w:sz w:val="21"/>
          <w:szCs w:val="21"/>
          <w:color w:val="010000"/>
        </w:rPr>
      </w:pPr>
      <w:r>
        <w:rPr>
          <w:rFonts w:ascii="Arial" w:cs="Arial" w:eastAsia="Arial" w:hAnsi="Arial"/>
          <w:sz w:val="21"/>
          <w:szCs w:val="21"/>
          <w:u w:val="single" w:color="auto"/>
          <w:color w:val="auto"/>
        </w:rPr>
        <w:t>Death, Without Cause</w:t>
      </w:r>
      <w:r>
        <w:rPr>
          <w:rFonts w:ascii="Arial" w:cs="Arial" w:eastAsia="Arial" w:hAnsi="Arial"/>
          <w:sz w:val="21"/>
          <w:szCs w:val="21"/>
          <w:color w:val="auto"/>
        </w:rPr>
        <w:t>. In the event of a termination by reason of Employee’s death or in the event that, either prior to a Change of Control or more than two years following a Change of Control, the Company terminates Employee’s employment hereunder without Cause, Employee (or his estate) shall be entitled to:</w:t>
      </w:r>
    </w:p>
    <w:p>
      <w:pPr>
        <w:spacing w:after="0" w:line="167" w:lineRule="exact"/>
        <w:rPr>
          <w:rFonts w:ascii="Arial" w:cs="Arial" w:eastAsia="Arial" w:hAnsi="Arial"/>
          <w:sz w:val="21"/>
          <w:szCs w:val="21"/>
          <w:color w:val="010000"/>
        </w:rPr>
      </w:pPr>
    </w:p>
    <w:p>
      <w:pPr>
        <w:ind w:left="2200" w:hanging="248"/>
        <w:spacing w:after="0"/>
        <w:tabs>
          <w:tab w:leader="none" w:pos="2200" w:val="left"/>
        </w:tabs>
        <w:numPr>
          <w:ilvl w:val="2"/>
          <w:numId w:val="300"/>
        </w:numPr>
        <w:rPr>
          <w:rFonts w:ascii="Arial" w:cs="Arial" w:eastAsia="Arial" w:hAnsi="Arial"/>
          <w:sz w:val="22"/>
          <w:szCs w:val="22"/>
          <w:color w:val="010000"/>
        </w:rPr>
      </w:pPr>
      <w:r>
        <w:rPr>
          <w:rFonts w:ascii="Arial" w:cs="Arial" w:eastAsia="Arial" w:hAnsi="Arial"/>
          <w:sz w:val="22"/>
          <w:szCs w:val="22"/>
          <w:color w:val="auto"/>
        </w:rPr>
        <w:t>the Accrued Benefits;</w:t>
      </w:r>
    </w:p>
    <w:p>
      <w:pPr>
        <w:spacing w:after="0" w:line="219" w:lineRule="exact"/>
        <w:rPr>
          <w:rFonts w:ascii="Arial" w:cs="Arial" w:eastAsia="Arial" w:hAnsi="Arial"/>
          <w:sz w:val="22"/>
          <w:szCs w:val="22"/>
          <w:color w:val="010000"/>
        </w:rPr>
      </w:pPr>
    </w:p>
    <w:p>
      <w:pPr>
        <w:ind w:right="120" w:firstLine="1952"/>
        <w:spacing w:after="0" w:line="285" w:lineRule="auto"/>
        <w:tabs>
          <w:tab w:leader="none" w:pos="2262" w:val="left"/>
        </w:tabs>
        <w:numPr>
          <w:ilvl w:val="2"/>
          <w:numId w:val="300"/>
        </w:numPr>
        <w:rPr>
          <w:rFonts w:ascii="Arial" w:cs="Arial" w:eastAsia="Arial" w:hAnsi="Arial"/>
          <w:sz w:val="19"/>
          <w:szCs w:val="19"/>
          <w:color w:val="010000"/>
        </w:rPr>
      </w:pPr>
      <w:r>
        <w:rPr>
          <w:rFonts w:ascii="Arial" w:cs="Arial" w:eastAsia="Arial" w:hAnsi="Arial"/>
          <w:sz w:val="19"/>
          <w:szCs w:val="19"/>
          <w:color w:val="auto"/>
        </w:rPr>
        <w:t>solely in the case of a termination by the Company without Cause, a cash payment (the “</w:t>
      </w:r>
      <w:r>
        <w:rPr>
          <w:rFonts w:ascii="Arial" w:cs="Arial" w:eastAsia="Arial" w:hAnsi="Arial"/>
          <w:sz w:val="19"/>
          <w:szCs w:val="19"/>
          <w:u w:val="single" w:color="auto"/>
          <w:color w:val="auto"/>
        </w:rPr>
        <w:t>Severance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equal to twelve (12) months’ Base Salary, as in effect on the Date of Termination (payable subject to the terms of Section 6(e) of this Agreement), plus any Annual Bonus that the Company has notified Employee in writing that Employee has earned prior to the Date of Termination but is unpaid as of the Date of Termination, and, except in the case of a termination by reason of Employee’s death, medical and dental coverage for a period of six months from the Date of Termination; provided that</w:t>
      </w:r>
    </w:p>
    <w:p>
      <w:pPr>
        <w:spacing w:after="0" w:line="3" w:lineRule="exact"/>
        <w:rPr>
          <w:rFonts w:ascii="Arial" w:cs="Arial" w:eastAsia="Arial" w:hAnsi="Arial"/>
          <w:sz w:val="19"/>
          <w:szCs w:val="19"/>
          <w:color w:val="010000"/>
        </w:rPr>
      </w:pPr>
    </w:p>
    <w:p>
      <w:pPr>
        <w:ind w:firstLine="8"/>
        <w:spacing w:after="0" w:line="259" w:lineRule="auto"/>
        <w:tabs>
          <w:tab w:leader="none" w:pos="306" w:val="left"/>
        </w:tabs>
        <w:numPr>
          <w:ilvl w:val="0"/>
          <w:numId w:val="301"/>
        </w:numPr>
        <w:rPr>
          <w:rFonts w:ascii="Arial" w:cs="Arial" w:eastAsia="Arial" w:hAnsi="Arial"/>
          <w:sz w:val="21"/>
          <w:szCs w:val="21"/>
          <w:color w:val="auto"/>
        </w:rPr>
      </w:pPr>
      <w:r>
        <w:rPr>
          <w:rFonts w:ascii="Arial" w:cs="Arial" w:eastAsia="Arial" w:hAnsi="Arial"/>
          <w:sz w:val="21"/>
          <w:szCs w:val="21"/>
          <w:color w:val="auto"/>
        </w:rPr>
        <w:t>any monies Employee earns from any other work, whether as an employee or as an independent contractor, while Employee is receiving any Severance Payments shall reduce, on a dollar-for-dollar basis, the amount that the Company is obligated to pay Employee under this Section 6(c)(ii) and (y) if Employee secures other employment, any medical or dental benefits provided under this Section 6(c)(ii) shall cease as of the commencement of such employment; and</w:t>
      </w:r>
    </w:p>
    <w:p>
      <w:pPr>
        <w:spacing w:after="0" w:line="181" w:lineRule="exact"/>
        <w:rPr>
          <w:rFonts w:ascii="Arial" w:cs="Arial" w:eastAsia="Arial" w:hAnsi="Arial"/>
          <w:sz w:val="21"/>
          <w:szCs w:val="21"/>
          <w:color w:val="auto"/>
        </w:rPr>
      </w:pPr>
    </w:p>
    <w:p>
      <w:pPr>
        <w:ind w:right="40" w:firstLine="1952"/>
        <w:spacing w:after="0" w:line="263" w:lineRule="auto"/>
        <w:tabs>
          <w:tab w:leader="none" w:pos="2322" w:val="left"/>
        </w:tabs>
        <w:numPr>
          <w:ilvl w:val="2"/>
          <w:numId w:val="301"/>
        </w:numPr>
        <w:rPr>
          <w:rFonts w:ascii="Arial" w:cs="Arial" w:eastAsia="Arial" w:hAnsi="Arial"/>
          <w:sz w:val="22"/>
          <w:szCs w:val="22"/>
          <w:color w:val="010000"/>
        </w:rPr>
      </w:pPr>
      <w:r>
        <w:rPr>
          <w:rFonts w:ascii="Arial" w:cs="Arial" w:eastAsia="Arial" w:hAnsi="Arial"/>
          <w:sz w:val="22"/>
          <w:szCs w:val="22"/>
          <w:color w:val="auto"/>
        </w:rPr>
        <w:t>vesting of equity based or other long-term incentive compensation awards solely to the extent set forth in the applicable award agreement.</w:t>
      </w:r>
    </w:p>
    <w:p>
      <w:pPr>
        <w:spacing w:after="0" w:line="174" w:lineRule="exact"/>
        <w:rPr>
          <w:rFonts w:ascii="Arial" w:cs="Arial" w:eastAsia="Arial" w:hAnsi="Arial"/>
          <w:sz w:val="22"/>
          <w:szCs w:val="22"/>
          <w:color w:val="010000"/>
        </w:rPr>
      </w:pPr>
    </w:p>
    <w:p>
      <w:pPr>
        <w:jc w:val="both"/>
        <w:ind w:right="60" w:firstLine="1304"/>
        <w:spacing w:after="0" w:line="253" w:lineRule="auto"/>
        <w:tabs>
          <w:tab w:leader="none" w:pos="1602" w:val="left"/>
        </w:tabs>
        <w:numPr>
          <w:ilvl w:val="1"/>
          <w:numId w:val="301"/>
        </w:numPr>
        <w:rPr>
          <w:rFonts w:ascii="Arial" w:cs="Arial" w:eastAsia="Arial" w:hAnsi="Arial"/>
          <w:sz w:val="22"/>
          <w:szCs w:val="22"/>
          <w:color w:val="010000"/>
        </w:rPr>
      </w:pPr>
      <w:r>
        <w:rPr>
          <w:rFonts w:ascii="Arial" w:cs="Arial" w:eastAsia="Arial" w:hAnsi="Arial"/>
          <w:sz w:val="22"/>
          <w:szCs w:val="22"/>
          <w:u w:val="single" w:color="auto"/>
          <w:color w:val="auto"/>
        </w:rPr>
        <w:t>Without Cause or for Good Reason Following a Change of Control</w:t>
      </w:r>
      <w:r>
        <w:rPr>
          <w:rFonts w:ascii="Arial" w:cs="Arial" w:eastAsia="Arial" w:hAnsi="Arial"/>
          <w:sz w:val="22"/>
          <w:szCs w:val="22"/>
          <w:color w:val="auto"/>
        </w:rPr>
        <w:t>. In the event that, upon or within two years following a Change of Control, the Company terminates Employee’s employment hereunder without Cause or Employee resigns for Good Reason, Employee shall be entitled to:</w:t>
      </w:r>
    </w:p>
    <w:p>
      <w:pPr>
        <w:spacing w:after="0" w:line="185" w:lineRule="exact"/>
        <w:rPr>
          <w:rFonts w:ascii="Arial" w:cs="Arial" w:eastAsia="Arial" w:hAnsi="Arial"/>
          <w:sz w:val="22"/>
          <w:szCs w:val="22"/>
          <w:color w:val="010000"/>
        </w:rPr>
      </w:pPr>
    </w:p>
    <w:p>
      <w:pPr>
        <w:ind w:left="2200" w:hanging="248"/>
        <w:spacing w:after="0"/>
        <w:tabs>
          <w:tab w:leader="none" w:pos="2200" w:val="left"/>
        </w:tabs>
        <w:numPr>
          <w:ilvl w:val="2"/>
          <w:numId w:val="302"/>
        </w:numPr>
        <w:rPr>
          <w:rFonts w:ascii="Arial" w:cs="Arial" w:eastAsia="Arial" w:hAnsi="Arial"/>
          <w:sz w:val="22"/>
          <w:szCs w:val="22"/>
          <w:color w:val="010000"/>
        </w:rPr>
      </w:pPr>
      <w:r>
        <w:rPr>
          <w:rFonts w:ascii="Arial" w:cs="Arial" w:eastAsia="Arial" w:hAnsi="Arial"/>
          <w:sz w:val="22"/>
          <w:szCs w:val="22"/>
          <w:color w:val="auto"/>
        </w:rPr>
        <w:t>the Accrued Benefits;</w:t>
      </w:r>
    </w:p>
    <w:p>
      <w:pPr>
        <w:spacing w:after="0" w:line="219" w:lineRule="exact"/>
        <w:rPr>
          <w:rFonts w:ascii="Arial" w:cs="Arial" w:eastAsia="Arial" w:hAnsi="Arial"/>
          <w:sz w:val="22"/>
          <w:szCs w:val="22"/>
          <w:color w:val="010000"/>
        </w:rPr>
      </w:pPr>
    </w:p>
    <w:p>
      <w:pPr>
        <w:ind w:right="180" w:firstLine="1952"/>
        <w:spacing w:after="0" w:line="253" w:lineRule="auto"/>
        <w:tabs>
          <w:tab w:leader="none" w:pos="2262" w:val="left"/>
        </w:tabs>
        <w:numPr>
          <w:ilvl w:val="2"/>
          <w:numId w:val="302"/>
        </w:numPr>
        <w:rPr>
          <w:rFonts w:ascii="Arial" w:cs="Arial" w:eastAsia="Arial" w:hAnsi="Arial"/>
          <w:sz w:val="22"/>
          <w:szCs w:val="22"/>
          <w:color w:val="010000"/>
        </w:rPr>
      </w:pPr>
      <w:r>
        <w:rPr>
          <w:rFonts w:ascii="Arial" w:cs="Arial" w:eastAsia="Arial" w:hAnsi="Arial"/>
          <w:sz w:val="22"/>
          <w:szCs w:val="22"/>
          <w:color w:val="auto"/>
        </w:rPr>
        <w:t>a cash payment (the “</w:t>
      </w:r>
      <w:r>
        <w:rPr>
          <w:rFonts w:ascii="Arial" w:cs="Arial" w:eastAsia="Arial" w:hAnsi="Arial"/>
          <w:sz w:val="22"/>
          <w:szCs w:val="22"/>
          <w:u w:val="single" w:color="auto"/>
          <w:color w:val="auto"/>
        </w:rPr>
        <w:t>CIC Severance Payment</w:t>
      </w:r>
      <w:r>
        <w:rPr>
          <w:rFonts w:ascii="Arial" w:cs="Arial" w:eastAsia="Arial" w:hAnsi="Arial"/>
          <w:sz w:val="22"/>
          <w:szCs w:val="22"/>
          <w:color w:val="auto"/>
        </w:rPr>
        <w:t>”) equal to 2.99 times the sum of (A) the Base Salary as in effect on the Date of Termination (without regard to any reduction thereto that would provide a basis for Employee to resign for Good Reason)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266" w:right="339" w:bottom="1440" w:gutter="0" w:footer="0" w:header="0"/>
        </w:sectPr>
      </w:pPr>
    </w:p>
    <w:bookmarkStart w:id="371" w:name="page372"/>
    <w:bookmarkEnd w:id="371"/>
    <w:p>
      <w:pPr>
        <w:ind w:left="-8" w:right="200" w:firstLine="8"/>
        <w:spacing w:after="0" w:line="263" w:lineRule="auto"/>
        <w:tabs>
          <w:tab w:leader="none" w:pos="334" w:val="left"/>
        </w:tabs>
        <w:numPr>
          <w:ilvl w:val="0"/>
          <w:numId w:val="303"/>
        </w:numPr>
        <w:rPr>
          <w:rFonts w:ascii="Arial" w:cs="Arial" w:eastAsia="Arial" w:hAnsi="Arial"/>
          <w:sz w:val="22"/>
          <w:szCs w:val="22"/>
          <w:color w:val="auto"/>
        </w:rPr>
      </w:pPr>
      <w:r>
        <w:rPr>
          <w:rFonts w:ascii="Arial" w:cs="Arial" w:eastAsia="Arial" w:hAnsi="Arial"/>
          <w:sz w:val="22"/>
          <w:szCs w:val="22"/>
          <w:color w:val="auto"/>
        </w:rPr>
        <w:t>the Target Bonus as in effect on the Date of Termination (without regard to any reduction thereto that would provide a basis for Employee to resign for Good Reason);</w:t>
      </w:r>
    </w:p>
    <w:p>
      <w:pPr>
        <w:spacing w:after="0" w:line="174" w:lineRule="exact"/>
        <w:rPr>
          <w:rFonts w:ascii="Arial" w:cs="Arial" w:eastAsia="Arial" w:hAnsi="Arial"/>
          <w:sz w:val="22"/>
          <w:szCs w:val="22"/>
          <w:color w:val="auto"/>
        </w:rPr>
      </w:pPr>
    </w:p>
    <w:p>
      <w:pPr>
        <w:ind w:left="-8" w:right="180" w:firstLine="1952"/>
        <w:spacing w:after="0" w:line="250" w:lineRule="auto"/>
        <w:tabs>
          <w:tab w:leader="none" w:pos="2314" w:val="left"/>
        </w:tabs>
        <w:numPr>
          <w:ilvl w:val="2"/>
          <w:numId w:val="303"/>
        </w:numPr>
        <w:rPr>
          <w:rFonts w:ascii="Arial" w:cs="Arial" w:eastAsia="Arial" w:hAnsi="Arial"/>
          <w:sz w:val="22"/>
          <w:szCs w:val="22"/>
          <w:color w:val="010000"/>
        </w:rPr>
      </w:pPr>
      <w:r>
        <w:rPr>
          <w:rFonts w:ascii="Arial" w:cs="Arial" w:eastAsia="Arial" w:hAnsi="Arial"/>
          <w:sz w:val="22"/>
          <w:szCs w:val="22"/>
          <w:color w:val="auto"/>
        </w:rPr>
        <w:t>a cash payment equal to the product of (A) the Target Bonus as in effect on the Date of Termination (without regard to any reduction thereto that would provide a basis for Employee to resign for Good Reason) and (B) a fraction, the numerator of which is the number of days from January 1 in the year in which the Date of Termination occurs through the Date of Termination and the denominator of which is 365;</w:t>
      </w:r>
    </w:p>
    <w:p>
      <w:pPr>
        <w:spacing w:after="0" w:line="187" w:lineRule="exact"/>
        <w:rPr>
          <w:rFonts w:ascii="Arial" w:cs="Arial" w:eastAsia="Arial" w:hAnsi="Arial"/>
          <w:sz w:val="22"/>
          <w:szCs w:val="22"/>
          <w:color w:val="010000"/>
        </w:rPr>
      </w:pPr>
    </w:p>
    <w:p>
      <w:pPr>
        <w:ind w:left="-8" w:right="120" w:firstLine="1952"/>
        <w:spacing w:after="0" w:line="343" w:lineRule="auto"/>
        <w:tabs>
          <w:tab w:leader="none" w:pos="2302" w:val="left"/>
        </w:tabs>
        <w:numPr>
          <w:ilvl w:val="2"/>
          <w:numId w:val="303"/>
        </w:numPr>
        <w:rPr>
          <w:rFonts w:ascii="Arial" w:cs="Arial" w:eastAsia="Arial" w:hAnsi="Arial"/>
          <w:sz w:val="19"/>
          <w:szCs w:val="19"/>
          <w:color w:val="010000"/>
        </w:rPr>
      </w:pPr>
      <w:r>
        <w:rPr>
          <w:rFonts w:ascii="Arial" w:cs="Arial" w:eastAsia="Arial" w:hAnsi="Arial"/>
          <w:sz w:val="19"/>
          <w:szCs w:val="19"/>
          <w:color w:val="auto"/>
        </w:rPr>
        <w:t>a cash payment equal to the amount of any Annual Bonus that the Company has notified Employee in writing that Employee has earned prior to the Date of Termination but is unpaid as of the Date of Termination; and</w:t>
      </w:r>
    </w:p>
    <w:p>
      <w:pPr>
        <w:spacing w:after="0" w:line="104" w:lineRule="exact"/>
        <w:rPr>
          <w:rFonts w:ascii="Arial" w:cs="Arial" w:eastAsia="Arial" w:hAnsi="Arial"/>
          <w:sz w:val="19"/>
          <w:szCs w:val="19"/>
          <w:color w:val="010000"/>
        </w:rPr>
      </w:pPr>
    </w:p>
    <w:p>
      <w:pPr>
        <w:ind w:left="2252" w:hanging="308"/>
        <w:spacing w:after="0"/>
        <w:tabs>
          <w:tab w:leader="none" w:pos="2252" w:val="left"/>
        </w:tabs>
        <w:numPr>
          <w:ilvl w:val="2"/>
          <w:numId w:val="303"/>
        </w:numPr>
        <w:rPr>
          <w:rFonts w:ascii="Arial" w:cs="Arial" w:eastAsia="Arial" w:hAnsi="Arial"/>
          <w:sz w:val="22"/>
          <w:szCs w:val="22"/>
          <w:color w:val="010000"/>
        </w:rPr>
      </w:pPr>
      <w:r>
        <w:rPr>
          <w:rFonts w:ascii="Arial" w:cs="Arial" w:eastAsia="Arial" w:hAnsi="Arial"/>
          <w:sz w:val="22"/>
          <w:szCs w:val="22"/>
          <w:color w:val="auto"/>
        </w:rPr>
        <w:t>medical and dental coverage for a period of 24 months from the Date of Termination.</w:t>
      </w:r>
    </w:p>
    <w:p>
      <w:pPr>
        <w:spacing w:after="0" w:line="219" w:lineRule="exact"/>
        <w:rPr>
          <w:rFonts w:ascii="Arial" w:cs="Arial" w:eastAsia="Arial" w:hAnsi="Arial"/>
          <w:sz w:val="22"/>
          <w:szCs w:val="22"/>
          <w:color w:val="010000"/>
        </w:rPr>
      </w:pPr>
    </w:p>
    <w:p>
      <w:pPr>
        <w:ind w:left="-8" w:firstLine="1304"/>
        <w:spacing w:after="0" w:line="284" w:lineRule="auto"/>
        <w:tabs>
          <w:tab w:leader="none" w:pos="1582" w:val="left"/>
        </w:tabs>
        <w:numPr>
          <w:ilvl w:val="1"/>
          <w:numId w:val="303"/>
        </w:numPr>
        <w:rPr>
          <w:rFonts w:ascii="Arial" w:cs="Arial" w:eastAsia="Arial" w:hAnsi="Arial"/>
          <w:sz w:val="19"/>
          <w:szCs w:val="19"/>
          <w:color w:val="010000"/>
        </w:rPr>
      </w:pPr>
      <w:r>
        <w:rPr>
          <w:rFonts w:ascii="Arial" w:cs="Arial" w:eastAsia="Arial" w:hAnsi="Arial"/>
          <w:sz w:val="19"/>
          <w:szCs w:val="19"/>
          <w:u w:val="single" w:color="auto"/>
          <w:color w:val="auto"/>
        </w:rPr>
        <w:t>Conditions Precedent and Subsequent</w:t>
      </w:r>
      <w:r>
        <w:rPr>
          <w:rFonts w:ascii="Arial" w:cs="Arial" w:eastAsia="Arial" w:hAnsi="Arial"/>
          <w:sz w:val="19"/>
          <w:szCs w:val="19"/>
          <w:color w:val="auto"/>
        </w:rPr>
        <w:t xml:space="preserve">. The payments and benefits provided under Sections 6(c) and 6(d) of this Agreement (other than the Accrued Benefits and other than in the event of termination by reason of Employee’s death or Disability) are subject to and conditioned upon (i) Employee having provided, within 60 days after the Date of Termination (or such greater period as required by law), a waiver and general release agreement in a form satisfactory to the Company, which form shall, in the case of a termination on or following a Change of Control, be a form approved by the Compensation Committee prior to the Change of Control that shall not be modified on or after the Change of Control without Employee’s prior written consent, that has become effective and irrevocable in accordance with its terms, and (ii) Employee’s compliance with Sections 7 and 8 of this Agreement. Employee shall, upon request by the Company, be required to repay to the Company (net of any taxes paid by Employee on such payments), and the Company shall have no further obligation to pay, the Severance Payment or CIC Severance Payment, as applicable, in the event Employee receives, within six months after the occurrence of the breach, written notice from the Company that, in the reasonable judgment of the Reporting Person, Employee has materially breached his obligations under Section 7 or 8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cases where cure is possible, Employee shall first be provided a 15-day cure period to cease, and to cure, such conduct. The Severance Payment if any, payable hereunder shall be paid in substantially equal installments over the 6-month period, following the Date of Termination, consistent with the Company’s payroll practices, with the first installment to be paid within 65 days after the Date of Termination and with any installments that would otherwise have been paid prior to such date accumulated and paid in a lump sum on the first date on which payments are made in accordance with the terms of this sentence. The CIC Severance Payment, if any, payable hereunder shall be paid in one lump sum within 65 days after the Date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unless the CIC Severance Payment relates to a transaction that satisfies the requirements of Treas. Reg. § 1.409A-3(i)(5), any portion of the CIC Severance Payment that constitutes deferred compensation within the meaning of Section 409A, will be paid at the earliest date that is permitted in accordance with the schedule that is applicable to the Severance Payment.</w:t>
      </w:r>
    </w:p>
    <w:p>
      <w:pPr>
        <w:spacing w:after="0" w:line="173" w:lineRule="exact"/>
        <w:rPr>
          <w:rFonts w:ascii="Arial" w:cs="Arial" w:eastAsia="Arial" w:hAnsi="Arial"/>
          <w:sz w:val="19"/>
          <w:szCs w:val="19"/>
          <w:color w:val="010000"/>
        </w:rPr>
      </w:pPr>
    </w:p>
    <w:p>
      <w:pPr>
        <w:ind w:left="-8" w:right="40" w:firstLine="1304"/>
        <w:spacing w:after="0" w:line="263" w:lineRule="auto"/>
        <w:tabs>
          <w:tab w:leader="none" w:pos="1558" w:val="left"/>
        </w:tabs>
        <w:numPr>
          <w:ilvl w:val="1"/>
          <w:numId w:val="303"/>
        </w:numPr>
        <w:rPr>
          <w:rFonts w:ascii="Arial" w:cs="Arial" w:eastAsia="Arial" w:hAnsi="Arial"/>
          <w:sz w:val="22"/>
          <w:szCs w:val="22"/>
          <w:color w:val="010000"/>
        </w:rPr>
      </w:pPr>
      <w:r>
        <w:rPr>
          <w:rFonts w:ascii="Arial" w:cs="Arial" w:eastAsia="Arial" w:hAnsi="Arial"/>
          <w:sz w:val="22"/>
          <w:szCs w:val="22"/>
          <w:u w:val="single" w:color="auto"/>
          <w:color w:val="auto"/>
        </w:rPr>
        <w:t>Forfeiture of Long-Term Incentive Compensation Awards</w:t>
      </w:r>
      <w:r>
        <w:rPr>
          <w:rFonts w:ascii="Arial" w:cs="Arial" w:eastAsia="Arial" w:hAnsi="Arial"/>
          <w:sz w:val="22"/>
          <w:szCs w:val="22"/>
          <w:color w:val="auto"/>
        </w:rPr>
        <w:t>. Notwithstanding anything to the contrary herein and without limiting any rights and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32"/>
          </w:cols>
          <w:pgMar w:left="328" w:top="1266" w:right="339" w:bottom="1440" w:gutter="0" w:footer="0" w:header="0"/>
        </w:sectPr>
      </w:pPr>
    </w:p>
    <w:bookmarkStart w:id="372" w:name="page373"/>
    <w:bookmarkEnd w:id="372"/>
    <w:p>
      <w:pPr>
        <w:ind w:right="80"/>
        <w:spacing w:after="0" w:line="286" w:lineRule="auto"/>
        <w:rPr>
          <w:sz w:val="20"/>
          <w:szCs w:val="20"/>
          <w:color w:val="auto"/>
        </w:rPr>
      </w:pPr>
      <w:r>
        <w:rPr>
          <w:rFonts w:ascii="Arial" w:cs="Arial" w:eastAsia="Arial" w:hAnsi="Arial"/>
          <w:sz w:val="19"/>
          <w:szCs w:val="19"/>
          <w:color w:val="auto"/>
        </w:rPr>
        <w:t xml:space="preserve">available to the Company under the terms of this Agreement or otherwise at law or in equity (including as may be required by law or pursuant to policies of the Company as may be in effect from time to time), in the event the Company terminates Employee’s employment for Cause or if Employee violates the restrictive covenants set forth in Sections 7 and 8 of this Agreement or engages in fraud or willful misconduct that contributes materially to any financial restatement or material loss to the Company or any of its affiliates, the Company may (i) in the case of a termination for Cause, at any time up to six months after such termination, or (ii) in the case of a violation of the restrictive covenants or engaging in fraud or willful misconduct, at any time up to six months after learning of such conduct, but in no event more than two years after Employee engages in such conduct, (x) terminate or cancel any Long-Term Incentive Compensation that are unvested or vested and unexercised, (y) require Employee to forfeit or remit to the Company any amount payable, or the after-tax net amount paid or received by Employee, in respect of any Long-Term Incentive Compensation the vesting of which was accelerated upon termination of Employee’s employment for any reason and (z) require Employee to forfeit or remit to the Company any shares (or the equivalent value in cash) that were issued to Employee (or cash that was paid to Employee) upon vesting, settlement or exercise, as applicable, of any Long-Term Incentive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cases where cure is possible, Employee shall first be provided a 15-day cure period to cease, and to cure, such conduct. In addition, Employee’s Long-Term Incentive Compensation shall be subject to any other clawback or recoupment policy of the Company as may be in effect from time to time or any clawback or recoupment as may be required by applicable law</w:t>
      </w:r>
    </w:p>
    <w:p>
      <w:pPr>
        <w:spacing w:after="0" w:line="200" w:lineRule="exact"/>
        <w:rPr>
          <w:sz w:val="20"/>
          <w:szCs w:val="20"/>
          <w:color w:val="auto"/>
        </w:rPr>
      </w:pPr>
    </w:p>
    <w:p>
      <w:pPr>
        <w:spacing w:after="0" w:line="215" w:lineRule="exact"/>
        <w:rPr>
          <w:sz w:val="20"/>
          <w:szCs w:val="20"/>
          <w:color w:val="auto"/>
        </w:rPr>
      </w:pPr>
    </w:p>
    <w:p>
      <w:pPr>
        <w:ind w:firstLine="1304"/>
        <w:spacing w:after="0" w:line="285" w:lineRule="auto"/>
        <w:tabs>
          <w:tab w:leader="none" w:pos="1602" w:val="left"/>
        </w:tabs>
        <w:numPr>
          <w:ilvl w:val="0"/>
          <w:numId w:val="304"/>
        </w:numPr>
        <w:rPr>
          <w:rFonts w:ascii="Arial" w:cs="Arial" w:eastAsia="Arial" w:hAnsi="Arial"/>
          <w:sz w:val="19"/>
          <w:szCs w:val="19"/>
          <w:color w:val="010000"/>
        </w:rPr>
      </w:pPr>
      <w:r>
        <w:rPr>
          <w:rFonts w:ascii="Arial" w:cs="Arial" w:eastAsia="Arial" w:hAnsi="Arial"/>
          <w:sz w:val="19"/>
          <w:szCs w:val="19"/>
          <w:u w:val="single" w:color="auto"/>
          <w:color w:val="auto"/>
        </w:rPr>
        <w:t>Section 280G</w:t>
      </w:r>
      <w:r>
        <w:rPr>
          <w:rFonts w:ascii="Arial" w:cs="Arial" w:eastAsia="Arial" w:hAnsi="Arial"/>
          <w:sz w:val="19"/>
          <w:szCs w:val="19"/>
          <w:color w:val="auto"/>
        </w:rPr>
        <w:t>. In the event that any payments, distributions, benefits or entitlements of any type payable to Employee (“</w:t>
      </w:r>
      <w:r>
        <w:rPr>
          <w:rFonts w:ascii="Arial" w:cs="Arial" w:eastAsia="Arial" w:hAnsi="Arial"/>
          <w:sz w:val="19"/>
          <w:szCs w:val="19"/>
          <w:u w:val="single" w:color="auto"/>
          <w:color w:val="auto"/>
        </w:rPr>
        <w:t>CIC Benefits</w:t>
      </w:r>
      <w:r>
        <w:rPr>
          <w:rFonts w:ascii="Arial" w:cs="Arial" w:eastAsia="Arial" w:hAnsi="Arial"/>
          <w:sz w:val="19"/>
          <w:szCs w:val="19"/>
          <w:color w:val="auto"/>
        </w:rPr>
        <w:t>”) (i) constitute “parachute payments” within the meaning of Section 280G of the Code, and (ii) but for this paragraph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Employee’s CIC Benefits shall be reduced to such lesser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xml:space="preserve">”) that would result in no portion of such benefits being subject to the Excise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amounts shall not be so reduced if the Company determines, based on the advice of a nationally recognized accounting firm selected by the Company prior to a Change of Control (the “</w:t>
      </w:r>
      <w:r>
        <w:rPr>
          <w:rFonts w:ascii="Arial" w:cs="Arial" w:eastAsia="Arial" w:hAnsi="Arial"/>
          <w:sz w:val="19"/>
          <w:szCs w:val="19"/>
          <w:u w:val="single" w:color="auto"/>
          <w:color w:val="auto"/>
        </w:rPr>
        <w:t>Accountants</w:t>
      </w:r>
      <w:r>
        <w:rPr>
          <w:rFonts w:ascii="Arial" w:cs="Arial" w:eastAsia="Arial" w:hAnsi="Arial"/>
          <w:sz w:val="19"/>
          <w:szCs w:val="19"/>
          <w:color w:val="auto"/>
        </w:rPr>
        <w:t>”), that without such reduction Employee would be entitled to receive and retain, on a net after tax basis (including, without limitation, any excise taxes payable under Section 4999 of the Code), an amount that is greater than the amount, on a net after tax basis, that Employee would be entitled to retain upon receipt of the Reduced Amount. Unless the Company and Employee otherwise agree in writing, any determination required under this Section 6(g) shall be made in writing in good faith by the Accountants. In the event of a reduction of benefits hereunder, benefits shall be reduced by first reducing or eliminating the portion of the CIC Benefits that are payable in cash under Section 6(d)(ii) and 6(d)(iii) and then by reducing or eliminating any amounts that are payable with respect to long-term incentives including any equity-based or equity-related awards (whether payable in cash or in kind). For purposes of making the calculations required by this Section 6(g), the Accountants may make reasonable assumptions and approximations concerning applicable taxes and may rely on reasonable, good faith interpretations concerning the application of the Code, and other applicable legal authority. The Company and Employee shall furnish to the Accountants such information and documents as the Accountants may reasonably require in order to make a determination under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266" w:right="339" w:bottom="1440" w:gutter="0" w:footer="0" w:header="0"/>
        </w:sectPr>
      </w:pPr>
    </w:p>
    <w:bookmarkStart w:id="373" w:name="page374"/>
    <w:bookmarkEnd w:id="373"/>
    <w:p>
      <w:pPr>
        <w:ind w:right="40"/>
        <w:spacing w:after="0" w:line="263" w:lineRule="auto"/>
        <w:rPr>
          <w:sz w:val="20"/>
          <w:szCs w:val="20"/>
          <w:color w:val="auto"/>
        </w:rPr>
      </w:pPr>
      <w:r>
        <w:rPr>
          <w:rFonts w:ascii="Arial" w:cs="Arial" w:eastAsia="Arial" w:hAnsi="Arial"/>
          <w:sz w:val="22"/>
          <w:szCs w:val="22"/>
          <w:color w:val="auto"/>
        </w:rPr>
        <w:t>6(g), and the Company shall bear the cost of all fees the Accountants charge in connection with any calculations contemplated by this Section 6(g).</w:t>
      </w:r>
    </w:p>
    <w:p>
      <w:pPr>
        <w:spacing w:after="0" w:line="175" w:lineRule="exact"/>
        <w:rPr>
          <w:sz w:val="20"/>
          <w:szCs w:val="20"/>
          <w:color w:val="auto"/>
        </w:rPr>
      </w:pPr>
    </w:p>
    <w:p>
      <w:pPr>
        <w:ind w:right="60" w:firstLine="1304"/>
        <w:spacing w:after="0" w:line="247" w:lineRule="auto"/>
        <w:tabs>
          <w:tab w:leader="none" w:pos="1602" w:val="left"/>
        </w:tabs>
        <w:numPr>
          <w:ilvl w:val="1"/>
          <w:numId w:val="305"/>
        </w:numPr>
        <w:rPr>
          <w:rFonts w:ascii="Arial" w:cs="Arial" w:eastAsia="Arial" w:hAnsi="Arial"/>
          <w:sz w:val="22"/>
          <w:szCs w:val="22"/>
          <w:color w:val="010000"/>
        </w:rPr>
      </w:pPr>
      <w:r>
        <w:rPr>
          <w:rFonts w:ascii="Arial" w:cs="Arial" w:eastAsia="Arial" w:hAnsi="Arial"/>
          <w:sz w:val="22"/>
          <w:szCs w:val="22"/>
          <w:u w:val="single" w:color="auto"/>
          <w:color w:val="auto"/>
        </w:rPr>
        <w:t>Mitigation; Offset</w:t>
      </w:r>
      <w:r>
        <w:rPr>
          <w:rFonts w:ascii="Arial" w:cs="Arial" w:eastAsia="Arial" w:hAnsi="Arial"/>
          <w:sz w:val="22"/>
          <w:szCs w:val="22"/>
          <w:color w:val="auto"/>
        </w:rPr>
        <w:t>. Except as expressly provided hereunder, the Company’s obligation to make the payments provided for in this Agreement and otherwise to perform its obligations hereunder shall not be affected by any set-off, counterclaim, recoupment, defense, or other claim, right or action that the Company may have against the Employee or others. In no event shall the Employee be obligated to seek other employment or take any other action by way of mitigation of the amounts payable to the Employee under any of the provisions of this Agreement, and such amounts shall not be reduced whether or not the Employee obtains other employment.</w:t>
      </w:r>
    </w:p>
    <w:p>
      <w:pPr>
        <w:spacing w:after="0" w:line="192" w:lineRule="exact"/>
        <w:rPr>
          <w:rFonts w:ascii="Arial" w:cs="Arial" w:eastAsia="Arial" w:hAnsi="Arial"/>
          <w:sz w:val="22"/>
          <w:szCs w:val="22"/>
          <w:color w:val="010000"/>
        </w:rPr>
      </w:pPr>
    </w:p>
    <w:p>
      <w:pPr>
        <w:ind w:firstLine="656"/>
        <w:spacing w:after="0" w:line="292" w:lineRule="auto"/>
        <w:tabs>
          <w:tab w:leader="none" w:pos="864" w:val="left"/>
        </w:tabs>
        <w:numPr>
          <w:ilvl w:val="0"/>
          <w:numId w:val="306"/>
        </w:numPr>
        <w:rPr>
          <w:rFonts w:ascii="Arial" w:cs="Arial" w:eastAsia="Arial" w:hAnsi="Arial"/>
          <w:sz w:val="19"/>
          <w:szCs w:val="19"/>
          <w:color w:val="010000"/>
        </w:rPr>
      </w:pPr>
      <w:r>
        <w:rPr>
          <w:rFonts w:ascii="Arial" w:cs="Arial" w:eastAsia="Arial" w:hAnsi="Arial"/>
          <w:sz w:val="19"/>
          <w:szCs w:val="19"/>
          <w:u w:val="single" w:color="auto"/>
          <w:color w:val="auto"/>
        </w:rPr>
        <w:t>Non-Solicitation</w:t>
      </w:r>
      <w:r>
        <w:rPr>
          <w:rFonts w:ascii="Arial" w:cs="Arial" w:eastAsia="Arial" w:hAnsi="Arial"/>
          <w:sz w:val="19"/>
          <w:szCs w:val="19"/>
          <w:color w:val="auto"/>
        </w:rPr>
        <w:t>. (a) During the Term and during the Restricted Period, Employee hereby agrees not to, directly or indirectly, solicit or assist any other person or entity in soliciting any employee of the Company, or any of its affiliates (the “</w:t>
      </w:r>
      <w:r>
        <w:rPr>
          <w:rFonts w:ascii="Arial" w:cs="Arial" w:eastAsia="Arial" w:hAnsi="Arial"/>
          <w:sz w:val="19"/>
          <w:szCs w:val="19"/>
          <w:u w:val="single" w:color="auto"/>
          <w:color w:val="auto"/>
        </w:rPr>
        <w:t>Company Entities</w:t>
      </w:r>
      <w:r>
        <w:rPr>
          <w:rFonts w:ascii="Arial" w:cs="Arial" w:eastAsia="Arial" w:hAnsi="Arial"/>
          <w:sz w:val="19"/>
          <w:szCs w:val="19"/>
          <w:color w:val="auto"/>
        </w:rPr>
        <w:t>”), to perform services for any entity (other than a Company Entity) or attempt to induce any such employee to leave the service of a Company Entity, or solicit for employment on behalf of himself or any other person, any employee of a Company Entity, or anyone who was employed by a Company Entity, during the twelve-month period preceding such solicitation. “</w:t>
      </w:r>
      <w:r>
        <w:rPr>
          <w:rFonts w:ascii="Arial" w:cs="Arial" w:eastAsia="Arial" w:hAnsi="Arial"/>
          <w:sz w:val="19"/>
          <w:szCs w:val="19"/>
          <w:u w:val="single" w:color="auto"/>
          <w:color w:val="auto"/>
        </w:rPr>
        <w:t>Restricted Period</w:t>
      </w:r>
      <w:r>
        <w:rPr>
          <w:rFonts w:ascii="Arial" w:cs="Arial" w:eastAsia="Arial" w:hAnsi="Arial"/>
          <w:sz w:val="19"/>
          <w:szCs w:val="19"/>
          <w:color w:val="auto"/>
        </w:rPr>
        <w:t>” means two years following termination of Employee’s employment for any reason and, for the avoidance of doubt, regardless of whether such termination is before, upon or after expiration of the Term.</w:t>
      </w:r>
    </w:p>
    <w:p>
      <w:pPr>
        <w:spacing w:after="0" w:line="150" w:lineRule="exact"/>
        <w:rPr>
          <w:rFonts w:ascii="Arial" w:cs="Arial" w:eastAsia="Arial" w:hAnsi="Arial"/>
          <w:sz w:val="19"/>
          <w:szCs w:val="19"/>
          <w:color w:val="010000"/>
        </w:rPr>
      </w:pPr>
    </w:p>
    <w:p>
      <w:pPr>
        <w:ind w:right="40" w:firstLine="1304"/>
        <w:spacing w:after="0" w:line="297" w:lineRule="auto"/>
        <w:tabs>
          <w:tab w:leader="none" w:pos="1602" w:val="left"/>
        </w:tabs>
        <w:numPr>
          <w:ilvl w:val="1"/>
          <w:numId w:val="306"/>
        </w:numPr>
        <w:rPr>
          <w:rFonts w:ascii="Arial" w:cs="Arial" w:eastAsia="Arial" w:hAnsi="Arial"/>
          <w:sz w:val="19"/>
          <w:szCs w:val="19"/>
          <w:color w:val="010000"/>
        </w:rPr>
      </w:pPr>
      <w:r>
        <w:rPr>
          <w:rFonts w:ascii="Arial" w:cs="Arial" w:eastAsia="Arial" w:hAnsi="Arial"/>
          <w:sz w:val="19"/>
          <w:szCs w:val="19"/>
          <w:color w:val="auto"/>
        </w:rPr>
        <w:t>During the Term and during the Restricted Period, Employee hereby agrees not to, directly or indirectly, discontinue or reduce the extent of the relationship between the Company Entities and the individuals, partnerships, corporations, professional associations or other business organizations that have a business relationship with any Company Entity (the “</w:t>
      </w:r>
      <w:r>
        <w:rPr>
          <w:rFonts w:ascii="Arial" w:cs="Arial" w:eastAsia="Arial" w:hAnsi="Arial"/>
          <w:sz w:val="19"/>
          <w:szCs w:val="19"/>
          <w:u w:val="single" w:color="auto"/>
          <w:color w:val="auto"/>
        </w:rPr>
        <w:t>Company’s Clients</w:t>
      </w:r>
      <w:r>
        <w:rPr>
          <w:rFonts w:ascii="Arial" w:cs="Arial" w:eastAsia="Arial" w:hAnsi="Arial"/>
          <w:sz w:val="19"/>
          <w:szCs w:val="19"/>
          <w:color w:val="auto"/>
        </w:rPr>
        <w:t>”) and about which business relationship Employee was aware, or to obtain or seek products or services the same as or similar to those offered by the Company Entities from any source not affiliated with the Company Entities.</w:t>
      </w:r>
    </w:p>
    <w:p>
      <w:pPr>
        <w:spacing w:after="0" w:line="146" w:lineRule="exact"/>
        <w:rPr>
          <w:rFonts w:ascii="Arial" w:cs="Arial" w:eastAsia="Arial" w:hAnsi="Arial"/>
          <w:sz w:val="19"/>
          <w:szCs w:val="19"/>
          <w:color w:val="010000"/>
        </w:rPr>
      </w:pPr>
    </w:p>
    <w:p>
      <w:pPr>
        <w:ind w:right="20" w:firstLine="656"/>
        <w:spacing w:after="0" w:line="287" w:lineRule="auto"/>
        <w:tabs>
          <w:tab w:leader="none" w:pos="864" w:val="left"/>
        </w:tabs>
        <w:numPr>
          <w:ilvl w:val="0"/>
          <w:numId w:val="306"/>
        </w:numPr>
        <w:rPr>
          <w:rFonts w:ascii="Arial" w:cs="Arial" w:eastAsia="Arial" w:hAnsi="Arial"/>
          <w:sz w:val="19"/>
          <w:szCs w:val="19"/>
          <w:color w:val="010000"/>
        </w:rPr>
      </w:pPr>
      <w:r>
        <w:rPr>
          <w:rFonts w:ascii="Arial" w:cs="Arial" w:eastAsia="Arial" w:hAnsi="Arial"/>
          <w:sz w:val="19"/>
          <w:szCs w:val="19"/>
          <w:u w:val="single" w:color="auto"/>
          <w:color w:val="auto"/>
        </w:rPr>
        <w:t>Confidentiality; Non-Compete; Non-Disclosure; Non-Disparagement; Cooperation</w:t>
      </w:r>
      <w:r>
        <w:rPr>
          <w:rFonts w:ascii="Arial" w:cs="Arial" w:eastAsia="Arial" w:hAnsi="Arial"/>
          <w:sz w:val="19"/>
          <w:szCs w:val="19"/>
          <w:color w:val="auto"/>
        </w:rPr>
        <w:t xml:space="preserve">. (a) </w:t>
      </w:r>
      <w:r>
        <w:rPr>
          <w:rFonts w:ascii="Arial" w:cs="Arial" w:eastAsia="Arial" w:hAnsi="Arial"/>
          <w:sz w:val="19"/>
          <w:szCs w:val="19"/>
          <w:u w:val="single" w:color="auto"/>
          <w:color w:val="auto"/>
        </w:rPr>
        <w:t>Confidentiality</w:t>
      </w:r>
      <w:r>
        <w:rPr>
          <w:rFonts w:ascii="Arial" w:cs="Arial" w:eastAsia="Arial" w:hAnsi="Arial"/>
          <w:sz w:val="19"/>
          <w:szCs w:val="19"/>
          <w:color w:val="auto"/>
        </w:rPr>
        <w:t>. (i) Employee hereby agrees that, during the Term and thereafter, he will hold in strict confidence any Confidential Information related to any of the Company Entities. For purposes of this Agreement,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all confidential or proprietary information of any of the Company Entities (in whatever form), whether or not that information rises to the level of a protectable trade secret, including, without limitation: any information, observations and data concerning the business or affairs or operation of the Company Entities developed or learned by Employee during the Term or which any Company Entity or any of their respective members, directors, officers, managers, partners, employees, agents, advisors, attorneys, accountants, consultants, investment bankers, investment advisors or financing sources at any time furnishes or has furnished to Employee in connection with the business of any of the Company Entities; the Company’s (and any of its respective affiliates’) investment methodologies or models, investment advisory contracts, fees and fee schedules or investment performance (“</w:t>
      </w:r>
      <w:r>
        <w:rPr>
          <w:rFonts w:ascii="Arial" w:cs="Arial" w:eastAsia="Arial" w:hAnsi="Arial"/>
          <w:sz w:val="19"/>
          <w:szCs w:val="19"/>
          <w:u w:val="single" w:color="auto"/>
          <w:color w:val="auto"/>
        </w:rPr>
        <w:t>Track Records</w:t>
      </w:r>
      <w:r>
        <w:rPr>
          <w:rFonts w:ascii="Arial" w:cs="Arial" w:eastAsia="Arial" w:hAnsi="Arial"/>
          <w:sz w:val="19"/>
          <w:szCs w:val="19"/>
          <w:color w:val="auto"/>
        </w:rPr>
        <w:t>”); technical information or reports; brand names, trademarks, formulas; trade secrets; unwritten knowledge and “know-how”; operating instructions; training manuals; customer lists and related customer information; customer buying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266" w:right="339" w:bottom="1440" w:gutter="0" w:footer="0" w:header="0"/>
        </w:sectPr>
      </w:pPr>
    </w:p>
    <w:bookmarkStart w:id="374" w:name="page375"/>
    <w:bookmarkEnd w:id="374"/>
    <w:p>
      <w:pPr>
        <w:ind w:right="20"/>
        <w:spacing w:after="0" w:line="284" w:lineRule="auto"/>
        <w:rPr>
          <w:sz w:val="20"/>
          <w:szCs w:val="20"/>
          <w:color w:val="auto"/>
        </w:rPr>
      </w:pPr>
      <w:r>
        <w:rPr>
          <w:rFonts w:ascii="Arial" w:cs="Arial" w:eastAsia="Arial" w:hAnsi="Arial"/>
          <w:sz w:val="19"/>
          <w:szCs w:val="19"/>
          <w:color w:val="auto"/>
        </w:rPr>
        <w:t>records and habits; product sales records and documents, and product development, marketing and sales strategies; market surveys; marketing plans; profitability analyses; product cost; long- range plans; information relating to pricing, competitive strategies and new product development; information relating to any forms of compensation or other personnel-related information of the Company Entities; contracts and supplier lists and any information relating to financial data, strategic business plans; information about any third parties with which any Company Entity has a business relationship or owes a duty of confidentiality; and all notes, analyses, compilations, forecasts, studies or other documents prepared by Employee or obtained by Employee in the course of his work for a Company Entity that contain or reflect any such information and, in each case, which is not known to the public generally other than as a result of Employee’s breach of this Agreement. Without limiting the foregoing, Employee acknowledges and agrees that the Track Records shall not be the work of any one individual (including Employee) and are the exclusive property of the Company and its affiliates, as applicable, and agrees that he shall in no event claim the Track Records as his own following termination of his employment with the Company. Nothing in this Agreement shall prohibit or restrict any person from (1) testifying truthfully to the extent required by applicable law or legal process, (2) communicating with any governmental, administrative or regulatory agency or authority, including, but not limited to, the U.S. Securities and Exchange Commission, the U.S. Consumer Financial Protection Bureau, the U.S. Department of Justice, the U.S. Equal Employment Opportunity Commission and the U.S. National Labor Relations Board, (3) disclosing information in confidence to an attorney for the purpose of obtaining legal advice so long as such attorney agrees not to use or disclose such information, (4) disclosing information with the prior written consent of the Board so long as such consent specifically references this provision and/or (5) disclosing information that is publicly known other than by reason of Employee’s violation of this Section 8(a). In the event Employee or his legal representative is requested or required to disclose any Confidential Information, Employee shall provide the Company with prompt notice of such request or requirement so that the Company may seek an appropriate protective order (in which Employee will cooperate). If the Company fails to obtain a protective order or provides a waiver hereunder, and Employee is, in the opinion of counsel, compelled to disclose Confidential Information, Employee may disclose only that portion of the Confidential Information that Employee’s counsel advises is reasonably required by law to disclose.</w:t>
      </w:r>
    </w:p>
    <w:p>
      <w:pPr>
        <w:spacing w:after="0" w:line="169" w:lineRule="exact"/>
        <w:rPr>
          <w:sz w:val="20"/>
          <w:szCs w:val="20"/>
          <w:color w:val="auto"/>
        </w:rPr>
      </w:pPr>
    </w:p>
    <w:p>
      <w:pPr>
        <w:ind w:firstLine="1952"/>
        <w:spacing w:after="0" w:line="297" w:lineRule="auto"/>
        <w:tabs>
          <w:tab w:leader="none" w:pos="2262" w:val="left"/>
        </w:tabs>
        <w:numPr>
          <w:ilvl w:val="0"/>
          <w:numId w:val="307"/>
        </w:numPr>
        <w:rPr>
          <w:rFonts w:ascii="Arial" w:cs="Arial" w:eastAsia="Arial" w:hAnsi="Arial"/>
          <w:sz w:val="19"/>
          <w:szCs w:val="19"/>
          <w:color w:val="010000"/>
        </w:rPr>
      </w:pPr>
      <w:r>
        <w:rPr>
          <w:rFonts w:ascii="Arial" w:cs="Arial" w:eastAsia="Arial" w:hAnsi="Arial"/>
          <w:sz w:val="19"/>
          <w:szCs w:val="19"/>
          <w:color w:val="auto"/>
        </w:rPr>
        <w:t>Except as expressly set forth otherwise in this Agreement, Employee agrees that, prior to the date on which the Company publicly files this Agreement with the Securities and Exchange Commission, Employee shall not disclose the terms of this Agreement, except to his immediate family and his financial and legal advisors, or as may be required by law or ordered by a court. Employee further agrees that any disclosure to his financial and legal advisors will only be made after such advisors acknowledge and agree to maintain the confidentiality of this Agreement and its terms.</w:t>
      </w:r>
    </w:p>
    <w:p>
      <w:pPr>
        <w:spacing w:after="0" w:line="146" w:lineRule="exact"/>
        <w:rPr>
          <w:rFonts w:ascii="Arial" w:cs="Arial" w:eastAsia="Arial" w:hAnsi="Arial"/>
          <w:sz w:val="19"/>
          <w:szCs w:val="19"/>
          <w:color w:val="010000"/>
        </w:rPr>
      </w:pPr>
    </w:p>
    <w:p>
      <w:pPr>
        <w:ind w:right="120" w:firstLine="1952"/>
        <w:spacing w:after="0" w:line="263" w:lineRule="auto"/>
        <w:tabs>
          <w:tab w:leader="none" w:pos="2322" w:val="left"/>
        </w:tabs>
        <w:numPr>
          <w:ilvl w:val="0"/>
          <w:numId w:val="307"/>
        </w:numPr>
        <w:rPr>
          <w:rFonts w:ascii="Arial" w:cs="Arial" w:eastAsia="Arial" w:hAnsi="Arial"/>
          <w:sz w:val="21"/>
          <w:szCs w:val="21"/>
          <w:color w:val="010000"/>
        </w:rPr>
      </w:pPr>
      <w:r>
        <w:rPr>
          <w:rFonts w:ascii="Arial" w:cs="Arial" w:eastAsia="Arial" w:hAnsi="Arial"/>
          <w:sz w:val="21"/>
          <w:szCs w:val="21"/>
          <w:color w:val="auto"/>
        </w:rPr>
        <w:t>Employee further agrees that he will not improperly use or disclose any Confidential Information or trade secrets, if any, of any former employers of Employee or any other person to whom Employee has an obligation of confidentiality, and will not bring onto the premises of the Company or its affiliates any unpublished documents or any property belonging to any such former employer or other person to whom Employee has an obligation of confidentiality unless consented to in writing by the former employer or such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266" w:right="339" w:bottom="1440" w:gutter="0" w:footer="0" w:header="0"/>
        </w:sectPr>
      </w:pPr>
    </w:p>
    <w:bookmarkStart w:id="375" w:name="page376"/>
    <w:bookmarkEnd w:id="375"/>
    <w:p>
      <w:pPr>
        <w:ind w:left="-20" w:firstLine="1304"/>
        <w:spacing w:after="0" w:line="283" w:lineRule="auto"/>
        <w:tabs>
          <w:tab w:leader="none" w:pos="1582" w:val="left"/>
        </w:tabs>
        <w:numPr>
          <w:ilvl w:val="0"/>
          <w:numId w:val="308"/>
        </w:numPr>
        <w:rPr>
          <w:rFonts w:ascii="Arial" w:cs="Arial" w:eastAsia="Arial" w:hAnsi="Arial"/>
          <w:sz w:val="19"/>
          <w:szCs w:val="19"/>
          <w:color w:val="010000"/>
        </w:rPr>
      </w:pPr>
      <w:r>
        <w:rPr>
          <w:rFonts w:ascii="Arial" w:cs="Arial" w:eastAsia="Arial" w:hAnsi="Arial"/>
          <w:sz w:val="19"/>
          <w:szCs w:val="19"/>
          <w:u w:val="single" w:color="auto"/>
          <w:color w:val="auto"/>
        </w:rPr>
        <w:t>Non-Competition</w:t>
      </w:r>
      <w:r>
        <w:rPr>
          <w:rFonts w:ascii="Arial" w:cs="Arial" w:eastAsia="Arial" w:hAnsi="Arial"/>
          <w:sz w:val="19"/>
          <w:szCs w:val="19"/>
          <w:color w:val="auto"/>
        </w:rPr>
        <w:t>. Employee agrees that Employee will not, during the Term and during the Non-Compete Period, within the Restricted Area, directly or indirectly (whether or not for compensation) become employed by, engage in business with, serve as an agent or consultant to, become an employee, partner, member, principal, stockholder or other owner (other than a holder of less than 1% of the outstanding voting shares of any publicly held company) of, any Competitive Business. Nor shall Employee, during the Term and during the Non-Compete Period, within the Restricted Area, otherwise compete with, or perform services relating to the business of, any of the Company Entities for any business other than a Company Entity, in any business in which the Company Entities participate, or businesses they are actively considering, at the time of termination of Employee’s employment or during the one year prior to such termination (the “</w:t>
      </w:r>
      <w:r>
        <w:rPr>
          <w:rFonts w:ascii="Arial" w:cs="Arial" w:eastAsia="Arial" w:hAnsi="Arial"/>
          <w:sz w:val="19"/>
          <w:szCs w:val="19"/>
          <w:u w:val="single" w:color="auto"/>
          <w:color w:val="auto"/>
        </w:rPr>
        <w:t>Business</w:t>
      </w:r>
      <w:r>
        <w:rPr>
          <w:rFonts w:ascii="Arial" w:cs="Arial" w:eastAsia="Arial" w:hAnsi="Arial"/>
          <w:sz w:val="19"/>
          <w:szCs w:val="19"/>
          <w:color w:val="auto"/>
        </w:rPr>
        <w:t>”). For purposes of this Agreement, “</w:t>
      </w:r>
      <w:r>
        <w:rPr>
          <w:rFonts w:ascii="Arial" w:cs="Arial" w:eastAsia="Arial" w:hAnsi="Arial"/>
          <w:sz w:val="19"/>
          <w:szCs w:val="19"/>
          <w:u w:val="single" w:color="auto"/>
          <w:color w:val="auto"/>
        </w:rPr>
        <w:t>Competitive Business</w:t>
      </w:r>
      <w:r>
        <w:rPr>
          <w:rFonts w:ascii="Arial" w:cs="Arial" w:eastAsia="Arial" w:hAnsi="Arial"/>
          <w:sz w:val="19"/>
          <w:szCs w:val="19"/>
          <w:color w:val="auto"/>
        </w:rPr>
        <w:t>” shall mean any individual, corporation, limited liability company, partnership, unincorporated organization, trust, joint venture or other entity (i) that engages in or may engage in acquisition related or mergers and acquisition activities related to the transportation or third-party logistics industry, including, without limitation, researching, analyzing and evaluating companies for possible investment in or acquisition of, for itself or clients, (ii) that engages in or may engage in transportation or logistics services, including asset-based, asset-light or non-asset, supply chain services, including only by way of illustration, freight brokerage or freight transportation, freight management, freight forwarding, expediting, internet load boards, last-mile delivery logistics, contract logistics or intermodal providers, or firms such as Amazon, CH Robinson, Echo Global Logistics Inc., Total Quality Logistics, TransCor, Deutsche Post DHL Group, FedEx Corporation, United Parcel Service, Inc., J.B. Hunt Transport Services, Inc., Kühne + Nagel International AG, syncreon, Neovia Logistics and Hub Group Inc., DB Schenker, ID Logistics, KKR, Uber and Walmart, Inc. or (iii) that otherwise competes with the Company Entities anywhere in which the Company Entities engage in or intend to engage in the Business or where any of the Company Entities’ customers are located. For the avoidance of doubt, it shall be a violation of this Section 8(b) for Employee to provide any services whatsoever to any private equity firm, hedge fund or similar firm or fund that invests in a company engaged in any Competitive Business or any investment bank or similar firm that advises companies engaged in any Competitive Business, or any business intelligence or similar research or consulting organization that services private equity firms, hedge funds or similar firms or funds that invest in companies engaged in any Competitive Business (such as the Third Bridge Group, the Gerson Lehrman Group, Alphasights and Coleman Research), in each case, in the Restricted Area during the Term or the Restricted Period. “</w:t>
      </w:r>
      <w:r>
        <w:rPr>
          <w:rFonts w:ascii="Arial" w:cs="Arial" w:eastAsia="Arial" w:hAnsi="Arial"/>
          <w:sz w:val="19"/>
          <w:szCs w:val="19"/>
          <w:u w:val="single" w:color="auto"/>
          <w:color w:val="auto"/>
        </w:rPr>
        <w:t>Restricted Area</w:t>
      </w:r>
      <w:r>
        <w:rPr>
          <w:rFonts w:ascii="Arial" w:cs="Arial" w:eastAsia="Arial" w:hAnsi="Arial"/>
          <w:sz w:val="19"/>
          <w:szCs w:val="19"/>
          <w:color w:val="auto"/>
        </w:rPr>
        <w:t>” means Canada, Mexico, France, United Kingdom, Netherlands, Spain, Italy, and any State of the United States and any other country in which the Company or any Company Entity does business or any other country in which any Company client is located during the Term or the Restricted Period. “</w:t>
      </w:r>
      <w:r>
        <w:rPr>
          <w:rFonts w:ascii="Arial" w:cs="Arial" w:eastAsia="Arial" w:hAnsi="Arial"/>
          <w:sz w:val="19"/>
          <w:szCs w:val="19"/>
          <w:u w:val="single" w:color="auto"/>
          <w:color w:val="auto"/>
        </w:rPr>
        <w:t>Non-Compete Period</w:t>
      </w:r>
      <w:r>
        <w:rPr>
          <w:rFonts w:ascii="Arial" w:cs="Arial" w:eastAsia="Arial" w:hAnsi="Arial"/>
          <w:sz w:val="19"/>
          <w:szCs w:val="19"/>
          <w:color w:val="auto"/>
        </w:rPr>
        <w:t>” shall mean, subject to Section 8(c) below, three years following termination of Employee’s employment for any reason and, for the avoidance of doubt, regardless of whether such termination is before, upon or after expiration of the Term.</w:t>
      </w:r>
    </w:p>
    <w:p>
      <w:pPr>
        <w:spacing w:after="0" w:line="200" w:lineRule="exact"/>
        <w:rPr>
          <w:rFonts w:ascii="Arial" w:cs="Arial" w:eastAsia="Arial" w:hAnsi="Arial"/>
          <w:sz w:val="19"/>
          <w:szCs w:val="19"/>
          <w:color w:val="010000"/>
        </w:rPr>
      </w:pPr>
    </w:p>
    <w:p>
      <w:pPr>
        <w:spacing w:after="0" w:line="239" w:lineRule="exact"/>
        <w:rPr>
          <w:rFonts w:ascii="Arial" w:cs="Arial" w:eastAsia="Arial" w:hAnsi="Arial"/>
          <w:sz w:val="19"/>
          <w:szCs w:val="19"/>
          <w:color w:val="010000"/>
        </w:rPr>
      </w:pPr>
    </w:p>
    <w:p>
      <w:pPr>
        <w:ind w:left="-20" w:right="80" w:firstLine="1304"/>
        <w:spacing w:after="0" w:line="265" w:lineRule="auto"/>
        <w:tabs>
          <w:tab w:leader="none" w:pos="1570" w:val="left"/>
        </w:tabs>
        <w:numPr>
          <w:ilvl w:val="0"/>
          <w:numId w:val="308"/>
        </w:numPr>
        <w:rPr>
          <w:rFonts w:ascii="Arial" w:cs="Arial" w:eastAsia="Arial" w:hAnsi="Arial"/>
          <w:sz w:val="21"/>
          <w:szCs w:val="21"/>
          <w:color w:val="010000"/>
        </w:rPr>
      </w:pPr>
      <w:r>
        <w:rPr>
          <w:rFonts w:ascii="Arial" w:cs="Arial" w:eastAsia="Arial" w:hAnsi="Arial"/>
          <w:sz w:val="21"/>
          <w:szCs w:val="21"/>
          <w:u w:val="single" w:color="auto"/>
          <w:color w:val="auto"/>
        </w:rPr>
        <w:t>Extended Non-Competition</w:t>
      </w:r>
      <w:r>
        <w:rPr>
          <w:rFonts w:ascii="Arial" w:cs="Arial" w:eastAsia="Arial" w:hAnsi="Arial"/>
          <w:sz w:val="21"/>
          <w:szCs w:val="21"/>
          <w:color w:val="auto"/>
        </w:rPr>
        <w:t>. The Company shall have the right to extend the Non-Compete Period for up to an additional 12-month period (the “</w:t>
      </w:r>
      <w:r>
        <w:rPr>
          <w:rFonts w:ascii="Arial" w:cs="Arial" w:eastAsia="Arial" w:hAnsi="Arial"/>
          <w:sz w:val="21"/>
          <w:szCs w:val="21"/>
          <w:u w:val="single" w:color="auto"/>
          <w:color w:val="auto"/>
        </w:rPr>
        <w:t>Extended Non-Compete Period</w:t>
      </w:r>
      <w:r>
        <w:rPr>
          <w:rFonts w:ascii="Arial" w:cs="Arial" w:eastAsia="Arial" w:hAnsi="Arial"/>
          <w:sz w:val="21"/>
          <w:szCs w:val="21"/>
          <w:color w:val="auto"/>
        </w:rPr>
        <w:t>”) beyond the completion of the Non-Compete Period. If the Company elects to extend the Non-Compete Period, it will notify Employee in writing of such fact not later than the 90th day prior to the expiration of the Non-Compete Period. By signing this Agreement,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40" w:top="1266" w:right="339" w:bottom="1440" w:gutter="0" w:footer="0" w:header="0"/>
        </w:sectPr>
      </w:pPr>
    </w:p>
    <w:bookmarkStart w:id="376" w:name="page377"/>
    <w:bookmarkEnd w:id="376"/>
    <w:p>
      <w:pPr>
        <w:spacing w:after="0" w:line="287" w:lineRule="auto"/>
        <w:rPr>
          <w:sz w:val="20"/>
          <w:szCs w:val="20"/>
          <w:color w:val="auto"/>
        </w:rPr>
      </w:pPr>
      <w:r>
        <w:rPr>
          <w:rFonts w:ascii="Arial" w:cs="Arial" w:eastAsia="Arial" w:hAnsi="Arial"/>
          <w:sz w:val="19"/>
          <w:szCs w:val="19"/>
          <w:color w:val="auto"/>
        </w:rPr>
        <w:t>agrees to accept and abide by the Company’s election. If the Company elects to extend the Non-Compete Period, Employee agrees that, during the Extended Non-Compete Period, Employee shall be bound by the restrictions set forth in Section 8(b) in the same manner applicable during the Non-Compete Period, and the Company agrees to pay Employee subject to Section 6(e) of this Agreement during each month of the Extended Non-Compete Period, in an amount equal to his monthly Base Salary as in effect on the Date of Termination. Payment for any partial month will be prorated. Payment of Employee’s Base Salary during the Extended Non-Compete Period will be made pursuant to the Company’s normal and customary payroll procedures. If the Company elects to extend the Non-Compete Period, any monies Employee earns from any other work during such periods, whether as an employee or as an independent contractor, will reduce, dollar for dollar, the amount that the Company is obligated to pay Employee under this Section 8(c). Payments made by the Company under this Section 8(c) are made solely for the extension of the non-compete covenant and do not render Employee either an employee of, or a consultant to, the Company. Notwithstanding any provision of this Agreement to the contrary, the right of the Company to extend the Non-Compete Period hereunder and any related payment of Base Salary for the Extended Non-Compete Period hereunder shall lapse upon a Change of Control.</w:t>
      </w:r>
    </w:p>
    <w:p>
      <w:pPr>
        <w:spacing w:after="0" w:line="200" w:lineRule="exact"/>
        <w:rPr>
          <w:sz w:val="20"/>
          <w:szCs w:val="20"/>
          <w:color w:val="auto"/>
        </w:rPr>
      </w:pPr>
    </w:p>
    <w:p>
      <w:pPr>
        <w:spacing w:after="0" w:line="215" w:lineRule="exact"/>
        <w:rPr>
          <w:sz w:val="20"/>
          <w:szCs w:val="20"/>
          <w:color w:val="auto"/>
        </w:rPr>
      </w:pPr>
    </w:p>
    <w:p>
      <w:pPr>
        <w:ind w:firstLine="1304"/>
        <w:spacing w:after="0" w:line="246" w:lineRule="auto"/>
        <w:tabs>
          <w:tab w:leader="none" w:pos="1602" w:val="left"/>
        </w:tabs>
        <w:numPr>
          <w:ilvl w:val="0"/>
          <w:numId w:val="309"/>
        </w:numPr>
        <w:rPr>
          <w:rFonts w:ascii="Arial" w:cs="Arial" w:eastAsia="Arial" w:hAnsi="Arial"/>
          <w:sz w:val="22"/>
          <w:szCs w:val="22"/>
          <w:color w:val="010000"/>
        </w:rPr>
      </w:pPr>
      <w:r>
        <w:rPr>
          <w:rFonts w:ascii="Arial" w:cs="Arial" w:eastAsia="Arial" w:hAnsi="Arial"/>
          <w:sz w:val="22"/>
          <w:szCs w:val="22"/>
          <w:u w:val="single" w:color="auto"/>
          <w:color w:val="auto"/>
        </w:rPr>
        <w:t>Competitive Opportunity</w:t>
      </w:r>
      <w:r>
        <w:rPr>
          <w:rFonts w:ascii="Arial" w:cs="Arial" w:eastAsia="Arial" w:hAnsi="Arial"/>
          <w:sz w:val="22"/>
          <w:szCs w:val="22"/>
          <w:color w:val="auto"/>
        </w:rPr>
        <w:t>. If, at any time during the Term, Employee (i) acquires knowledge of a potential investment, investment opportunity or business venture which may be an appropriate investment by the Company, or in which the Company could otherwise have an interest or expectancy (a “</w:t>
      </w:r>
      <w:r>
        <w:rPr>
          <w:rFonts w:ascii="Arial" w:cs="Arial" w:eastAsia="Arial" w:hAnsi="Arial"/>
          <w:sz w:val="22"/>
          <w:szCs w:val="22"/>
          <w:u w:val="single" w:color="auto"/>
          <w:color w:val="auto"/>
        </w:rPr>
        <w:t>Competitive Opportunity</w:t>
      </w:r>
      <w:r>
        <w:rPr>
          <w:rFonts w:ascii="Arial" w:cs="Arial" w:eastAsia="Arial" w:hAnsi="Arial"/>
          <w:sz w:val="22"/>
          <w:szCs w:val="22"/>
          <w:color w:val="auto"/>
        </w:rPr>
        <w:t>”), or (ii) otherwise is then exploiting any Competitive Opportunity, Employee shall promptly bring such Competitive Opportunity to the Company. In such event, Employee shall not have the right to hold any such Competitive Opportunity for his (and his agents’, employees’ or affiliates’) own account and benefit or to recommend, assign or otherwise transfer or deal in such Competitive Opportunity with persons other than the Company.</w:t>
      </w:r>
    </w:p>
    <w:p>
      <w:pPr>
        <w:spacing w:after="0" w:line="196" w:lineRule="exact"/>
        <w:rPr>
          <w:rFonts w:ascii="Arial" w:cs="Arial" w:eastAsia="Arial" w:hAnsi="Arial"/>
          <w:sz w:val="22"/>
          <w:szCs w:val="22"/>
          <w:color w:val="010000"/>
        </w:rPr>
      </w:pPr>
    </w:p>
    <w:p>
      <w:pPr>
        <w:ind w:right="60" w:firstLine="1304"/>
        <w:spacing w:after="0" w:line="259" w:lineRule="auto"/>
        <w:tabs>
          <w:tab w:leader="none" w:pos="1590" w:val="left"/>
        </w:tabs>
        <w:numPr>
          <w:ilvl w:val="0"/>
          <w:numId w:val="309"/>
        </w:numPr>
        <w:rPr>
          <w:rFonts w:ascii="Arial" w:cs="Arial" w:eastAsia="Arial" w:hAnsi="Arial"/>
          <w:sz w:val="21"/>
          <w:szCs w:val="21"/>
          <w:color w:val="010000"/>
        </w:rPr>
      </w:pPr>
      <w:r>
        <w:rPr>
          <w:rFonts w:ascii="Arial" w:cs="Arial" w:eastAsia="Arial" w:hAnsi="Arial"/>
          <w:sz w:val="21"/>
          <w:szCs w:val="21"/>
          <w:u w:val="single" w:color="auto"/>
          <w:color w:val="auto"/>
        </w:rPr>
        <w:t>Return of Company Property</w:t>
      </w:r>
      <w:r>
        <w:rPr>
          <w:rFonts w:ascii="Arial" w:cs="Arial" w:eastAsia="Arial" w:hAnsi="Arial"/>
          <w:sz w:val="21"/>
          <w:szCs w:val="21"/>
          <w:color w:val="auto"/>
        </w:rPr>
        <w:t>. All documents, data, recordings, or other property, including, without limitation, smartphones, computers and other business equipment, whether tangible or intangible, including all information stored in electronic form, obtained or prepared by or for Employee and utilized by Employee in the course of his employment with the Company shall remain the exclusive property of the Company and Employee shall return all copies of such property upon any termination of his employment and as otherwise requested by the Company during the Term. Employee further agrees not to alter, delete or destroy any Company property, documents, records, data contained in any location, including but not limited to any information contained on any Company-provided computer or electronic device. Such devices shall not be wiped, scrubbed, or reset to original factory condition prior to surrender.</w:t>
      </w:r>
    </w:p>
    <w:p>
      <w:pPr>
        <w:spacing w:after="0" w:line="183" w:lineRule="exact"/>
        <w:rPr>
          <w:rFonts w:ascii="Arial" w:cs="Arial" w:eastAsia="Arial" w:hAnsi="Arial"/>
          <w:sz w:val="21"/>
          <w:szCs w:val="21"/>
          <w:color w:val="010000"/>
        </w:rPr>
      </w:pPr>
    </w:p>
    <w:p>
      <w:pPr>
        <w:ind w:right="20" w:firstLine="1304"/>
        <w:spacing w:after="0" w:line="247" w:lineRule="auto"/>
        <w:tabs>
          <w:tab w:leader="none" w:pos="1566" w:val="left"/>
        </w:tabs>
        <w:numPr>
          <w:ilvl w:val="0"/>
          <w:numId w:val="309"/>
        </w:numPr>
        <w:rPr>
          <w:rFonts w:ascii="Arial" w:cs="Arial" w:eastAsia="Arial" w:hAnsi="Arial"/>
          <w:sz w:val="22"/>
          <w:szCs w:val="22"/>
          <w:color w:val="010000"/>
        </w:rPr>
      </w:pPr>
      <w:r>
        <w:rPr>
          <w:rFonts w:ascii="Arial" w:cs="Arial" w:eastAsia="Arial" w:hAnsi="Arial"/>
          <w:sz w:val="22"/>
          <w:szCs w:val="22"/>
          <w:u w:val="single" w:color="auto"/>
          <w:color w:val="auto"/>
        </w:rPr>
        <w:t>Non-Disparagement</w:t>
      </w:r>
      <w:r>
        <w:rPr>
          <w:rFonts w:ascii="Arial" w:cs="Arial" w:eastAsia="Arial" w:hAnsi="Arial"/>
          <w:sz w:val="22"/>
          <w:szCs w:val="22"/>
          <w:color w:val="auto"/>
        </w:rPr>
        <w:t>. Employee hereby agrees not to defame or disparage any of the Company Entities or any of their respective officers, directors, members, partners or employees (collectively, the “</w:t>
      </w:r>
      <w:r>
        <w:rPr>
          <w:rFonts w:ascii="Arial" w:cs="Arial" w:eastAsia="Arial" w:hAnsi="Arial"/>
          <w:sz w:val="22"/>
          <w:szCs w:val="22"/>
          <w:u w:val="single" w:color="auto"/>
          <w:color w:val="auto"/>
        </w:rPr>
        <w:t>Company Parties</w:t>
      </w:r>
      <w:r>
        <w:rPr>
          <w:rFonts w:ascii="Arial" w:cs="Arial" w:eastAsia="Arial" w:hAnsi="Arial"/>
          <w:sz w:val="22"/>
          <w:szCs w:val="22"/>
          <w:color w:val="auto"/>
        </w:rPr>
        <w:t>”), and to cooperate with the Company upon reasonable request, in refuting any defamatory or disparaging remarks by any third party made in respect of any of the Company Parties. Employee shall not, directly or indirectly, make (or cause to be made) any comment or statement, oral or written, including, without limitation, in the media or to the press or to any individual or entity, that could reasonably be expected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265" w:right="339" w:bottom="1440" w:gutter="0" w:footer="0" w:header="0"/>
        </w:sectPr>
      </w:pPr>
    </w:p>
    <w:bookmarkStart w:id="377" w:name="page378"/>
    <w:bookmarkEnd w:id="377"/>
    <w:p>
      <w:pPr>
        <w:ind w:right="420"/>
        <w:spacing w:after="0" w:line="302" w:lineRule="auto"/>
        <w:rPr>
          <w:sz w:val="20"/>
          <w:szCs w:val="20"/>
          <w:color w:val="auto"/>
        </w:rPr>
      </w:pPr>
      <w:r>
        <w:rPr>
          <w:rFonts w:ascii="Arial" w:cs="Arial" w:eastAsia="Arial" w:hAnsi="Arial"/>
          <w:sz w:val="19"/>
          <w:szCs w:val="19"/>
          <w:color w:val="auto"/>
        </w:rPr>
        <w:t xml:space="preserve">adversely affect the reputation of any of the Company Parties or the conduct of its, his or their business. The Company shall request that its directors and executive officers not defame or disparage Employee;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of any director, executive officer or employee of the Company to comply with such request shall in no way constitute a breach or violation of the Company’s obligations hereunder or otherwise subject the Company to any liability.</w:t>
      </w:r>
    </w:p>
    <w:p>
      <w:pPr>
        <w:spacing w:after="0" w:line="142" w:lineRule="exact"/>
        <w:rPr>
          <w:sz w:val="20"/>
          <w:szCs w:val="20"/>
          <w:color w:val="auto"/>
        </w:rPr>
      </w:pPr>
    </w:p>
    <w:p>
      <w:pPr>
        <w:ind w:right="100" w:firstLine="1304"/>
        <w:spacing w:after="0" w:line="288" w:lineRule="auto"/>
        <w:tabs>
          <w:tab w:leader="none" w:pos="1602" w:val="left"/>
        </w:tabs>
        <w:numPr>
          <w:ilvl w:val="1"/>
          <w:numId w:val="310"/>
        </w:numPr>
        <w:rPr>
          <w:rFonts w:ascii="Arial" w:cs="Arial" w:eastAsia="Arial" w:hAnsi="Arial"/>
          <w:sz w:val="19"/>
          <w:szCs w:val="19"/>
          <w:color w:val="010000"/>
        </w:rPr>
      </w:pPr>
      <w:r>
        <w:rPr>
          <w:rFonts w:ascii="Arial" w:cs="Arial" w:eastAsia="Arial" w:hAnsi="Arial"/>
          <w:sz w:val="19"/>
          <w:szCs w:val="19"/>
          <w:u w:val="single" w:color="auto"/>
          <w:color w:val="auto"/>
        </w:rPr>
        <w:t>Cooperation</w:t>
      </w:r>
      <w:r>
        <w:rPr>
          <w:rFonts w:ascii="Arial" w:cs="Arial" w:eastAsia="Arial" w:hAnsi="Arial"/>
          <w:sz w:val="19"/>
          <w:szCs w:val="19"/>
          <w:color w:val="auto"/>
        </w:rPr>
        <w:t>. During the Term and thereafter (including, without limitation, following the Date of Termination), Employee shall, upon reasonable notice and without the necessity of any Company Entity obtaining a subpoena or court order, provide Employee’s reasonable cooperation in connection with any suit, action or proceeding (or any appeal from any suit, action or proceeding), and any investigation and/or defense of any claims asserted against any Company Entity that relates to events occurring during Employee’s employment with any Company Entity as to which Employee may have relevant information (including furnishing relevant information and materials to the relevant Company Entity or its designee and/or providing testimony at depositions and at trial), provided that the Company shall reimburse Employee for expenses reasonably incurred in connection with any such cooperation occurring after the termination of Employee’s employment and provided that any such cooperation occurring after the Date of Termination shall be scheduled to the extent reasonably practicable so as not to unreasonably interfere with Employee’s business or personal affairs.</w:t>
      </w:r>
    </w:p>
    <w:p>
      <w:pPr>
        <w:spacing w:after="0" w:line="159" w:lineRule="exact"/>
        <w:rPr>
          <w:rFonts w:ascii="Arial" w:cs="Arial" w:eastAsia="Arial" w:hAnsi="Arial"/>
          <w:sz w:val="19"/>
          <w:szCs w:val="19"/>
          <w:color w:val="010000"/>
        </w:rPr>
      </w:pPr>
    </w:p>
    <w:p>
      <w:pPr>
        <w:ind w:right="260" w:firstLine="656"/>
        <w:spacing w:after="0" w:line="250" w:lineRule="auto"/>
        <w:tabs>
          <w:tab w:leader="none" w:pos="864" w:val="left"/>
        </w:tabs>
        <w:numPr>
          <w:ilvl w:val="0"/>
          <w:numId w:val="311"/>
        </w:numPr>
        <w:rPr>
          <w:rFonts w:ascii="Arial" w:cs="Arial" w:eastAsia="Arial" w:hAnsi="Arial"/>
          <w:sz w:val="22"/>
          <w:szCs w:val="22"/>
          <w:color w:val="010000"/>
        </w:rPr>
      </w:pPr>
      <w:r>
        <w:rPr>
          <w:rFonts w:ascii="Arial" w:cs="Arial" w:eastAsia="Arial" w:hAnsi="Arial"/>
          <w:sz w:val="22"/>
          <w:szCs w:val="22"/>
          <w:u w:val="single" w:color="auto"/>
          <w:color w:val="auto"/>
        </w:rPr>
        <w:t>Notification of Subsequent Employer</w:t>
      </w:r>
      <w:r>
        <w:rPr>
          <w:rFonts w:ascii="Arial" w:cs="Arial" w:eastAsia="Arial" w:hAnsi="Arial"/>
          <w:sz w:val="22"/>
          <w:szCs w:val="22"/>
          <w:color w:val="auto"/>
        </w:rPr>
        <w:t>. Employee hereby agrees that, prior to accepting employment with any other person during any period during which Employee remains subject to any of the covenants set forth in Section 7, 8(b) or 8(c) of this Agreement, Employee shall provide such prospective employer with written notice of such provisions of this Agreement, with a copy of such notice delivered simultaneously to the Company.</w:t>
      </w:r>
    </w:p>
    <w:p>
      <w:pPr>
        <w:spacing w:after="0" w:line="187" w:lineRule="exact"/>
        <w:rPr>
          <w:rFonts w:ascii="Arial" w:cs="Arial" w:eastAsia="Arial" w:hAnsi="Arial"/>
          <w:sz w:val="22"/>
          <w:szCs w:val="22"/>
          <w:color w:val="010000"/>
        </w:rPr>
      </w:pPr>
    </w:p>
    <w:p>
      <w:pPr>
        <w:ind w:firstLine="656"/>
        <w:spacing w:after="0" w:line="286" w:lineRule="auto"/>
        <w:tabs>
          <w:tab w:leader="none" w:pos="972" w:val="left"/>
        </w:tabs>
        <w:numPr>
          <w:ilvl w:val="0"/>
          <w:numId w:val="311"/>
        </w:numPr>
        <w:rPr>
          <w:rFonts w:ascii="Arial" w:cs="Arial" w:eastAsia="Arial" w:hAnsi="Arial"/>
          <w:sz w:val="19"/>
          <w:szCs w:val="19"/>
          <w:color w:val="010000"/>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Employee and the Company agree that Employee will occupy a high-level and unique position of trust and confidence with the Company Entities and will have access to their Confidential Information, and that the Company would likely suffer significant harm to its protectable confidential information and business goodwill from Employee’s breach of any of the covenants set forth in Sections 7 and 8. Employee acknowledges that it is impossible to measure in money the damages that will accrue to the Company Parties in the event that Employee breaches any of the restrictive covenants provided in Sections 7 and 8 of this Agreement. In the event that Employee breaches any such restrictive covenant, the Company Parties shall be entitled to an injunction restraining Employee from violating such restrictive covenant (without posting any bond). If any of the Company Parties shall institute any action or proceeding to enforce any such restrictive covenant, Employee hereby waives the claim or defense that such Company Party has an adequate remedy at law and agrees not to assert in any such action or proceeding the claim or defense that there is an adequate remedy at law. The foregoing shall not prejudice the Company’s right to require Employee to account for and pay over to the Company, and Employee hereby agrees to account for and pay over, the compensation, profits, monies, accruals or other benefits derived or received by Employee as a result of any transaction constituting a breach of any of the restrictive covenants provided in Sections 7 and 8 of this Agreement or to seek any other relief to which it may be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265" w:right="359" w:bottom="1440" w:gutter="0" w:footer="0" w:header="0"/>
        </w:sectPr>
      </w:pPr>
    </w:p>
    <w:bookmarkStart w:id="378" w:name="page379"/>
    <w:bookmarkEnd w:id="378"/>
    <w:p>
      <w:pPr>
        <w:ind w:right="220" w:firstLine="656"/>
        <w:spacing w:after="0" w:line="302" w:lineRule="auto"/>
        <w:tabs>
          <w:tab w:leader="none" w:pos="964" w:val="left"/>
        </w:tabs>
        <w:numPr>
          <w:ilvl w:val="0"/>
          <w:numId w:val="312"/>
        </w:numPr>
        <w:rPr>
          <w:rFonts w:ascii="Arial" w:cs="Arial" w:eastAsia="Arial" w:hAnsi="Arial"/>
          <w:sz w:val="19"/>
          <w:szCs w:val="19"/>
          <w:color w:val="010000"/>
        </w:rPr>
      </w:pPr>
      <w:r>
        <w:rPr>
          <w:rFonts w:ascii="Arial" w:cs="Arial" w:eastAsia="Arial" w:hAnsi="Arial"/>
          <w:sz w:val="19"/>
          <w:szCs w:val="19"/>
          <w:u w:val="single" w:color="auto"/>
          <w:color w:val="auto"/>
        </w:rPr>
        <w:t>Miscellaneous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Notices</w:t>
      </w:r>
      <w:r>
        <w:rPr>
          <w:rFonts w:ascii="Arial" w:cs="Arial" w:eastAsia="Arial" w:hAnsi="Arial"/>
          <w:sz w:val="19"/>
          <w:szCs w:val="19"/>
          <w:color w:val="auto"/>
        </w:rPr>
        <w:t>. Any notice or other communication required or permitted under this Agreement shall be effective only if it is in writing and shall be deemed to be given when delivered personally, or four days after it is mailed by registered or certified mail, postage prepaid, return receipt requested or one day after it is sent by overnight courier service via UPS or FedEx and, in each case, addressed as follows (or if it is sent through any other method agreed upon by the parties):</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XPO Logistics,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Five American Lane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Greenwich, CT 06831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Human Resources Officer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Employee:</w:t>
      </w:r>
    </w:p>
    <w:p>
      <w:pPr>
        <w:spacing w:after="0" w:line="220" w:lineRule="exact"/>
        <w:rPr>
          <w:sz w:val="20"/>
          <w:szCs w:val="20"/>
          <w:color w:val="auto"/>
        </w:rPr>
      </w:pPr>
    </w:p>
    <w:p>
      <w:pPr>
        <w:ind w:right="2780" w:firstLine="1296"/>
        <w:spacing w:after="0" w:line="448" w:lineRule="auto"/>
        <w:rPr>
          <w:sz w:val="20"/>
          <w:szCs w:val="20"/>
          <w:color w:val="auto"/>
        </w:rPr>
      </w:pPr>
      <w:r>
        <w:rPr>
          <w:rFonts w:ascii="Arial" w:cs="Arial" w:eastAsia="Arial" w:hAnsi="Arial"/>
          <w:sz w:val="22"/>
          <w:szCs w:val="22"/>
          <w:color w:val="auto"/>
        </w:rPr>
        <w:t>During the Term, to his principal residence as listed in the records of the Company or to such other address as any party may designate by notice to the other.</w:t>
      </w:r>
    </w:p>
    <w:p>
      <w:pPr>
        <w:spacing w:after="0" w:line="1" w:lineRule="exact"/>
        <w:rPr>
          <w:sz w:val="20"/>
          <w:szCs w:val="20"/>
          <w:color w:val="auto"/>
        </w:rPr>
      </w:pPr>
    </w:p>
    <w:p>
      <w:pPr>
        <w:ind w:right="120" w:firstLine="1304"/>
        <w:spacing w:after="0" w:line="259" w:lineRule="auto"/>
        <w:tabs>
          <w:tab w:leader="none" w:pos="1602" w:val="left"/>
        </w:tabs>
        <w:numPr>
          <w:ilvl w:val="0"/>
          <w:numId w:val="313"/>
        </w:numPr>
        <w:rPr>
          <w:rFonts w:ascii="Arial" w:cs="Arial" w:eastAsia="Arial" w:hAnsi="Arial"/>
          <w:sz w:val="21"/>
          <w:szCs w:val="21"/>
          <w:color w:val="010000"/>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shall constitute the entire agreement and understanding among the parties hereto with respect to Employee’s employment hereunder and supersedes and is in full substitution for any and all prior understandings or agreements (whether written or oral) with respect to Employee’s employment including without limitation the prior agreement, dated February 9, 2016 and amended on June 5, 2019. The Company does not make and has not made, and Employee does not rely and has not relied on any statement, omission, representation or warranty, written or oral, of any kind or nature whatsoever, regarding the Company or the Long-Term Incentive Compensation, including, without limitation, its or their present, future, prospective or potential value, worth, prospects, performance, soundness, profit or loss potential, or any other matter or thing whatsoever relating to whether Employee should purchase or accept any Long-Term Incentive Compensation and/or the consideration therefor.</w:t>
      </w:r>
    </w:p>
    <w:p>
      <w:pPr>
        <w:spacing w:after="0" w:line="179" w:lineRule="exact"/>
        <w:rPr>
          <w:rFonts w:ascii="Arial" w:cs="Arial" w:eastAsia="Arial" w:hAnsi="Arial"/>
          <w:sz w:val="21"/>
          <w:szCs w:val="21"/>
          <w:color w:val="010000"/>
        </w:rPr>
      </w:pPr>
    </w:p>
    <w:p>
      <w:pPr>
        <w:ind w:firstLine="1304"/>
        <w:spacing w:after="0" w:line="288" w:lineRule="auto"/>
        <w:tabs>
          <w:tab w:leader="none" w:pos="1590" w:val="left"/>
        </w:tabs>
        <w:numPr>
          <w:ilvl w:val="0"/>
          <w:numId w:val="313"/>
        </w:numPr>
        <w:rPr>
          <w:rFonts w:ascii="Arial" w:cs="Arial" w:eastAsia="Arial" w:hAnsi="Arial"/>
          <w:sz w:val="19"/>
          <w:szCs w:val="19"/>
          <w:color w:val="010000"/>
        </w:rPr>
      </w:pPr>
      <w:r>
        <w:rPr>
          <w:rFonts w:ascii="Arial" w:cs="Arial" w:eastAsia="Arial" w:hAnsi="Arial"/>
          <w:sz w:val="19"/>
          <w:szCs w:val="19"/>
          <w:u w:val="single" w:color="auto"/>
          <w:color w:val="auto"/>
        </w:rPr>
        <w:t>Amendment; No Waiver</w:t>
      </w:r>
      <w:r>
        <w:rPr>
          <w:rFonts w:ascii="Arial" w:cs="Arial" w:eastAsia="Arial" w:hAnsi="Arial"/>
          <w:sz w:val="19"/>
          <w:szCs w:val="19"/>
          <w:color w:val="auto"/>
        </w:rPr>
        <w:t>. Except as expressly set forth otherwise in this Agreement (including, without limitation, pursuant to Sections 11(l)(iv) and 11(m) of this Agreement), this Agreement may be amended only by an instrument in writing signed by the parties, and the application of any provision hereof may be waived only by an instrument in writing that specifically identifies the provision whose application is being waived and that is signed by the party against whom or which enforcement of such waiver is sought. The failure of any party at any time to insist upon strict adherence to any provision hereof shall in no way affect the full right to insist upon strict adherence at any time thereafter, nor shall the waiver by any party of a breach of any provision hereof be taken or held to be a waiver of any succeeding breach of such provision or a waiver of the provision itself or a waiver of any other provision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265" w:right="359" w:bottom="1440" w:gutter="0" w:footer="0" w:header="0"/>
        </w:sectPr>
      </w:pPr>
    </w:p>
    <w:bookmarkStart w:id="379" w:name="page380"/>
    <w:bookmarkEnd w:id="379"/>
    <w:p>
      <w:pPr>
        <w:ind w:right="220"/>
        <w:spacing w:after="0" w:line="263" w:lineRule="auto"/>
        <w:rPr>
          <w:sz w:val="20"/>
          <w:szCs w:val="20"/>
          <w:color w:val="auto"/>
        </w:rPr>
      </w:pPr>
      <w:r>
        <w:rPr>
          <w:rFonts w:ascii="Arial" w:cs="Arial" w:eastAsia="Arial" w:hAnsi="Arial"/>
          <w:sz w:val="22"/>
          <w:szCs w:val="22"/>
          <w:color w:val="auto"/>
        </w:rPr>
        <w:t>further exercise thereof or the exercise of any other right or power. Termination of this Agreement shall not relieve any party of liability for any breach of this Agreement occurring prior to such termination.</w:t>
      </w:r>
    </w:p>
    <w:p>
      <w:pPr>
        <w:spacing w:after="0" w:line="175" w:lineRule="exact"/>
        <w:rPr>
          <w:sz w:val="20"/>
          <w:szCs w:val="20"/>
          <w:color w:val="auto"/>
        </w:rPr>
      </w:pPr>
    </w:p>
    <w:p>
      <w:pPr>
        <w:ind w:right="120" w:firstLine="1304"/>
        <w:spacing w:after="0" w:line="250" w:lineRule="auto"/>
        <w:tabs>
          <w:tab w:leader="none" w:pos="1602" w:val="left"/>
        </w:tabs>
        <w:numPr>
          <w:ilvl w:val="0"/>
          <w:numId w:val="314"/>
        </w:numPr>
        <w:rPr>
          <w:rFonts w:ascii="Arial" w:cs="Arial" w:eastAsia="Arial" w:hAnsi="Arial"/>
          <w:sz w:val="22"/>
          <w:szCs w:val="22"/>
          <w:color w:val="010000"/>
        </w:rPr>
      </w:pPr>
      <w:r>
        <w:rPr>
          <w:rFonts w:ascii="Arial" w:cs="Arial" w:eastAsia="Arial" w:hAnsi="Arial"/>
          <w:sz w:val="22"/>
          <w:szCs w:val="22"/>
          <w:u w:val="single" w:color="auto"/>
          <w:color w:val="auto"/>
        </w:rPr>
        <w:t>No Construction Against Drafter</w:t>
      </w:r>
      <w:r>
        <w:rPr>
          <w:rFonts w:ascii="Arial" w:cs="Arial" w:eastAsia="Arial" w:hAnsi="Arial"/>
          <w:sz w:val="22"/>
          <w:szCs w:val="22"/>
          <w:color w:val="auto"/>
        </w:rPr>
        <w:t>. The parties acknowledge and agree that each party has reviewed and negotiated the terms and provisions of this Agreement and has had the opportunity to contribute to its revision. Accordingly, any rule of construction to the effect that ambiguities are resolved against the drafting party shall not be employed in the interpretation of this Agreement.</w:t>
      </w:r>
    </w:p>
    <w:p>
      <w:pPr>
        <w:spacing w:after="0" w:line="187" w:lineRule="exact"/>
        <w:rPr>
          <w:rFonts w:ascii="Arial" w:cs="Arial" w:eastAsia="Arial" w:hAnsi="Arial"/>
          <w:sz w:val="22"/>
          <w:szCs w:val="22"/>
          <w:color w:val="010000"/>
        </w:rPr>
      </w:pPr>
    </w:p>
    <w:p>
      <w:pPr>
        <w:ind w:right="20" w:firstLine="1304"/>
        <w:spacing w:after="0" w:line="302" w:lineRule="auto"/>
        <w:tabs>
          <w:tab w:leader="none" w:pos="1590" w:val="left"/>
        </w:tabs>
        <w:numPr>
          <w:ilvl w:val="0"/>
          <w:numId w:val="314"/>
        </w:numPr>
        <w:rPr>
          <w:rFonts w:ascii="Arial" w:cs="Arial" w:eastAsia="Arial" w:hAnsi="Arial"/>
          <w:sz w:val="19"/>
          <w:szCs w:val="19"/>
          <w:color w:val="010000"/>
        </w:rPr>
      </w:pPr>
      <w:r>
        <w:rPr>
          <w:rFonts w:ascii="Arial" w:cs="Arial" w:eastAsia="Arial" w:hAnsi="Arial"/>
          <w:sz w:val="19"/>
          <w:szCs w:val="19"/>
          <w:u w:val="single" w:color="auto"/>
          <w:color w:val="auto"/>
        </w:rPr>
        <w:t>Clawbacks</w:t>
      </w:r>
      <w:r>
        <w:rPr>
          <w:rFonts w:ascii="Arial" w:cs="Arial" w:eastAsia="Arial" w:hAnsi="Arial"/>
          <w:sz w:val="19"/>
          <w:szCs w:val="19"/>
          <w:color w:val="auto"/>
        </w:rPr>
        <w:t>. Employee hereby acknowledges and agrees that, notwithstanding any provision of this Agreement to the contrary, Employee will be subject to any legally mandated policy relating to the recovery of compensation, solely to the extent that the Company is required to implement such policy pursuant to applicable law, whether pursuant to the Sarbanes-Oxley Act of 2002, the Dodd-Frank Wall Street Reform and Consumer Protection Act of 2010 or otherwise.</w:t>
      </w:r>
    </w:p>
    <w:p>
      <w:pPr>
        <w:spacing w:after="0" w:line="142" w:lineRule="exact"/>
        <w:rPr>
          <w:rFonts w:ascii="Arial" w:cs="Arial" w:eastAsia="Arial" w:hAnsi="Arial"/>
          <w:sz w:val="19"/>
          <w:szCs w:val="19"/>
          <w:color w:val="010000"/>
        </w:rPr>
      </w:pPr>
    </w:p>
    <w:p>
      <w:pPr>
        <w:ind w:firstLine="1304"/>
        <w:spacing w:after="0" w:line="284" w:lineRule="auto"/>
        <w:tabs>
          <w:tab w:leader="none" w:pos="1566" w:val="left"/>
        </w:tabs>
        <w:numPr>
          <w:ilvl w:val="0"/>
          <w:numId w:val="314"/>
        </w:numPr>
        <w:rPr>
          <w:rFonts w:ascii="Arial" w:cs="Arial" w:eastAsia="Arial" w:hAnsi="Arial"/>
          <w:sz w:val="19"/>
          <w:szCs w:val="19"/>
          <w:color w:val="010000"/>
        </w:rPr>
      </w:pPr>
      <w:r>
        <w:rPr>
          <w:rFonts w:ascii="Arial" w:cs="Arial" w:eastAsia="Arial" w:hAnsi="Arial"/>
          <w:sz w:val="19"/>
          <w:szCs w:val="19"/>
          <w:u w:val="single" w:color="auto"/>
          <w:color w:val="auto"/>
        </w:rPr>
        <w:t>Employee Representations and Acknowledgements</w:t>
      </w:r>
      <w:r>
        <w:rPr>
          <w:rFonts w:ascii="Arial" w:cs="Arial" w:eastAsia="Arial" w:hAnsi="Arial"/>
          <w:sz w:val="19"/>
          <w:szCs w:val="19"/>
          <w:color w:val="auto"/>
        </w:rPr>
        <w:t>. Employee represents, warrants and covenants that as of the date that the Company and Employee have executed this Agreement as set forth on the signature page hereto: (i) he has the full right, authority and capacity to enter into this Agreement, (ii) he is ready, willing and able to perform his obligations hereunder and, to his knowledge, no reason exists that would prevent him from performing his obligations hereunder, (iii) he is not bound by any agreement that conflicts with or prevents or restricts the full performance of his duties and obligations to the Company hereunder during or after the Term and (iv) the execution and delivery of this Agreement shall not result in any breach or violation of, or a default under, any existing obligation, commitment or agreement to which Employee is subject. Employee acknowledges and agrees that nothing in this Agreement shall (x) entitle Employee to any compensation or other interest in respect of any activity of Jacobs Private Equity, LLC, a Delaware limited liability company (“</w:t>
      </w:r>
      <w:r>
        <w:rPr>
          <w:rFonts w:ascii="Arial" w:cs="Arial" w:eastAsia="Arial" w:hAnsi="Arial"/>
          <w:sz w:val="19"/>
          <w:szCs w:val="19"/>
          <w:u w:val="single" w:color="auto"/>
          <w:color w:val="auto"/>
        </w:rPr>
        <w:t>JPE</w:t>
      </w:r>
      <w:r>
        <w:rPr>
          <w:rFonts w:ascii="Arial" w:cs="Arial" w:eastAsia="Arial" w:hAnsi="Arial"/>
          <w:sz w:val="19"/>
          <w:szCs w:val="19"/>
          <w:color w:val="auto"/>
        </w:rPr>
        <w:t>”) other than with respect to the Company; (y) restrict or prohibit the Company, Employee or any of his affiliates from having business interests and engaging in business activities in addition to those relating to the Company; or (z) restrict the investments which the Company, Employee or JPE or any of his or its affiliates may make, regardless of whether such investment opportunity or investment may be deemed to be a Competitive Opportunity. Employee acknowledges that he has carefully read this Agreement and has given careful consideration to the restraints imposed upon Employee by this Agreement, and is in full accord as to the necessity of such restraints for the reasonable and proper protection of the Confidential Information, business strategies, employee and customer relationships and goodwill of the Company Entities now existing or to be developed in the future. Employee expressly acknowledges and agrees that each and every restraint imposed by this Agreement is reasonable with respect to subject matter, industry scope, time period and geographic area. Employee agrees to comply with each of the covenants contained in Sections 7 and 8 of this Agreement in accordance with their terms, and Employee shall not, and hereby agrees to waive and release any right or claim to, challenge the reasonableness, validity or enforceability of any of the covenants contained in Section 7 or 8 of this Agreement. Employee further acknowledges that although Employee’s compliance with the covenants contained in Sections 7 and 8 of this Agreement may prevent Employee from earning a livelihood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265" w:right="339" w:bottom="1440" w:gutter="0" w:footer="0" w:header="0"/>
        </w:sectPr>
      </w:pPr>
    </w:p>
    <w:bookmarkStart w:id="380" w:name="page381"/>
    <w:bookmarkEnd w:id="380"/>
    <w:p>
      <w:pPr>
        <w:ind w:right="260"/>
        <w:spacing w:after="0" w:line="250" w:lineRule="auto"/>
        <w:rPr>
          <w:sz w:val="20"/>
          <w:szCs w:val="20"/>
          <w:color w:val="auto"/>
        </w:rPr>
      </w:pPr>
      <w:r>
        <w:rPr>
          <w:rFonts w:ascii="Arial" w:cs="Arial" w:eastAsia="Arial" w:hAnsi="Arial"/>
          <w:sz w:val="22"/>
          <w:szCs w:val="22"/>
          <w:color w:val="auto"/>
        </w:rPr>
        <w:t>business similar to the business of the Company Entities, Employee’s experience and capabilities are such that Employee has other opportunities to earn a livelihood and adequate means of support for Employee and Employee’s dependents. Employee acknowledges that the Company has advised him that it is in his best interest to consult with an attorney prior to executing this Agreement.</w:t>
      </w:r>
    </w:p>
    <w:p>
      <w:pPr>
        <w:spacing w:after="0" w:line="188" w:lineRule="exact"/>
        <w:rPr>
          <w:sz w:val="20"/>
          <w:szCs w:val="20"/>
          <w:color w:val="auto"/>
        </w:rPr>
      </w:pPr>
    </w:p>
    <w:p>
      <w:pPr>
        <w:ind w:firstLine="1304"/>
        <w:spacing w:after="0" w:line="250" w:lineRule="auto"/>
        <w:tabs>
          <w:tab w:leader="none" w:pos="1602" w:val="left"/>
        </w:tabs>
        <w:numPr>
          <w:ilvl w:val="0"/>
          <w:numId w:val="315"/>
        </w:numPr>
        <w:rPr>
          <w:rFonts w:ascii="Arial" w:cs="Arial" w:eastAsia="Arial" w:hAnsi="Arial"/>
          <w:sz w:val="22"/>
          <w:szCs w:val="22"/>
          <w:color w:val="010000"/>
        </w:rPr>
      </w:pPr>
      <w:r>
        <w:rPr>
          <w:rFonts w:ascii="Arial" w:cs="Arial" w:eastAsia="Arial" w:hAnsi="Arial"/>
          <w:sz w:val="22"/>
          <w:szCs w:val="22"/>
          <w:u w:val="single" w:color="auto"/>
          <w:color w:val="auto"/>
        </w:rPr>
        <w:t>Survival</w:t>
      </w:r>
      <w:r>
        <w:rPr>
          <w:rFonts w:ascii="Arial" w:cs="Arial" w:eastAsia="Arial" w:hAnsi="Arial"/>
          <w:sz w:val="22"/>
          <w:szCs w:val="22"/>
          <w:color w:val="auto"/>
        </w:rPr>
        <w:t>. Employee’s obligations under Sections 7 and 8 of this Agreement shall remain in full force and effect for the entire period provided therein notwithstanding any termination of employment or other expiration of the Term or termination of this Agreement. The terms and conditions of Sections 6, 7, 8, 9, 10 and 11 of this Agreement shall survive the Term and termination of Employee’s employment.</w:t>
      </w:r>
    </w:p>
    <w:p>
      <w:pPr>
        <w:spacing w:after="0" w:line="187" w:lineRule="exact"/>
        <w:rPr>
          <w:rFonts w:ascii="Arial" w:cs="Arial" w:eastAsia="Arial" w:hAnsi="Arial"/>
          <w:sz w:val="22"/>
          <w:szCs w:val="22"/>
          <w:color w:val="010000"/>
        </w:rPr>
      </w:pPr>
    </w:p>
    <w:p>
      <w:pPr>
        <w:ind w:firstLine="1304"/>
        <w:spacing w:after="0" w:line="248" w:lineRule="auto"/>
        <w:tabs>
          <w:tab w:leader="none" w:pos="1602" w:val="left"/>
        </w:tabs>
        <w:numPr>
          <w:ilvl w:val="0"/>
          <w:numId w:val="315"/>
        </w:numPr>
        <w:rPr>
          <w:rFonts w:ascii="Arial" w:cs="Arial" w:eastAsia="Arial" w:hAnsi="Arial"/>
          <w:sz w:val="22"/>
          <w:szCs w:val="22"/>
          <w:color w:val="010000"/>
        </w:rPr>
      </w:pP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is binding on and is for the benefit of the parties hereto and their respective successors, assigns, heirs, executors, administrators and other legal representatives. This Agreement is personal to Employee; and neither this Agreement nor any right or obligation hereunder may be assigned by Employee without the prior written consent of the Company (or except by will or the laws of descent and distribution), and any purported assignment in violation of this Section 11(h) shall be void.</w:t>
      </w:r>
    </w:p>
    <w:p>
      <w:pPr>
        <w:spacing w:after="0" w:line="191" w:lineRule="exact"/>
        <w:rPr>
          <w:rFonts w:ascii="Arial" w:cs="Arial" w:eastAsia="Arial" w:hAnsi="Arial"/>
          <w:sz w:val="22"/>
          <w:szCs w:val="22"/>
          <w:color w:val="010000"/>
        </w:rPr>
      </w:pPr>
    </w:p>
    <w:p>
      <w:pPr>
        <w:ind w:firstLine="1304"/>
        <w:spacing w:after="0" w:line="286" w:lineRule="auto"/>
        <w:tabs>
          <w:tab w:leader="none" w:pos="1554" w:val="left"/>
        </w:tabs>
        <w:numPr>
          <w:ilvl w:val="0"/>
          <w:numId w:val="315"/>
        </w:numPr>
        <w:rPr>
          <w:rFonts w:ascii="Arial" w:cs="Arial" w:eastAsia="Arial" w:hAnsi="Arial"/>
          <w:sz w:val="19"/>
          <w:szCs w:val="19"/>
          <w:color w:val="010000"/>
        </w:rPr>
      </w:pP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If any provision of this Agreement or the application thereof is held invalid, the invalidity shall not affect other provisions or applications of this Agreement which can be given effect without the invalid provisions or applications and to this end the provisions of this Agreement are declared to be severable. If any term or provision of this Agreement is invalid, illegal or incapable of being enforced by any applicable law or public policy, all other conditions and provisions of this Agreement shall nonetheless remain in full force and effect so long as the economic and legal substance of the transactions contemplated by this Agreement is not affected in any manner materially adverse;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a final, non-reviewable, non-appealable determination that any provision of Section 7 or 8 of this Agreement (whether in whole or in part) is void or constitutes an unreasonable restriction against Employee, such provision shall not be rendered void but shall be deemed to be modified to the minimum extent necessary to make such provision enforceable for the longest duration and the greatest scope as may constitute a reasonable restriction under the circumstances. Subject to the foregoing,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200" w:lineRule="exact"/>
        <w:rPr>
          <w:rFonts w:ascii="Arial" w:cs="Arial" w:eastAsia="Arial" w:hAnsi="Arial"/>
          <w:sz w:val="19"/>
          <w:szCs w:val="19"/>
          <w:color w:val="010000"/>
        </w:rPr>
      </w:pPr>
    </w:p>
    <w:p>
      <w:pPr>
        <w:spacing w:after="0" w:line="222" w:lineRule="exact"/>
        <w:rPr>
          <w:rFonts w:ascii="Arial" w:cs="Arial" w:eastAsia="Arial" w:hAnsi="Arial"/>
          <w:sz w:val="19"/>
          <w:szCs w:val="19"/>
          <w:color w:val="010000"/>
        </w:rPr>
      </w:pPr>
    </w:p>
    <w:p>
      <w:pPr>
        <w:ind w:right="220" w:firstLine="1304"/>
        <w:spacing w:after="0" w:line="250" w:lineRule="auto"/>
        <w:tabs>
          <w:tab w:leader="none" w:pos="1554" w:val="left"/>
        </w:tabs>
        <w:numPr>
          <w:ilvl w:val="0"/>
          <w:numId w:val="315"/>
        </w:numPr>
        <w:rPr>
          <w:rFonts w:ascii="Arial" w:cs="Arial" w:eastAsia="Arial" w:hAnsi="Arial"/>
          <w:sz w:val="22"/>
          <w:szCs w:val="22"/>
          <w:color w:val="010000"/>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The Company may withhold from any amounts payable to Employee hereunder all federal, state, city, foreign or other taxes that the Company may reasonably determine are required to be withheld pursuant to any applicable law or regulation (it being understood that Employee shall be responsible for payment of all taxes in respect of the payments and benefits provided herein).</w:t>
      </w:r>
    </w:p>
    <w:p>
      <w:pPr>
        <w:spacing w:after="0" w:line="187" w:lineRule="exact"/>
        <w:rPr>
          <w:rFonts w:ascii="Arial" w:cs="Arial" w:eastAsia="Arial" w:hAnsi="Arial"/>
          <w:sz w:val="22"/>
          <w:szCs w:val="22"/>
          <w:color w:val="010000"/>
        </w:rPr>
      </w:pPr>
    </w:p>
    <w:p>
      <w:pPr>
        <w:ind w:right="120" w:firstLine="1304"/>
        <w:spacing w:after="0" w:line="263" w:lineRule="auto"/>
        <w:tabs>
          <w:tab w:leader="none" w:pos="1602" w:val="left"/>
        </w:tabs>
        <w:numPr>
          <w:ilvl w:val="0"/>
          <w:numId w:val="315"/>
        </w:numPr>
        <w:rPr>
          <w:rFonts w:ascii="Arial" w:cs="Arial" w:eastAsia="Arial" w:hAnsi="Arial"/>
          <w:sz w:val="22"/>
          <w:szCs w:val="22"/>
          <w:color w:val="010000"/>
        </w:rPr>
      </w:pPr>
      <w:r>
        <w:rPr>
          <w:rFonts w:ascii="Arial" w:cs="Arial" w:eastAsia="Arial" w:hAnsi="Arial"/>
          <w:sz w:val="22"/>
          <w:szCs w:val="22"/>
          <w:u w:val="single" w:color="auto"/>
          <w:color w:val="auto"/>
        </w:rPr>
        <w:t>Cooperation Regarding Long-Term Incentive Compensation</w:t>
      </w:r>
      <w:r>
        <w:rPr>
          <w:rFonts w:ascii="Arial" w:cs="Arial" w:eastAsia="Arial" w:hAnsi="Arial"/>
          <w:sz w:val="22"/>
          <w:szCs w:val="22"/>
          <w:color w:val="auto"/>
        </w:rPr>
        <w:t>. Employee expressly agrees that he shall execute such other documents as reasonably requested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265" w:right="359" w:bottom="1440" w:gutter="0" w:footer="0" w:header="0"/>
        </w:sectPr>
      </w:pPr>
    </w:p>
    <w:bookmarkStart w:id="381" w:name="page382"/>
    <w:bookmarkEnd w:id="381"/>
    <w:p>
      <w:pPr>
        <w:ind w:right="460"/>
        <w:spacing w:after="0" w:line="263" w:lineRule="auto"/>
        <w:rPr>
          <w:sz w:val="20"/>
          <w:szCs w:val="20"/>
          <w:color w:val="auto"/>
        </w:rPr>
      </w:pPr>
      <w:r>
        <w:rPr>
          <w:rFonts w:ascii="Arial" w:cs="Arial" w:eastAsia="Arial" w:hAnsi="Arial"/>
          <w:sz w:val="22"/>
          <w:szCs w:val="22"/>
          <w:color w:val="auto"/>
        </w:rPr>
        <w:t>Company to effect the terms of this Agreement and the issuance of the Long-Term Incentive Compensation as contemplated hereunder in compliance with applicable law.</w:t>
      </w:r>
    </w:p>
    <w:p>
      <w:pPr>
        <w:spacing w:after="0" w:line="175" w:lineRule="exact"/>
        <w:rPr>
          <w:sz w:val="20"/>
          <w:szCs w:val="20"/>
          <w:color w:val="auto"/>
        </w:rPr>
      </w:pPr>
    </w:p>
    <w:p>
      <w:pPr>
        <w:ind w:right="640" w:firstLine="1304"/>
        <w:spacing w:after="0" w:line="253" w:lineRule="auto"/>
        <w:tabs>
          <w:tab w:leader="none" w:pos="1554" w:val="left"/>
        </w:tabs>
        <w:numPr>
          <w:ilvl w:val="1"/>
          <w:numId w:val="316"/>
        </w:numPr>
        <w:rPr>
          <w:rFonts w:ascii="Arial" w:cs="Arial" w:eastAsia="Arial" w:hAnsi="Arial"/>
          <w:sz w:val="22"/>
          <w:szCs w:val="22"/>
          <w:color w:val="010000"/>
        </w:rPr>
      </w:pPr>
      <w:r>
        <w:rPr>
          <w:rFonts w:ascii="Arial" w:cs="Arial" w:eastAsia="Arial" w:hAnsi="Arial"/>
          <w:sz w:val="22"/>
          <w:szCs w:val="22"/>
          <w:u w:val="single" w:color="auto"/>
          <w:color w:val="auto"/>
        </w:rPr>
        <w:t>Governing Law; Arbitration; Consent to Jurisdiction; Waiver of Jury Trial.</w:t>
      </w:r>
      <w:r>
        <w:rPr>
          <w:rFonts w:ascii="Arial" w:cs="Arial" w:eastAsia="Arial" w:hAnsi="Arial"/>
          <w:sz w:val="22"/>
          <w:szCs w:val="22"/>
          <w:color w:val="auto"/>
        </w:rPr>
        <w:t xml:space="preserve"> (i) This Agreement shall be governed by and construed in accordance with its express terms, and otherwise in accordance with the laws of the State of Delaware without reference to its principles of conflicts of law.</w:t>
      </w:r>
    </w:p>
    <w:p>
      <w:pPr>
        <w:spacing w:after="0" w:line="185" w:lineRule="exact"/>
        <w:rPr>
          <w:rFonts w:ascii="Arial" w:cs="Arial" w:eastAsia="Arial" w:hAnsi="Arial"/>
          <w:sz w:val="22"/>
          <w:szCs w:val="22"/>
          <w:color w:val="010000"/>
        </w:rPr>
      </w:pPr>
    </w:p>
    <w:p>
      <w:pPr>
        <w:ind w:firstLine="1952"/>
        <w:spacing w:after="0" w:line="302" w:lineRule="auto"/>
        <w:tabs>
          <w:tab w:leader="none" w:pos="2262" w:val="left"/>
        </w:tabs>
        <w:numPr>
          <w:ilvl w:val="2"/>
          <w:numId w:val="316"/>
        </w:numPr>
        <w:rPr>
          <w:rFonts w:ascii="Arial" w:cs="Arial" w:eastAsia="Arial" w:hAnsi="Arial"/>
          <w:sz w:val="19"/>
          <w:szCs w:val="19"/>
          <w:color w:val="010000"/>
        </w:rPr>
      </w:pPr>
      <w:r>
        <w:rPr>
          <w:rFonts w:ascii="Arial" w:cs="Arial" w:eastAsia="Arial" w:hAnsi="Arial"/>
          <w:sz w:val="19"/>
          <w:szCs w:val="19"/>
          <w:color w:val="auto"/>
        </w:rPr>
        <w:t>Any claim initiated by Employee arising out of or relating to this Agreement, or the breach thereof, or Employee’s employment, or the termination thereof, shall be resolved by binding arbitration before a single arbitrator in the State of Delaware administered by the American Arbitration Association in accordance with its Commercial Arbitration Rules, and judgment on the award rendered by the arbitrator may be entered in any court having jurisdiction thereof.</w:t>
      </w:r>
    </w:p>
    <w:p>
      <w:pPr>
        <w:spacing w:after="0" w:line="142" w:lineRule="exact"/>
        <w:rPr>
          <w:rFonts w:ascii="Arial" w:cs="Arial" w:eastAsia="Arial" w:hAnsi="Arial"/>
          <w:sz w:val="19"/>
          <w:szCs w:val="19"/>
          <w:color w:val="010000"/>
        </w:rPr>
      </w:pPr>
    </w:p>
    <w:p>
      <w:pPr>
        <w:ind w:right="120" w:firstLine="1952"/>
        <w:spacing w:after="0" w:line="288" w:lineRule="auto"/>
        <w:tabs>
          <w:tab w:leader="none" w:pos="2322" w:val="left"/>
        </w:tabs>
        <w:numPr>
          <w:ilvl w:val="2"/>
          <w:numId w:val="316"/>
        </w:numPr>
        <w:rPr>
          <w:rFonts w:ascii="Arial" w:cs="Arial" w:eastAsia="Arial" w:hAnsi="Arial"/>
          <w:sz w:val="19"/>
          <w:szCs w:val="19"/>
          <w:color w:val="010000"/>
        </w:rPr>
      </w:pPr>
      <w:r>
        <w:rPr>
          <w:rFonts w:ascii="Arial" w:cs="Arial" w:eastAsia="Arial" w:hAnsi="Arial"/>
          <w:sz w:val="19"/>
          <w:szCs w:val="19"/>
          <w:color w:val="auto"/>
        </w:rPr>
        <w:t>Except the extent that the Company seeks injunctive relief pursuant to Section 10 of this Agreement, any claim initiated by the Company arising out of or relating to this Agreement, or the breach thereof, or Employee’s employment, or the termination thereof, shall, at the election of the Company be resolved in accordance with Section 11(l)(ii) or</w:t>
      </w:r>
    </w:p>
    <w:p>
      <w:pPr>
        <w:ind w:left="380" w:hanging="372"/>
        <w:spacing w:after="0"/>
        <w:tabs>
          <w:tab w:leader="none" w:pos="380" w:val="left"/>
        </w:tabs>
        <w:numPr>
          <w:ilvl w:val="0"/>
          <w:numId w:val="317"/>
        </w:numPr>
        <w:rPr>
          <w:rFonts w:ascii="Arial" w:cs="Arial" w:eastAsia="Arial" w:hAnsi="Arial"/>
          <w:sz w:val="22"/>
          <w:szCs w:val="22"/>
          <w:color w:val="auto"/>
        </w:rPr>
      </w:pPr>
      <w:r>
        <w:rPr>
          <w:rFonts w:ascii="Arial" w:cs="Arial" w:eastAsia="Arial" w:hAnsi="Arial"/>
          <w:sz w:val="22"/>
          <w:szCs w:val="22"/>
          <w:color w:val="auto"/>
        </w:rPr>
        <w:t>of this Agreement.</w:t>
      </w:r>
    </w:p>
    <w:p>
      <w:pPr>
        <w:spacing w:after="0" w:line="201" w:lineRule="exact"/>
        <w:rPr>
          <w:rFonts w:ascii="Arial" w:cs="Arial" w:eastAsia="Arial" w:hAnsi="Arial"/>
          <w:sz w:val="22"/>
          <w:szCs w:val="22"/>
          <w:color w:val="auto"/>
        </w:rPr>
      </w:pPr>
    </w:p>
    <w:p>
      <w:pPr>
        <w:ind w:firstLine="1952"/>
        <w:spacing w:after="0" w:line="287" w:lineRule="auto"/>
        <w:tabs>
          <w:tab w:leader="none" w:pos="2310" w:val="left"/>
        </w:tabs>
        <w:numPr>
          <w:ilvl w:val="2"/>
          <w:numId w:val="317"/>
        </w:numPr>
        <w:rPr>
          <w:rFonts w:ascii="Arial" w:cs="Arial" w:eastAsia="Arial" w:hAnsi="Arial"/>
          <w:sz w:val="19"/>
          <w:szCs w:val="19"/>
          <w:color w:val="010000"/>
        </w:rPr>
      </w:pPr>
      <w:r>
        <w:rPr>
          <w:rFonts w:ascii="Arial" w:cs="Arial" w:eastAsia="Arial" w:hAnsi="Arial"/>
          <w:sz w:val="19"/>
          <w:szCs w:val="19"/>
          <w:color w:val="auto"/>
        </w:rPr>
        <w:t xml:space="preserve">Employee hereby irrevocably submits to the jurisdiction of any state or federal court located in the State of Delaware;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herein shall preclude the Company from bringing any suit, action or proceeding in any other court for the purposes of enforcing the provisions of this Section 11(l) or enforcing any judgment or award obtained by the Company. Employee waives, to the fullest extent permitted by applicable law, any objection which he now or hereafter has to personal jurisdiction or to the laying of venue of any such suit, action or proceeding brought in an applicable court described in this Section 11(l)(iv), and agrees that he shall not attempt to deny or defeat such personal jurisdiction by motion or other request for leave from any court. Employee agrees that, to the fullest extent permitted by applicable law, a final and non-appealable judgment in any suit, action or proceeding brought in any applicable court described in this Section 11(l)(iv) shall be conclusive and binding upon Employee and may be enforced in any other jurisdiction. EMPLOYEE EXPRESSLY AND KNOWINGLY WAIVES ANY RIGHT TO A JURY TRIAL IN THE EVENT THAT ANY ACTION ARISING OUT OF OR RELATING TO THIS AGREEMENT OR THE BREACH HEREOF, OR EMPLOYEE’S EMPLOYMENT, OR THE TERMINATION THEREOF, IS LITIGATED OR HEARD IN ANY COURT.</w:t>
      </w:r>
    </w:p>
    <w:p>
      <w:pPr>
        <w:spacing w:after="0" w:line="200" w:lineRule="exact"/>
        <w:rPr>
          <w:rFonts w:ascii="Arial" w:cs="Arial" w:eastAsia="Arial" w:hAnsi="Arial"/>
          <w:sz w:val="19"/>
          <w:szCs w:val="19"/>
          <w:color w:val="010000"/>
        </w:rPr>
      </w:pPr>
    </w:p>
    <w:p>
      <w:pPr>
        <w:spacing w:after="0" w:line="219" w:lineRule="exact"/>
        <w:rPr>
          <w:rFonts w:ascii="Arial" w:cs="Arial" w:eastAsia="Arial" w:hAnsi="Arial"/>
          <w:sz w:val="19"/>
          <w:szCs w:val="19"/>
          <w:color w:val="010000"/>
        </w:rPr>
      </w:pPr>
    </w:p>
    <w:p>
      <w:pPr>
        <w:ind w:right="20" w:firstLine="1952"/>
        <w:spacing w:after="0" w:line="253" w:lineRule="auto"/>
        <w:tabs>
          <w:tab w:leader="none" w:pos="2250" w:val="left"/>
        </w:tabs>
        <w:numPr>
          <w:ilvl w:val="2"/>
          <w:numId w:val="317"/>
        </w:numPr>
        <w:rPr>
          <w:rFonts w:ascii="Arial" w:cs="Arial" w:eastAsia="Arial" w:hAnsi="Arial"/>
          <w:sz w:val="22"/>
          <w:szCs w:val="22"/>
          <w:color w:val="010000"/>
        </w:rPr>
      </w:pPr>
      <w:r>
        <w:rPr>
          <w:rFonts w:ascii="Arial" w:cs="Arial" w:eastAsia="Arial" w:hAnsi="Arial"/>
          <w:sz w:val="22"/>
          <w:szCs w:val="22"/>
          <w:color w:val="auto"/>
        </w:rPr>
        <w:t>The prevailing party shall be entitled to recover all legal fees and costs (including reasonable attorney’s fees and the fees of experts) from the losing party in connection with any claim arising under this Agreement or Employee’s employment hereunder.</w:t>
      </w:r>
    </w:p>
    <w:p>
      <w:pPr>
        <w:spacing w:after="0" w:line="185" w:lineRule="exact"/>
        <w:rPr>
          <w:rFonts w:ascii="Arial" w:cs="Arial" w:eastAsia="Arial" w:hAnsi="Arial"/>
          <w:sz w:val="22"/>
          <w:szCs w:val="22"/>
          <w:color w:val="010000"/>
        </w:rPr>
      </w:pPr>
    </w:p>
    <w:p>
      <w:pPr>
        <w:ind w:right="160" w:firstLine="1304"/>
        <w:spacing w:after="0" w:line="253" w:lineRule="auto"/>
        <w:tabs>
          <w:tab w:leader="none" w:pos="1662" w:val="left"/>
        </w:tabs>
        <w:numPr>
          <w:ilvl w:val="1"/>
          <w:numId w:val="317"/>
        </w:numPr>
        <w:rPr>
          <w:rFonts w:ascii="Arial" w:cs="Arial" w:eastAsia="Arial" w:hAnsi="Arial"/>
          <w:sz w:val="22"/>
          <w:szCs w:val="22"/>
          <w:color w:val="010000"/>
        </w:rPr>
      </w:pPr>
      <w:r>
        <w:rPr>
          <w:rFonts w:ascii="Arial" w:cs="Arial" w:eastAsia="Arial" w:hAnsi="Arial"/>
          <w:sz w:val="22"/>
          <w:szCs w:val="22"/>
          <w:u w:val="single" w:color="auto"/>
          <w:color w:val="auto"/>
        </w:rPr>
        <w:t>Section 409A</w:t>
      </w:r>
      <w:r>
        <w:rPr>
          <w:rFonts w:ascii="Arial" w:cs="Arial" w:eastAsia="Arial" w:hAnsi="Arial"/>
          <w:sz w:val="22"/>
          <w:szCs w:val="22"/>
          <w:color w:val="auto"/>
        </w:rPr>
        <w:t>. (i) It is intended that the provisions of this Agreement comply with Section 409A, and all provisions of this Agreement shall be construed and interpreted in a manner consistent with the requirements for avoiding taxes or penalties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00"/>
          </w:cols>
          <w:pgMar w:left="320" w:top="1265" w:right="379" w:bottom="1440" w:gutter="0" w:footer="0" w:header="0"/>
        </w:sectPr>
      </w:pPr>
    </w:p>
    <w:bookmarkStart w:id="382" w:name="page383"/>
    <w:bookmarkEnd w:id="382"/>
    <w:p>
      <w:pPr>
        <w:ind w:left="-40" w:firstLine="1952"/>
        <w:spacing w:after="0" w:line="260" w:lineRule="auto"/>
        <w:tabs>
          <w:tab w:leader="none" w:pos="2222" w:val="left"/>
        </w:tabs>
        <w:numPr>
          <w:ilvl w:val="0"/>
          <w:numId w:val="318"/>
        </w:numPr>
        <w:rPr>
          <w:rFonts w:ascii="Arial" w:cs="Arial" w:eastAsia="Arial" w:hAnsi="Arial"/>
          <w:sz w:val="21"/>
          <w:szCs w:val="21"/>
          <w:color w:val="010000"/>
        </w:rPr>
      </w:pPr>
      <w:r>
        <w:rPr>
          <w:rFonts w:ascii="Arial" w:cs="Arial" w:eastAsia="Arial" w:hAnsi="Arial"/>
          <w:sz w:val="21"/>
          <w:szCs w:val="21"/>
          <w:color w:val="auto"/>
        </w:rPr>
        <w:t>Neither Employee nor any of his creditors or beneficiaries shall have the right to subject any deferred compensation (within the meaning of Section 409A) payable under this Agreement or under any other plan, policy, arrangement or agreement of or with the Company or any of its affiliates (this Agreement and such other plans, policies, arrangements and agreements, the “</w:t>
      </w:r>
      <w:r>
        <w:rPr>
          <w:rFonts w:ascii="Arial" w:cs="Arial" w:eastAsia="Arial" w:hAnsi="Arial"/>
          <w:sz w:val="21"/>
          <w:szCs w:val="21"/>
          <w:u w:val="single" w:color="auto"/>
          <w:color w:val="auto"/>
        </w:rPr>
        <w:t>Company Plans</w:t>
      </w:r>
      <w:r>
        <w:rPr>
          <w:rFonts w:ascii="Arial" w:cs="Arial" w:eastAsia="Arial" w:hAnsi="Arial"/>
          <w:sz w:val="21"/>
          <w:szCs w:val="21"/>
          <w:color w:val="auto"/>
        </w:rPr>
        <w:t>”) to any anticipation, alienation, sale, transfer, assignment, pledge, encumbrance, attachment or garnishment. Except as permitted under Section 409A, any deferred compensation (within the meaning of Section 409A) payable to Employee or for Employee’s benefit under any Company Plan may not be reduced by, or offset against, any amount owing by Employee to the Company or any of its affiliates.</w:t>
      </w:r>
    </w:p>
    <w:p>
      <w:pPr>
        <w:spacing w:after="0" w:line="180" w:lineRule="exact"/>
        <w:rPr>
          <w:rFonts w:ascii="Arial" w:cs="Arial" w:eastAsia="Arial" w:hAnsi="Arial"/>
          <w:sz w:val="21"/>
          <w:szCs w:val="21"/>
          <w:color w:val="010000"/>
        </w:rPr>
      </w:pPr>
    </w:p>
    <w:p>
      <w:pPr>
        <w:ind w:left="-40" w:right="100" w:firstLine="1952"/>
        <w:spacing w:after="0" w:line="258" w:lineRule="auto"/>
        <w:tabs>
          <w:tab w:leader="none" w:pos="2282" w:val="left"/>
        </w:tabs>
        <w:numPr>
          <w:ilvl w:val="0"/>
          <w:numId w:val="318"/>
        </w:numPr>
        <w:rPr>
          <w:rFonts w:ascii="Arial" w:cs="Arial" w:eastAsia="Arial" w:hAnsi="Arial"/>
          <w:sz w:val="21"/>
          <w:szCs w:val="21"/>
          <w:color w:val="010000"/>
        </w:rPr>
      </w:pPr>
      <w:r>
        <w:rPr>
          <w:rFonts w:ascii="Arial" w:cs="Arial" w:eastAsia="Arial" w:hAnsi="Arial"/>
          <w:sz w:val="21"/>
          <w:szCs w:val="21"/>
          <w:color w:val="auto"/>
        </w:rPr>
        <w:t>If, at the time of Employee’s separation from service (within the meaning of Section 409A), (i) Employee shall be a specified employee (within the meaning of Section 409A and using the identification methodology selected by the Company from time to time) and (ii) the Company shall make a good faith determination that an amount payable under a Company Plan constitutes deferred compensation (within the meaning of Section 409A) the payment of which is required to be delayed pursuant to the six-month delay rule set forth in Section 409A in order to avoid taxes or penalties under Section 409A, then the Company (or its affiliate, as applicable) shall not pay such amount on the otherwise scheduled payment date but shall instead accumulate such amount and pay it on the first business day after such six-month period. To the extent required in order to avoid accelerated taxation and/or tax penalties under Section 409A, Employee shall not be considered to have terminated employment with the Company for purposes of this Agreement and no payment shall be due to Employee under this Agreement until Employee would be considered to have incurred a “separation from service” from the Company within the meaning of Section 409A.</w:t>
      </w:r>
    </w:p>
    <w:p>
      <w:pPr>
        <w:spacing w:after="0" w:line="181" w:lineRule="exact"/>
        <w:rPr>
          <w:rFonts w:ascii="Arial" w:cs="Arial" w:eastAsia="Arial" w:hAnsi="Arial"/>
          <w:sz w:val="21"/>
          <w:szCs w:val="21"/>
          <w:color w:val="010000"/>
        </w:rPr>
      </w:pPr>
    </w:p>
    <w:p>
      <w:pPr>
        <w:ind w:left="-40" w:firstLine="1952"/>
        <w:spacing w:after="0" w:line="260" w:lineRule="auto"/>
        <w:tabs>
          <w:tab w:leader="none" w:pos="2270" w:val="left"/>
        </w:tabs>
        <w:numPr>
          <w:ilvl w:val="0"/>
          <w:numId w:val="318"/>
        </w:numPr>
        <w:rPr>
          <w:rFonts w:ascii="Arial" w:cs="Arial" w:eastAsia="Arial" w:hAnsi="Arial"/>
          <w:sz w:val="21"/>
          <w:szCs w:val="21"/>
          <w:color w:val="010000"/>
        </w:rPr>
      </w:pPr>
      <w:r>
        <w:rPr>
          <w:rFonts w:ascii="Arial" w:cs="Arial" w:eastAsia="Arial" w:hAnsi="Arial"/>
          <w:sz w:val="21"/>
          <w:szCs w:val="21"/>
          <w:color w:val="auto"/>
        </w:rPr>
        <w:t>Notwithstanding any provision of this Agreement or any Company Plan to the contrary, in light of the uncertainty with respect to the proper application of Section 409A, the Company reserves the right to make amendments to any Company Plan as the Company deems necessary or desirable to avoid the imposition of taxes or penalties under Section 409A. In any case, Employee is solely responsible and liable for the satisfaction of all taxes and penalties that may be imposed on Employee or for Employee’s account in connection with any Company Plan (including any taxes and penalties under Section 409A), and neither the Company nor any affiliate shall have any obligation to indemnify or otherwise hold Employee harmless from any or all of such taxes or penalties.</w:t>
      </w:r>
    </w:p>
    <w:p>
      <w:pPr>
        <w:spacing w:after="0" w:line="180" w:lineRule="exact"/>
        <w:rPr>
          <w:rFonts w:ascii="Arial" w:cs="Arial" w:eastAsia="Arial" w:hAnsi="Arial"/>
          <w:sz w:val="21"/>
          <w:szCs w:val="21"/>
          <w:color w:val="010000"/>
        </w:rPr>
      </w:pPr>
    </w:p>
    <w:p>
      <w:pPr>
        <w:ind w:left="-40" w:right="340" w:firstLine="1952"/>
        <w:spacing w:after="0" w:line="263" w:lineRule="auto"/>
        <w:tabs>
          <w:tab w:leader="none" w:pos="2210" w:val="left"/>
        </w:tabs>
        <w:numPr>
          <w:ilvl w:val="0"/>
          <w:numId w:val="318"/>
        </w:numPr>
        <w:rPr>
          <w:rFonts w:ascii="Arial" w:cs="Arial" w:eastAsia="Arial" w:hAnsi="Arial"/>
          <w:sz w:val="22"/>
          <w:szCs w:val="22"/>
          <w:color w:val="010000"/>
        </w:rPr>
      </w:pPr>
      <w:r>
        <w:rPr>
          <w:rFonts w:ascii="Arial" w:cs="Arial" w:eastAsia="Arial" w:hAnsi="Arial"/>
          <w:sz w:val="22"/>
          <w:szCs w:val="22"/>
          <w:color w:val="auto"/>
        </w:rPr>
        <w:t>For purposes of Section 409A, each payment hereunder will be deemed to be a separate payment as permitted under Treasury Regulation Section 1.409A-2(b)(2)(iii).</w:t>
      </w:r>
    </w:p>
    <w:p>
      <w:pPr>
        <w:spacing w:after="0" w:line="174" w:lineRule="exact"/>
        <w:rPr>
          <w:rFonts w:ascii="Arial" w:cs="Arial" w:eastAsia="Arial" w:hAnsi="Arial"/>
          <w:sz w:val="22"/>
          <w:szCs w:val="22"/>
          <w:color w:val="010000"/>
        </w:rPr>
      </w:pPr>
    </w:p>
    <w:p>
      <w:pPr>
        <w:ind w:left="-40" w:right="200" w:firstLine="1952"/>
        <w:spacing w:after="0" w:line="294" w:lineRule="auto"/>
        <w:tabs>
          <w:tab w:leader="none" w:pos="2270" w:val="left"/>
        </w:tabs>
        <w:numPr>
          <w:ilvl w:val="0"/>
          <w:numId w:val="318"/>
        </w:numPr>
        <w:rPr>
          <w:rFonts w:ascii="Arial" w:cs="Arial" w:eastAsia="Arial" w:hAnsi="Arial"/>
          <w:sz w:val="19"/>
          <w:szCs w:val="19"/>
          <w:color w:val="010000"/>
        </w:rPr>
      </w:pPr>
      <w:r>
        <w:rPr>
          <w:rFonts w:ascii="Arial" w:cs="Arial" w:eastAsia="Arial" w:hAnsi="Arial"/>
          <w:sz w:val="19"/>
          <w:szCs w:val="19"/>
          <w:color w:val="auto"/>
        </w:rPr>
        <w:t>Except as specifically permitted by Section 409A, any benefits and reimbursements provided to Employee under this Agreement during any calendar year shall not affect any benefits and reimbursements to be provided to Employee under this Agreement in any other calendar year, and the right to such benefits and reimbursements cannot be liquidated or exchanged for any other benefit. Furthermore, reimbursement payments shall be made to Employee as soon as practicable following the date that the applicable expense is incurred, but in no event later than the last day of the calendar year following the calendar year in which the underlying expense is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160"/>
          </w:cols>
          <w:pgMar w:left="360" w:top="1265" w:right="379" w:bottom="1440" w:gutter="0" w:footer="0" w:header="0"/>
        </w:sectPr>
      </w:pPr>
    </w:p>
    <w:bookmarkStart w:id="383" w:name="page384"/>
    <w:bookmarkEnd w:id="383"/>
    <w:p>
      <w:pPr>
        <w:ind w:left="-160" w:firstLine="1304"/>
        <w:spacing w:after="0" w:line="302" w:lineRule="auto"/>
        <w:tabs>
          <w:tab w:leader="none" w:pos="1442" w:val="left"/>
        </w:tabs>
        <w:numPr>
          <w:ilvl w:val="0"/>
          <w:numId w:val="319"/>
        </w:numPr>
        <w:rPr>
          <w:rFonts w:ascii="Arial" w:cs="Arial" w:eastAsia="Arial" w:hAnsi="Arial"/>
          <w:sz w:val="19"/>
          <w:szCs w:val="19"/>
          <w:color w:val="010000"/>
        </w:rPr>
      </w:pPr>
      <w:r>
        <w:rPr>
          <w:rFonts w:ascii="Arial" w:cs="Arial" w:eastAsia="Arial" w:hAnsi="Arial"/>
          <w:sz w:val="19"/>
          <w:szCs w:val="19"/>
          <w:u w:val="single" w:color="auto"/>
          <w:color w:val="auto"/>
        </w:rPr>
        <w:t>Section 105(h)</w:t>
      </w:r>
      <w:r>
        <w:rPr>
          <w:rFonts w:ascii="Arial" w:cs="Arial" w:eastAsia="Arial" w:hAnsi="Arial"/>
          <w:sz w:val="19"/>
          <w:szCs w:val="19"/>
          <w:color w:val="auto"/>
        </w:rPr>
        <w:t>. Notwithstanding any provision of this Agreement to the contrary, to the extent necessary to satisfy Section 105(h) of the Code, the Company will be permitted to alter the manner in which medical benefits are provided to Employee following termination of Employee’s employment, provided that the after-tax cost to Employee of such benefits shall not be greater than the cost applicable to similarly situated executives of the Company who have not terminated employment.</w:t>
      </w:r>
    </w:p>
    <w:p>
      <w:pPr>
        <w:spacing w:after="0" w:line="142" w:lineRule="exact"/>
        <w:rPr>
          <w:rFonts w:ascii="Arial" w:cs="Arial" w:eastAsia="Arial" w:hAnsi="Arial"/>
          <w:sz w:val="19"/>
          <w:szCs w:val="19"/>
          <w:color w:val="010000"/>
        </w:rPr>
      </w:pPr>
    </w:p>
    <w:p>
      <w:pPr>
        <w:jc w:val="both"/>
        <w:ind w:left="-160" w:right="320" w:firstLine="1304"/>
        <w:spacing w:after="0" w:line="253" w:lineRule="auto"/>
        <w:tabs>
          <w:tab w:leader="none" w:pos="1442" w:val="left"/>
        </w:tabs>
        <w:numPr>
          <w:ilvl w:val="0"/>
          <w:numId w:val="319"/>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an original, but all of which shall constitute one and the same instrument. Signatures delivered by facsimile or electronic means (including by “pdf”) shall be deemed effective for all purposes.</w:t>
      </w:r>
    </w:p>
    <w:p>
      <w:pPr>
        <w:spacing w:after="0" w:line="185" w:lineRule="exact"/>
        <w:rPr>
          <w:rFonts w:ascii="Arial" w:cs="Arial" w:eastAsia="Arial" w:hAnsi="Arial"/>
          <w:sz w:val="22"/>
          <w:szCs w:val="22"/>
          <w:color w:val="010000"/>
        </w:rPr>
      </w:pPr>
    </w:p>
    <w:p>
      <w:pPr>
        <w:ind w:left="-160" w:right="200" w:firstLine="1304"/>
        <w:spacing w:after="0" w:line="263" w:lineRule="auto"/>
        <w:tabs>
          <w:tab w:leader="none" w:pos="1442" w:val="left"/>
        </w:tabs>
        <w:numPr>
          <w:ilvl w:val="0"/>
          <w:numId w:val="319"/>
        </w:numPr>
        <w:rPr>
          <w:rFonts w:ascii="Arial" w:cs="Arial" w:eastAsia="Arial" w:hAnsi="Arial"/>
          <w:sz w:val="22"/>
          <w:szCs w:val="22"/>
          <w:color w:val="010000"/>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Agreement are inserted for convenience of reference only and shall not be a part of or control or affect the meaning of any provision hereof.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920"/>
          </w:cols>
          <w:pgMar w:left="480" w:top="1265" w:right="499" w:bottom="1440" w:gutter="0" w:footer="0" w:header="0"/>
        </w:sectPr>
      </w:pPr>
    </w:p>
    <w:bookmarkStart w:id="384" w:name="page385"/>
    <w:bookmarkEnd w:id="384"/>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pacing w:after="0" w:line="29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XPO Logistics, inc.</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/s/ Meghan 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24130</wp:posOffset>
            </wp:positionV>
            <wp:extent cx="29057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51"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Meghan Henson</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Chief Human Resources Officer</w:t>
      </w:r>
    </w:p>
    <w:p>
      <w:pPr>
        <w:spacing w:after="0" w:line="161"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/s/ Bradley S.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24130</wp:posOffset>
            </wp:positionV>
            <wp:extent cx="29057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spacing w:after="0" w:line="38" w:lineRule="exact"/>
        <w:rPr>
          <w:sz w:val="20"/>
          <w:szCs w:val="20"/>
          <w:color w:val="auto"/>
        </w:rPr>
      </w:pPr>
    </w:p>
    <w:p>
      <w:pPr>
        <w:ind w:left="7520"/>
        <w:spacing w:after="0"/>
        <w:rPr>
          <w:sz w:val="20"/>
          <w:szCs w:val="20"/>
          <w:color w:val="auto"/>
        </w:rPr>
      </w:pPr>
      <w:r>
        <w:rPr>
          <w:rFonts w:ascii="Arial" w:cs="Arial" w:eastAsia="Arial" w:hAnsi="Arial"/>
          <w:sz w:val="22"/>
          <w:szCs w:val="22"/>
          <w:color w:val="auto"/>
        </w:rPr>
        <w:t>Bradley S. Jacobs</w:t>
      </w:r>
    </w:p>
    <w:p>
      <w:pPr>
        <w:sectPr>
          <w:pgSz w:w="11900" w:h="16838" w:orient="portrait"/>
          <w:cols w:equalWidth="0" w:num="1">
            <w:col w:w="9479"/>
          </w:cols>
          <w:pgMar w:left="980" w:top="1427" w:right="1440" w:bottom="1440" w:gutter="0" w:footer="0" w:header="0"/>
        </w:sectPr>
      </w:pPr>
    </w:p>
    <w:bookmarkStart w:id="385" w:name="page386"/>
    <w:bookmarkEnd w:id="385"/>
    <w:p>
      <w:pPr>
        <w:jc w:val="center"/>
        <w:ind w:right="-219"/>
        <w:spacing w:after="0"/>
        <w:rPr>
          <w:sz w:val="20"/>
          <w:szCs w:val="20"/>
          <w:color w:val="auto"/>
        </w:rPr>
      </w:pPr>
      <w:r>
        <w:rPr>
          <w:rFonts w:ascii="Arial" w:cs="Arial" w:eastAsia="Arial" w:hAnsi="Arial"/>
          <w:sz w:val="22"/>
          <w:szCs w:val="22"/>
          <w:u w:val="single" w:color="auto"/>
          <w:color w:val="auto"/>
        </w:rPr>
        <w:t>EXHIBIT A</w:t>
      </w:r>
    </w:p>
    <w:p>
      <w:pPr>
        <w:spacing w:after="0" w:line="233"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BRADLEY S. JACOBS</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304"/>
        </w:trPr>
        <w:tc>
          <w:tcPr>
            <w:tcW w:w="29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Start Date:</w:t>
            </w:r>
          </w:p>
        </w:tc>
        <w:tc>
          <w:tcPr>
            <w:tcW w:w="80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color w:val="auto"/>
              </w:rPr>
              <w:t>July 31, 2020</w:t>
            </w:r>
          </w:p>
        </w:tc>
        <w:tc>
          <w:tcPr>
            <w:tcW w:w="0" w:type="dxa"/>
            <w:vAlign w:val="bottom"/>
          </w:tcPr>
          <w:p>
            <w:pPr>
              <w:spacing w:after="0"/>
              <w:rPr>
                <w:sz w:val="1"/>
                <w:szCs w:val="1"/>
                <w:color w:val="auto"/>
              </w:rPr>
            </w:pPr>
          </w:p>
        </w:tc>
      </w:tr>
      <w:tr>
        <w:trPr>
          <w:trHeight w:val="291"/>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Employee:</w:t>
            </w:r>
          </w:p>
        </w:tc>
        <w:tc>
          <w:tcPr>
            <w:tcW w:w="8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Bradley S. Jacobs</w:t>
            </w:r>
          </w:p>
        </w:tc>
        <w:tc>
          <w:tcPr>
            <w:tcW w:w="0" w:type="dxa"/>
            <w:vAlign w:val="bottom"/>
          </w:tcPr>
          <w:p>
            <w:pPr>
              <w:spacing w:after="0"/>
              <w:rPr>
                <w:sz w:val="1"/>
                <w:szCs w:val="1"/>
                <w:color w:val="auto"/>
              </w:rPr>
            </w:pPr>
          </w:p>
        </w:tc>
      </w:tr>
      <w:tr>
        <w:trPr>
          <w:trHeight w:val="249"/>
        </w:trPr>
        <w:tc>
          <w:tcPr>
            <w:tcW w:w="298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22"/>
                <w:szCs w:val="22"/>
                <w:color w:val="auto"/>
              </w:rPr>
              <w:t>Position:</w:t>
            </w:r>
          </w:p>
        </w:tc>
        <w:tc>
          <w:tcPr>
            <w:tcW w:w="8060" w:type="dxa"/>
            <w:vAlign w:val="bottom"/>
            <w:tcBorders>
              <w:right w:val="single" w:sz="8" w:color="auto"/>
            </w:tcBorders>
          </w:tcPr>
          <w:p>
            <w:pPr>
              <w:spacing w:after="0" w:line="248" w:lineRule="exact"/>
              <w:rPr>
                <w:sz w:val="20"/>
                <w:szCs w:val="20"/>
                <w:color w:val="auto"/>
              </w:rPr>
            </w:pPr>
            <w:r>
              <w:rPr>
                <w:rFonts w:ascii="Arial" w:cs="Arial" w:eastAsia="Arial" w:hAnsi="Arial"/>
                <w:sz w:val="22"/>
                <w:szCs w:val="22"/>
                <w:color w:val="auto"/>
                <w:w w:val="96"/>
              </w:rPr>
              <w:t>Chief Executive Officer of the Company and Chairman and a member of the Board of</w:t>
            </w:r>
          </w:p>
        </w:tc>
        <w:tc>
          <w:tcPr>
            <w:tcW w:w="0" w:type="dxa"/>
            <w:vAlign w:val="bottom"/>
          </w:tcPr>
          <w:p>
            <w:pPr>
              <w:spacing w:after="0"/>
              <w:rPr>
                <w:sz w:val="1"/>
                <w:szCs w:val="1"/>
                <w:color w:val="auto"/>
              </w:rPr>
            </w:pPr>
          </w:p>
        </w:tc>
      </w:tr>
      <w:tr>
        <w:trPr>
          <w:trHeight w:val="153"/>
        </w:trPr>
        <w:tc>
          <w:tcPr>
            <w:tcW w:w="2980" w:type="dxa"/>
            <w:vAlign w:val="bottom"/>
            <w:tcBorders>
              <w:left w:val="single" w:sz="8" w:color="auto"/>
              <w:right w:val="single" w:sz="8" w:color="auto"/>
            </w:tcBorders>
            <w:vMerge w:val="continue"/>
          </w:tcPr>
          <w:p>
            <w:pPr>
              <w:spacing w:after="0"/>
              <w:rPr>
                <w:sz w:val="13"/>
                <w:szCs w:val="13"/>
                <w:color w:val="auto"/>
              </w:rPr>
            </w:pPr>
          </w:p>
        </w:tc>
        <w:tc>
          <w:tcPr>
            <w:tcW w:w="806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color w:val="auto"/>
              </w:rPr>
              <w:t>Directors of the Company</w:t>
            </w:r>
          </w:p>
        </w:tc>
        <w:tc>
          <w:tcPr>
            <w:tcW w:w="0" w:type="dxa"/>
            <w:vAlign w:val="bottom"/>
          </w:tcPr>
          <w:p>
            <w:pPr>
              <w:spacing w:after="0"/>
              <w:rPr>
                <w:sz w:val="1"/>
                <w:szCs w:val="1"/>
                <w:color w:val="auto"/>
              </w:rPr>
            </w:pPr>
          </w:p>
        </w:tc>
      </w:tr>
      <w:tr>
        <w:trPr>
          <w:trHeight w:val="132"/>
        </w:trPr>
        <w:tc>
          <w:tcPr>
            <w:tcW w:w="2980" w:type="dxa"/>
            <w:vAlign w:val="bottom"/>
            <w:tcBorders>
              <w:left w:val="single" w:sz="8" w:color="auto"/>
              <w:bottom w:val="single" w:sz="8" w:color="auto"/>
              <w:right w:val="single" w:sz="8" w:color="auto"/>
            </w:tcBorders>
          </w:tcPr>
          <w:p>
            <w:pPr>
              <w:spacing w:after="0"/>
              <w:rPr>
                <w:sz w:val="11"/>
                <w:szCs w:val="11"/>
                <w:color w:val="auto"/>
              </w:rPr>
            </w:pPr>
          </w:p>
        </w:tc>
        <w:tc>
          <w:tcPr>
            <w:tcW w:w="80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1"/>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Reporting Person:</w:t>
            </w:r>
          </w:p>
        </w:tc>
        <w:tc>
          <w:tcPr>
            <w:tcW w:w="8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Board of Directors of the Company</w:t>
            </w:r>
          </w:p>
        </w:tc>
        <w:tc>
          <w:tcPr>
            <w:tcW w:w="0" w:type="dxa"/>
            <w:vAlign w:val="bottom"/>
          </w:tcPr>
          <w:p>
            <w:pPr>
              <w:spacing w:after="0"/>
              <w:rPr>
                <w:sz w:val="1"/>
                <w:szCs w:val="1"/>
                <w:color w:val="auto"/>
              </w:rPr>
            </w:pPr>
          </w:p>
        </w:tc>
      </w:tr>
      <w:tr>
        <w:trPr>
          <w:trHeight w:val="290"/>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Base Salary:</w:t>
            </w:r>
          </w:p>
        </w:tc>
        <w:tc>
          <w:tcPr>
            <w:tcW w:w="8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$1,000,000</w:t>
            </w:r>
          </w:p>
        </w:tc>
        <w:tc>
          <w:tcPr>
            <w:tcW w:w="0" w:type="dxa"/>
            <w:vAlign w:val="bottom"/>
          </w:tcPr>
          <w:p>
            <w:pPr>
              <w:spacing w:after="0"/>
              <w:rPr>
                <w:sz w:val="1"/>
                <w:szCs w:val="1"/>
                <w:color w:val="auto"/>
              </w:rPr>
            </w:pPr>
          </w:p>
        </w:tc>
      </w:tr>
      <w:tr>
        <w:trPr>
          <w:trHeight w:val="291"/>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Target Bonus:</w:t>
            </w:r>
          </w:p>
        </w:tc>
        <w:tc>
          <w:tcPr>
            <w:tcW w:w="8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200% of Base Salary</w:t>
            </w:r>
          </w:p>
        </w:tc>
        <w:tc>
          <w:tcPr>
            <w:tcW w:w="0" w:type="dxa"/>
            <w:vAlign w:val="bottom"/>
          </w:tcPr>
          <w:p>
            <w:pPr>
              <w:spacing w:after="0"/>
              <w:rPr>
                <w:sz w:val="1"/>
                <w:szCs w:val="1"/>
                <w:color w:val="auto"/>
              </w:rPr>
            </w:pPr>
          </w:p>
        </w:tc>
      </w:tr>
    </w:tbl>
    <w:p>
      <w:pPr>
        <w:sectPr>
          <w:pgSz w:w="11900" w:h="16838" w:orient="portrait"/>
          <w:cols w:equalWidth="0" w:num="1">
            <w:col w:w="11020"/>
          </w:cols>
          <w:pgMar w:left="320" w:top="1427" w:right="559" w:bottom="1440" w:gutter="0" w:footer="0" w:header="0"/>
        </w:sectPr>
      </w:pPr>
    </w:p>
    <w:bookmarkStart w:id="386" w:name="page387"/>
    <w:bookmarkEnd w:id="386"/>
    <w:p>
      <w:pPr>
        <w:jc w:val="right"/>
        <w:spacing w:after="0"/>
        <w:rPr>
          <w:sz w:val="20"/>
          <w:szCs w:val="20"/>
          <w:color w:val="auto"/>
        </w:rPr>
      </w:pPr>
      <w:r>
        <w:rPr>
          <w:rFonts w:ascii="Arial" w:cs="Arial" w:eastAsia="Arial" w:hAnsi="Arial"/>
          <w:sz w:val="22"/>
          <w:szCs w:val="22"/>
          <w:b w:val="1"/>
          <w:bCs w:val="1"/>
          <w:color w:val="auto"/>
        </w:rPr>
        <w:t>Exhibit 10.6</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26"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effective as of the date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Start Date</w:t>
      </w:r>
      <w:r>
        <w:rPr>
          <w:rFonts w:ascii="Arial" w:cs="Arial" w:eastAsia="Arial" w:hAnsi="Arial"/>
          <w:sz w:val="22"/>
          <w:szCs w:val="22"/>
          <w:color w:val="auto"/>
        </w:rPr>
        <w:t>”), by and between XPO Logistics, Inc., a Delaware corporation (together with its successors and assigns,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the individual named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w:t>
      </w:r>
      <w:r>
        <w:rPr>
          <w:rFonts w:ascii="Arial" w:cs="Arial" w:eastAsia="Arial" w:hAnsi="Arial"/>
          <w:sz w:val="22"/>
          <w:szCs w:val="22"/>
          <w:color w:val="auto"/>
        </w:rPr>
        <w:t>”).</w:t>
      </w:r>
    </w:p>
    <w:p>
      <w:pPr>
        <w:spacing w:after="0" w:line="185"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WHEREAS, the Company desires to continue to employ Employee and Employee desires to accept such employment with the Company, subject to the terms and conditions set forth herein.</w:t>
      </w:r>
    </w:p>
    <w:p>
      <w:pPr>
        <w:spacing w:after="0" w:line="175"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NOW, THEREFORE, in consideration of the premises and mutual covenants herein and for other good and valuable consideration, Employee and the Company agree as follows:</w:t>
      </w:r>
    </w:p>
    <w:p>
      <w:pPr>
        <w:spacing w:after="0" w:line="175" w:lineRule="exact"/>
        <w:rPr>
          <w:sz w:val="20"/>
          <w:szCs w:val="20"/>
          <w:color w:val="auto"/>
        </w:rPr>
      </w:pPr>
    </w:p>
    <w:p>
      <w:pPr>
        <w:ind w:right="100" w:firstLine="656"/>
        <w:spacing w:after="0" w:line="250" w:lineRule="auto"/>
        <w:tabs>
          <w:tab w:leader="none" w:pos="864" w:val="left"/>
        </w:tabs>
        <w:numPr>
          <w:ilvl w:val="0"/>
          <w:numId w:val="320"/>
        </w:numPr>
        <w:rPr>
          <w:rFonts w:ascii="Arial" w:cs="Arial" w:eastAsia="Arial" w:hAnsi="Arial"/>
          <w:sz w:val="22"/>
          <w:szCs w:val="22"/>
          <w:color w:val="010000"/>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Employee’s employment hereunder (the “</w:t>
      </w:r>
      <w:r>
        <w:rPr>
          <w:rFonts w:ascii="Arial" w:cs="Arial" w:eastAsia="Arial" w:hAnsi="Arial"/>
          <w:sz w:val="22"/>
          <w:szCs w:val="22"/>
          <w:u w:val="single" w:color="auto"/>
          <w:color w:val="auto"/>
        </w:rPr>
        <w:t>Term</w:t>
      </w:r>
      <w:r>
        <w:rPr>
          <w:rFonts w:ascii="Arial" w:cs="Arial" w:eastAsia="Arial" w:hAnsi="Arial"/>
          <w:sz w:val="22"/>
          <w:szCs w:val="22"/>
          <w:color w:val="auto"/>
        </w:rPr>
        <w:t>”) shall begin on the Start Date and end on the fourth anniversary of the Start Date. Notwithstanding the foregoing, the Term may be earlier terminated by either party in accordance with the terms of Section 5 of this Agreement, and the Term shall automatically expire on the last day of the Term (the “</w:t>
      </w:r>
      <w:r>
        <w:rPr>
          <w:rFonts w:ascii="Arial" w:cs="Arial" w:eastAsia="Arial" w:hAnsi="Arial"/>
          <w:sz w:val="22"/>
          <w:szCs w:val="22"/>
          <w:u w:val="single" w:color="auto"/>
          <w:color w:val="auto"/>
        </w:rPr>
        <w:t>Expiration Date</w:t>
      </w:r>
      <w:r>
        <w:rPr>
          <w:rFonts w:ascii="Arial" w:cs="Arial" w:eastAsia="Arial" w:hAnsi="Arial"/>
          <w:sz w:val="22"/>
          <w:szCs w:val="22"/>
          <w:color w:val="auto"/>
        </w:rPr>
        <w:t>”) without notice required by any party to the other.</w:t>
      </w:r>
    </w:p>
    <w:p>
      <w:pPr>
        <w:spacing w:after="0" w:line="187" w:lineRule="exact"/>
        <w:rPr>
          <w:rFonts w:ascii="Arial" w:cs="Arial" w:eastAsia="Arial" w:hAnsi="Arial"/>
          <w:sz w:val="22"/>
          <w:szCs w:val="22"/>
          <w:color w:val="010000"/>
        </w:rPr>
      </w:pPr>
    </w:p>
    <w:p>
      <w:pPr>
        <w:ind w:right="20" w:firstLine="656"/>
        <w:spacing w:after="0" w:line="286" w:lineRule="auto"/>
        <w:tabs>
          <w:tab w:leader="none" w:pos="864" w:val="left"/>
        </w:tabs>
        <w:numPr>
          <w:ilvl w:val="0"/>
          <w:numId w:val="320"/>
        </w:numPr>
        <w:rPr>
          <w:rFonts w:ascii="Arial" w:cs="Arial" w:eastAsia="Arial" w:hAnsi="Arial"/>
          <w:sz w:val="19"/>
          <w:szCs w:val="19"/>
          <w:color w:val="010000"/>
        </w:rPr>
      </w:pPr>
      <w:r>
        <w:rPr>
          <w:rFonts w:ascii="Arial" w:cs="Arial" w:eastAsia="Arial" w:hAnsi="Arial"/>
          <w:sz w:val="19"/>
          <w:szCs w:val="19"/>
          <w:u w:val="single" w:color="auto"/>
          <w:color w:val="auto"/>
        </w:rPr>
        <w:t>Employment Duties</w:t>
      </w:r>
      <w:r>
        <w:rPr>
          <w:rFonts w:ascii="Arial" w:cs="Arial" w:eastAsia="Arial" w:hAnsi="Arial"/>
          <w:sz w:val="19"/>
          <w:szCs w:val="19"/>
          <w:color w:val="auto"/>
        </w:rPr>
        <w:t xml:space="preserve">. During the Term, Employee shall serve in the position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excluding any periods of paid time-off or approved sick leave to which Employee is entitled, Employee shall devote his full working time, energy and attention to the performance of his duties and responsibilities hereunder and shall faithfully and diligently endeavor to promote the business and best interests of the Company. Employee shall perform such duties as are customarily performed by an individual in Employee’s position at a public company and as assigned from time to time by the individual or governing body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such individual’s successor, if he ceases to serve in his current position) or such individual’s designee (the “</w:t>
      </w:r>
      <w:r>
        <w:rPr>
          <w:rFonts w:ascii="Arial" w:cs="Arial" w:eastAsia="Arial" w:hAnsi="Arial"/>
          <w:sz w:val="19"/>
          <w:szCs w:val="19"/>
          <w:u w:val="single" w:color="auto"/>
          <w:color w:val="auto"/>
        </w:rPr>
        <w:t>Reporting Person</w:t>
      </w:r>
      <w:r>
        <w:rPr>
          <w:rFonts w:ascii="Arial" w:cs="Arial" w:eastAsia="Arial" w:hAnsi="Arial"/>
          <w:sz w:val="19"/>
          <w:szCs w:val="19"/>
          <w:color w:val="auto"/>
        </w:rPr>
        <w:t>”), and Employee shall report directly to the Reporting Person. During the Term, Employee may not, without the prior written consent of the Reporting Person, directly or indirectly, operate, participate in the management, operations or control of, or act as an employee, officer, consultant, partner, member, agent or representative of, any type of business or service other than as an employee and member of the Company. It shall not, however, be a violation of the foregoing provisions of this Section 2 for Employee to (a) serve as an officer or director or otherwise participate in non-profit, educational, social welfare, religious and civic organizations or (b) manage his personal, financial and legal affairs, in each case so long as any such activities do not unreasonably interfere with the performance of his duties and responsibilities to the Company.</w:t>
      </w:r>
    </w:p>
    <w:p>
      <w:pPr>
        <w:spacing w:after="0" w:line="165" w:lineRule="exact"/>
        <w:rPr>
          <w:rFonts w:ascii="Arial" w:cs="Arial" w:eastAsia="Arial" w:hAnsi="Arial"/>
          <w:sz w:val="19"/>
          <w:szCs w:val="19"/>
          <w:color w:val="010000"/>
        </w:rPr>
      </w:pPr>
    </w:p>
    <w:p>
      <w:pPr>
        <w:ind w:right="20" w:firstLine="656"/>
        <w:spacing w:after="0" w:line="302" w:lineRule="auto"/>
        <w:tabs>
          <w:tab w:leader="none" w:pos="864" w:val="left"/>
        </w:tabs>
        <w:numPr>
          <w:ilvl w:val="0"/>
          <w:numId w:val="320"/>
        </w:numPr>
        <w:rPr>
          <w:rFonts w:ascii="Arial" w:cs="Arial" w:eastAsia="Arial" w:hAnsi="Arial"/>
          <w:sz w:val="19"/>
          <w:szCs w:val="19"/>
          <w:color w:val="010000"/>
        </w:rPr>
      </w:pPr>
      <w:r>
        <w:rPr>
          <w:rFonts w:ascii="Arial" w:cs="Arial" w:eastAsia="Arial" w:hAnsi="Arial"/>
          <w:sz w:val="19"/>
          <w:szCs w:val="19"/>
          <w:u w:val="single" w:color="auto"/>
          <w:color w:val="auto"/>
        </w:rPr>
        <w:t>Compensation</w:t>
      </w:r>
      <w:r>
        <w:rPr>
          <w:rFonts w:ascii="Arial" w:cs="Arial" w:eastAsia="Arial" w:hAnsi="Arial"/>
          <w:sz w:val="19"/>
          <w:szCs w:val="19"/>
          <w:color w:val="auto"/>
        </w:rPr>
        <w:t xml:space="preserve">. (a) </w:t>
      </w:r>
      <w:r>
        <w:rPr>
          <w:rFonts w:ascii="Arial" w:cs="Arial" w:eastAsia="Arial" w:hAnsi="Arial"/>
          <w:sz w:val="19"/>
          <w:szCs w:val="19"/>
          <w:u w:val="single" w:color="auto"/>
          <w:color w:val="auto"/>
        </w:rPr>
        <w:t>Base Salary</w:t>
      </w:r>
      <w:r>
        <w:rPr>
          <w:rFonts w:ascii="Arial" w:cs="Arial" w:eastAsia="Arial" w:hAnsi="Arial"/>
          <w:sz w:val="19"/>
          <w:szCs w:val="19"/>
          <w:color w:val="auto"/>
        </w:rPr>
        <w:t xml:space="preserve">. During the Term, the Company shall pay Employee, pursuant to the Company’s normal and customary payroll procedures but not less frequently than monthly, a base salary at the rate per annum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Base Salary</w:t>
      </w:r>
      <w:r>
        <w:rPr>
          <w:rFonts w:ascii="Arial" w:cs="Arial" w:eastAsia="Arial" w:hAnsi="Arial"/>
          <w:sz w:val="19"/>
          <w:szCs w:val="19"/>
          <w:color w:val="auto"/>
        </w:rPr>
        <w:t>”). The Base Salary is subject to review annually throughout the Term by the Compensation Committee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of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in its sole discretion.</w:t>
      </w:r>
    </w:p>
    <w:p>
      <w:pPr>
        <w:sectPr>
          <w:pgSz w:w="11900" w:h="16838" w:orient="portrait"/>
          <w:cols w:equalWidth="0" w:num="1">
            <w:col w:w="11240"/>
          </w:cols>
          <w:pgMar w:left="320" w:top="125" w:right="339" w:bottom="1440" w:gutter="0" w:footer="0" w:header="0"/>
        </w:sectPr>
      </w:pPr>
    </w:p>
    <w:bookmarkStart w:id="387" w:name="page388"/>
    <w:bookmarkEnd w:id="387"/>
    <w:p>
      <w:pPr>
        <w:ind w:left="-40" w:right="40" w:firstLine="1304"/>
        <w:spacing w:after="0" w:line="286" w:lineRule="auto"/>
        <w:tabs>
          <w:tab w:leader="none" w:pos="1562" w:val="left"/>
        </w:tabs>
        <w:numPr>
          <w:ilvl w:val="1"/>
          <w:numId w:val="321"/>
        </w:numPr>
        <w:rPr>
          <w:rFonts w:ascii="Arial" w:cs="Arial" w:eastAsia="Arial" w:hAnsi="Arial"/>
          <w:sz w:val="19"/>
          <w:szCs w:val="19"/>
          <w:color w:val="010000"/>
        </w:rPr>
      </w:pPr>
      <w:r>
        <w:rPr>
          <w:rFonts w:ascii="Arial" w:cs="Arial" w:eastAsia="Arial" w:hAnsi="Arial"/>
          <w:sz w:val="19"/>
          <w:szCs w:val="19"/>
          <w:u w:val="single" w:color="auto"/>
          <w:color w:val="auto"/>
        </w:rPr>
        <w:t>Annual Bonus</w:t>
      </w:r>
      <w:r>
        <w:rPr>
          <w:rFonts w:ascii="Arial" w:cs="Arial" w:eastAsia="Arial" w:hAnsi="Arial"/>
          <w:sz w:val="19"/>
          <w:szCs w:val="19"/>
          <w:color w:val="auto"/>
        </w:rPr>
        <w:t>. As additional compensation, Employee shall have the opportunity to earn a performance-based bonus (the “</w:t>
      </w:r>
      <w:r>
        <w:rPr>
          <w:rFonts w:ascii="Arial" w:cs="Arial" w:eastAsia="Arial" w:hAnsi="Arial"/>
          <w:sz w:val="19"/>
          <w:szCs w:val="19"/>
          <w:u w:val="single" w:color="auto"/>
          <w:color w:val="auto"/>
        </w:rPr>
        <w:t>Annual Bonus</w:t>
      </w:r>
      <w:r>
        <w:rPr>
          <w:rFonts w:ascii="Arial" w:cs="Arial" w:eastAsia="Arial" w:hAnsi="Arial"/>
          <w:sz w:val="19"/>
          <w:szCs w:val="19"/>
          <w:color w:val="auto"/>
        </w:rPr>
        <w:t xml:space="preserve">”) for each year during the Term of Employee’s employment commencing in the 2020 fiscal year with a target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Target Bonus</w:t>
      </w:r>
      <w:r>
        <w:rPr>
          <w:rFonts w:ascii="Arial" w:cs="Arial" w:eastAsia="Arial" w:hAnsi="Arial"/>
          <w:sz w:val="19"/>
          <w:szCs w:val="19"/>
          <w:color w:val="auto"/>
        </w:rPr>
        <w:t>”), based upon Employee’s achievement of performance goals as determined by the Compensation Committee. Notwithstanding anything to the contrary contained herein and without limiting any other rights and remedies of the Company (including as may be required by law), if Employee has engaged in fraud or other willful misconduct that contributes materially to any financial restatements or material loss to the Company or any of its affiliates, the Company may require repayment by Employee of any cash bonus or Annual Bonus (net of any taxes paid by Employee on such payments) previously paid to Employee, or cancel any earned but unpaid cash bonus or Annual Bonus or adjust the future compensation of Employee in order to recover the amount by which any compensation paid to Employee exceeded the lower amount that would have been payable after giving effect to the restated financial results or the material loss. In addition, Employee’s Annual Bonus shall be subject to any other clawback or recoupment policy of the Company as may be in effect from time to time prior to a Change of Control (as defined in the Company’s 2016 Omnibus Incentive Compensation Plan) (“</w:t>
      </w:r>
      <w:r>
        <w:rPr>
          <w:rFonts w:ascii="Arial" w:cs="Arial" w:eastAsia="Arial" w:hAnsi="Arial"/>
          <w:sz w:val="19"/>
          <w:szCs w:val="19"/>
          <w:u w:val="single" w:color="auto"/>
          <w:color w:val="auto"/>
        </w:rPr>
        <w:t>Change</w:t>
      </w:r>
      <w:r>
        <w:rPr>
          <w:rFonts w:ascii="Arial" w:cs="Arial" w:eastAsia="Arial" w:hAnsi="Arial"/>
          <w:sz w:val="19"/>
          <w:szCs w:val="19"/>
          <w:color w:val="auto"/>
        </w:rPr>
        <w:t xml:space="preserve"> </w:t>
      </w:r>
      <w:r>
        <w:rPr>
          <w:rFonts w:ascii="Arial" w:cs="Arial" w:eastAsia="Arial" w:hAnsi="Arial"/>
          <w:sz w:val="19"/>
          <w:szCs w:val="19"/>
          <w:u w:val="single" w:color="auto"/>
          <w:color w:val="auto"/>
        </w:rPr>
        <w:t>of Control</w:t>
      </w:r>
      <w:r>
        <w:rPr>
          <w:rFonts w:ascii="Arial" w:cs="Arial" w:eastAsia="Arial" w:hAnsi="Arial"/>
          <w:sz w:val="19"/>
          <w:szCs w:val="19"/>
          <w:color w:val="auto"/>
        </w:rPr>
        <w:t>”), or any clawback or recoupment as may be required by applicable law.</w:t>
      </w:r>
    </w:p>
    <w:p>
      <w:pPr>
        <w:spacing w:after="0" w:line="165" w:lineRule="exact"/>
        <w:rPr>
          <w:rFonts w:ascii="Arial" w:cs="Arial" w:eastAsia="Arial" w:hAnsi="Arial"/>
          <w:sz w:val="19"/>
          <w:szCs w:val="19"/>
          <w:color w:val="010000"/>
        </w:rPr>
      </w:pPr>
    </w:p>
    <w:p>
      <w:pPr>
        <w:ind w:left="-40" w:right="260" w:firstLine="1304"/>
        <w:spacing w:after="0" w:line="253" w:lineRule="auto"/>
        <w:tabs>
          <w:tab w:leader="none" w:pos="1550" w:val="left"/>
        </w:tabs>
        <w:numPr>
          <w:ilvl w:val="1"/>
          <w:numId w:val="321"/>
        </w:numPr>
        <w:rPr>
          <w:rFonts w:ascii="Arial" w:cs="Arial" w:eastAsia="Arial" w:hAnsi="Arial"/>
          <w:sz w:val="22"/>
          <w:szCs w:val="22"/>
          <w:color w:val="010000"/>
        </w:rPr>
      </w:pPr>
      <w:r>
        <w:rPr>
          <w:rFonts w:ascii="Arial" w:cs="Arial" w:eastAsia="Arial" w:hAnsi="Arial"/>
          <w:sz w:val="22"/>
          <w:szCs w:val="22"/>
          <w:u w:val="single" w:color="auto"/>
          <w:color w:val="auto"/>
        </w:rPr>
        <w:t>Benefits</w:t>
      </w:r>
      <w:r>
        <w:rPr>
          <w:rFonts w:ascii="Arial" w:cs="Arial" w:eastAsia="Arial" w:hAnsi="Arial"/>
          <w:sz w:val="22"/>
          <w:szCs w:val="22"/>
          <w:color w:val="auto"/>
        </w:rPr>
        <w:t>. During the Term, Employee shall be eligible to participate in the benefit plans and programs of the Company that are generally available to other members of the Company’s senior executive team, subject to the terms and conditions of such plans and programs.</w:t>
      </w:r>
    </w:p>
    <w:p>
      <w:pPr>
        <w:spacing w:after="0" w:line="185" w:lineRule="exact"/>
        <w:rPr>
          <w:rFonts w:ascii="Arial" w:cs="Arial" w:eastAsia="Arial" w:hAnsi="Arial"/>
          <w:sz w:val="22"/>
          <w:szCs w:val="22"/>
          <w:color w:val="010000"/>
        </w:rPr>
      </w:pPr>
    </w:p>
    <w:p>
      <w:pPr>
        <w:ind w:left="-40" w:right="160" w:firstLine="1304"/>
        <w:spacing w:after="0" w:line="250" w:lineRule="auto"/>
        <w:tabs>
          <w:tab w:leader="none" w:pos="1562" w:val="left"/>
        </w:tabs>
        <w:numPr>
          <w:ilvl w:val="1"/>
          <w:numId w:val="321"/>
        </w:numPr>
        <w:rPr>
          <w:rFonts w:ascii="Arial" w:cs="Arial" w:eastAsia="Arial" w:hAnsi="Arial"/>
          <w:sz w:val="22"/>
          <w:szCs w:val="22"/>
          <w:color w:val="010000"/>
        </w:rPr>
      </w:pPr>
      <w:r>
        <w:rPr>
          <w:rFonts w:ascii="Arial" w:cs="Arial" w:eastAsia="Arial" w:hAnsi="Arial"/>
          <w:sz w:val="22"/>
          <w:szCs w:val="22"/>
          <w:u w:val="single" w:color="auto"/>
          <w:color w:val="auto"/>
        </w:rPr>
        <w:t>Paid-Time Off</w:t>
      </w:r>
      <w:r>
        <w:rPr>
          <w:rFonts w:ascii="Arial" w:cs="Arial" w:eastAsia="Arial" w:hAnsi="Arial"/>
          <w:sz w:val="22"/>
          <w:szCs w:val="22"/>
          <w:color w:val="auto"/>
        </w:rPr>
        <w:t>. Employee shall be entitled to 15 days paid-time off, and any holidays that are generally afforded to the Company’s employees, in each case, per calendar year during the Term, prorated for the portion(s) of any partial calendar year during the Term. Employee may take paid-time off only with the consent of the Reporting Person, which consent shall not be withheld unreasonably.</w:t>
      </w:r>
    </w:p>
    <w:p>
      <w:pPr>
        <w:spacing w:after="0" w:line="187" w:lineRule="exact"/>
        <w:rPr>
          <w:rFonts w:ascii="Arial" w:cs="Arial" w:eastAsia="Arial" w:hAnsi="Arial"/>
          <w:sz w:val="22"/>
          <w:szCs w:val="22"/>
          <w:color w:val="010000"/>
        </w:rPr>
      </w:pPr>
    </w:p>
    <w:p>
      <w:pPr>
        <w:jc w:val="both"/>
        <w:ind w:left="-40" w:firstLine="1304"/>
        <w:spacing w:after="0" w:line="250" w:lineRule="auto"/>
        <w:tabs>
          <w:tab w:leader="none" w:pos="1550" w:val="left"/>
        </w:tabs>
        <w:numPr>
          <w:ilvl w:val="1"/>
          <w:numId w:val="321"/>
        </w:numPr>
        <w:rPr>
          <w:rFonts w:ascii="Arial" w:cs="Arial" w:eastAsia="Arial" w:hAnsi="Arial"/>
          <w:sz w:val="22"/>
          <w:szCs w:val="22"/>
          <w:color w:val="010000"/>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The Company shall provide Employee a Company-owned wireless smartphone and Company-owned laptop computer during the Term and shall pay or reimburse Employee for all reasonable and necessary business expenses incurred in the performance of his duties to the Company during the Term upon the presentation of appropriate statements of such expenses.</w:t>
      </w:r>
    </w:p>
    <w:p>
      <w:pPr>
        <w:spacing w:after="0" w:line="187" w:lineRule="exact"/>
        <w:rPr>
          <w:rFonts w:ascii="Arial" w:cs="Arial" w:eastAsia="Arial" w:hAnsi="Arial"/>
          <w:sz w:val="22"/>
          <w:szCs w:val="22"/>
          <w:color w:val="010000"/>
        </w:rPr>
      </w:pPr>
    </w:p>
    <w:p>
      <w:pPr>
        <w:ind w:left="-40" w:firstLine="656"/>
        <w:spacing w:after="0" w:line="343" w:lineRule="auto"/>
        <w:tabs>
          <w:tab w:leader="none" w:pos="824" w:val="left"/>
        </w:tabs>
        <w:numPr>
          <w:ilvl w:val="0"/>
          <w:numId w:val="322"/>
        </w:numPr>
        <w:rPr>
          <w:rFonts w:ascii="Arial" w:cs="Arial" w:eastAsia="Arial" w:hAnsi="Arial"/>
          <w:sz w:val="19"/>
          <w:szCs w:val="19"/>
          <w:color w:val="010000"/>
        </w:rPr>
      </w:pPr>
      <w:r>
        <w:rPr>
          <w:rFonts w:ascii="Arial" w:cs="Arial" w:eastAsia="Arial" w:hAnsi="Arial"/>
          <w:sz w:val="19"/>
          <w:szCs w:val="19"/>
          <w:u w:val="single" w:color="auto"/>
          <w:color w:val="auto"/>
        </w:rPr>
        <w:t>Long-Term Incentive Awards</w:t>
      </w:r>
      <w:r>
        <w:rPr>
          <w:rFonts w:ascii="Arial" w:cs="Arial" w:eastAsia="Arial" w:hAnsi="Arial"/>
          <w:sz w:val="19"/>
          <w:szCs w:val="19"/>
          <w:color w:val="auto"/>
        </w:rPr>
        <w:t>. Employee shall be eligible to receive long-term incentive compensation awards, whether cash-based or equity-based or both, periodically throughout the Term, subject to approval by the Compensation Committee.</w:t>
      </w:r>
    </w:p>
    <w:p>
      <w:pPr>
        <w:spacing w:after="0" w:line="104" w:lineRule="exact"/>
        <w:rPr>
          <w:rFonts w:ascii="Arial" w:cs="Arial" w:eastAsia="Arial" w:hAnsi="Arial"/>
          <w:sz w:val="19"/>
          <w:szCs w:val="19"/>
          <w:color w:val="010000"/>
        </w:rPr>
      </w:pPr>
    </w:p>
    <w:p>
      <w:pPr>
        <w:ind w:left="-40" w:right="640" w:firstLine="656"/>
        <w:spacing w:after="0" w:line="287" w:lineRule="auto"/>
        <w:tabs>
          <w:tab w:leader="none" w:pos="824" w:val="left"/>
        </w:tabs>
        <w:numPr>
          <w:ilvl w:val="0"/>
          <w:numId w:val="322"/>
        </w:numPr>
        <w:rPr>
          <w:rFonts w:ascii="Arial" w:cs="Arial" w:eastAsia="Arial" w:hAnsi="Arial"/>
          <w:sz w:val="21"/>
          <w:szCs w:val="21"/>
          <w:color w:val="010000"/>
        </w:rPr>
      </w:pPr>
      <w:r>
        <w:rPr>
          <w:rFonts w:ascii="Arial" w:cs="Arial" w:eastAsia="Arial" w:hAnsi="Arial"/>
          <w:sz w:val="21"/>
          <w:szCs w:val="21"/>
          <w:u w:val="single" w:color="auto"/>
          <w:color w:val="auto"/>
        </w:rPr>
        <w:t>Termination</w:t>
      </w:r>
      <w:r>
        <w:rPr>
          <w:rFonts w:ascii="Arial" w:cs="Arial" w:eastAsia="Arial" w:hAnsi="Arial"/>
          <w:sz w:val="21"/>
          <w:szCs w:val="21"/>
          <w:color w:val="auto"/>
        </w:rPr>
        <w:t>. Employee’s employment hereunder shall be terminated upon the earliest to occur of any one of the following events (in which case the Term shall terminate as of the applicable Date of Termination):</w:t>
      </w:r>
    </w:p>
    <w:p>
      <w:pPr>
        <w:spacing w:after="0" w:line="151" w:lineRule="exact"/>
        <w:rPr>
          <w:rFonts w:ascii="Arial" w:cs="Arial" w:eastAsia="Arial" w:hAnsi="Arial"/>
          <w:sz w:val="21"/>
          <w:szCs w:val="21"/>
          <w:color w:val="010000"/>
        </w:rPr>
      </w:pPr>
    </w:p>
    <w:p>
      <w:pPr>
        <w:ind w:left="-40" w:right="220" w:firstLine="1304"/>
        <w:spacing w:after="0" w:line="253" w:lineRule="auto"/>
        <w:tabs>
          <w:tab w:leader="none" w:pos="1550" w:val="left"/>
        </w:tabs>
        <w:numPr>
          <w:ilvl w:val="1"/>
          <w:numId w:val="322"/>
        </w:numPr>
        <w:rPr>
          <w:rFonts w:ascii="Arial" w:cs="Arial" w:eastAsia="Arial" w:hAnsi="Arial"/>
          <w:sz w:val="22"/>
          <w:szCs w:val="22"/>
          <w:color w:val="010000"/>
        </w:rPr>
      </w:pPr>
      <w:r>
        <w:rPr>
          <w:rFonts w:ascii="Arial" w:cs="Arial" w:eastAsia="Arial" w:hAnsi="Arial"/>
          <w:sz w:val="22"/>
          <w:szCs w:val="22"/>
          <w:u w:val="single" w:color="auto"/>
          <w:color w:val="auto"/>
        </w:rPr>
        <w:t>Expiration of Term</w:t>
      </w:r>
      <w:r>
        <w:rPr>
          <w:rFonts w:ascii="Arial" w:cs="Arial" w:eastAsia="Arial" w:hAnsi="Arial"/>
          <w:sz w:val="22"/>
          <w:szCs w:val="22"/>
          <w:color w:val="auto"/>
        </w:rPr>
        <w:t>. Unless sooner terminated, Employee’s employment hereunder shall terminate automatically in accordance with Section 1 of this Agreement on the Expiration Date, unless otherwise agreed by the parties in writing, in which case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60"/>
          </w:cols>
          <w:pgMar w:left="360" w:top="1265" w:right="379" w:bottom="1440" w:gutter="0" w:footer="0" w:header="0"/>
        </w:sectPr>
      </w:pPr>
    </w:p>
    <w:bookmarkStart w:id="388" w:name="page389"/>
    <w:bookmarkEnd w:id="388"/>
    <w:p>
      <w:pPr>
        <w:ind w:right="480"/>
        <w:spacing w:after="0" w:line="263" w:lineRule="auto"/>
        <w:rPr>
          <w:sz w:val="20"/>
          <w:szCs w:val="20"/>
          <w:color w:val="auto"/>
        </w:rPr>
      </w:pPr>
      <w:r>
        <w:rPr>
          <w:rFonts w:ascii="Arial" w:cs="Arial" w:eastAsia="Arial" w:hAnsi="Arial"/>
          <w:sz w:val="22"/>
          <w:szCs w:val="22"/>
          <w:color w:val="auto"/>
        </w:rPr>
        <w:t>hereunder will continue on an at-will basis or pursuant to the terms of any subsequent agreement between Employee and the Company.</w:t>
      </w:r>
    </w:p>
    <w:p>
      <w:pPr>
        <w:spacing w:after="0" w:line="175" w:lineRule="exact"/>
        <w:rPr>
          <w:sz w:val="20"/>
          <w:szCs w:val="20"/>
          <w:color w:val="auto"/>
        </w:rPr>
      </w:pPr>
    </w:p>
    <w:p>
      <w:pPr>
        <w:ind w:left="1600" w:hanging="296"/>
        <w:spacing w:after="0"/>
        <w:tabs>
          <w:tab w:leader="none" w:pos="1600" w:val="left"/>
        </w:tabs>
        <w:numPr>
          <w:ilvl w:val="0"/>
          <w:numId w:val="323"/>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Employee’s employment hereunder shall terminate upon his death.</w:t>
      </w:r>
    </w:p>
    <w:p>
      <w:pPr>
        <w:spacing w:after="0" w:line="219" w:lineRule="exact"/>
        <w:rPr>
          <w:rFonts w:ascii="Arial" w:cs="Arial" w:eastAsia="Arial" w:hAnsi="Arial"/>
          <w:sz w:val="22"/>
          <w:szCs w:val="22"/>
          <w:color w:val="010000"/>
        </w:rPr>
      </w:pPr>
    </w:p>
    <w:p>
      <w:pPr>
        <w:ind w:firstLine="1304"/>
        <w:spacing w:after="0" w:line="284" w:lineRule="auto"/>
        <w:tabs>
          <w:tab w:leader="none" w:pos="1590" w:val="left"/>
        </w:tabs>
        <w:numPr>
          <w:ilvl w:val="0"/>
          <w:numId w:val="323"/>
        </w:numPr>
        <w:rPr>
          <w:rFonts w:ascii="Arial" w:cs="Arial" w:eastAsia="Arial" w:hAnsi="Arial"/>
          <w:sz w:val="19"/>
          <w:szCs w:val="19"/>
          <w:color w:val="010000"/>
        </w:rPr>
      </w:pPr>
      <w:r>
        <w:rPr>
          <w:rFonts w:ascii="Arial" w:cs="Arial" w:eastAsia="Arial" w:hAnsi="Arial"/>
          <w:sz w:val="19"/>
          <w:szCs w:val="19"/>
          <w:u w:val="single" w:color="auto"/>
          <w:color w:val="auto"/>
        </w:rPr>
        <w:t>Cause</w:t>
      </w:r>
      <w:r>
        <w:rPr>
          <w:rFonts w:ascii="Arial" w:cs="Arial" w:eastAsia="Arial" w:hAnsi="Arial"/>
          <w:sz w:val="19"/>
          <w:szCs w:val="19"/>
          <w:color w:val="auto"/>
        </w:rPr>
        <w:t>. The Company may terminate Employee’s employment hereunder for Cause by written notice at any time. For purposes of this Agreement, the term “</w:t>
      </w:r>
      <w:r>
        <w:rPr>
          <w:rFonts w:ascii="Arial" w:cs="Arial" w:eastAsia="Arial" w:hAnsi="Arial"/>
          <w:sz w:val="19"/>
          <w:szCs w:val="19"/>
          <w:u w:val="single" w:color="auto"/>
          <w:color w:val="auto"/>
        </w:rPr>
        <w:t>Cause</w:t>
      </w:r>
      <w:r>
        <w:rPr>
          <w:rFonts w:ascii="Arial" w:cs="Arial" w:eastAsia="Arial" w:hAnsi="Arial"/>
          <w:sz w:val="19"/>
          <w:szCs w:val="19"/>
          <w:color w:val="auto"/>
        </w:rPr>
        <w:t>” shall mean Employee’s (i) gross negligence or willful failure to perform his duties hereunder or willful refusal to follow any lawful directive of the Reporting Person; (ii) abuse of or dependency on alcohol or drugs (illicit or otherwise) that adversely affects Employee’s performance of duties hereunder; (iii) commission of any fraud, embezzlement, theft or dishonesty, or any deliberate misappropriation of money or other assets of the Company; (iv) breach of any term of this Agreement, including, without limitation, by virtue of failing to provide at least 30 days’ advanced written notice of resignation as required by Section 5(f), or any agreement governing any of the long-term incentive compensation or equity compensation awards granted to Employee by the Company, its affiliates or any of their respective predecessors (the “</w:t>
      </w:r>
      <w:r>
        <w:rPr>
          <w:rFonts w:ascii="Arial" w:cs="Arial" w:eastAsia="Arial" w:hAnsi="Arial"/>
          <w:sz w:val="19"/>
          <w:szCs w:val="19"/>
          <w:u w:val="single" w:color="auto"/>
          <w:color w:val="auto"/>
        </w:rPr>
        <w:t>Long-Term Incentive Compensation</w:t>
      </w:r>
      <w:r>
        <w:rPr>
          <w:rFonts w:ascii="Arial" w:cs="Arial" w:eastAsia="Arial" w:hAnsi="Arial"/>
          <w:sz w:val="19"/>
          <w:szCs w:val="19"/>
          <w:color w:val="auto"/>
        </w:rPr>
        <w:t>”), in each case, prior to a Change of Control, or breach of his fiduciary duties to the Company; (v) any willful act, or failure to act, in bad faith to the detriment of the Company; (vi) willful failure to cooperate in good faith with a governmental or internal investigation of the Company or any of its directors, managers, officers or employees, if the Company requests his cooperation; (vii) prior to a Change in Control, failure to follow the Company’s code of conduct or ethics policy; and (viii) conviction of, or plea of nolo contendere to, a felony or any serious crime; provided that, the Company will provide Employee with written notice describing the facts and circumstances that the Company believes constitutes Cause and, in cases where cure is possible, Employee shall first be provided a 15-day cure period. If, subsequent to Employee’s termination of employment hereunder for any reason other than by the Company for Cause, it is determined in good faith by the Reporting Person that Employee’s employment could have been terminated by the Company for Cause pursuant to this Section 5(c), Employee’s employment shall, at the election of the Reporting Person at any time up to two years after Employee’s termination of employment but in no event more than six months after the Reporting Person learns of the facts or events that could give rise to the termination for Cause, be deemed to have been terminated for Cause retroactively to the date the events giving rise to Cause occurred, provided that the Company’s ability to deem an Employee’s employment under this sentence to be terminated for Cause shall lapse upon a Change of Control.</w:t>
      </w:r>
    </w:p>
    <w:p>
      <w:pPr>
        <w:spacing w:after="0" w:line="200" w:lineRule="exact"/>
        <w:rPr>
          <w:rFonts w:ascii="Arial" w:cs="Arial" w:eastAsia="Arial" w:hAnsi="Arial"/>
          <w:sz w:val="19"/>
          <w:szCs w:val="19"/>
          <w:color w:val="010000"/>
        </w:rPr>
      </w:pPr>
    </w:p>
    <w:p>
      <w:pPr>
        <w:spacing w:after="0" w:line="229" w:lineRule="exact"/>
        <w:rPr>
          <w:rFonts w:ascii="Arial" w:cs="Arial" w:eastAsia="Arial" w:hAnsi="Arial"/>
          <w:sz w:val="19"/>
          <w:szCs w:val="19"/>
          <w:color w:val="010000"/>
        </w:rPr>
      </w:pPr>
    </w:p>
    <w:p>
      <w:pPr>
        <w:ind w:left="1600" w:hanging="296"/>
        <w:spacing w:after="0"/>
        <w:tabs>
          <w:tab w:leader="none" w:pos="1600" w:val="left"/>
        </w:tabs>
        <w:numPr>
          <w:ilvl w:val="0"/>
          <w:numId w:val="323"/>
        </w:numPr>
        <w:rPr>
          <w:rFonts w:ascii="Arial" w:cs="Arial" w:eastAsia="Arial" w:hAnsi="Arial"/>
          <w:sz w:val="19"/>
          <w:szCs w:val="19"/>
          <w:color w:val="010000"/>
        </w:rPr>
      </w:pPr>
      <w:r>
        <w:rPr>
          <w:rFonts w:ascii="Arial" w:cs="Arial" w:eastAsia="Arial" w:hAnsi="Arial"/>
          <w:sz w:val="19"/>
          <w:szCs w:val="19"/>
          <w:u w:val="single" w:color="auto"/>
          <w:color w:val="auto"/>
        </w:rPr>
        <w:t>Without Cause</w:t>
      </w:r>
      <w:r>
        <w:rPr>
          <w:rFonts w:ascii="Arial" w:cs="Arial" w:eastAsia="Arial" w:hAnsi="Arial"/>
          <w:sz w:val="19"/>
          <w:szCs w:val="19"/>
          <w:color w:val="auto"/>
        </w:rPr>
        <w:t>. The Company may terminate Employee’s employment hereunder without Cause by written</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notice at any time.</w:t>
      </w:r>
    </w:p>
    <w:p>
      <w:pPr>
        <w:spacing w:after="0" w:line="201" w:lineRule="exact"/>
        <w:rPr>
          <w:rFonts w:ascii="Arial" w:cs="Arial" w:eastAsia="Arial" w:hAnsi="Arial"/>
          <w:sz w:val="19"/>
          <w:szCs w:val="19"/>
          <w:color w:val="010000"/>
        </w:rPr>
      </w:pPr>
    </w:p>
    <w:p>
      <w:pPr>
        <w:ind w:right="40" w:firstLine="1304"/>
        <w:spacing w:after="0" w:line="294" w:lineRule="auto"/>
        <w:tabs>
          <w:tab w:leader="none" w:pos="1590" w:val="left"/>
        </w:tabs>
        <w:numPr>
          <w:ilvl w:val="0"/>
          <w:numId w:val="323"/>
        </w:numPr>
        <w:rPr>
          <w:rFonts w:ascii="Arial" w:cs="Arial" w:eastAsia="Arial" w:hAnsi="Arial"/>
          <w:sz w:val="19"/>
          <w:szCs w:val="19"/>
          <w:color w:val="010000"/>
        </w:rPr>
      </w:pPr>
      <w:r>
        <w:rPr>
          <w:rFonts w:ascii="Arial" w:cs="Arial" w:eastAsia="Arial" w:hAnsi="Arial"/>
          <w:sz w:val="19"/>
          <w:szCs w:val="19"/>
          <w:u w:val="single" w:color="auto"/>
          <w:color w:val="auto"/>
        </w:rPr>
        <w:t>Good Reason</w:t>
      </w:r>
      <w:r>
        <w:rPr>
          <w:rFonts w:ascii="Arial" w:cs="Arial" w:eastAsia="Arial" w:hAnsi="Arial"/>
          <w:sz w:val="19"/>
          <w:szCs w:val="19"/>
          <w:color w:val="auto"/>
        </w:rPr>
        <w:t>. Upon or during the two-year period following a Change of Control, Employee may terminate his employment hereunder for Good Reason in accordance with the terms of this Section 5(e). For purposes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without first obtaining Employee’s written consent: (i) the Company materially breaches the terms of this Agreement; (ii) the Company materially diminishes Employee’s title, duties, authorities, reporting relationship(s), responsibilities or position from any of those in effect immediately preceding the Change of Control (including by virtue of Employee not having duties of a senior executive of a publicly-traded company) or as subsequently increased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65" w:right="339" w:bottom="1440" w:gutter="0" w:footer="0" w:header="0"/>
        </w:sectPr>
      </w:pPr>
    </w:p>
    <w:bookmarkStart w:id="389" w:name="page390"/>
    <w:bookmarkEnd w:id="389"/>
    <w:p>
      <w:pPr>
        <w:ind w:right="20"/>
        <w:spacing w:after="0" w:line="287" w:lineRule="auto"/>
        <w:rPr>
          <w:sz w:val="20"/>
          <w:szCs w:val="20"/>
          <w:color w:val="auto"/>
        </w:rPr>
      </w:pPr>
      <w:r>
        <w:rPr>
          <w:rFonts w:ascii="Arial" w:cs="Arial" w:eastAsia="Arial" w:hAnsi="Arial"/>
          <w:sz w:val="19"/>
          <w:szCs w:val="19"/>
          <w:color w:val="auto"/>
        </w:rPr>
        <w:t xml:space="preserve">enhanced; (iii) the Company reduces the Base Salary or Target Bonus; or (iv) the Company requires that Employee be based in a location that is more than 35 miles from the location of Employee’s employment immediately prior to a Change of Control; or (v) Employee not reporting directly and exclusively to the chief executive officer of a publicly traded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first be provided a 30-day cure period (the “</w:t>
      </w:r>
      <w:r>
        <w:rPr>
          <w:rFonts w:ascii="Arial" w:cs="Arial" w:eastAsia="Arial" w:hAnsi="Arial"/>
          <w:sz w:val="19"/>
          <w:szCs w:val="19"/>
          <w:u w:val="single" w:color="auto"/>
          <w:color w:val="auto"/>
        </w:rPr>
        <w:t>Cure Period</w:t>
      </w:r>
      <w:r>
        <w:rPr>
          <w:rFonts w:ascii="Arial" w:cs="Arial" w:eastAsia="Arial" w:hAnsi="Arial"/>
          <w:sz w:val="19"/>
          <w:szCs w:val="19"/>
          <w:color w:val="auto"/>
        </w:rPr>
        <w:t xml:space="preserve">”), following receipt of written notice setting forth in reasonable detail the specific event, circumstance or conduct of the Company that constitutes Good Reason, to cease, and to cure, any event, circumstance or conduct specified in such written notice, if curable;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such notice shall be provided to the Company within 45 days of the occurrence of the event, circumstance or conduct constituting Good Reason. If, at the end of the Cure Period, the event, circumstance or conduct that constitutes Good Reason has not been remedied, Employee will be entitled to terminate employment for Good Reason during the 90-day period that follows the end of the Cure Period. If Employee does not terminate employment during such 90-day period, Employee will not be permitted to terminate employment for Good Reason as a result of such event, circumstance or conduct.</w:t>
      </w:r>
    </w:p>
    <w:p>
      <w:pPr>
        <w:spacing w:after="0" w:line="163" w:lineRule="exact"/>
        <w:rPr>
          <w:sz w:val="20"/>
          <w:szCs w:val="20"/>
          <w:color w:val="auto"/>
        </w:rPr>
      </w:pPr>
    </w:p>
    <w:p>
      <w:pPr>
        <w:ind w:right="280" w:firstLine="1304"/>
        <w:spacing w:after="0" w:line="263" w:lineRule="auto"/>
        <w:tabs>
          <w:tab w:leader="none" w:pos="1566" w:val="left"/>
        </w:tabs>
        <w:numPr>
          <w:ilvl w:val="1"/>
          <w:numId w:val="324"/>
        </w:numPr>
        <w:rPr>
          <w:rFonts w:ascii="Arial" w:cs="Arial" w:eastAsia="Arial" w:hAnsi="Arial"/>
          <w:sz w:val="22"/>
          <w:szCs w:val="22"/>
          <w:color w:val="010000"/>
        </w:rPr>
      </w:pPr>
      <w:r>
        <w:rPr>
          <w:rFonts w:ascii="Arial" w:cs="Arial" w:eastAsia="Arial" w:hAnsi="Arial"/>
          <w:sz w:val="22"/>
          <w:szCs w:val="22"/>
          <w:u w:val="single" w:color="auto"/>
          <w:color w:val="auto"/>
        </w:rPr>
        <w:t>Resignation</w:t>
      </w:r>
      <w:r>
        <w:rPr>
          <w:rFonts w:ascii="Arial" w:cs="Arial" w:eastAsia="Arial" w:hAnsi="Arial"/>
          <w:sz w:val="22"/>
          <w:szCs w:val="22"/>
          <w:color w:val="auto"/>
        </w:rPr>
        <w:t>. Employee may terminate his employment hereunder at any time upon at least 30 days’ advance written notice to the Company.</w:t>
      </w:r>
    </w:p>
    <w:p>
      <w:pPr>
        <w:spacing w:after="0" w:line="174" w:lineRule="exact"/>
        <w:rPr>
          <w:rFonts w:ascii="Arial" w:cs="Arial" w:eastAsia="Arial" w:hAnsi="Arial"/>
          <w:sz w:val="22"/>
          <w:szCs w:val="22"/>
          <w:color w:val="010000"/>
        </w:rPr>
      </w:pPr>
    </w:p>
    <w:p>
      <w:pPr>
        <w:ind w:right="280" w:firstLine="1304"/>
        <w:spacing w:after="0" w:line="297" w:lineRule="auto"/>
        <w:tabs>
          <w:tab w:leader="none" w:pos="1602" w:val="left"/>
        </w:tabs>
        <w:numPr>
          <w:ilvl w:val="1"/>
          <w:numId w:val="324"/>
        </w:numPr>
        <w:rPr>
          <w:rFonts w:ascii="Arial" w:cs="Arial" w:eastAsia="Arial" w:hAnsi="Arial"/>
          <w:sz w:val="19"/>
          <w:szCs w:val="19"/>
          <w:color w:val="010000"/>
        </w:rPr>
      </w:pPr>
      <w:r>
        <w:rPr>
          <w:rFonts w:ascii="Arial" w:cs="Arial" w:eastAsia="Arial" w:hAnsi="Arial"/>
          <w:sz w:val="19"/>
          <w:szCs w:val="19"/>
          <w:u w:val="single" w:color="auto"/>
          <w:color w:val="auto"/>
        </w:rPr>
        <w:t>Disability</w:t>
      </w:r>
      <w:r>
        <w:rPr>
          <w:rFonts w:ascii="Arial" w:cs="Arial" w:eastAsia="Arial" w:hAnsi="Arial"/>
          <w:sz w:val="19"/>
          <w:szCs w:val="19"/>
          <w:color w:val="auto"/>
        </w:rPr>
        <w:t>. Employee’s employment hereunder shall terminate in the event of Employee’s Disability. For purposes of this Agreement,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the inability of Employee, due to illness, accident or any other physical or mental incapacity, to perform Employee’s duties for the Company for an aggregate of 180 days within any period of 12 consecutive months, which inability is determined to be total and permanent by a board-certified physician selected by the Company, and the determination of such physician shall be binding upon Employee and the Company.</w:t>
      </w:r>
    </w:p>
    <w:p>
      <w:pPr>
        <w:spacing w:after="0" w:line="146" w:lineRule="exact"/>
        <w:rPr>
          <w:rFonts w:ascii="Arial" w:cs="Arial" w:eastAsia="Arial" w:hAnsi="Arial"/>
          <w:sz w:val="19"/>
          <w:szCs w:val="19"/>
          <w:color w:val="010000"/>
        </w:rPr>
      </w:pPr>
    </w:p>
    <w:p>
      <w:pPr>
        <w:ind w:right="20" w:firstLine="1304"/>
        <w:spacing w:after="0" w:line="259" w:lineRule="auto"/>
        <w:tabs>
          <w:tab w:leader="none" w:pos="1602" w:val="left"/>
        </w:tabs>
        <w:numPr>
          <w:ilvl w:val="1"/>
          <w:numId w:val="324"/>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u w:val="single" w:color="auto"/>
          <w:color w:val="auto"/>
        </w:rPr>
        <w:t>Date of Termination</w:t>
      </w:r>
      <w:r>
        <w:rPr>
          <w:rFonts w:ascii="Arial" w:cs="Arial" w:eastAsia="Arial" w:hAnsi="Arial"/>
          <w:sz w:val="21"/>
          <w:szCs w:val="21"/>
          <w:color w:val="auto"/>
        </w:rPr>
        <w:t>” shall mean: (i) the scheduled expiration of the Term in the event of termination of Employee’s employment pursuant to Section 5(a) of this Agreement; (ii) the date of Employee’s death in the event of termination of Employee’s employment pursuant to Section 5(b) of this Agreement; (iii) the date of the Company’s delivery of a notice of termination to Employee or such later date as specified in such notice in the event of termination by the Company pursuant to Section 5(c) or 5(d) of this Agreement; (iv) the 30th day following delivery of Employee’s notice to the Company of his resignation in accordance with Section 5(f) (or such earlier date as selected by the Company); (v) the date specified in accordance with Section 5(e) in the event of Employee’s resignation for Good Reason upon or during the two years following a Change of Control; and (vi) the date of a determination of Employee’s Disability in the event of a termination of Employee’s employment pursuant to Section 5(g) of this Agreement.</w:t>
      </w:r>
    </w:p>
    <w:p>
      <w:pPr>
        <w:spacing w:after="0" w:line="179" w:lineRule="exact"/>
        <w:rPr>
          <w:rFonts w:ascii="Arial" w:cs="Arial" w:eastAsia="Arial" w:hAnsi="Arial"/>
          <w:sz w:val="21"/>
          <w:szCs w:val="21"/>
          <w:color w:val="010000"/>
        </w:rPr>
      </w:pPr>
    </w:p>
    <w:p>
      <w:pPr>
        <w:ind w:firstLine="656"/>
        <w:spacing w:after="0" w:line="297" w:lineRule="auto"/>
        <w:tabs>
          <w:tab w:leader="none" w:pos="864" w:val="left"/>
        </w:tabs>
        <w:numPr>
          <w:ilvl w:val="0"/>
          <w:numId w:val="325"/>
        </w:numPr>
        <w:rPr>
          <w:rFonts w:ascii="Arial" w:cs="Arial" w:eastAsia="Arial" w:hAnsi="Arial"/>
          <w:sz w:val="19"/>
          <w:szCs w:val="19"/>
          <w:color w:val="010000"/>
        </w:rPr>
      </w:pPr>
      <w:r>
        <w:rPr>
          <w:rFonts w:ascii="Arial" w:cs="Arial" w:eastAsia="Arial" w:hAnsi="Arial"/>
          <w:sz w:val="19"/>
          <w:szCs w:val="19"/>
          <w:u w:val="single" w:color="auto"/>
          <w:color w:val="auto"/>
        </w:rPr>
        <w:t>Termination Payments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General</w:t>
      </w:r>
      <w:r>
        <w:rPr>
          <w:rFonts w:ascii="Arial" w:cs="Arial" w:eastAsia="Arial" w:hAnsi="Arial"/>
          <w:sz w:val="19"/>
          <w:szCs w:val="19"/>
          <w:color w:val="auto"/>
        </w:rPr>
        <w:t>. Except as otherwise set forth in this Section 6, following any termination of Employee’s employment hereunder, the obligations of the Company to pay or provide Employee with compensation and benefits under Section 3 of this Agreement shall cease, and the Company shall have no further obligations to provide compensation or benefits to Employee hereunder except for payment of (i) any unpaid Base Salary accrued through the Date of Termination; (ii) to the extent required by law, any unused vacation accrued through the Date of Termination, and (iii) any unpaid or unreimbursed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65" w:right="339" w:bottom="1440" w:gutter="0" w:footer="0" w:header="0"/>
        </w:sectPr>
      </w:pPr>
    </w:p>
    <w:bookmarkStart w:id="390" w:name="page391"/>
    <w:bookmarkEnd w:id="390"/>
    <w:p>
      <w:pPr>
        <w:ind w:right="100"/>
        <w:spacing w:after="0" w:line="260" w:lineRule="auto"/>
        <w:rPr>
          <w:sz w:val="20"/>
          <w:szCs w:val="20"/>
          <w:color w:val="auto"/>
        </w:rPr>
      </w:pPr>
      <w:r>
        <w:rPr>
          <w:rFonts w:ascii="Arial" w:cs="Arial" w:eastAsia="Arial" w:hAnsi="Arial"/>
          <w:sz w:val="21"/>
          <w:szCs w:val="21"/>
          <w:color w:val="auto"/>
        </w:rPr>
        <w:t>obligations and expenses under Section 3(e) of this Agreement accrued or incurred through the Date of Termination (collectively items 6(a)(i) through 6(a)(iii) above, the “</w:t>
      </w:r>
      <w:r>
        <w:rPr>
          <w:rFonts w:ascii="Arial" w:cs="Arial" w:eastAsia="Arial" w:hAnsi="Arial"/>
          <w:sz w:val="21"/>
          <w:szCs w:val="21"/>
          <w:u w:val="single" w:color="auto"/>
          <w:color w:val="auto"/>
        </w:rPr>
        <w:t>Accrued Benefits</w:t>
      </w:r>
      <w:r>
        <w:rPr>
          <w:rFonts w:ascii="Arial" w:cs="Arial" w:eastAsia="Arial" w:hAnsi="Arial"/>
          <w:sz w:val="21"/>
          <w:szCs w:val="21"/>
          <w:color w:val="auto"/>
        </w:rPr>
        <w:t>”). The payments referred to in Sections 6(a)(i) and 6(a)(ii) of this Agreement shall be paid within 30 days following the Date of Termination, subject to compliance with Section 409A of the Internal Revenue Code of 1986, as amended (“</w:t>
      </w:r>
      <w:r>
        <w:rPr>
          <w:rFonts w:ascii="Arial" w:cs="Arial" w:eastAsia="Arial" w:hAnsi="Arial"/>
          <w:sz w:val="21"/>
          <w:szCs w:val="21"/>
          <w:u w:val="single" w:color="auto"/>
          <w:color w:val="auto"/>
        </w:rPr>
        <w:t>Section 409A</w:t>
      </w:r>
      <w:r>
        <w:rPr>
          <w:rFonts w:ascii="Arial" w:cs="Arial" w:eastAsia="Arial" w:hAnsi="Arial"/>
          <w:sz w:val="21"/>
          <w:szCs w:val="21"/>
          <w:color w:val="auto"/>
        </w:rPr>
        <w:t>”). The payments referred to in Section 6(a)(iii) of this Agreement shall be paid at the times such amounts would otherwise be paid had Employee’s services hereunder not terminated. The payments and benefits to be provided to Employee under Sections 6(c) and 6(d) of this Agreement, if any, shall in all events be subject to the satisfaction of the conditions of Section 6(e) of this Agreement.</w:t>
      </w:r>
    </w:p>
    <w:p>
      <w:pPr>
        <w:spacing w:after="0" w:line="180" w:lineRule="exact"/>
        <w:rPr>
          <w:sz w:val="20"/>
          <w:szCs w:val="20"/>
          <w:color w:val="auto"/>
        </w:rPr>
      </w:pPr>
    </w:p>
    <w:p>
      <w:pPr>
        <w:ind w:right="80" w:firstLine="1304"/>
        <w:spacing w:after="0" w:line="250" w:lineRule="auto"/>
        <w:tabs>
          <w:tab w:leader="none" w:pos="1602" w:val="left"/>
        </w:tabs>
        <w:numPr>
          <w:ilvl w:val="1"/>
          <w:numId w:val="326"/>
        </w:numPr>
        <w:rPr>
          <w:rFonts w:ascii="Arial" w:cs="Arial" w:eastAsia="Arial" w:hAnsi="Arial"/>
          <w:sz w:val="22"/>
          <w:szCs w:val="22"/>
          <w:color w:val="010000"/>
        </w:rPr>
      </w:pPr>
      <w:r>
        <w:rPr>
          <w:rFonts w:ascii="Arial" w:cs="Arial" w:eastAsia="Arial" w:hAnsi="Arial"/>
          <w:sz w:val="22"/>
          <w:szCs w:val="22"/>
          <w:u w:val="single" w:color="auto"/>
          <w:color w:val="auto"/>
        </w:rPr>
        <w:t>Automatic Expiration of the Term, Resignation, Cause, or Disability</w:t>
      </w:r>
      <w:r>
        <w:rPr>
          <w:rFonts w:ascii="Arial" w:cs="Arial" w:eastAsia="Arial" w:hAnsi="Arial"/>
          <w:sz w:val="22"/>
          <w:szCs w:val="22"/>
          <w:color w:val="auto"/>
        </w:rPr>
        <w:t>. If Employee’s employment is terminated pursuant to Section 5(a), 5(c), 5(f) or 5(g) of this Agreement (excluding, for the avoidance of doubt, a resignation for Good Reason upon or within two years following a Change of Control as described in Section 6(d)), the Company shall have no obligation to Employee other than with respect to the Accrued Benefits.</w:t>
      </w:r>
    </w:p>
    <w:p>
      <w:pPr>
        <w:spacing w:after="0" w:line="187" w:lineRule="exact"/>
        <w:rPr>
          <w:rFonts w:ascii="Arial" w:cs="Arial" w:eastAsia="Arial" w:hAnsi="Arial"/>
          <w:sz w:val="22"/>
          <w:szCs w:val="22"/>
          <w:color w:val="010000"/>
        </w:rPr>
      </w:pPr>
    </w:p>
    <w:p>
      <w:pPr>
        <w:ind w:right="180" w:firstLine="1304"/>
        <w:spacing w:after="0" w:line="271" w:lineRule="auto"/>
        <w:tabs>
          <w:tab w:leader="none" w:pos="1590" w:val="left"/>
        </w:tabs>
        <w:numPr>
          <w:ilvl w:val="1"/>
          <w:numId w:val="326"/>
        </w:numPr>
        <w:rPr>
          <w:rFonts w:ascii="Arial" w:cs="Arial" w:eastAsia="Arial" w:hAnsi="Arial"/>
          <w:sz w:val="21"/>
          <w:szCs w:val="21"/>
          <w:color w:val="010000"/>
        </w:rPr>
      </w:pPr>
      <w:r>
        <w:rPr>
          <w:rFonts w:ascii="Arial" w:cs="Arial" w:eastAsia="Arial" w:hAnsi="Arial"/>
          <w:sz w:val="21"/>
          <w:szCs w:val="21"/>
          <w:u w:val="single" w:color="auto"/>
          <w:color w:val="auto"/>
        </w:rPr>
        <w:t>Death, Without Cause</w:t>
      </w:r>
      <w:r>
        <w:rPr>
          <w:rFonts w:ascii="Arial" w:cs="Arial" w:eastAsia="Arial" w:hAnsi="Arial"/>
          <w:sz w:val="21"/>
          <w:szCs w:val="21"/>
          <w:color w:val="auto"/>
        </w:rPr>
        <w:t>. In the event of a termination by reason of Employee’s death or in the event that, either prior to a Change of Control or more than two years following a Change of Control, the Company terminates Employee’s employment hereunder without Cause, Employee (or his estate) shall be entitled to:</w:t>
      </w:r>
    </w:p>
    <w:p>
      <w:pPr>
        <w:spacing w:after="0" w:line="167" w:lineRule="exact"/>
        <w:rPr>
          <w:rFonts w:ascii="Arial" w:cs="Arial" w:eastAsia="Arial" w:hAnsi="Arial"/>
          <w:sz w:val="21"/>
          <w:szCs w:val="21"/>
          <w:color w:val="010000"/>
        </w:rPr>
      </w:pPr>
    </w:p>
    <w:p>
      <w:pPr>
        <w:ind w:left="2200" w:hanging="248"/>
        <w:spacing w:after="0"/>
        <w:tabs>
          <w:tab w:leader="none" w:pos="2200" w:val="left"/>
        </w:tabs>
        <w:numPr>
          <w:ilvl w:val="2"/>
          <w:numId w:val="326"/>
        </w:numPr>
        <w:rPr>
          <w:rFonts w:ascii="Arial" w:cs="Arial" w:eastAsia="Arial" w:hAnsi="Arial"/>
          <w:sz w:val="22"/>
          <w:szCs w:val="22"/>
          <w:color w:val="010000"/>
        </w:rPr>
      </w:pPr>
      <w:r>
        <w:rPr>
          <w:rFonts w:ascii="Arial" w:cs="Arial" w:eastAsia="Arial" w:hAnsi="Arial"/>
          <w:sz w:val="22"/>
          <w:szCs w:val="22"/>
          <w:color w:val="auto"/>
        </w:rPr>
        <w:t>the Accrued Benefits;</w:t>
      </w:r>
    </w:p>
    <w:p>
      <w:pPr>
        <w:spacing w:after="0" w:line="219" w:lineRule="exact"/>
        <w:rPr>
          <w:rFonts w:ascii="Arial" w:cs="Arial" w:eastAsia="Arial" w:hAnsi="Arial"/>
          <w:sz w:val="22"/>
          <w:szCs w:val="22"/>
          <w:color w:val="010000"/>
        </w:rPr>
      </w:pPr>
    </w:p>
    <w:p>
      <w:pPr>
        <w:ind w:right="120" w:firstLine="1952"/>
        <w:spacing w:after="0" w:line="285" w:lineRule="auto"/>
        <w:tabs>
          <w:tab w:leader="none" w:pos="2262" w:val="left"/>
        </w:tabs>
        <w:numPr>
          <w:ilvl w:val="2"/>
          <w:numId w:val="326"/>
        </w:numPr>
        <w:rPr>
          <w:rFonts w:ascii="Arial" w:cs="Arial" w:eastAsia="Arial" w:hAnsi="Arial"/>
          <w:sz w:val="19"/>
          <w:szCs w:val="19"/>
          <w:color w:val="010000"/>
        </w:rPr>
      </w:pPr>
      <w:r>
        <w:rPr>
          <w:rFonts w:ascii="Arial" w:cs="Arial" w:eastAsia="Arial" w:hAnsi="Arial"/>
          <w:sz w:val="19"/>
          <w:szCs w:val="19"/>
          <w:color w:val="auto"/>
        </w:rPr>
        <w:t>solely in the case of a termination by the Company without Cause, a cash payment (the “</w:t>
      </w:r>
      <w:r>
        <w:rPr>
          <w:rFonts w:ascii="Arial" w:cs="Arial" w:eastAsia="Arial" w:hAnsi="Arial"/>
          <w:sz w:val="19"/>
          <w:szCs w:val="19"/>
          <w:u w:val="single" w:color="auto"/>
          <w:color w:val="auto"/>
        </w:rPr>
        <w:t>Severance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equal to twelve (12) months’ Base Salary, as in effect on the Date of Termination (payable subject to the terms of Section 6(e) of this Agreement), plus any Annual Bonus that the Company has notified Employee in writing that Employee has earned prior to the Date of Termination but is unpaid as of the Date of Termination, and, except in the case of a termination by reason of Employee’s death, medical and dental coverage for a period of six months from the Date of Termination; provided that</w:t>
      </w:r>
    </w:p>
    <w:p>
      <w:pPr>
        <w:spacing w:after="0" w:line="3" w:lineRule="exact"/>
        <w:rPr>
          <w:rFonts w:ascii="Arial" w:cs="Arial" w:eastAsia="Arial" w:hAnsi="Arial"/>
          <w:sz w:val="19"/>
          <w:szCs w:val="19"/>
          <w:color w:val="010000"/>
        </w:rPr>
      </w:pPr>
    </w:p>
    <w:p>
      <w:pPr>
        <w:ind w:firstLine="8"/>
        <w:spacing w:after="0" w:line="259" w:lineRule="auto"/>
        <w:tabs>
          <w:tab w:leader="none" w:pos="306" w:val="left"/>
        </w:tabs>
        <w:numPr>
          <w:ilvl w:val="0"/>
          <w:numId w:val="327"/>
        </w:numPr>
        <w:rPr>
          <w:rFonts w:ascii="Arial" w:cs="Arial" w:eastAsia="Arial" w:hAnsi="Arial"/>
          <w:sz w:val="21"/>
          <w:szCs w:val="21"/>
          <w:color w:val="auto"/>
        </w:rPr>
      </w:pPr>
      <w:r>
        <w:rPr>
          <w:rFonts w:ascii="Arial" w:cs="Arial" w:eastAsia="Arial" w:hAnsi="Arial"/>
          <w:sz w:val="21"/>
          <w:szCs w:val="21"/>
          <w:color w:val="auto"/>
        </w:rPr>
        <w:t>any monies Employee earns from any other work, whether as an employee or as an independent contractor, while Employee is receiving any Severance Payments shall reduce, on a dollar-for-dollar basis, the amount that the Company is obligated to pay Employee under this Section 6(c)(ii) and (y) if Employee secures other employment, any medical or dental benefits provided under this Section 6(c)(ii) shall cease as of the commencement of such employment; and</w:t>
      </w:r>
    </w:p>
    <w:p>
      <w:pPr>
        <w:spacing w:after="0" w:line="181" w:lineRule="exact"/>
        <w:rPr>
          <w:rFonts w:ascii="Arial" w:cs="Arial" w:eastAsia="Arial" w:hAnsi="Arial"/>
          <w:sz w:val="21"/>
          <w:szCs w:val="21"/>
          <w:color w:val="auto"/>
        </w:rPr>
      </w:pPr>
    </w:p>
    <w:p>
      <w:pPr>
        <w:ind w:right="40" w:firstLine="1952"/>
        <w:spacing w:after="0" w:line="263" w:lineRule="auto"/>
        <w:tabs>
          <w:tab w:leader="none" w:pos="2322" w:val="left"/>
        </w:tabs>
        <w:numPr>
          <w:ilvl w:val="2"/>
          <w:numId w:val="327"/>
        </w:numPr>
        <w:rPr>
          <w:rFonts w:ascii="Arial" w:cs="Arial" w:eastAsia="Arial" w:hAnsi="Arial"/>
          <w:sz w:val="22"/>
          <w:szCs w:val="22"/>
          <w:color w:val="010000"/>
        </w:rPr>
      </w:pPr>
      <w:r>
        <w:rPr>
          <w:rFonts w:ascii="Arial" w:cs="Arial" w:eastAsia="Arial" w:hAnsi="Arial"/>
          <w:sz w:val="22"/>
          <w:szCs w:val="22"/>
          <w:color w:val="auto"/>
        </w:rPr>
        <w:t>vesting of equity based or other long-term incentive compensation awards solely to the extent set forth in the applicable award agreement.</w:t>
      </w:r>
    </w:p>
    <w:p>
      <w:pPr>
        <w:spacing w:after="0" w:line="174" w:lineRule="exact"/>
        <w:rPr>
          <w:rFonts w:ascii="Arial" w:cs="Arial" w:eastAsia="Arial" w:hAnsi="Arial"/>
          <w:sz w:val="22"/>
          <w:szCs w:val="22"/>
          <w:color w:val="010000"/>
        </w:rPr>
      </w:pPr>
    </w:p>
    <w:p>
      <w:pPr>
        <w:jc w:val="both"/>
        <w:ind w:right="60" w:firstLine="1304"/>
        <w:spacing w:after="0" w:line="253" w:lineRule="auto"/>
        <w:tabs>
          <w:tab w:leader="none" w:pos="1602" w:val="left"/>
        </w:tabs>
        <w:numPr>
          <w:ilvl w:val="1"/>
          <w:numId w:val="327"/>
        </w:numPr>
        <w:rPr>
          <w:rFonts w:ascii="Arial" w:cs="Arial" w:eastAsia="Arial" w:hAnsi="Arial"/>
          <w:sz w:val="22"/>
          <w:szCs w:val="22"/>
          <w:color w:val="010000"/>
        </w:rPr>
      </w:pPr>
      <w:r>
        <w:rPr>
          <w:rFonts w:ascii="Arial" w:cs="Arial" w:eastAsia="Arial" w:hAnsi="Arial"/>
          <w:sz w:val="22"/>
          <w:szCs w:val="22"/>
          <w:u w:val="single" w:color="auto"/>
          <w:color w:val="auto"/>
        </w:rPr>
        <w:t>Without Cause or for Good Reason Following a Change of Control</w:t>
      </w:r>
      <w:r>
        <w:rPr>
          <w:rFonts w:ascii="Arial" w:cs="Arial" w:eastAsia="Arial" w:hAnsi="Arial"/>
          <w:sz w:val="22"/>
          <w:szCs w:val="22"/>
          <w:color w:val="auto"/>
        </w:rPr>
        <w:t>. In the event that, upon or within two years following a Change of Control, the Company terminates Employee’s employment hereunder without Cause or Employee resigns for Good Reason, Employee shall be entitled to:</w:t>
      </w:r>
    </w:p>
    <w:p>
      <w:pPr>
        <w:spacing w:after="0" w:line="185" w:lineRule="exact"/>
        <w:rPr>
          <w:rFonts w:ascii="Arial" w:cs="Arial" w:eastAsia="Arial" w:hAnsi="Arial"/>
          <w:sz w:val="22"/>
          <w:szCs w:val="22"/>
          <w:color w:val="010000"/>
        </w:rPr>
      </w:pPr>
    </w:p>
    <w:p>
      <w:pPr>
        <w:ind w:left="2200" w:hanging="248"/>
        <w:spacing w:after="0"/>
        <w:tabs>
          <w:tab w:leader="none" w:pos="2200" w:val="left"/>
        </w:tabs>
        <w:numPr>
          <w:ilvl w:val="2"/>
          <w:numId w:val="328"/>
        </w:numPr>
        <w:rPr>
          <w:rFonts w:ascii="Arial" w:cs="Arial" w:eastAsia="Arial" w:hAnsi="Arial"/>
          <w:sz w:val="22"/>
          <w:szCs w:val="22"/>
          <w:color w:val="010000"/>
        </w:rPr>
      </w:pPr>
      <w:r>
        <w:rPr>
          <w:rFonts w:ascii="Arial" w:cs="Arial" w:eastAsia="Arial" w:hAnsi="Arial"/>
          <w:sz w:val="22"/>
          <w:szCs w:val="22"/>
          <w:color w:val="auto"/>
        </w:rPr>
        <w:t>the Accrued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265" w:right="339" w:bottom="1440" w:gutter="0" w:footer="0" w:header="0"/>
        </w:sectPr>
      </w:pPr>
    </w:p>
    <w:bookmarkStart w:id="391" w:name="page392"/>
    <w:bookmarkEnd w:id="391"/>
    <w:p>
      <w:pPr>
        <w:ind w:left="-20" w:firstLine="1952"/>
        <w:spacing w:after="0" w:line="250" w:lineRule="auto"/>
        <w:tabs>
          <w:tab w:leader="none" w:pos="2242" w:val="left"/>
        </w:tabs>
        <w:numPr>
          <w:ilvl w:val="1"/>
          <w:numId w:val="329"/>
        </w:numPr>
        <w:rPr>
          <w:rFonts w:ascii="Arial" w:cs="Arial" w:eastAsia="Arial" w:hAnsi="Arial"/>
          <w:sz w:val="22"/>
          <w:szCs w:val="22"/>
          <w:color w:val="010000"/>
        </w:rPr>
      </w:pPr>
      <w:r>
        <w:rPr>
          <w:rFonts w:ascii="Arial" w:cs="Arial" w:eastAsia="Arial" w:hAnsi="Arial"/>
          <w:sz w:val="22"/>
          <w:szCs w:val="22"/>
          <w:color w:val="auto"/>
        </w:rPr>
        <w:t>a cash payment (the “</w:t>
      </w:r>
      <w:r>
        <w:rPr>
          <w:rFonts w:ascii="Arial" w:cs="Arial" w:eastAsia="Arial" w:hAnsi="Arial"/>
          <w:sz w:val="22"/>
          <w:szCs w:val="22"/>
          <w:u w:val="single" w:color="auto"/>
          <w:color w:val="auto"/>
        </w:rPr>
        <w:t>CIC Severance Payment</w:t>
      </w:r>
      <w:r>
        <w:rPr>
          <w:rFonts w:ascii="Arial" w:cs="Arial" w:eastAsia="Arial" w:hAnsi="Arial"/>
          <w:sz w:val="22"/>
          <w:szCs w:val="22"/>
          <w:color w:val="auto"/>
        </w:rPr>
        <w:t>”) equal to two times the sum of (A) the Base Salary as in effect on the Date of Termination (without regard to any reduction thereto that would provide a basis for Employee to resign for Good Reason) and (B) the Target Bonus as in effect on the Date of Termination (without regard to any reduction thereto that would provide a basis for Employee to resign for Good Reason);</w:t>
      </w:r>
    </w:p>
    <w:p>
      <w:pPr>
        <w:spacing w:after="0" w:line="187" w:lineRule="exact"/>
        <w:rPr>
          <w:rFonts w:ascii="Arial" w:cs="Arial" w:eastAsia="Arial" w:hAnsi="Arial"/>
          <w:sz w:val="22"/>
          <w:szCs w:val="22"/>
          <w:color w:val="010000"/>
        </w:rPr>
      </w:pPr>
    </w:p>
    <w:p>
      <w:pPr>
        <w:ind w:left="-20" w:right="180" w:firstLine="1952"/>
        <w:spacing w:after="0" w:line="250" w:lineRule="auto"/>
        <w:tabs>
          <w:tab w:leader="none" w:pos="2302" w:val="left"/>
        </w:tabs>
        <w:numPr>
          <w:ilvl w:val="1"/>
          <w:numId w:val="329"/>
        </w:numPr>
        <w:rPr>
          <w:rFonts w:ascii="Arial" w:cs="Arial" w:eastAsia="Arial" w:hAnsi="Arial"/>
          <w:sz w:val="22"/>
          <w:szCs w:val="22"/>
          <w:color w:val="010000"/>
        </w:rPr>
      </w:pPr>
      <w:r>
        <w:rPr>
          <w:rFonts w:ascii="Arial" w:cs="Arial" w:eastAsia="Arial" w:hAnsi="Arial"/>
          <w:sz w:val="22"/>
          <w:szCs w:val="22"/>
          <w:color w:val="auto"/>
        </w:rPr>
        <w:t>a cash payment equal to the product of (A) the Target Bonus as in effect on the Date of Termination (without regard to any reduction thereto that would provide a basis for Employee to resign for Good Reason) and (B) a fraction, the numerator of which is the number of days from January 1 in the year in which the Date of Termination occurs through the Date of Termination and the denominator of which is 365;</w:t>
      </w:r>
    </w:p>
    <w:p>
      <w:pPr>
        <w:spacing w:after="0" w:line="187" w:lineRule="exact"/>
        <w:rPr>
          <w:rFonts w:ascii="Arial" w:cs="Arial" w:eastAsia="Arial" w:hAnsi="Arial"/>
          <w:sz w:val="22"/>
          <w:szCs w:val="22"/>
          <w:color w:val="010000"/>
        </w:rPr>
      </w:pPr>
    </w:p>
    <w:p>
      <w:pPr>
        <w:ind w:left="-20" w:right="120" w:firstLine="1952"/>
        <w:spacing w:after="0" w:line="343" w:lineRule="auto"/>
        <w:tabs>
          <w:tab w:leader="none" w:pos="2290" w:val="left"/>
        </w:tabs>
        <w:numPr>
          <w:ilvl w:val="1"/>
          <w:numId w:val="329"/>
        </w:numPr>
        <w:rPr>
          <w:rFonts w:ascii="Arial" w:cs="Arial" w:eastAsia="Arial" w:hAnsi="Arial"/>
          <w:sz w:val="19"/>
          <w:szCs w:val="19"/>
          <w:color w:val="010000"/>
        </w:rPr>
      </w:pPr>
      <w:r>
        <w:rPr>
          <w:rFonts w:ascii="Arial" w:cs="Arial" w:eastAsia="Arial" w:hAnsi="Arial"/>
          <w:sz w:val="19"/>
          <w:szCs w:val="19"/>
          <w:color w:val="auto"/>
        </w:rPr>
        <w:t>a cash payment equal to the amount of any Annual Bonus that the Company has notified Employee in writing that Employee has earned prior to the Date of Termination but is unpaid as of the Date of Termination; and</w:t>
      </w:r>
    </w:p>
    <w:p>
      <w:pPr>
        <w:spacing w:after="0" w:line="104" w:lineRule="exact"/>
        <w:rPr>
          <w:rFonts w:ascii="Arial" w:cs="Arial" w:eastAsia="Arial" w:hAnsi="Arial"/>
          <w:sz w:val="19"/>
          <w:szCs w:val="19"/>
          <w:color w:val="010000"/>
        </w:rPr>
      </w:pPr>
    </w:p>
    <w:p>
      <w:pPr>
        <w:ind w:left="2240" w:hanging="308"/>
        <w:spacing w:after="0"/>
        <w:tabs>
          <w:tab w:leader="none" w:pos="2240" w:val="left"/>
        </w:tabs>
        <w:numPr>
          <w:ilvl w:val="1"/>
          <w:numId w:val="329"/>
        </w:numPr>
        <w:rPr>
          <w:rFonts w:ascii="Arial" w:cs="Arial" w:eastAsia="Arial" w:hAnsi="Arial"/>
          <w:sz w:val="22"/>
          <w:szCs w:val="22"/>
          <w:color w:val="010000"/>
        </w:rPr>
      </w:pPr>
      <w:r>
        <w:rPr>
          <w:rFonts w:ascii="Arial" w:cs="Arial" w:eastAsia="Arial" w:hAnsi="Arial"/>
          <w:sz w:val="22"/>
          <w:szCs w:val="22"/>
          <w:color w:val="auto"/>
        </w:rPr>
        <w:t>medical and dental coverage for a period of 24 months from the Date of Termination.</w:t>
      </w:r>
    </w:p>
    <w:p>
      <w:pPr>
        <w:spacing w:after="0" w:line="219" w:lineRule="exact"/>
        <w:rPr>
          <w:rFonts w:ascii="Arial" w:cs="Arial" w:eastAsia="Arial" w:hAnsi="Arial"/>
          <w:sz w:val="22"/>
          <w:szCs w:val="22"/>
          <w:color w:val="010000"/>
        </w:rPr>
      </w:pPr>
    </w:p>
    <w:p>
      <w:pPr>
        <w:ind w:left="-20" w:firstLine="1304"/>
        <w:spacing w:after="0" w:line="284" w:lineRule="auto"/>
        <w:tabs>
          <w:tab w:leader="none" w:pos="1570" w:val="left"/>
        </w:tabs>
        <w:numPr>
          <w:ilvl w:val="0"/>
          <w:numId w:val="330"/>
        </w:numPr>
        <w:rPr>
          <w:rFonts w:ascii="Arial" w:cs="Arial" w:eastAsia="Arial" w:hAnsi="Arial"/>
          <w:sz w:val="19"/>
          <w:szCs w:val="19"/>
          <w:color w:val="010000"/>
        </w:rPr>
      </w:pPr>
      <w:r>
        <w:rPr>
          <w:rFonts w:ascii="Arial" w:cs="Arial" w:eastAsia="Arial" w:hAnsi="Arial"/>
          <w:sz w:val="19"/>
          <w:szCs w:val="19"/>
          <w:u w:val="single" w:color="auto"/>
          <w:color w:val="auto"/>
        </w:rPr>
        <w:t>Conditions Precedent and Subsequent</w:t>
      </w:r>
      <w:r>
        <w:rPr>
          <w:rFonts w:ascii="Arial" w:cs="Arial" w:eastAsia="Arial" w:hAnsi="Arial"/>
          <w:sz w:val="19"/>
          <w:szCs w:val="19"/>
          <w:color w:val="auto"/>
        </w:rPr>
        <w:t xml:space="preserve">. The payments and benefits provided under Sections 6(c) and 6(d) of this Agreement (other than the Accrued Benefits and other than in the event of termination by reason of Employee’s death or Disability) are subject to and conditioned upon (i) Employee having provided, within 60 days after the Date of Termination (or such greater period as required by law), a waiver and general release agreement in a form satisfactory to the Company, which form shall, in the case of a termination on or following a Change of Control, be a form approved by the Compensation Committee prior to the Change of Control that shall not be modified on or after the Change of Control without Employee’s prior written consent, that has become effective and irrevocable in accordance with its terms, and (ii) Employee’s compliance with Sections 7 and 8 of this Agreement. Employee shall, upon request by the Company, be required to repay to the Company (net of any taxes paid by Employee on such payments), and the Company shall have no further obligation to pay, the Severance Payment or CIC Severance Payment, as applicable, in the event Employee receives, within six months after the occurrence of the breach, written notice from the Company that, in the reasonable judgment of the Reporting Person, Employee has materially breached his obligations under Section 7 or 8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cases where cure is possible, Employee shall first be provided a 15-day cure period to cease, and to cure, such conduct. The Severance Payment if any, payable hereunder shall be paid in substantially equal installments over the 6-month period, following the Date of Termination, consistent with the Company’s payroll practices, with the first installment to be paid within 65 days after the Date of Termination and with any installments that would otherwise have been paid prior to such date accumulated and paid in a lump sum on the first date on which payments are made in accordance with the terms of this sentence. The CIC Severance Payment, if any, payable hereunder shall be paid in one lump sum within 65 days after the Date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unless the CIC Severance Payment relates to a transaction that satisfies the requirements of Treas. Reg. § 1.409A-3(i)(5), any portion of the CIC Severance Payment that constitutes deferred compensation within the meaning of Section 409A, will be paid at the earliest date that is permitted in accordance with the schedule that is applicable to the Severance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40" w:top="1265" w:right="339" w:bottom="1440" w:gutter="0" w:footer="0" w:header="0"/>
        </w:sectPr>
      </w:pPr>
    </w:p>
    <w:bookmarkStart w:id="392" w:name="page393"/>
    <w:bookmarkEnd w:id="392"/>
    <w:p>
      <w:pPr>
        <w:ind w:left="-20" w:right="20" w:firstLine="1304"/>
        <w:spacing w:after="0" w:line="285" w:lineRule="auto"/>
        <w:tabs>
          <w:tab w:leader="none" w:pos="1546" w:val="left"/>
        </w:tabs>
        <w:numPr>
          <w:ilvl w:val="0"/>
          <w:numId w:val="331"/>
        </w:numPr>
        <w:rPr>
          <w:rFonts w:ascii="Arial" w:cs="Arial" w:eastAsia="Arial" w:hAnsi="Arial"/>
          <w:sz w:val="19"/>
          <w:szCs w:val="19"/>
          <w:color w:val="010000"/>
        </w:rPr>
      </w:pPr>
      <w:r>
        <w:rPr>
          <w:rFonts w:ascii="Arial" w:cs="Arial" w:eastAsia="Arial" w:hAnsi="Arial"/>
          <w:sz w:val="19"/>
          <w:szCs w:val="19"/>
          <w:u w:val="single" w:color="auto"/>
          <w:color w:val="auto"/>
        </w:rPr>
        <w:t>Forfeiture of Long-Term Incentive Compensation Awards</w:t>
      </w:r>
      <w:r>
        <w:rPr>
          <w:rFonts w:ascii="Arial" w:cs="Arial" w:eastAsia="Arial" w:hAnsi="Arial"/>
          <w:sz w:val="19"/>
          <w:szCs w:val="19"/>
          <w:color w:val="auto"/>
        </w:rPr>
        <w:t xml:space="preserve">. Notwithstanding anything to the contrary herein and without limiting any rights and remedies available to the Company under the terms of this Agreement or otherwise at law or in equity (including as may be required by law or pursuant to policies of the Company as may be in effect from time to time), in the event the Company terminates Employee’s employment for Cause or if Employee violates the restrictive covenants set forth in Sections 7 and 8 of this Agreement or engages in fraud or willful misconduct that contributes materially to any financial restatement or material loss to the Company or any of its affiliates, the Company may (i) in the case of a termination for Cause, at any time up to six months after such termination, or (ii) in the case of a violation of the restrictive covenants or engaging in fraud or willful misconduct, at any time up to six months after learning of such conduct, but in no event more than two years after Employee engages in such conduct, (x) terminate or cancel any Long-Term Incentive Compensation that are unvested or vested and unexercised, (y) require Employee to forfeit or remit to the Company any amount payable, or the after-tax net amount paid or received by Employee, in respect of any Long-Term Incentive Compensation the vesting of which was accelerated upon termination of Employee’s employment for any reason and (z) require Employee to forfeit or remit to the Company any shares (or the equivalent value in cash) that were issued to Employee (or cash that was paid to Employee) upon vesting, settlement or exercise, as applicable, of any Long-Term Incentive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cases where cure is possible, Employee shall first be provided a 15-day cure period to cease, and to cure, such conduct. In addition, Employee’s Long-Term Incentive Compensation shall be subject to any other clawback or recoupment policy of the Company as may be in effect from time to time or any clawback or recoupment as may be required by applicable law</w:t>
      </w:r>
    </w:p>
    <w:p>
      <w:pPr>
        <w:spacing w:after="0" w:line="165" w:lineRule="exact"/>
        <w:rPr>
          <w:rFonts w:ascii="Arial" w:cs="Arial" w:eastAsia="Arial" w:hAnsi="Arial"/>
          <w:sz w:val="19"/>
          <w:szCs w:val="19"/>
          <w:color w:val="010000"/>
        </w:rPr>
      </w:pPr>
    </w:p>
    <w:p>
      <w:pPr>
        <w:ind w:left="-20" w:firstLine="1304"/>
        <w:spacing w:after="0" w:line="285" w:lineRule="auto"/>
        <w:tabs>
          <w:tab w:leader="none" w:pos="1582" w:val="left"/>
        </w:tabs>
        <w:numPr>
          <w:ilvl w:val="0"/>
          <w:numId w:val="331"/>
        </w:numPr>
        <w:rPr>
          <w:rFonts w:ascii="Arial" w:cs="Arial" w:eastAsia="Arial" w:hAnsi="Arial"/>
          <w:sz w:val="19"/>
          <w:szCs w:val="19"/>
          <w:color w:val="010000"/>
        </w:rPr>
      </w:pPr>
      <w:r>
        <w:rPr>
          <w:rFonts w:ascii="Arial" w:cs="Arial" w:eastAsia="Arial" w:hAnsi="Arial"/>
          <w:sz w:val="19"/>
          <w:szCs w:val="19"/>
          <w:u w:val="single" w:color="auto"/>
          <w:color w:val="auto"/>
        </w:rPr>
        <w:t>Section 280G</w:t>
      </w:r>
      <w:r>
        <w:rPr>
          <w:rFonts w:ascii="Arial" w:cs="Arial" w:eastAsia="Arial" w:hAnsi="Arial"/>
          <w:sz w:val="19"/>
          <w:szCs w:val="19"/>
          <w:color w:val="auto"/>
        </w:rPr>
        <w:t>. In the event that any payments, distributions, benefits or entitlements of any type payable to Employee (“</w:t>
      </w:r>
      <w:r>
        <w:rPr>
          <w:rFonts w:ascii="Arial" w:cs="Arial" w:eastAsia="Arial" w:hAnsi="Arial"/>
          <w:sz w:val="19"/>
          <w:szCs w:val="19"/>
          <w:u w:val="single" w:color="auto"/>
          <w:color w:val="auto"/>
        </w:rPr>
        <w:t>CIC Benefits</w:t>
      </w:r>
      <w:r>
        <w:rPr>
          <w:rFonts w:ascii="Arial" w:cs="Arial" w:eastAsia="Arial" w:hAnsi="Arial"/>
          <w:sz w:val="19"/>
          <w:szCs w:val="19"/>
          <w:color w:val="auto"/>
        </w:rPr>
        <w:t>”) (i) constitute “parachute payments” within the meaning of Section 280G of the Code, and (ii) but for this paragraph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Employee’s CIC Benefits shall be reduced to such lesser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xml:space="preserve">”) that would result in no portion of such benefits being subject to the Excise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amounts shall not be so reduced if the Company determines, based on the advice of a nationally recognized accounting firm selected by the Company prior to a Change of Control (the “</w:t>
      </w:r>
      <w:r>
        <w:rPr>
          <w:rFonts w:ascii="Arial" w:cs="Arial" w:eastAsia="Arial" w:hAnsi="Arial"/>
          <w:sz w:val="19"/>
          <w:szCs w:val="19"/>
          <w:u w:val="single" w:color="auto"/>
          <w:color w:val="auto"/>
        </w:rPr>
        <w:t>Accountants</w:t>
      </w:r>
      <w:r>
        <w:rPr>
          <w:rFonts w:ascii="Arial" w:cs="Arial" w:eastAsia="Arial" w:hAnsi="Arial"/>
          <w:sz w:val="19"/>
          <w:szCs w:val="19"/>
          <w:color w:val="auto"/>
        </w:rPr>
        <w:t>”), that without such reduction Employee would be entitled to receive and retain, on a net after tax basis (including, without limitation, any excise taxes payable under Section 4999 of the Code), an amount that is greater than the amount, on a net after tax basis, that Employee would be entitled to retain upon receipt of the Reduced Amount. Unless the Company and Employee otherwise agree in writing, any determination required under this Section 6(g) shall be made in writing in good faith by the Accountants. In the event of a reduction of benefits hereunder, benefits shall be reduced by first reducing or eliminating the portion of the CIC Benefits that are payable in cash under Section 6(d)(ii) and 6(d)(iii) and then by reducing or eliminating any amounts that are payable with respect to long-term incentives including any equity-based or equity-related awards (whether payable in cash or in kind). For purposes of making the calculations required by this Section 6(g), the Accountants may make reasonable assumptions and approximations concerning applicable taxes and may rely on reasonable, good faith interpretations concerning the application of the Code, and other applicable legal authority. The Company and Employee shall furnish to the Accountants such information and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40" w:top="1265" w:right="339" w:bottom="1440" w:gutter="0" w:footer="0" w:header="0"/>
        </w:sectPr>
      </w:pPr>
    </w:p>
    <w:bookmarkStart w:id="393" w:name="page394"/>
    <w:bookmarkEnd w:id="393"/>
    <w:p>
      <w:pPr>
        <w:ind w:right="80"/>
        <w:spacing w:after="0" w:line="343" w:lineRule="auto"/>
        <w:rPr>
          <w:sz w:val="20"/>
          <w:szCs w:val="20"/>
          <w:color w:val="auto"/>
        </w:rPr>
      </w:pPr>
      <w:r>
        <w:rPr>
          <w:rFonts w:ascii="Arial" w:cs="Arial" w:eastAsia="Arial" w:hAnsi="Arial"/>
          <w:sz w:val="19"/>
          <w:szCs w:val="19"/>
          <w:color w:val="auto"/>
        </w:rPr>
        <w:t>as the Accountants may reasonably require in order to make a determination under this Section 6(g), and the Company shall bear the cost of all fees the Accountants charge in connection with any calculations contemplated by this Section 6(g).</w:t>
      </w:r>
    </w:p>
    <w:p>
      <w:pPr>
        <w:spacing w:after="0" w:line="104" w:lineRule="exact"/>
        <w:rPr>
          <w:sz w:val="20"/>
          <w:szCs w:val="20"/>
          <w:color w:val="auto"/>
        </w:rPr>
      </w:pPr>
    </w:p>
    <w:p>
      <w:pPr>
        <w:ind w:right="40" w:firstLine="1304"/>
        <w:spacing w:after="0" w:line="247" w:lineRule="auto"/>
        <w:tabs>
          <w:tab w:leader="none" w:pos="1602" w:val="left"/>
        </w:tabs>
        <w:numPr>
          <w:ilvl w:val="1"/>
          <w:numId w:val="332"/>
        </w:numPr>
        <w:rPr>
          <w:rFonts w:ascii="Arial" w:cs="Arial" w:eastAsia="Arial" w:hAnsi="Arial"/>
          <w:sz w:val="22"/>
          <w:szCs w:val="22"/>
          <w:color w:val="010000"/>
        </w:rPr>
      </w:pPr>
      <w:r>
        <w:rPr>
          <w:rFonts w:ascii="Arial" w:cs="Arial" w:eastAsia="Arial" w:hAnsi="Arial"/>
          <w:sz w:val="22"/>
          <w:szCs w:val="22"/>
          <w:u w:val="single" w:color="auto"/>
          <w:color w:val="auto"/>
        </w:rPr>
        <w:t>Mitigation; Offset</w:t>
      </w:r>
      <w:r>
        <w:rPr>
          <w:rFonts w:ascii="Arial" w:cs="Arial" w:eastAsia="Arial" w:hAnsi="Arial"/>
          <w:sz w:val="22"/>
          <w:szCs w:val="22"/>
          <w:color w:val="auto"/>
        </w:rPr>
        <w:t>. Except as expressly provided hereunder, the Company’s obligation to make the payments provided for in this Agreement and otherwise to perform its obligations hereunder shall not be affected by any set-off, counterclaim, recoupment, defense, or other claim, right or action that the Company may have against the Employee or others. In no event shall the Employee be obligated to seek other employment or take any other action by way of mitigation of the amounts payable to the Employee under any of the provisions of this Agreement, and such amounts shall not be reduced whether or not the Employee obtains other employment.</w:t>
      </w:r>
    </w:p>
    <w:p>
      <w:pPr>
        <w:spacing w:after="0" w:line="192" w:lineRule="exact"/>
        <w:rPr>
          <w:rFonts w:ascii="Arial" w:cs="Arial" w:eastAsia="Arial" w:hAnsi="Arial"/>
          <w:sz w:val="22"/>
          <w:szCs w:val="22"/>
          <w:color w:val="010000"/>
        </w:rPr>
      </w:pPr>
    </w:p>
    <w:p>
      <w:pPr>
        <w:ind w:right="60" w:firstLine="656"/>
        <w:spacing w:after="0" w:line="259" w:lineRule="auto"/>
        <w:tabs>
          <w:tab w:leader="none" w:pos="864" w:val="left"/>
        </w:tabs>
        <w:numPr>
          <w:ilvl w:val="0"/>
          <w:numId w:val="333"/>
        </w:numPr>
        <w:rPr>
          <w:rFonts w:ascii="Arial" w:cs="Arial" w:eastAsia="Arial" w:hAnsi="Arial"/>
          <w:sz w:val="21"/>
          <w:szCs w:val="21"/>
          <w:color w:val="010000"/>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(a) During the Term and during the Restricted Period, Employee hereby agrees not to, directly or indirectly, solicit or hire or assist any other person or entity in soliciting or hiring any employee of the Company, or any of its affiliates (the “</w:t>
      </w:r>
      <w:r>
        <w:rPr>
          <w:rFonts w:ascii="Arial" w:cs="Arial" w:eastAsia="Arial" w:hAnsi="Arial"/>
          <w:sz w:val="21"/>
          <w:szCs w:val="21"/>
          <w:u w:val="single" w:color="auto"/>
          <w:color w:val="auto"/>
        </w:rPr>
        <w:t>Company Entities</w:t>
      </w:r>
      <w:r>
        <w:rPr>
          <w:rFonts w:ascii="Arial" w:cs="Arial" w:eastAsia="Arial" w:hAnsi="Arial"/>
          <w:sz w:val="21"/>
          <w:szCs w:val="21"/>
          <w:color w:val="auto"/>
        </w:rPr>
        <w:t>”), to perform services for any entity (other than a Company Entity) or attempt to induce any such employee to leave the service of a Company Entity, or solicit, hire, employ or engage on behalf of himself or any other person, any employee of a Company Entity, or anyone who was employed by a Company Entity, during the twelve-month period preceding such solicitation, hiring, employment or engagement. “</w:t>
      </w:r>
      <w:r>
        <w:rPr>
          <w:rFonts w:ascii="Arial" w:cs="Arial" w:eastAsia="Arial" w:hAnsi="Arial"/>
          <w:sz w:val="21"/>
          <w:szCs w:val="21"/>
          <w:u w:val="single" w:color="auto"/>
          <w:color w:val="auto"/>
        </w:rPr>
        <w:t>Restricted Period</w:t>
      </w:r>
      <w:r>
        <w:rPr>
          <w:rFonts w:ascii="Arial" w:cs="Arial" w:eastAsia="Arial" w:hAnsi="Arial"/>
          <w:sz w:val="21"/>
          <w:szCs w:val="21"/>
          <w:color w:val="auto"/>
        </w:rPr>
        <w:t>” means two years following termination of Employee’s employment for any reason and, for the avoidance of doubt, regardless of whether such termination is before, upon or after expiration of the Term.</w:t>
      </w:r>
    </w:p>
    <w:p>
      <w:pPr>
        <w:spacing w:after="0" w:line="183" w:lineRule="exact"/>
        <w:rPr>
          <w:rFonts w:ascii="Arial" w:cs="Arial" w:eastAsia="Arial" w:hAnsi="Arial"/>
          <w:sz w:val="21"/>
          <w:szCs w:val="21"/>
          <w:color w:val="010000"/>
        </w:rPr>
      </w:pPr>
    </w:p>
    <w:p>
      <w:pPr>
        <w:ind w:right="20" w:firstLine="1304"/>
        <w:spacing w:after="0" w:line="297" w:lineRule="auto"/>
        <w:tabs>
          <w:tab w:leader="none" w:pos="1602" w:val="left"/>
        </w:tabs>
        <w:numPr>
          <w:ilvl w:val="1"/>
          <w:numId w:val="333"/>
        </w:numPr>
        <w:rPr>
          <w:rFonts w:ascii="Arial" w:cs="Arial" w:eastAsia="Arial" w:hAnsi="Arial"/>
          <w:sz w:val="19"/>
          <w:szCs w:val="19"/>
          <w:color w:val="010000"/>
        </w:rPr>
      </w:pPr>
      <w:r>
        <w:rPr>
          <w:rFonts w:ascii="Arial" w:cs="Arial" w:eastAsia="Arial" w:hAnsi="Arial"/>
          <w:sz w:val="19"/>
          <w:szCs w:val="19"/>
          <w:color w:val="auto"/>
        </w:rPr>
        <w:t>During the Term and during the Restricted Period, Employee hereby agrees not to, directly or indirectly, discontinue or reduce the extent of the relationship between the Company Entities and the individuals, partnerships, corporations, professional associations or other business organizations that have a business relationship with any Company Entity (the “</w:t>
      </w:r>
      <w:r>
        <w:rPr>
          <w:rFonts w:ascii="Arial" w:cs="Arial" w:eastAsia="Arial" w:hAnsi="Arial"/>
          <w:sz w:val="19"/>
          <w:szCs w:val="19"/>
          <w:u w:val="single" w:color="auto"/>
          <w:color w:val="auto"/>
        </w:rPr>
        <w:t>Company’s Clients</w:t>
      </w:r>
      <w:r>
        <w:rPr>
          <w:rFonts w:ascii="Arial" w:cs="Arial" w:eastAsia="Arial" w:hAnsi="Arial"/>
          <w:sz w:val="19"/>
          <w:szCs w:val="19"/>
          <w:color w:val="auto"/>
        </w:rPr>
        <w:t>”) and about which business relationship Employee was aware, or to obtain or seek products or services the same as or similar to those offered by the Company Entities from any source not affiliated with the Company Entities.</w:t>
      </w:r>
    </w:p>
    <w:p>
      <w:pPr>
        <w:spacing w:after="0" w:line="146" w:lineRule="exact"/>
        <w:rPr>
          <w:rFonts w:ascii="Arial" w:cs="Arial" w:eastAsia="Arial" w:hAnsi="Arial"/>
          <w:sz w:val="19"/>
          <w:szCs w:val="19"/>
          <w:color w:val="010000"/>
        </w:rPr>
      </w:pPr>
    </w:p>
    <w:p>
      <w:pPr>
        <w:ind w:firstLine="656"/>
        <w:spacing w:after="0" w:line="287" w:lineRule="auto"/>
        <w:tabs>
          <w:tab w:leader="none" w:pos="864" w:val="left"/>
        </w:tabs>
        <w:numPr>
          <w:ilvl w:val="0"/>
          <w:numId w:val="333"/>
        </w:numPr>
        <w:rPr>
          <w:rFonts w:ascii="Arial" w:cs="Arial" w:eastAsia="Arial" w:hAnsi="Arial"/>
          <w:sz w:val="19"/>
          <w:szCs w:val="19"/>
          <w:color w:val="010000"/>
        </w:rPr>
      </w:pPr>
      <w:r>
        <w:rPr>
          <w:rFonts w:ascii="Arial" w:cs="Arial" w:eastAsia="Arial" w:hAnsi="Arial"/>
          <w:sz w:val="19"/>
          <w:szCs w:val="19"/>
          <w:u w:val="single" w:color="auto"/>
          <w:color w:val="auto"/>
        </w:rPr>
        <w:t>Confidentiality; Non-Compete; Non-Disclosure; Non-Disparagement; Cooperation</w:t>
      </w:r>
      <w:r>
        <w:rPr>
          <w:rFonts w:ascii="Arial" w:cs="Arial" w:eastAsia="Arial" w:hAnsi="Arial"/>
          <w:sz w:val="19"/>
          <w:szCs w:val="19"/>
          <w:color w:val="auto"/>
        </w:rPr>
        <w:t xml:space="preserve">. (a) </w:t>
      </w:r>
      <w:r>
        <w:rPr>
          <w:rFonts w:ascii="Arial" w:cs="Arial" w:eastAsia="Arial" w:hAnsi="Arial"/>
          <w:sz w:val="19"/>
          <w:szCs w:val="19"/>
          <w:u w:val="single" w:color="auto"/>
          <w:color w:val="auto"/>
        </w:rPr>
        <w:t>Confidentiality</w:t>
      </w:r>
      <w:r>
        <w:rPr>
          <w:rFonts w:ascii="Arial" w:cs="Arial" w:eastAsia="Arial" w:hAnsi="Arial"/>
          <w:sz w:val="19"/>
          <w:szCs w:val="19"/>
          <w:color w:val="auto"/>
        </w:rPr>
        <w:t>. (i) Employee hereby agrees that, during the Term and thereafter, he will hold in strict confidence any Confidential Information related to any of the Company Entities. For purposes of this Agreement,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all confidential or proprietary information of any of the Company Entities (in whatever form), whether or not that information rises to the level of a protectable trade secret, including, without limitation: any information, observations and data concerning the business or affairs or operation of the Company Entities developed or learned by Employee during the Term or which any Company Entity or any of their respective members, directors, officers, managers, partners, employees, agents, advisors, attorneys, accountants, consultants, investment bankers, investment advisors or financing sources at any time furnishes or has furnished to Employee in connection with the business of any of the Company Entities; the Company’s (and any of its respective affiliates’) investment methodologies or models, investment advisory contracts, fees and fee schedules or investment performance (“</w:t>
      </w:r>
      <w:r>
        <w:rPr>
          <w:rFonts w:ascii="Arial" w:cs="Arial" w:eastAsia="Arial" w:hAnsi="Arial"/>
          <w:sz w:val="19"/>
          <w:szCs w:val="19"/>
          <w:u w:val="single" w:color="auto"/>
          <w:color w:val="auto"/>
        </w:rPr>
        <w:t>Track Records</w:t>
      </w:r>
      <w:r>
        <w:rPr>
          <w:rFonts w:ascii="Arial" w:cs="Arial" w:eastAsia="Arial" w:hAnsi="Arial"/>
          <w:sz w:val="19"/>
          <w:szCs w:val="19"/>
          <w:color w:val="auto"/>
        </w:rPr>
        <w:t>”); technical information or reports; brand names, trademarks, formulas; trade secrets; unwritten knowledge and “know-how”;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265" w:right="359" w:bottom="1440" w:gutter="0" w:footer="0" w:header="0"/>
        </w:sectPr>
      </w:pPr>
    </w:p>
    <w:bookmarkStart w:id="394" w:name="page395"/>
    <w:bookmarkEnd w:id="394"/>
    <w:p>
      <w:pPr>
        <w:spacing w:after="0" w:line="284" w:lineRule="auto"/>
        <w:rPr>
          <w:sz w:val="20"/>
          <w:szCs w:val="20"/>
          <w:color w:val="auto"/>
        </w:rPr>
      </w:pPr>
      <w:r>
        <w:rPr>
          <w:rFonts w:ascii="Arial" w:cs="Arial" w:eastAsia="Arial" w:hAnsi="Arial"/>
          <w:sz w:val="19"/>
          <w:szCs w:val="19"/>
          <w:color w:val="auto"/>
        </w:rPr>
        <w:t>instructions; training manuals; customer lists and related customer information; customer buying records and habits; product sales records and documents, and product development, marketing and sales strategies; market surveys; marketing plans; profitability analyses; product cost; long- range plans; information relating to pricing, competitive strategies and new product development; information relating to any forms of compensation or other personnel-related information of the Company Entities; contracts and supplier lists and any information relating to financial data, strategic business plans; information about any third parties with which any Company Entity has a business relationship or owes a duty of confidentiality; and all notes, analyses, compilations, forecasts, studies or other documents prepared by Employee or obtained by Employee in the course of his work for a Company Entity that contain or reflect any such information and, in each case, which is not known to the public generally other than as a result of Employee’s breach of this Agreement. Without limiting the foregoing, Employee acknowledges and agrees that the Track Records shall not be the work of any one individual (including Employee) and are the exclusive property of the Company and its affiliates, as applicable, and agrees that he shall in no event claim the Track Records as his own following termination of his employment with the Company. Nothing in this Agreement shall prohibit or restrict any person from (1) testifying truthfully to the extent required by applicable law or legal process, (2) communicating with any governmental, administrative or regulatory agency or authority, including, but not limited to, the U.S. Securities and Exchange Commission, the U.S. Consumer Financial Protection Bureau, the U.S. Department of Justice, the U.S. Equal Employment Opportunity Commission and the U.S. National Labor Relations Board, (3) disclosing information in confidence to an attorney for the purpose of obtaining legal advice so long as such attorney agrees not to use or disclose such information, (4) disclosing information with the prior written consent of the Board so long as such consent specifically references this provision and/or (5) disclosing information that is publicly known other than by reason of Employee’s violation of this Section 8(a). In the event Employee or his legal representative is requested or required to disclose any Confidential Information, Employee shall provide the Company with prompt notice of such request or requirement so that the Company may seek an appropriate protective order (in which Employee will cooperate). If the Company fails to obtain a protective order or provides a waiver hereunder, and Employee is, in the opinion of counsel, compelled to disclose Confidential Information, Employee may disclose only that portion of the Confidential Information that Employee’s counsel advises is reasonably required by law to disclose.</w:t>
      </w:r>
    </w:p>
    <w:p>
      <w:pPr>
        <w:spacing w:after="0" w:line="200" w:lineRule="exact"/>
        <w:rPr>
          <w:sz w:val="20"/>
          <w:szCs w:val="20"/>
          <w:color w:val="auto"/>
        </w:rPr>
      </w:pPr>
    </w:p>
    <w:p>
      <w:pPr>
        <w:spacing w:after="0" w:line="226" w:lineRule="exact"/>
        <w:rPr>
          <w:sz w:val="20"/>
          <w:szCs w:val="20"/>
          <w:color w:val="auto"/>
        </w:rPr>
      </w:pPr>
    </w:p>
    <w:p>
      <w:pPr>
        <w:ind w:firstLine="1952"/>
        <w:spacing w:after="0" w:line="297" w:lineRule="auto"/>
        <w:tabs>
          <w:tab w:leader="none" w:pos="2262" w:val="left"/>
        </w:tabs>
        <w:numPr>
          <w:ilvl w:val="0"/>
          <w:numId w:val="334"/>
        </w:numPr>
        <w:rPr>
          <w:rFonts w:ascii="Arial" w:cs="Arial" w:eastAsia="Arial" w:hAnsi="Arial"/>
          <w:sz w:val="19"/>
          <w:szCs w:val="19"/>
          <w:color w:val="010000"/>
        </w:rPr>
      </w:pPr>
      <w:r>
        <w:rPr>
          <w:rFonts w:ascii="Arial" w:cs="Arial" w:eastAsia="Arial" w:hAnsi="Arial"/>
          <w:sz w:val="19"/>
          <w:szCs w:val="19"/>
          <w:color w:val="auto"/>
        </w:rPr>
        <w:t>Except as expressly set forth otherwise in this Agreement, Employee agrees that, prior to the date on which the Company publicly files this Agreement with the Securities and Exchange Commission, Employee shall not disclose the terms of this Agreement, except to his immediate family and his financial and legal advisors, or as may be required by law or ordered by a court. Employee further agrees that any disclosure to his financial and legal advisors will only be made after such advisors acknowledge and agree to maintain the confidentiality of this Agreement and its terms.</w:t>
      </w:r>
    </w:p>
    <w:p>
      <w:pPr>
        <w:spacing w:after="0" w:line="146" w:lineRule="exact"/>
        <w:rPr>
          <w:rFonts w:ascii="Arial" w:cs="Arial" w:eastAsia="Arial" w:hAnsi="Arial"/>
          <w:sz w:val="19"/>
          <w:szCs w:val="19"/>
          <w:color w:val="010000"/>
        </w:rPr>
      </w:pPr>
    </w:p>
    <w:p>
      <w:pPr>
        <w:ind w:right="160" w:firstLine="1952"/>
        <w:spacing w:after="0" w:line="312" w:lineRule="auto"/>
        <w:tabs>
          <w:tab w:leader="none" w:pos="2322" w:val="left"/>
        </w:tabs>
        <w:numPr>
          <w:ilvl w:val="0"/>
          <w:numId w:val="334"/>
        </w:numPr>
        <w:rPr>
          <w:rFonts w:ascii="Arial" w:cs="Arial" w:eastAsia="Arial" w:hAnsi="Arial"/>
          <w:sz w:val="19"/>
          <w:szCs w:val="19"/>
          <w:color w:val="010000"/>
        </w:rPr>
      </w:pPr>
      <w:r>
        <w:rPr>
          <w:rFonts w:ascii="Arial" w:cs="Arial" w:eastAsia="Arial" w:hAnsi="Arial"/>
          <w:sz w:val="19"/>
          <w:szCs w:val="19"/>
          <w:color w:val="auto"/>
        </w:rPr>
        <w:t>Employee further agrees that he will not improperly use or disclose any Confidential Information or trade secrets, if any, of any former employers of Employee or any other person to whom Employee has an obligation of confidentiality, and will not bring onto the premises of the Company or its affiliates any unpublished documents or any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265" w:right="339" w:bottom="1440" w:gutter="0" w:footer="0" w:header="0"/>
        </w:sectPr>
      </w:pPr>
    </w:p>
    <w:bookmarkStart w:id="395" w:name="page396"/>
    <w:bookmarkEnd w:id="395"/>
    <w:p>
      <w:pPr>
        <w:ind w:right="120"/>
        <w:spacing w:after="0" w:line="263" w:lineRule="auto"/>
        <w:rPr>
          <w:sz w:val="20"/>
          <w:szCs w:val="20"/>
          <w:color w:val="auto"/>
        </w:rPr>
      </w:pPr>
      <w:r>
        <w:rPr>
          <w:rFonts w:ascii="Arial" w:cs="Arial" w:eastAsia="Arial" w:hAnsi="Arial"/>
          <w:sz w:val="22"/>
          <w:szCs w:val="22"/>
          <w:color w:val="auto"/>
        </w:rPr>
        <w:t>belonging to any such former employer or other person to whom Employee has an obligation of confidentiality unless consented to in writing by the former employer or such other person.</w:t>
      </w:r>
    </w:p>
    <w:p>
      <w:pPr>
        <w:spacing w:after="0" w:line="175" w:lineRule="exact"/>
        <w:rPr>
          <w:sz w:val="20"/>
          <w:szCs w:val="20"/>
          <w:color w:val="auto"/>
        </w:rPr>
      </w:pPr>
    </w:p>
    <w:p>
      <w:pPr>
        <w:ind w:firstLine="1304"/>
        <w:spacing w:after="0" w:line="283" w:lineRule="auto"/>
        <w:tabs>
          <w:tab w:leader="none" w:pos="1602" w:val="left"/>
        </w:tabs>
        <w:numPr>
          <w:ilvl w:val="0"/>
          <w:numId w:val="335"/>
        </w:numPr>
        <w:rPr>
          <w:rFonts w:ascii="Arial" w:cs="Arial" w:eastAsia="Arial" w:hAnsi="Arial"/>
          <w:sz w:val="19"/>
          <w:szCs w:val="19"/>
          <w:color w:val="010000"/>
        </w:rPr>
      </w:pPr>
      <w:r>
        <w:rPr>
          <w:rFonts w:ascii="Arial" w:cs="Arial" w:eastAsia="Arial" w:hAnsi="Arial"/>
          <w:sz w:val="19"/>
          <w:szCs w:val="19"/>
          <w:u w:val="single" w:color="auto"/>
          <w:color w:val="auto"/>
        </w:rPr>
        <w:t>Non-Competition</w:t>
      </w:r>
      <w:r>
        <w:rPr>
          <w:rFonts w:ascii="Arial" w:cs="Arial" w:eastAsia="Arial" w:hAnsi="Arial"/>
          <w:sz w:val="19"/>
          <w:szCs w:val="19"/>
          <w:color w:val="auto"/>
        </w:rPr>
        <w:t>. Employee agrees that Employee will not, during the Term and during the Non-Compete Period, within the Restricted Area, directly or indirectly (whether or not for compensation) become employed by, engage in business with, serve as an agent or consultant to, become an employee, partner, member, principal, stockholder or other owner (other than a holder of less than 1% of the outstanding voting shares of any publicly held company) of, any Competitive Business. Nor shall Employee, during the Term and during the Non-Compete Period, within the Restricted Area, otherwise compete with, or perform services relating to the business of, any of the Company Entities for any business other than a Company Entity, in any business in which the Company Entities participate, or businesses they are actively considering, at the time of termination of Employee’s employment or during the one year prior to such termination (the “</w:t>
      </w:r>
      <w:r>
        <w:rPr>
          <w:rFonts w:ascii="Arial" w:cs="Arial" w:eastAsia="Arial" w:hAnsi="Arial"/>
          <w:sz w:val="19"/>
          <w:szCs w:val="19"/>
          <w:u w:val="single" w:color="auto"/>
          <w:color w:val="auto"/>
        </w:rPr>
        <w:t>Business</w:t>
      </w:r>
      <w:r>
        <w:rPr>
          <w:rFonts w:ascii="Arial" w:cs="Arial" w:eastAsia="Arial" w:hAnsi="Arial"/>
          <w:sz w:val="19"/>
          <w:szCs w:val="19"/>
          <w:color w:val="auto"/>
        </w:rPr>
        <w:t>”). For purposes of this Agreement, “</w:t>
      </w:r>
      <w:r>
        <w:rPr>
          <w:rFonts w:ascii="Arial" w:cs="Arial" w:eastAsia="Arial" w:hAnsi="Arial"/>
          <w:sz w:val="19"/>
          <w:szCs w:val="19"/>
          <w:u w:val="single" w:color="auto"/>
          <w:color w:val="auto"/>
        </w:rPr>
        <w:t>Competitive Business</w:t>
      </w:r>
      <w:r>
        <w:rPr>
          <w:rFonts w:ascii="Arial" w:cs="Arial" w:eastAsia="Arial" w:hAnsi="Arial"/>
          <w:sz w:val="19"/>
          <w:szCs w:val="19"/>
          <w:color w:val="auto"/>
        </w:rPr>
        <w:t>” shall mean any individual, corporation, limited liability company, partnership, unincorporated organization, trust, joint venture or other entity (i) that engages in or may engage in acquisition related or mergers and acquisition activities related to the transportation or third-party logistics industry, including, without limitation, researching, analyzing and evaluating companies for possible investment in or acquisition of, for itself or clients, (ii) that engages in or may engage in transportation or logistics services, including asset-based, asset-light or non-asset, supply chain services, including only by way of illustration, freight brokerage or freight transportation, freight management, freight forwarding, expediting, internet load boards, last-mile delivery logistics, contract logistics or intermodal providers, or firms such as Amazon, CH Robinson, Echo Global Logistics Inc., Total Quality Logistics, TransCor, Deutsche Post DHL Group, FedEx Corporation, United Parcel Service, Inc., J.B. Hunt Transport Services, Inc., Kühne + Nagel International AG, syncreon, Neovia Logistics and Hub Group Inc., DB Schenker, ID Logistics, KKR, Uber and Walmart, Inc. or (iii) that otherwise competes with the Company Entities anywhere in which the Company Entities engage in or intend to engage in the Business or where any of the Company Entities’ customers are located. For the avoidance of doubt, it shall be a violation of this Section 8(b) for Employee to provide any services whatsoever to any private equity firm, hedge fund or similar firm or fund that invests in a company engaged in any Competitive Business or any investment bank or similar firm that advises companies engaged in any Competitive Business, or any business intelligence or similar research or consulting organization that services private equity firms, hedge funds or similar firms or funds that invest in companies engaged in any Competitive Business (such as the Third Bridge Group, the Gerson Lehrman Group, Alphasights and Coleman Research), in each case, in the Restricted Area during the Term or the Restricted Period. “</w:t>
      </w:r>
      <w:r>
        <w:rPr>
          <w:rFonts w:ascii="Arial" w:cs="Arial" w:eastAsia="Arial" w:hAnsi="Arial"/>
          <w:sz w:val="19"/>
          <w:szCs w:val="19"/>
          <w:u w:val="single" w:color="auto"/>
          <w:color w:val="auto"/>
        </w:rPr>
        <w:t>Restricted Area</w:t>
      </w:r>
      <w:r>
        <w:rPr>
          <w:rFonts w:ascii="Arial" w:cs="Arial" w:eastAsia="Arial" w:hAnsi="Arial"/>
          <w:sz w:val="19"/>
          <w:szCs w:val="19"/>
          <w:color w:val="auto"/>
        </w:rPr>
        <w:t>” means Canada, Mexico, France, United Kingdom, Netherlands, Spain, Italy, and any State of the United States and any other country in which the Company or any Company Entity does business or any other country in which any Company client is located during the Term or the Restricted Period. “</w:t>
      </w:r>
      <w:r>
        <w:rPr>
          <w:rFonts w:ascii="Arial" w:cs="Arial" w:eastAsia="Arial" w:hAnsi="Arial"/>
          <w:sz w:val="19"/>
          <w:szCs w:val="19"/>
          <w:u w:val="single" w:color="auto"/>
          <w:color w:val="auto"/>
        </w:rPr>
        <w:t>Non-Compete Period</w:t>
      </w:r>
      <w:r>
        <w:rPr>
          <w:rFonts w:ascii="Arial" w:cs="Arial" w:eastAsia="Arial" w:hAnsi="Arial"/>
          <w:sz w:val="19"/>
          <w:szCs w:val="19"/>
          <w:color w:val="auto"/>
        </w:rPr>
        <w:t>” shall mean, subject to Section 8(c) below, three years following termination of Employee’s employment for any reason and, for the avoidance of doubt, regardless of whether such termination is before, upon or after expiration of the Term.</w:t>
      </w:r>
    </w:p>
    <w:p>
      <w:pPr>
        <w:spacing w:after="0" w:line="200" w:lineRule="exact"/>
        <w:rPr>
          <w:rFonts w:ascii="Arial" w:cs="Arial" w:eastAsia="Arial" w:hAnsi="Arial"/>
          <w:sz w:val="19"/>
          <w:szCs w:val="19"/>
          <w:color w:val="010000"/>
        </w:rPr>
      </w:pPr>
    </w:p>
    <w:p>
      <w:pPr>
        <w:spacing w:after="0" w:line="239" w:lineRule="exact"/>
        <w:rPr>
          <w:rFonts w:ascii="Arial" w:cs="Arial" w:eastAsia="Arial" w:hAnsi="Arial"/>
          <w:sz w:val="19"/>
          <w:szCs w:val="19"/>
          <w:color w:val="010000"/>
        </w:rPr>
      </w:pPr>
    </w:p>
    <w:p>
      <w:pPr>
        <w:ind w:right="80" w:firstLine="1304"/>
        <w:spacing w:after="0" w:line="263" w:lineRule="auto"/>
        <w:tabs>
          <w:tab w:leader="none" w:pos="1590" w:val="left"/>
        </w:tabs>
        <w:numPr>
          <w:ilvl w:val="0"/>
          <w:numId w:val="335"/>
        </w:numPr>
        <w:rPr>
          <w:rFonts w:ascii="Arial" w:cs="Arial" w:eastAsia="Arial" w:hAnsi="Arial"/>
          <w:sz w:val="22"/>
          <w:szCs w:val="22"/>
          <w:color w:val="010000"/>
        </w:rPr>
      </w:pPr>
      <w:r>
        <w:rPr>
          <w:rFonts w:ascii="Arial" w:cs="Arial" w:eastAsia="Arial" w:hAnsi="Arial"/>
          <w:sz w:val="22"/>
          <w:szCs w:val="22"/>
          <w:u w:val="single" w:color="auto"/>
          <w:color w:val="auto"/>
        </w:rPr>
        <w:t>Extended Non-Competition</w:t>
      </w:r>
      <w:r>
        <w:rPr>
          <w:rFonts w:ascii="Arial" w:cs="Arial" w:eastAsia="Arial" w:hAnsi="Arial"/>
          <w:sz w:val="22"/>
          <w:szCs w:val="22"/>
          <w:color w:val="auto"/>
        </w:rPr>
        <w:t>. The Company shall have the right to extend the Non-Compete Period for up to an additional 12-month period (the “</w:t>
      </w:r>
      <w:r>
        <w:rPr>
          <w:rFonts w:ascii="Arial" w:cs="Arial" w:eastAsia="Arial" w:hAnsi="Arial"/>
          <w:sz w:val="22"/>
          <w:szCs w:val="22"/>
          <w:u w:val="single" w:color="auto"/>
          <w:color w:val="auto"/>
        </w:rPr>
        <w:t>Extended Non-Compete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265" w:right="339" w:bottom="1440" w:gutter="0" w:footer="0" w:header="0"/>
        </w:sectPr>
      </w:pPr>
    </w:p>
    <w:bookmarkStart w:id="396" w:name="page397"/>
    <w:bookmarkEnd w:id="396"/>
    <w:p>
      <w:pPr>
        <w:spacing w:after="0" w:line="286" w:lineRule="auto"/>
        <w:rPr>
          <w:sz w:val="20"/>
          <w:szCs w:val="20"/>
          <w:color w:val="auto"/>
        </w:rPr>
      </w:pPr>
      <w:r>
        <w:rPr>
          <w:rFonts w:ascii="Arial" w:cs="Arial" w:eastAsia="Arial" w:hAnsi="Arial"/>
          <w:sz w:val="19"/>
          <w:szCs w:val="19"/>
          <w:u w:val="single" w:color="auto"/>
          <w:color w:val="auto"/>
        </w:rPr>
        <w:t>Period</w:t>
      </w:r>
      <w:r>
        <w:rPr>
          <w:rFonts w:ascii="Arial" w:cs="Arial" w:eastAsia="Arial" w:hAnsi="Arial"/>
          <w:sz w:val="19"/>
          <w:szCs w:val="19"/>
          <w:color w:val="auto"/>
        </w:rPr>
        <w:t>”) beyond the completion of the Non-Compete Period. If the Company elects to extend the Non-Compete Period, it will notify Employee in writing of such fact not later than the 90th day prior to the expiration of the Non-Compete Period. By signing this Agreement, Employee agrees to accept and abide by the Company’s election. If the Company elects to extend the Non-Compete Period, Employee agrees that, during the Extended Non-Compete Period, Employee shall be bound by the restrictions set forth in Section 8(b) in the same manner applicable during the Non-Compete Period, and the Company agrees to pay Employee subject to Section 6(e) of this Agreement during each month of the Extended Non-Compete Period, in an amount equal to his monthly Base Salary as in effect on the Date of Termination. Payment for any partial month will be prorated. Payment of Employee’s Base Salary during the Extended Non-Compete Period will be made pursuant to the Company’s normal and customary payroll procedures. If the Company elects to extend the Non-Compete Period, any monies Employee earns from any other work during such periods, whether as an employee or as an independent contractor, will reduce, dollar for dollar, the amount that the Company is obligated to pay Employee under this Section 8(c). Payments made by the Company under this Section 8(c) are made solely for the extension of the non-compete covenant and do not render Employee either an employee of, or a consultant to, the Company. Notwithstanding any provision of this Agreement to the contrary, the right of the Company to extend the Non-Compete Period hereunder and any related payment of Base Salary for the Extended Non-Compete Period hereunder shall lapse upon a Change of Control.</w:t>
      </w:r>
    </w:p>
    <w:p>
      <w:pPr>
        <w:spacing w:after="0" w:line="200" w:lineRule="exact"/>
        <w:rPr>
          <w:sz w:val="20"/>
          <w:szCs w:val="20"/>
          <w:color w:val="auto"/>
        </w:rPr>
      </w:pPr>
    </w:p>
    <w:p>
      <w:pPr>
        <w:spacing w:after="0" w:line="218" w:lineRule="exact"/>
        <w:rPr>
          <w:sz w:val="20"/>
          <w:szCs w:val="20"/>
          <w:color w:val="auto"/>
        </w:rPr>
      </w:pPr>
    </w:p>
    <w:p>
      <w:pPr>
        <w:ind w:firstLine="1304"/>
        <w:spacing w:after="0" w:line="246" w:lineRule="auto"/>
        <w:tabs>
          <w:tab w:leader="none" w:pos="1602" w:val="left"/>
        </w:tabs>
        <w:numPr>
          <w:ilvl w:val="0"/>
          <w:numId w:val="336"/>
        </w:numPr>
        <w:rPr>
          <w:rFonts w:ascii="Arial" w:cs="Arial" w:eastAsia="Arial" w:hAnsi="Arial"/>
          <w:sz w:val="22"/>
          <w:szCs w:val="22"/>
          <w:color w:val="010000"/>
        </w:rPr>
      </w:pPr>
      <w:r>
        <w:rPr>
          <w:rFonts w:ascii="Arial" w:cs="Arial" w:eastAsia="Arial" w:hAnsi="Arial"/>
          <w:sz w:val="22"/>
          <w:szCs w:val="22"/>
          <w:u w:val="single" w:color="auto"/>
          <w:color w:val="auto"/>
        </w:rPr>
        <w:t>Competitive Opportunity</w:t>
      </w:r>
      <w:r>
        <w:rPr>
          <w:rFonts w:ascii="Arial" w:cs="Arial" w:eastAsia="Arial" w:hAnsi="Arial"/>
          <w:sz w:val="22"/>
          <w:szCs w:val="22"/>
          <w:color w:val="auto"/>
        </w:rPr>
        <w:t>. If, at any time during the Term, Employee (i) acquires knowledge of a potential investment, investment opportunity or business venture which may be an appropriate investment by the Company, or in which the Company could otherwise have an interest or expectancy (a “</w:t>
      </w:r>
      <w:r>
        <w:rPr>
          <w:rFonts w:ascii="Arial" w:cs="Arial" w:eastAsia="Arial" w:hAnsi="Arial"/>
          <w:sz w:val="22"/>
          <w:szCs w:val="22"/>
          <w:u w:val="single" w:color="auto"/>
          <w:color w:val="auto"/>
        </w:rPr>
        <w:t>Competitive Opportunity</w:t>
      </w:r>
      <w:r>
        <w:rPr>
          <w:rFonts w:ascii="Arial" w:cs="Arial" w:eastAsia="Arial" w:hAnsi="Arial"/>
          <w:sz w:val="22"/>
          <w:szCs w:val="22"/>
          <w:color w:val="auto"/>
        </w:rPr>
        <w:t>”), or (ii) otherwise is then exploiting any Competitive Opportunity, Employee shall promptly bring such Competitive Opportunity to the Company. In such event, Employee shall not have the right to hold any such Competitive Opportunity for his (and his agents’, employees’ or affiliates’) own account and benefit or to recommend, assign or otherwise transfer or deal in such Competitive Opportunity with persons other than the Company.</w:t>
      </w:r>
    </w:p>
    <w:p>
      <w:pPr>
        <w:spacing w:after="0" w:line="196" w:lineRule="exact"/>
        <w:rPr>
          <w:rFonts w:ascii="Arial" w:cs="Arial" w:eastAsia="Arial" w:hAnsi="Arial"/>
          <w:sz w:val="22"/>
          <w:szCs w:val="22"/>
          <w:color w:val="010000"/>
        </w:rPr>
      </w:pPr>
    </w:p>
    <w:p>
      <w:pPr>
        <w:ind w:right="60" w:firstLine="1304"/>
        <w:spacing w:after="0" w:line="259" w:lineRule="auto"/>
        <w:tabs>
          <w:tab w:leader="none" w:pos="1590" w:val="left"/>
        </w:tabs>
        <w:numPr>
          <w:ilvl w:val="0"/>
          <w:numId w:val="336"/>
        </w:numPr>
        <w:rPr>
          <w:rFonts w:ascii="Arial" w:cs="Arial" w:eastAsia="Arial" w:hAnsi="Arial"/>
          <w:sz w:val="21"/>
          <w:szCs w:val="21"/>
          <w:color w:val="010000"/>
        </w:rPr>
      </w:pPr>
      <w:r>
        <w:rPr>
          <w:rFonts w:ascii="Arial" w:cs="Arial" w:eastAsia="Arial" w:hAnsi="Arial"/>
          <w:sz w:val="21"/>
          <w:szCs w:val="21"/>
          <w:u w:val="single" w:color="auto"/>
          <w:color w:val="auto"/>
        </w:rPr>
        <w:t>Return of Company Property</w:t>
      </w:r>
      <w:r>
        <w:rPr>
          <w:rFonts w:ascii="Arial" w:cs="Arial" w:eastAsia="Arial" w:hAnsi="Arial"/>
          <w:sz w:val="21"/>
          <w:szCs w:val="21"/>
          <w:color w:val="auto"/>
        </w:rPr>
        <w:t>. All documents, data, recordings, or other property, including, without limitation, smartphones, computers and other business equipment, whether tangible or intangible, including all information stored in electronic form, obtained or prepared by or for Employee and utilized by Employee in the course of his employment with the Company shall remain the exclusive property of the Company and Employee shall return all copies of such property upon any termination of his employment and as otherwise requested by the Company during the Term. Employee further agrees not to alter, delete or destroy any Company property, documents, records, data contained in any location, including but not limited to any information contained on any Company-provided computer or electronic device. Such devices shall not be wiped, scrubbed, or reset to original factory condition prior to surrender.</w:t>
      </w:r>
    </w:p>
    <w:p>
      <w:pPr>
        <w:spacing w:after="0" w:line="183" w:lineRule="exact"/>
        <w:rPr>
          <w:rFonts w:ascii="Arial" w:cs="Arial" w:eastAsia="Arial" w:hAnsi="Arial"/>
          <w:sz w:val="21"/>
          <w:szCs w:val="21"/>
          <w:color w:val="010000"/>
        </w:rPr>
      </w:pPr>
    </w:p>
    <w:p>
      <w:pPr>
        <w:ind w:right="200" w:firstLine="1304"/>
        <w:spacing w:after="0" w:line="312" w:lineRule="auto"/>
        <w:tabs>
          <w:tab w:leader="none" w:pos="1566" w:val="left"/>
        </w:tabs>
        <w:numPr>
          <w:ilvl w:val="0"/>
          <w:numId w:val="336"/>
        </w:numPr>
        <w:rPr>
          <w:rFonts w:ascii="Arial" w:cs="Arial" w:eastAsia="Arial" w:hAnsi="Arial"/>
          <w:sz w:val="19"/>
          <w:szCs w:val="19"/>
          <w:color w:val="010000"/>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Employee hereby agrees not to defame or disparage any of the Company Entities or any of their respective officers, directors, members, partners or employees (collectively,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and to cooperate with the Company upon reasonable request, in refuting any defamatory or disparaging remarks by any third party made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265" w:right="339" w:bottom="1440" w:gutter="0" w:footer="0" w:header="0"/>
        </w:sectPr>
      </w:pPr>
    </w:p>
    <w:bookmarkStart w:id="397" w:name="page398"/>
    <w:bookmarkEnd w:id="397"/>
    <w:p>
      <w:pPr>
        <w:ind w:right="200"/>
        <w:spacing w:after="0" w:line="294" w:lineRule="auto"/>
        <w:rPr>
          <w:sz w:val="20"/>
          <w:szCs w:val="20"/>
          <w:color w:val="auto"/>
        </w:rPr>
      </w:pPr>
      <w:r>
        <w:rPr>
          <w:rFonts w:ascii="Arial" w:cs="Arial" w:eastAsia="Arial" w:hAnsi="Arial"/>
          <w:sz w:val="19"/>
          <w:szCs w:val="19"/>
          <w:color w:val="auto"/>
        </w:rPr>
        <w:t xml:space="preserve">respect of any of the Company Parties. Employee shall not, directly or indirectly, make (or cause to be made) any comment or statement, oral or written, including, without limitation, in the media or to the press or to any individual or entity, that could reasonably be expected to adversely affect the reputation of any of the Company Parties or the conduct of its, his or their business. The Company shall request that its directors and executive officers not defame or disparage Employee;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of any director, executive officer or employee of the Company to comply with such request shall in no way constitute a breach or violation of the Company’s obligations hereunder or otherwise subject the Company to any liability.</w:t>
      </w:r>
    </w:p>
    <w:p>
      <w:pPr>
        <w:spacing w:after="0" w:line="149" w:lineRule="exact"/>
        <w:rPr>
          <w:sz w:val="20"/>
          <w:szCs w:val="20"/>
          <w:color w:val="auto"/>
        </w:rPr>
      </w:pPr>
    </w:p>
    <w:p>
      <w:pPr>
        <w:ind w:right="100" w:firstLine="1304"/>
        <w:spacing w:after="0" w:line="288" w:lineRule="auto"/>
        <w:tabs>
          <w:tab w:leader="none" w:pos="1602" w:val="left"/>
        </w:tabs>
        <w:numPr>
          <w:ilvl w:val="1"/>
          <w:numId w:val="337"/>
        </w:numPr>
        <w:rPr>
          <w:rFonts w:ascii="Arial" w:cs="Arial" w:eastAsia="Arial" w:hAnsi="Arial"/>
          <w:sz w:val="19"/>
          <w:szCs w:val="19"/>
          <w:color w:val="010000"/>
        </w:rPr>
      </w:pPr>
      <w:r>
        <w:rPr>
          <w:rFonts w:ascii="Arial" w:cs="Arial" w:eastAsia="Arial" w:hAnsi="Arial"/>
          <w:sz w:val="19"/>
          <w:szCs w:val="19"/>
          <w:u w:val="single" w:color="auto"/>
          <w:color w:val="auto"/>
        </w:rPr>
        <w:t>Cooperation</w:t>
      </w:r>
      <w:r>
        <w:rPr>
          <w:rFonts w:ascii="Arial" w:cs="Arial" w:eastAsia="Arial" w:hAnsi="Arial"/>
          <w:sz w:val="19"/>
          <w:szCs w:val="19"/>
          <w:color w:val="auto"/>
        </w:rPr>
        <w:t>. During the Term and thereafter (including, without limitation, following the Date of Termination), Employee shall, upon reasonable notice and without the necessity of any Company Entity obtaining a subpoena or court order, provide Employee’s reasonable cooperation in connection with any suit, action or proceeding (or any appeal from any suit, action or proceeding), and any investigation and/or defense of any claims asserted against any Company Entity that relates to events occurring during Employee’s employment with any Company Entity as to which Employee may have relevant information (including furnishing relevant information and materials to the relevant Company Entity or its designee and/or providing testimony at depositions and at trial), provided that the Company shall reimburse Employee for expenses reasonably incurred in connection with any such cooperation occurring after the termination of Employee’s employment and provided that any such cooperation occurring after the Date of Termination shall be scheduled to the extent reasonably practicable so as not to unreasonably interfere with Employee’s business or personal affairs.</w:t>
      </w:r>
    </w:p>
    <w:p>
      <w:pPr>
        <w:spacing w:after="0" w:line="159" w:lineRule="exact"/>
        <w:rPr>
          <w:rFonts w:ascii="Arial" w:cs="Arial" w:eastAsia="Arial" w:hAnsi="Arial"/>
          <w:sz w:val="19"/>
          <w:szCs w:val="19"/>
          <w:color w:val="010000"/>
        </w:rPr>
      </w:pPr>
    </w:p>
    <w:p>
      <w:pPr>
        <w:ind w:right="260" w:firstLine="656"/>
        <w:spacing w:after="0" w:line="250" w:lineRule="auto"/>
        <w:tabs>
          <w:tab w:leader="none" w:pos="864" w:val="left"/>
        </w:tabs>
        <w:numPr>
          <w:ilvl w:val="0"/>
          <w:numId w:val="338"/>
        </w:numPr>
        <w:rPr>
          <w:rFonts w:ascii="Arial" w:cs="Arial" w:eastAsia="Arial" w:hAnsi="Arial"/>
          <w:sz w:val="22"/>
          <w:szCs w:val="22"/>
          <w:color w:val="010000"/>
        </w:rPr>
      </w:pPr>
      <w:r>
        <w:rPr>
          <w:rFonts w:ascii="Arial" w:cs="Arial" w:eastAsia="Arial" w:hAnsi="Arial"/>
          <w:sz w:val="22"/>
          <w:szCs w:val="22"/>
          <w:u w:val="single" w:color="auto"/>
          <w:color w:val="auto"/>
        </w:rPr>
        <w:t>Notification of Subsequent Employer</w:t>
      </w:r>
      <w:r>
        <w:rPr>
          <w:rFonts w:ascii="Arial" w:cs="Arial" w:eastAsia="Arial" w:hAnsi="Arial"/>
          <w:sz w:val="22"/>
          <w:szCs w:val="22"/>
          <w:color w:val="auto"/>
        </w:rPr>
        <w:t>. Employee hereby agrees that, prior to accepting employment with any other person during any period during which Employee remains subject to any of the covenants set forth in Section 7, 8(b) or 8(c) of this Agreement, Employee shall provide such prospective employer with written notice of such provisions of this Agreement, with a copy of such notice delivered simultaneously to the Company.</w:t>
      </w:r>
    </w:p>
    <w:p>
      <w:pPr>
        <w:spacing w:after="0" w:line="187" w:lineRule="exact"/>
        <w:rPr>
          <w:rFonts w:ascii="Arial" w:cs="Arial" w:eastAsia="Arial" w:hAnsi="Arial"/>
          <w:sz w:val="22"/>
          <w:szCs w:val="22"/>
          <w:color w:val="010000"/>
        </w:rPr>
      </w:pPr>
    </w:p>
    <w:p>
      <w:pPr>
        <w:ind w:firstLine="656"/>
        <w:spacing w:after="0" w:line="287" w:lineRule="auto"/>
        <w:tabs>
          <w:tab w:leader="none" w:pos="972" w:val="left"/>
        </w:tabs>
        <w:numPr>
          <w:ilvl w:val="0"/>
          <w:numId w:val="338"/>
        </w:numPr>
        <w:rPr>
          <w:rFonts w:ascii="Arial" w:cs="Arial" w:eastAsia="Arial" w:hAnsi="Arial"/>
          <w:sz w:val="19"/>
          <w:szCs w:val="19"/>
          <w:color w:val="010000"/>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Employee and the Company agree that Employee will occupy a high-level and unique position of trust and confidence with the Company Entities and will have access to their Confidential Information, and that the Company would likely suffer significant harm to its protectable confidential information and business goodwill from Employee’s breach of any of the covenants set forth in Sections 7 and 8. Employee acknowledges that it is impossible to measure in money the damages that will accrue to the Company Parties in the event that Employee breaches any of the restrictive covenants provided in Sections 7 and 8 of this Agreement. In the event that Employee breaches any such restrictive covenant, the Company Parties shall be entitled to an injunction restraining Employee from violating such restrictive covenant (without posting any bond). If any of the Company Parties shall institute any action or proceeding to enforce any such restrictive covenant, Employee hereby waives the claim or defense that such Company Party has an adequate remedy at law and agrees not to assert in any such action or proceeding the claim or defense that there is an adequate remedy at law. The foregoing shall not prejudice the Company’s right to require Employee to account for and pay over to the Company, and Employee hereby agrees to account for and pay over, the compensation, profits, monies, accruals or other benefits derived or received by Employee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265" w:right="359" w:bottom="1440" w:gutter="0" w:footer="0" w:header="0"/>
        </w:sectPr>
      </w:pPr>
    </w:p>
    <w:bookmarkStart w:id="398" w:name="page399"/>
    <w:bookmarkEnd w:id="398"/>
    <w:p>
      <w:pPr>
        <w:ind w:right="160"/>
        <w:spacing w:after="0" w:line="263" w:lineRule="auto"/>
        <w:rPr>
          <w:sz w:val="20"/>
          <w:szCs w:val="20"/>
          <w:color w:val="auto"/>
        </w:rPr>
      </w:pPr>
      <w:r>
        <w:rPr>
          <w:rFonts w:ascii="Arial" w:cs="Arial" w:eastAsia="Arial" w:hAnsi="Arial"/>
          <w:sz w:val="22"/>
          <w:szCs w:val="22"/>
          <w:color w:val="auto"/>
        </w:rPr>
        <w:t>result of any transaction constituting a breach of any of the restrictive covenants provided in Sections 7 and 8 of this Agreement or to seek any other relief to which it may be entitled.</w:t>
      </w:r>
    </w:p>
    <w:p>
      <w:pPr>
        <w:spacing w:after="0" w:line="175" w:lineRule="exact"/>
        <w:rPr>
          <w:sz w:val="20"/>
          <w:szCs w:val="20"/>
          <w:color w:val="auto"/>
        </w:rPr>
      </w:pPr>
    </w:p>
    <w:p>
      <w:pPr>
        <w:ind w:right="220" w:firstLine="656"/>
        <w:spacing w:after="0" w:line="302" w:lineRule="auto"/>
        <w:tabs>
          <w:tab w:leader="none" w:pos="964" w:val="left"/>
        </w:tabs>
        <w:numPr>
          <w:ilvl w:val="0"/>
          <w:numId w:val="339"/>
        </w:numPr>
        <w:rPr>
          <w:rFonts w:ascii="Arial" w:cs="Arial" w:eastAsia="Arial" w:hAnsi="Arial"/>
          <w:sz w:val="19"/>
          <w:szCs w:val="19"/>
          <w:color w:val="010000"/>
        </w:rPr>
      </w:pPr>
      <w:r>
        <w:rPr>
          <w:rFonts w:ascii="Arial" w:cs="Arial" w:eastAsia="Arial" w:hAnsi="Arial"/>
          <w:sz w:val="19"/>
          <w:szCs w:val="19"/>
          <w:u w:val="single" w:color="auto"/>
          <w:color w:val="auto"/>
        </w:rPr>
        <w:t>Miscellaneous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Notices</w:t>
      </w:r>
      <w:r>
        <w:rPr>
          <w:rFonts w:ascii="Arial" w:cs="Arial" w:eastAsia="Arial" w:hAnsi="Arial"/>
          <w:sz w:val="19"/>
          <w:szCs w:val="19"/>
          <w:color w:val="auto"/>
        </w:rPr>
        <w:t>. Any notice or other communication required or permitted under this Agreement shall be effective only if it is in writing and shall be deemed to be given when delivered personally, or four days after it is mailed by registered or certified mail, postage prepaid, return receipt requested or one day after it is sent by overnight courier service via UPS or FedEx and, in each case, addressed as follows (or if it is sent through any other method agreed upon by the parties):</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XPO Logistics,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Five American Lane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Greenwich, CT 06831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Human Resources Officer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Employee:</w:t>
      </w:r>
    </w:p>
    <w:p>
      <w:pPr>
        <w:spacing w:after="0" w:line="220" w:lineRule="exact"/>
        <w:rPr>
          <w:sz w:val="20"/>
          <w:szCs w:val="20"/>
          <w:color w:val="auto"/>
        </w:rPr>
      </w:pPr>
    </w:p>
    <w:p>
      <w:pPr>
        <w:ind w:right="2780" w:firstLine="1296"/>
        <w:spacing w:after="0" w:line="448" w:lineRule="auto"/>
        <w:rPr>
          <w:sz w:val="20"/>
          <w:szCs w:val="20"/>
          <w:color w:val="auto"/>
        </w:rPr>
      </w:pPr>
      <w:r>
        <w:rPr>
          <w:rFonts w:ascii="Arial" w:cs="Arial" w:eastAsia="Arial" w:hAnsi="Arial"/>
          <w:sz w:val="22"/>
          <w:szCs w:val="22"/>
          <w:color w:val="auto"/>
        </w:rPr>
        <w:t>During the Term, to his principal residence as listed in the records of the Company or to such other address as any party may designate by notice to the other.</w:t>
      </w:r>
    </w:p>
    <w:p>
      <w:pPr>
        <w:spacing w:after="0" w:line="1" w:lineRule="exact"/>
        <w:rPr>
          <w:sz w:val="20"/>
          <w:szCs w:val="20"/>
          <w:color w:val="auto"/>
        </w:rPr>
      </w:pPr>
    </w:p>
    <w:p>
      <w:pPr>
        <w:ind w:right="120" w:firstLine="1304"/>
        <w:spacing w:after="0" w:line="259" w:lineRule="auto"/>
        <w:tabs>
          <w:tab w:leader="none" w:pos="1602" w:val="left"/>
        </w:tabs>
        <w:numPr>
          <w:ilvl w:val="0"/>
          <w:numId w:val="340"/>
        </w:numPr>
        <w:rPr>
          <w:rFonts w:ascii="Arial" w:cs="Arial" w:eastAsia="Arial" w:hAnsi="Arial"/>
          <w:sz w:val="21"/>
          <w:szCs w:val="21"/>
          <w:color w:val="010000"/>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shall constitute the entire agreement and understanding among the parties hereto with respect to Employee’s employment hereunder and supersedes and is in full substitution for any and all prior understandings or agreements (whether written or oral) with respect to Employee’s employment including without limitation the prior agreement, dated February 9, 2016 and amended on June 5, 2019. The Company does not make and has not made, and Employee does not rely and has not relied on any statement, omission, representation or warranty, written or oral, of any kind or nature whatsoever, regarding the Company or the Long-Term Incentive Compensation, including, without limitation, its or their present, future, prospective or potential value, worth, prospects, performance, soundness, profit or loss potential, or any other matter or thing whatsoever relating to whether Employee should purchase or accept any Long-Term Incentive Compensation and/or the consideration therefor.</w:t>
      </w:r>
    </w:p>
    <w:p>
      <w:pPr>
        <w:spacing w:after="0" w:line="179" w:lineRule="exact"/>
        <w:rPr>
          <w:rFonts w:ascii="Arial" w:cs="Arial" w:eastAsia="Arial" w:hAnsi="Arial"/>
          <w:sz w:val="21"/>
          <w:szCs w:val="21"/>
          <w:color w:val="010000"/>
        </w:rPr>
      </w:pPr>
    </w:p>
    <w:p>
      <w:pPr>
        <w:ind w:firstLine="1304"/>
        <w:spacing w:after="0" w:line="259" w:lineRule="auto"/>
        <w:tabs>
          <w:tab w:leader="none" w:pos="1590" w:val="left"/>
        </w:tabs>
        <w:numPr>
          <w:ilvl w:val="0"/>
          <w:numId w:val="340"/>
        </w:numPr>
        <w:rPr>
          <w:rFonts w:ascii="Arial" w:cs="Arial" w:eastAsia="Arial" w:hAnsi="Arial"/>
          <w:sz w:val="21"/>
          <w:szCs w:val="21"/>
          <w:color w:val="010000"/>
        </w:rPr>
      </w:pPr>
      <w:r>
        <w:rPr>
          <w:rFonts w:ascii="Arial" w:cs="Arial" w:eastAsia="Arial" w:hAnsi="Arial"/>
          <w:sz w:val="21"/>
          <w:szCs w:val="21"/>
          <w:u w:val="single" w:color="auto"/>
          <w:color w:val="auto"/>
        </w:rPr>
        <w:t>Amendment; No Waiver</w:t>
      </w:r>
      <w:r>
        <w:rPr>
          <w:rFonts w:ascii="Arial" w:cs="Arial" w:eastAsia="Arial" w:hAnsi="Arial"/>
          <w:sz w:val="21"/>
          <w:szCs w:val="21"/>
          <w:color w:val="auto"/>
        </w:rPr>
        <w:t>. Except as expressly set forth otherwise in this Agreement (including, without limitation, pursuant to Sections 11(l)(iv) and 11(m) of this Agreement), this Agreement may be amended only by an instrument in writing signed by the parties, and the application of any provision hereof may be waived only by an instrument in writing that specifically identifies the provision whose application is being waived and that is signed by the party against whom or which enforcement of such waiver is sought. The failure of any party at any time to insist upon strict adherence to any provision hereof shall in no way affect the full right to insist upon strict adherence at any time thereafter, nor shall the waiver by any party of a breach of any provision hereof be taken or held to be a waiver of any succeeding breach of such provision or a waiver of the provision itself or a waiver of any other provision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265" w:right="359" w:bottom="1440" w:gutter="0" w:footer="0" w:header="0"/>
        </w:sectPr>
      </w:pPr>
    </w:p>
    <w:bookmarkStart w:id="399" w:name="page400"/>
    <w:bookmarkEnd w:id="399"/>
    <w:p>
      <w:pPr>
        <w:ind w:right="220"/>
        <w:spacing w:after="0" w:line="302" w:lineRule="auto"/>
        <w:rPr>
          <w:sz w:val="20"/>
          <w:szCs w:val="20"/>
          <w:color w:val="auto"/>
        </w:rPr>
      </w:pPr>
      <w:r>
        <w:rPr>
          <w:rFonts w:ascii="Arial" w:cs="Arial" w:eastAsia="Arial" w:hAnsi="Arial"/>
          <w:sz w:val="19"/>
          <w:szCs w:val="19"/>
          <w:color w:val="auto"/>
        </w:rPr>
        <w:t>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 Termination of this Agreement shall not relieve any party of liability for any breach of this Agreement occurring prior to such termination.</w:t>
      </w:r>
    </w:p>
    <w:p>
      <w:pPr>
        <w:spacing w:after="0" w:line="142" w:lineRule="exact"/>
        <w:rPr>
          <w:sz w:val="20"/>
          <w:szCs w:val="20"/>
          <w:color w:val="auto"/>
        </w:rPr>
      </w:pPr>
    </w:p>
    <w:p>
      <w:pPr>
        <w:ind w:right="120" w:firstLine="1304"/>
        <w:spacing w:after="0" w:line="250" w:lineRule="auto"/>
        <w:tabs>
          <w:tab w:leader="none" w:pos="1602" w:val="left"/>
        </w:tabs>
        <w:numPr>
          <w:ilvl w:val="0"/>
          <w:numId w:val="341"/>
        </w:numPr>
        <w:rPr>
          <w:rFonts w:ascii="Arial" w:cs="Arial" w:eastAsia="Arial" w:hAnsi="Arial"/>
          <w:sz w:val="22"/>
          <w:szCs w:val="22"/>
          <w:color w:val="010000"/>
        </w:rPr>
      </w:pPr>
      <w:r>
        <w:rPr>
          <w:rFonts w:ascii="Arial" w:cs="Arial" w:eastAsia="Arial" w:hAnsi="Arial"/>
          <w:sz w:val="22"/>
          <w:szCs w:val="22"/>
          <w:u w:val="single" w:color="auto"/>
          <w:color w:val="auto"/>
        </w:rPr>
        <w:t>No Construction Against Drafter</w:t>
      </w:r>
      <w:r>
        <w:rPr>
          <w:rFonts w:ascii="Arial" w:cs="Arial" w:eastAsia="Arial" w:hAnsi="Arial"/>
          <w:sz w:val="22"/>
          <w:szCs w:val="22"/>
          <w:color w:val="auto"/>
        </w:rPr>
        <w:t>. The parties acknowledge and agree that each party has reviewed and negotiated the terms and provisions of this Agreement and has had the opportunity to contribute to its revision. Accordingly, any rule of construction to the effect that ambiguities are resolved against the drafting party shall not be employed in the interpretation of this Agreement.</w:t>
      </w:r>
    </w:p>
    <w:p>
      <w:pPr>
        <w:spacing w:after="0" w:line="187" w:lineRule="exact"/>
        <w:rPr>
          <w:rFonts w:ascii="Arial" w:cs="Arial" w:eastAsia="Arial" w:hAnsi="Arial"/>
          <w:sz w:val="22"/>
          <w:szCs w:val="22"/>
          <w:color w:val="010000"/>
        </w:rPr>
      </w:pPr>
    </w:p>
    <w:p>
      <w:pPr>
        <w:ind w:right="20" w:firstLine="1304"/>
        <w:spacing w:after="0" w:line="302" w:lineRule="auto"/>
        <w:tabs>
          <w:tab w:leader="none" w:pos="1590" w:val="left"/>
        </w:tabs>
        <w:numPr>
          <w:ilvl w:val="0"/>
          <w:numId w:val="341"/>
        </w:numPr>
        <w:rPr>
          <w:rFonts w:ascii="Arial" w:cs="Arial" w:eastAsia="Arial" w:hAnsi="Arial"/>
          <w:sz w:val="19"/>
          <w:szCs w:val="19"/>
          <w:color w:val="010000"/>
        </w:rPr>
      </w:pPr>
      <w:r>
        <w:rPr>
          <w:rFonts w:ascii="Arial" w:cs="Arial" w:eastAsia="Arial" w:hAnsi="Arial"/>
          <w:sz w:val="19"/>
          <w:szCs w:val="19"/>
          <w:u w:val="single" w:color="auto"/>
          <w:color w:val="auto"/>
        </w:rPr>
        <w:t>Clawbacks</w:t>
      </w:r>
      <w:r>
        <w:rPr>
          <w:rFonts w:ascii="Arial" w:cs="Arial" w:eastAsia="Arial" w:hAnsi="Arial"/>
          <w:sz w:val="19"/>
          <w:szCs w:val="19"/>
          <w:color w:val="auto"/>
        </w:rPr>
        <w:t>. Employee hereby acknowledges and agrees that, notwithstanding any provision of this Agreement to the contrary, Employee will be subject to any legally mandated policy relating to the recovery of compensation, solely to the extent that the Company is required to implement such policy pursuant to applicable law, whether pursuant to the Sarbanes-Oxley Act of 2002, the Dodd-Frank Wall Street Reform and Consumer Protection Act of 2010 or otherwise.</w:t>
      </w:r>
    </w:p>
    <w:p>
      <w:pPr>
        <w:spacing w:after="0" w:line="142" w:lineRule="exact"/>
        <w:rPr>
          <w:rFonts w:ascii="Arial" w:cs="Arial" w:eastAsia="Arial" w:hAnsi="Arial"/>
          <w:sz w:val="19"/>
          <w:szCs w:val="19"/>
          <w:color w:val="010000"/>
        </w:rPr>
      </w:pPr>
    </w:p>
    <w:p>
      <w:pPr>
        <w:ind w:firstLine="1304"/>
        <w:spacing w:after="0" w:line="285" w:lineRule="auto"/>
        <w:tabs>
          <w:tab w:leader="none" w:pos="1566" w:val="left"/>
        </w:tabs>
        <w:numPr>
          <w:ilvl w:val="0"/>
          <w:numId w:val="341"/>
        </w:numPr>
        <w:rPr>
          <w:rFonts w:ascii="Arial" w:cs="Arial" w:eastAsia="Arial" w:hAnsi="Arial"/>
          <w:sz w:val="19"/>
          <w:szCs w:val="19"/>
          <w:color w:val="010000"/>
        </w:rPr>
      </w:pPr>
      <w:r>
        <w:rPr>
          <w:rFonts w:ascii="Arial" w:cs="Arial" w:eastAsia="Arial" w:hAnsi="Arial"/>
          <w:sz w:val="19"/>
          <w:szCs w:val="19"/>
          <w:u w:val="single" w:color="auto"/>
          <w:color w:val="auto"/>
        </w:rPr>
        <w:t>Employee Representations and Acknowledgements</w:t>
      </w:r>
      <w:r>
        <w:rPr>
          <w:rFonts w:ascii="Arial" w:cs="Arial" w:eastAsia="Arial" w:hAnsi="Arial"/>
          <w:sz w:val="19"/>
          <w:szCs w:val="19"/>
          <w:color w:val="auto"/>
        </w:rPr>
        <w:t>. Employee represents, warrants and covenants that as of the date that the Company and Employee have executed this Agreement as set forth on the signature page hereto: (i) he has the full right, authority and capacity to enter into this Agreement, (ii) he is ready, willing and able to perform his obligations hereunder and, to his knowledge, no reason exists that would prevent him from performing his obligations hereunder, (iii) he is not bound by any agreement that conflicts with or prevents or restricts the full performance of his duties and obligations to the Company hereunder during or after the Term and (iv) the execution and delivery of this Agreement shall not result in any breach or violation of, or a default under, any existing obligation, commitment or agreement to which Employee is subject. Employee acknowledges and agrees that nothing in this Agreement shall (x) entitle Employee to any compensation or other interest in respect of any activity of Jacobs Private Equity, LLC, a Delaware limited liability company (“</w:t>
      </w:r>
      <w:r>
        <w:rPr>
          <w:rFonts w:ascii="Arial" w:cs="Arial" w:eastAsia="Arial" w:hAnsi="Arial"/>
          <w:sz w:val="19"/>
          <w:szCs w:val="19"/>
          <w:u w:val="single" w:color="auto"/>
          <w:color w:val="auto"/>
        </w:rPr>
        <w:t>JPE</w:t>
      </w:r>
      <w:r>
        <w:rPr>
          <w:rFonts w:ascii="Arial" w:cs="Arial" w:eastAsia="Arial" w:hAnsi="Arial"/>
          <w:sz w:val="19"/>
          <w:szCs w:val="19"/>
          <w:color w:val="auto"/>
        </w:rPr>
        <w:t>”) or Bradley S. Jacobs other than with respect to the Company; (y) restrict or prohibit the Company, Bradley S. Jacobs or any of his affiliates from having business interests and engaging in business activities in addition to those relating to the Company; or (z) restrict the investments which the Company, Bradley S. Jacobs or JPE or any of his or its affiliates may make, regardless of whether such investment opportunity or investment may be deemed to be a Competitive Opportunity. Employee acknowledges that he has carefully read this Agreement and has given careful consideration to the restraints imposed upon Employee by this Agreement, and is in full accord as to the necessity of such restraints for the reasonable and proper protection of the Confidential Information, business strategies, employee and customer relationships and goodwill of the Company Entities now existing or to be developed in the future. Employee expressly acknowledges and agrees that each and every restraint imposed by this Agreement is reasonable with respect to subject matter, industry scope, time period and geographic area. Employee agrees to comply with each of the covenants contained in Sections 7 and 8 of this Agreement in accordance with their terms, and Employee shall not, and hereby agrees to waive and release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265" w:right="339" w:bottom="1440" w:gutter="0" w:footer="0" w:header="0"/>
        </w:sectPr>
      </w:pPr>
    </w:p>
    <w:bookmarkStart w:id="400" w:name="page401"/>
    <w:bookmarkEnd w:id="400"/>
    <w:p>
      <w:pPr>
        <w:spacing w:after="0" w:line="294" w:lineRule="auto"/>
        <w:rPr>
          <w:sz w:val="20"/>
          <w:szCs w:val="20"/>
          <w:color w:val="auto"/>
        </w:rPr>
      </w:pPr>
      <w:r>
        <w:rPr>
          <w:rFonts w:ascii="Arial" w:cs="Arial" w:eastAsia="Arial" w:hAnsi="Arial"/>
          <w:sz w:val="19"/>
          <w:szCs w:val="19"/>
          <w:color w:val="auto"/>
        </w:rPr>
        <w:t>right or claim to, challenge the reasonableness, validity or enforceability of any of the covenants contained in Section 7 or 8 of this Agreement. Employee further acknowledges that although Employee’s compliance with the covenants contained in Sections 7 and 8 of this Agreement may prevent Employee from earning a livelihood in a business similar to the business of the Company Entities, Employee’s experience and capabilities are such that Employee has other opportunities to earn a livelihood and adequate means of support for Employee and Employee’s dependents. Employee acknowledges that the Company has advised him that it is in his best interest to consult with an attorney prior to executing this Agreement.</w:t>
      </w:r>
    </w:p>
    <w:p>
      <w:pPr>
        <w:spacing w:after="0" w:line="149" w:lineRule="exact"/>
        <w:rPr>
          <w:sz w:val="20"/>
          <w:szCs w:val="20"/>
          <w:color w:val="auto"/>
        </w:rPr>
      </w:pPr>
    </w:p>
    <w:p>
      <w:pPr>
        <w:ind w:firstLine="1304"/>
        <w:spacing w:after="0" w:line="250" w:lineRule="auto"/>
        <w:tabs>
          <w:tab w:leader="none" w:pos="1602" w:val="left"/>
        </w:tabs>
        <w:numPr>
          <w:ilvl w:val="0"/>
          <w:numId w:val="342"/>
        </w:numPr>
        <w:rPr>
          <w:rFonts w:ascii="Arial" w:cs="Arial" w:eastAsia="Arial" w:hAnsi="Arial"/>
          <w:sz w:val="22"/>
          <w:szCs w:val="22"/>
          <w:color w:val="010000"/>
        </w:rPr>
      </w:pPr>
      <w:r>
        <w:rPr>
          <w:rFonts w:ascii="Arial" w:cs="Arial" w:eastAsia="Arial" w:hAnsi="Arial"/>
          <w:sz w:val="22"/>
          <w:szCs w:val="22"/>
          <w:u w:val="single" w:color="auto"/>
          <w:color w:val="auto"/>
        </w:rPr>
        <w:t>Survival</w:t>
      </w:r>
      <w:r>
        <w:rPr>
          <w:rFonts w:ascii="Arial" w:cs="Arial" w:eastAsia="Arial" w:hAnsi="Arial"/>
          <w:sz w:val="22"/>
          <w:szCs w:val="22"/>
          <w:color w:val="auto"/>
        </w:rPr>
        <w:t>. Employee’s obligations under Sections 7 and 8 of this Agreement shall remain in full force and effect for the entire period provided therein notwithstanding any termination of employment or other expiration of the Term or termination of this Agreement. The terms and conditions of Sections 6, 7, 8, 9, 10 and 11 of this Agreement shall survive the Term and termination of Employee’s employment.</w:t>
      </w:r>
    </w:p>
    <w:p>
      <w:pPr>
        <w:spacing w:after="0" w:line="187" w:lineRule="exact"/>
        <w:rPr>
          <w:rFonts w:ascii="Arial" w:cs="Arial" w:eastAsia="Arial" w:hAnsi="Arial"/>
          <w:sz w:val="22"/>
          <w:szCs w:val="22"/>
          <w:color w:val="010000"/>
        </w:rPr>
      </w:pPr>
    </w:p>
    <w:p>
      <w:pPr>
        <w:ind w:firstLine="1304"/>
        <w:spacing w:after="0" w:line="248" w:lineRule="auto"/>
        <w:tabs>
          <w:tab w:leader="none" w:pos="1602" w:val="left"/>
        </w:tabs>
        <w:numPr>
          <w:ilvl w:val="0"/>
          <w:numId w:val="342"/>
        </w:numPr>
        <w:rPr>
          <w:rFonts w:ascii="Arial" w:cs="Arial" w:eastAsia="Arial" w:hAnsi="Arial"/>
          <w:sz w:val="22"/>
          <w:szCs w:val="22"/>
          <w:color w:val="010000"/>
        </w:rPr>
      </w:pP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is binding on and is for the benefit of the parties hereto and their respective successors, assigns, heirs, executors, administrators and other legal representatives. This Agreement is personal to Employee; and neither this Agreement nor any right or obligation hereunder may be assigned by Employee without the prior written consent of the Company (or except by will or the laws of descent and distribution), and any purported assignment in violation of this Section 11(h) shall be void.</w:t>
      </w:r>
    </w:p>
    <w:p>
      <w:pPr>
        <w:spacing w:after="0" w:line="191" w:lineRule="exact"/>
        <w:rPr>
          <w:rFonts w:ascii="Arial" w:cs="Arial" w:eastAsia="Arial" w:hAnsi="Arial"/>
          <w:sz w:val="22"/>
          <w:szCs w:val="22"/>
          <w:color w:val="010000"/>
        </w:rPr>
      </w:pPr>
    </w:p>
    <w:p>
      <w:pPr>
        <w:ind w:firstLine="1304"/>
        <w:spacing w:after="0" w:line="286" w:lineRule="auto"/>
        <w:tabs>
          <w:tab w:leader="none" w:pos="1554" w:val="left"/>
        </w:tabs>
        <w:numPr>
          <w:ilvl w:val="0"/>
          <w:numId w:val="342"/>
        </w:numPr>
        <w:rPr>
          <w:rFonts w:ascii="Arial" w:cs="Arial" w:eastAsia="Arial" w:hAnsi="Arial"/>
          <w:sz w:val="19"/>
          <w:szCs w:val="19"/>
          <w:color w:val="010000"/>
        </w:rPr>
      </w:pP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If any provision of this Agreement or the application thereof is held invalid, the invalidity shall not affect other provisions or applications of this Agreement which can be given effect without the invalid provisions or applications and to this end the provisions of this Agreement are declared to be severable. If any term or provision of this Agreement is invalid, illegal or incapable of being enforced by any applicable law or public policy, all other conditions and provisions of this Agreement shall nonetheless remain in full force and effect so long as the economic and legal substance of the transactions contemplated by this Agreement is not affected in any manner materially adverse;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a final, non-reviewable, non-appealable determination that any provision of Section 7 or 8 of this Agreement (whether in whole or in part) is void or constitutes an unreasonable restriction against Employee, such provision shall not be rendered void but shall be deemed to be modified to the minimum extent necessary to make such provision enforceable for the longest duration and the greatest scope as may constitute a reasonable restriction under the circumstances. Subject to the foregoing,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200" w:lineRule="exact"/>
        <w:rPr>
          <w:rFonts w:ascii="Arial" w:cs="Arial" w:eastAsia="Arial" w:hAnsi="Arial"/>
          <w:sz w:val="19"/>
          <w:szCs w:val="19"/>
          <w:color w:val="010000"/>
        </w:rPr>
      </w:pPr>
    </w:p>
    <w:p>
      <w:pPr>
        <w:spacing w:after="0" w:line="222" w:lineRule="exact"/>
        <w:rPr>
          <w:rFonts w:ascii="Arial" w:cs="Arial" w:eastAsia="Arial" w:hAnsi="Arial"/>
          <w:sz w:val="19"/>
          <w:szCs w:val="19"/>
          <w:color w:val="010000"/>
        </w:rPr>
      </w:pPr>
    </w:p>
    <w:p>
      <w:pPr>
        <w:ind w:right="220" w:firstLine="1304"/>
        <w:spacing w:after="0" w:line="250" w:lineRule="auto"/>
        <w:tabs>
          <w:tab w:leader="none" w:pos="1554" w:val="left"/>
        </w:tabs>
        <w:numPr>
          <w:ilvl w:val="0"/>
          <w:numId w:val="342"/>
        </w:numPr>
        <w:rPr>
          <w:rFonts w:ascii="Arial" w:cs="Arial" w:eastAsia="Arial" w:hAnsi="Arial"/>
          <w:sz w:val="22"/>
          <w:szCs w:val="22"/>
          <w:color w:val="010000"/>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The Company may withhold from any amounts payable to Employee hereunder all federal, state, city, foreign or other taxes that the Company may reasonably determine are required to be withheld pursuant to any applicable law or regulation (it being understood that Employee shall be responsible for payment of all taxes in respect of the payments and benefits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265" w:right="359" w:bottom="1440" w:gutter="0" w:footer="0" w:header="0"/>
        </w:sectPr>
      </w:pPr>
    </w:p>
    <w:bookmarkStart w:id="401" w:name="page402"/>
    <w:bookmarkEnd w:id="401"/>
    <w:p>
      <w:pPr>
        <w:ind w:left="-8" w:right="100" w:firstLine="1304"/>
        <w:spacing w:after="0" w:line="271" w:lineRule="auto"/>
        <w:tabs>
          <w:tab w:leader="none" w:pos="1594" w:val="left"/>
        </w:tabs>
        <w:numPr>
          <w:ilvl w:val="1"/>
          <w:numId w:val="343"/>
        </w:numPr>
        <w:rPr>
          <w:rFonts w:ascii="Arial" w:cs="Arial" w:eastAsia="Arial" w:hAnsi="Arial"/>
          <w:sz w:val="21"/>
          <w:szCs w:val="21"/>
          <w:color w:val="010000"/>
        </w:rPr>
      </w:pPr>
      <w:r>
        <w:rPr>
          <w:rFonts w:ascii="Arial" w:cs="Arial" w:eastAsia="Arial" w:hAnsi="Arial"/>
          <w:sz w:val="21"/>
          <w:szCs w:val="21"/>
          <w:u w:val="single" w:color="auto"/>
          <w:color w:val="auto"/>
        </w:rPr>
        <w:t>Cooperation Regarding Long-Term Incentive Compensation</w:t>
      </w:r>
      <w:r>
        <w:rPr>
          <w:rFonts w:ascii="Arial" w:cs="Arial" w:eastAsia="Arial" w:hAnsi="Arial"/>
          <w:sz w:val="21"/>
          <w:szCs w:val="21"/>
          <w:color w:val="auto"/>
        </w:rPr>
        <w:t>. Employee expressly agrees that he shall execute such other documents as reasonably requested by the Company to effect the terms of this Agreement and the issuance of the Long-Term Incentive Compensation as contemplated hereunder in compliance with applicable law.</w:t>
      </w:r>
    </w:p>
    <w:p>
      <w:pPr>
        <w:spacing w:after="0" w:line="167" w:lineRule="exact"/>
        <w:rPr>
          <w:rFonts w:ascii="Arial" w:cs="Arial" w:eastAsia="Arial" w:hAnsi="Arial"/>
          <w:sz w:val="21"/>
          <w:szCs w:val="21"/>
          <w:color w:val="010000"/>
        </w:rPr>
      </w:pPr>
    </w:p>
    <w:p>
      <w:pPr>
        <w:ind w:left="-8" w:right="640" w:firstLine="1304"/>
        <w:spacing w:after="0" w:line="253" w:lineRule="auto"/>
        <w:tabs>
          <w:tab w:leader="none" w:pos="1546" w:val="left"/>
        </w:tabs>
        <w:numPr>
          <w:ilvl w:val="1"/>
          <w:numId w:val="343"/>
        </w:numPr>
        <w:rPr>
          <w:rFonts w:ascii="Arial" w:cs="Arial" w:eastAsia="Arial" w:hAnsi="Arial"/>
          <w:sz w:val="22"/>
          <w:szCs w:val="22"/>
          <w:color w:val="010000"/>
        </w:rPr>
      </w:pPr>
      <w:r>
        <w:rPr>
          <w:rFonts w:ascii="Arial" w:cs="Arial" w:eastAsia="Arial" w:hAnsi="Arial"/>
          <w:sz w:val="22"/>
          <w:szCs w:val="22"/>
          <w:u w:val="single" w:color="auto"/>
          <w:color w:val="auto"/>
        </w:rPr>
        <w:t>Governing Law; Arbitration; Consent to Jurisdiction; Waiver of Jury Trial.</w:t>
      </w:r>
      <w:r>
        <w:rPr>
          <w:rFonts w:ascii="Arial" w:cs="Arial" w:eastAsia="Arial" w:hAnsi="Arial"/>
          <w:sz w:val="22"/>
          <w:szCs w:val="22"/>
          <w:color w:val="auto"/>
        </w:rPr>
        <w:t xml:space="preserve"> (i) This Agreement shall be governed by and construed in accordance with its express terms, and otherwise in accordance with the laws of the State of Delaware without reference to its principles of conflicts of law.</w:t>
      </w:r>
    </w:p>
    <w:p>
      <w:pPr>
        <w:spacing w:after="0" w:line="185" w:lineRule="exact"/>
        <w:rPr>
          <w:rFonts w:ascii="Arial" w:cs="Arial" w:eastAsia="Arial" w:hAnsi="Arial"/>
          <w:sz w:val="22"/>
          <w:szCs w:val="22"/>
          <w:color w:val="010000"/>
        </w:rPr>
      </w:pPr>
    </w:p>
    <w:p>
      <w:pPr>
        <w:ind w:left="-8" w:firstLine="1952"/>
        <w:spacing w:after="0" w:line="302" w:lineRule="auto"/>
        <w:tabs>
          <w:tab w:leader="none" w:pos="2254" w:val="left"/>
        </w:tabs>
        <w:numPr>
          <w:ilvl w:val="2"/>
          <w:numId w:val="343"/>
        </w:numPr>
        <w:rPr>
          <w:rFonts w:ascii="Arial" w:cs="Arial" w:eastAsia="Arial" w:hAnsi="Arial"/>
          <w:sz w:val="19"/>
          <w:szCs w:val="19"/>
          <w:color w:val="010000"/>
        </w:rPr>
      </w:pPr>
      <w:r>
        <w:rPr>
          <w:rFonts w:ascii="Arial" w:cs="Arial" w:eastAsia="Arial" w:hAnsi="Arial"/>
          <w:sz w:val="19"/>
          <w:szCs w:val="19"/>
          <w:color w:val="auto"/>
        </w:rPr>
        <w:t>Any claim initiated by Employee arising out of or relating to this Agreement, or the breach thereof, or Employee’s employment, or the termination thereof, shall be resolved by binding arbitration before a single arbitrator in the State of Delaware administered by the American Arbitration Association in accordance with its Commercial Arbitration Rules, and judgment on the award rendered by the arbitrator may be entered in any court having jurisdiction thereof.</w:t>
      </w:r>
    </w:p>
    <w:p>
      <w:pPr>
        <w:spacing w:after="0" w:line="142" w:lineRule="exact"/>
        <w:rPr>
          <w:rFonts w:ascii="Arial" w:cs="Arial" w:eastAsia="Arial" w:hAnsi="Arial"/>
          <w:sz w:val="19"/>
          <w:szCs w:val="19"/>
          <w:color w:val="010000"/>
        </w:rPr>
      </w:pPr>
    </w:p>
    <w:p>
      <w:pPr>
        <w:ind w:left="-8" w:right="120" w:firstLine="1952"/>
        <w:spacing w:after="0" w:line="288" w:lineRule="auto"/>
        <w:tabs>
          <w:tab w:leader="none" w:pos="2314" w:val="left"/>
        </w:tabs>
        <w:numPr>
          <w:ilvl w:val="2"/>
          <w:numId w:val="343"/>
        </w:numPr>
        <w:rPr>
          <w:rFonts w:ascii="Arial" w:cs="Arial" w:eastAsia="Arial" w:hAnsi="Arial"/>
          <w:sz w:val="19"/>
          <w:szCs w:val="19"/>
          <w:color w:val="010000"/>
        </w:rPr>
      </w:pPr>
      <w:r>
        <w:rPr>
          <w:rFonts w:ascii="Arial" w:cs="Arial" w:eastAsia="Arial" w:hAnsi="Arial"/>
          <w:sz w:val="19"/>
          <w:szCs w:val="19"/>
          <w:color w:val="auto"/>
        </w:rPr>
        <w:t>Except the extent that the Company seeks injunctive relief pursuant to Section 10 of this Agreement, any claim initiated by the Company arising out of or relating to this Agreement, or the breach thereof, or Employee’s employment, or the termination thereof, shall, at the election of the Company be resolved in accordance with Section 11(l)(ii) or</w:t>
      </w:r>
    </w:p>
    <w:p>
      <w:pPr>
        <w:ind w:left="372" w:hanging="372"/>
        <w:spacing w:after="0"/>
        <w:tabs>
          <w:tab w:leader="none" w:pos="372" w:val="left"/>
        </w:tabs>
        <w:numPr>
          <w:ilvl w:val="0"/>
          <w:numId w:val="344"/>
        </w:numPr>
        <w:rPr>
          <w:rFonts w:ascii="Arial" w:cs="Arial" w:eastAsia="Arial" w:hAnsi="Arial"/>
          <w:sz w:val="22"/>
          <w:szCs w:val="22"/>
          <w:color w:val="auto"/>
        </w:rPr>
      </w:pPr>
      <w:r>
        <w:rPr>
          <w:rFonts w:ascii="Arial" w:cs="Arial" w:eastAsia="Arial" w:hAnsi="Arial"/>
          <w:sz w:val="22"/>
          <w:szCs w:val="22"/>
          <w:color w:val="auto"/>
        </w:rPr>
        <w:t>of this Agreement.</w:t>
      </w:r>
    </w:p>
    <w:p>
      <w:pPr>
        <w:spacing w:after="0" w:line="201" w:lineRule="exact"/>
        <w:rPr>
          <w:rFonts w:ascii="Arial" w:cs="Arial" w:eastAsia="Arial" w:hAnsi="Arial"/>
          <w:sz w:val="22"/>
          <w:szCs w:val="22"/>
          <w:color w:val="auto"/>
        </w:rPr>
      </w:pPr>
    </w:p>
    <w:p>
      <w:pPr>
        <w:ind w:left="-8" w:firstLine="1952"/>
        <w:spacing w:after="0" w:line="287" w:lineRule="auto"/>
        <w:tabs>
          <w:tab w:leader="none" w:pos="2302" w:val="left"/>
        </w:tabs>
        <w:numPr>
          <w:ilvl w:val="2"/>
          <w:numId w:val="344"/>
        </w:numPr>
        <w:rPr>
          <w:rFonts w:ascii="Arial" w:cs="Arial" w:eastAsia="Arial" w:hAnsi="Arial"/>
          <w:sz w:val="19"/>
          <w:szCs w:val="19"/>
          <w:color w:val="010000"/>
        </w:rPr>
      </w:pPr>
      <w:r>
        <w:rPr>
          <w:rFonts w:ascii="Arial" w:cs="Arial" w:eastAsia="Arial" w:hAnsi="Arial"/>
          <w:sz w:val="19"/>
          <w:szCs w:val="19"/>
          <w:color w:val="auto"/>
        </w:rPr>
        <w:t xml:space="preserve">Employee hereby irrevocably submits to the jurisdiction of any state or federal court located in the State of Delaware;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herein shall preclude the Company from bringing any suit, action or proceeding in any other court for the purposes of enforcing the provisions of this Section 11(l) or enforcing any judgment or award obtained by the Company. Employee waives, to the fullest extent permitted by applicable law, any objection which he now or hereafter has to personal jurisdiction or to the laying of venue of any such suit, action or proceeding brought in an applicable court described in this Section 11(l)(iv), and agrees that he shall not attempt to deny or defeat such personal jurisdiction by motion or other request for leave from any court. Employee agrees that, to the fullest extent permitted by applicable law, a final and non-appealable judgment in any suit, action or proceeding brought in any applicable court described in this Section 11(l)(iv) shall be conclusive and binding upon Employee and may be enforced in any other jurisdiction. EMPLOYEE EXPRESSLY AND KNOWINGLY WAIVES ANY RIGHT TO A JURY TRIAL IN THE EVENT THAT ANY ACTION ARISING OUT OF OR RELATING TO THIS AGREEMENT OR THE BREACH HEREOF, OR EMPLOYEE’S EMPLOYMENT, OR THE TERMINATION THEREOF, IS LITIGATED OR HEARD IN ANY COURT.</w:t>
      </w:r>
    </w:p>
    <w:p>
      <w:pPr>
        <w:spacing w:after="0" w:line="200" w:lineRule="exact"/>
        <w:rPr>
          <w:rFonts w:ascii="Arial" w:cs="Arial" w:eastAsia="Arial" w:hAnsi="Arial"/>
          <w:sz w:val="19"/>
          <w:szCs w:val="19"/>
          <w:color w:val="010000"/>
        </w:rPr>
      </w:pPr>
    </w:p>
    <w:p>
      <w:pPr>
        <w:spacing w:after="0" w:line="219" w:lineRule="exact"/>
        <w:rPr>
          <w:rFonts w:ascii="Arial" w:cs="Arial" w:eastAsia="Arial" w:hAnsi="Arial"/>
          <w:sz w:val="19"/>
          <w:szCs w:val="19"/>
          <w:color w:val="010000"/>
        </w:rPr>
      </w:pPr>
    </w:p>
    <w:p>
      <w:pPr>
        <w:ind w:left="-8" w:right="20" w:firstLine="1952"/>
        <w:spacing w:after="0" w:line="253" w:lineRule="auto"/>
        <w:tabs>
          <w:tab w:leader="none" w:pos="2242" w:val="left"/>
        </w:tabs>
        <w:numPr>
          <w:ilvl w:val="2"/>
          <w:numId w:val="344"/>
        </w:numPr>
        <w:rPr>
          <w:rFonts w:ascii="Arial" w:cs="Arial" w:eastAsia="Arial" w:hAnsi="Arial"/>
          <w:sz w:val="22"/>
          <w:szCs w:val="22"/>
          <w:color w:val="010000"/>
        </w:rPr>
      </w:pPr>
      <w:r>
        <w:rPr>
          <w:rFonts w:ascii="Arial" w:cs="Arial" w:eastAsia="Arial" w:hAnsi="Arial"/>
          <w:sz w:val="22"/>
          <w:szCs w:val="22"/>
          <w:color w:val="auto"/>
        </w:rPr>
        <w:t>The prevailing party shall be entitled to recover all legal fees and costs (including reasonable attorney’s fees and the fees of experts) from the losing party in connection with any claim arising under this Agreement or Employee’s employment hereunder.</w:t>
      </w:r>
    </w:p>
    <w:p>
      <w:pPr>
        <w:spacing w:after="0" w:line="185" w:lineRule="exact"/>
        <w:rPr>
          <w:rFonts w:ascii="Arial" w:cs="Arial" w:eastAsia="Arial" w:hAnsi="Arial"/>
          <w:sz w:val="22"/>
          <w:szCs w:val="22"/>
          <w:color w:val="010000"/>
        </w:rPr>
      </w:pPr>
    </w:p>
    <w:p>
      <w:pPr>
        <w:ind w:left="-8" w:right="520" w:firstLine="1304"/>
        <w:spacing w:after="0" w:line="263" w:lineRule="auto"/>
        <w:tabs>
          <w:tab w:leader="none" w:pos="1654" w:val="left"/>
        </w:tabs>
        <w:numPr>
          <w:ilvl w:val="1"/>
          <w:numId w:val="344"/>
        </w:numPr>
        <w:rPr>
          <w:rFonts w:ascii="Arial" w:cs="Arial" w:eastAsia="Arial" w:hAnsi="Arial"/>
          <w:sz w:val="22"/>
          <w:szCs w:val="22"/>
          <w:color w:val="010000"/>
        </w:rPr>
      </w:pPr>
      <w:r>
        <w:rPr>
          <w:rFonts w:ascii="Arial" w:cs="Arial" w:eastAsia="Arial" w:hAnsi="Arial"/>
          <w:sz w:val="22"/>
          <w:szCs w:val="22"/>
          <w:u w:val="single" w:color="auto"/>
          <w:color w:val="auto"/>
        </w:rPr>
        <w:t>Section 409A</w:t>
      </w:r>
      <w:r>
        <w:rPr>
          <w:rFonts w:ascii="Arial" w:cs="Arial" w:eastAsia="Arial" w:hAnsi="Arial"/>
          <w:sz w:val="22"/>
          <w:szCs w:val="22"/>
          <w:color w:val="auto"/>
        </w:rPr>
        <w:t>. (i) It is intended that the provisions of this Agreement comply with Section 409A, and all provisions of this Agreement shall be construed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192"/>
          </w:cols>
          <w:pgMar w:left="328" w:top="1265" w:right="379" w:bottom="1440" w:gutter="0" w:footer="0" w:header="0"/>
        </w:sectPr>
      </w:pPr>
    </w:p>
    <w:bookmarkStart w:id="402" w:name="page403"/>
    <w:bookmarkEnd w:id="402"/>
    <w:p>
      <w:pPr>
        <w:spacing w:after="0"/>
        <w:rPr>
          <w:sz w:val="20"/>
          <w:szCs w:val="20"/>
          <w:color w:val="auto"/>
        </w:rPr>
      </w:pPr>
      <w:r>
        <w:rPr>
          <w:rFonts w:ascii="Arial" w:cs="Arial" w:eastAsia="Arial" w:hAnsi="Arial"/>
          <w:sz w:val="22"/>
          <w:szCs w:val="22"/>
          <w:color w:val="auto"/>
        </w:rPr>
        <w:t>interpreted in a manner consistent with the requirements for avoiding taxes or penalties under Section 409A.</w:t>
      </w:r>
    </w:p>
    <w:p>
      <w:pPr>
        <w:spacing w:after="0" w:line="220" w:lineRule="exact"/>
        <w:rPr>
          <w:sz w:val="20"/>
          <w:szCs w:val="20"/>
          <w:color w:val="auto"/>
        </w:rPr>
      </w:pPr>
    </w:p>
    <w:p>
      <w:pPr>
        <w:ind w:firstLine="1952"/>
        <w:spacing w:after="0" w:line="260" w:lineRule="auto"/>
        <w:tabs>
          <w:tab w:leader="none" w:pos="2262" w:val="left"/>
        </w:tabs>
        <w:numPr>
          <w:ilvl w:val="0"/>
          <w:numId w:val="345"/>
        </w:numPr>
        <w:rPr>
          <w:rFonts w:ascii="Arial" w:cs="Arial" w:eastAsia="Arial" w:hAnsi="Arial"/>
          <w:sz w:val="21"/>
          <w:szCs w:val="21"/>
          <w:color w:val="010000"/>
        </w:rPr>
      </w:pPr>
      <w:r>
        <w:rPr>
          <w:rFonts w:ascii="Arial" w:cs="Arial" w:eastAsia="Arial" w:hAnsi="Arial"/>
          <w:sz w:val="21"/>
          <w:szCs w:val="21"/>
          <w:color w:val="auto"/>
        </w:rPr>
        <w:t>Neither Employee nor any of his creditors or beneficiaries shall have the right to subject any deferred compensation (within the meaning of Section 409A) payable under this Agreement or under any other plan, policy, arrangement or agreement of or with the Company or any of its affiliates (this Agreement and such other plans, policies, arrangements and agreements, the “</w:t>
      </w:r>
      <w:r>
        <w:rPr>
          <w:rFonts w:ascii="Arial" w:cs="Arial" w:eastAsia="Arial" w:hAnsi="Arial"/>
          <w:sz w:val="21"/>
          <w:szCs w:val="21"/>
          <w:u w:val="single" w:color="auto"/>
          <w:color w:val="auto"/>
        </w:rPr>
        <w:t>Company Plans</w:t>
      </w:r>
      <w:r>
        <w:rPr>
          <w:rFonts w:ascii="Arial" w:cs="Arial" w:eastAsia="Arial" w:hAnsi="Arial"/>
          <w:sz w:val="21"/>
          <w:szCs w:val="21"/>
          <w:color w:val="auto"/>
        </w:rPr>
        <w:t>”) to any anticipation, alienation, sale, transfer, assignment, pledge, encumbrance, attachment or garnishment. Except as permitted under Section 409A, any deferred compensation (within the meaning of Section 409A) payable to Employee or for Employee’s benefit under any Company Plan may not be reduced by, or offset against, any amount owing by Employee to the Company or any of its affiliates.</w:t>
      </w:r>
    </w:p>
    <w:p>
      <w:pPr>
        <w:spacing w:after="0" w:line="180" w:lineRule="exact"/>
        <w:rPr>
          <w:rFonts w:ascii="Arial" w:cs="Arial" w:eastAsia="Arial" w:hAnsi="Arial"/>
          <w:sz w:val="21"/>
          <w:szCs w:val="21"/>
          <w:color w:val="010000"/>
        </w:rPr>
      </w:pPr>
    </w:p>
    <w:p>
      <w:pPr>
        <w:ind w:right="100" w:firstLine="1952"/>
        <w:spacing w:after="0" w:line="258" w:lineRule="auto"/>
        <w:tabs>
          <w:tab w:leader="none" w:pos="2322" w:val="left"/>
        </w:tabs>
        <w:numPr>
          <w:ilvl w:val="0"/>
          <w:numId w:val="345"/>
        </w:numPr>
        <w:rPr>
          <w:rFonts w:ascii="Arial" w:cs="Arial" w:eastAsia="Arial" w:hAnsi="Arial"/>
          <w:sz w:val="21"/>
          <w:szCs w:val="21"/>
          <w:color w:val="010000"/>
        </w:rPr>
      </w:pPr>
      <w:r>
        <w:rPr>
          <w:rFonts w:ascii="Arial" w:cs="Arial" w:eastAsia="Arial" w:hAnsi="Arial"/>
          <w:sz w:val="21"/>
          <w:szCs w:val="21"/>
          <w:color w:val="auto"/>
        </w:rPr>
        <w:t>If, at the time of Employee’s separation from service (within the meaning of Section 409A), (i) Employee shall be a specified employee (within the meaning of Section 409A and using the identification methodology selected by the Company from time to time) and (ii) the Company shall make a good faith determination that an amount payable under a Company Plan constitutes deferred compensation (within the meaning of Section 409A) the payment of which is required to be delayed pursuant to the six-month delay rule set forth in Section 409A in order to avoid taxes or penalties under Section 409A, then the Company (or its affiliate, as applicable) shall not pay such amount on the otherwise scheduled payment date but shall instead accumulate such amount and pay it on the first business day after such six-month period. To the extent required in order to avoid accelerated taxation and/or tax penalties under Section 409A, Employee shall not be considered to have terminated employment with the Company for purposes of this Agreement and no payment shall be due to Employee under this Agreement until Employee would be considered to have incurred a “separation from service” from the Company within the meaning of Section 409A.</w:t>
      </w:r>
    </w:p>
    <w:p>
      <w:pPr>
        <w:spacing w:after="0" w:line="181" w:lineRule="exact"/>
        <w:rPr>
          <w:rFonts w:ascii="Arial" w:cs="Arial" w:eastAsia="Arial" w:hAnsi="Arial"/>
          <w:sz w:val="21"/>
          <w:szCs w:val="21"/>
          <w:color w:val="010000"/>
        </w:rPr>
      </w:pPr>
    </w:p>
    <w:p>
      <w:pPr>
        <w:ind w:firstLine="1952"/>
        <w:spacing w:after="0" w:line="260" w:lineRule="auto"/>
        <w:tabs>
          <w:tab w:leader="none" w:pos="2310" w:val="left"/>
        </w:tabs>
        <w:numPr>
          <w:ilvl w:val="0"/>
          <w:numId w:val="345"/>
        </w:numPr>
        <w:rPr>
          <w:rFonts w:ascii="Arial" w:cs="Arial" w:eastAsia="Arial" w:hAnsi="Arial"/>
          <w:sz w:val="21"/>
          <w:szCs w:val="21"/>
          <w:color w:val="010000"/>
        </w:rPr>
      </w:pPr>
      <w:r>
        <w:rPr>
          <w:rFonts w:ascii="Arial" w:cs="Arial" w:eastAsia="Arial" w:hAnsi="Arial"/>
          <w:sz w:val="21"/>
          <w:szCs w:val="21"/>
          <w:color w:val="auto"/>
        </w:rPr>
        <w:t>Notwithstanding any provision of this Agreement or any Company Plan to the contrary, in light of the uncertainty with respect to the proper application of Section 409A, the Company reserves the right to make amendments to any Company Plan as the Company deems necessary or desirable to avoid the imposition of taxes or penalties under Section 409A. In any case, Employee is solely responsible and liable for the satisfaction of all taxes and penalties that may be imposed on Employee or for Employee’s account in connection with any Company Plan (including any taxes and penalties under Section 409A), and neither the Company nor any affiliate shall have any obligation to indemnify or otherwise hold Employee harmless from any or all of such taxes or penalties.</w:t>
      </w:r>
    </w:p>
    <w:p>
      <w:pPr>
        <w:spacing w:after="0" w:line="180" w:lineRule="exact"/>
        <w:rPr>
          <w:rFonts w:ascii="Arial" w:cs="Arial" w:eastAsia="Arial" w:hAnsi="Arial"/>
          <w:sz w:val="21"/>
          <w:szCs w:val="21"/>
          <w:color w:val="010000"/>
        </w:rPr>
      </w:pPr>
    </w:p>
    <w:p>
      <w:pPr>
        <w:ind w:right="340" w:firstLine="1952"/>
        <w:spacing w:after="0" w:line="263" w:lineRule="auto"/>
        <w:tabs>
          <w:tab w:leader="none" w:pos="2250" w:val="left"/>
        </w:tabs>
        <w:numPr>
          <w:ilvl w:val="0"/>
          <w:numId w:val="345"/>
        </w:numPr>
        <w:rPr>
          <w:rFonts w:ascii="Arial" w:cs="Arial" w:eastAsia="Arial" w:hAnsi="Arial"/>
          <w:sz w:val="22"/>
          <w:szCs w:val="22"/>
          <w:color w:val="010000"/>
        </w:rPr>
      </w:pPr>
      <w:r>
        <w:rPr>
          <w:rFonts w:ascii="Arial" w:cs="Arial" w:eastAsia="Arial" w:hAnsi="Arial"/>
          <w:sz w:val="22"/>
          <w:szCs w:val="22"/>
          <w:color w:val="auto"/>
        </w:rPr>
        <w:t>For purposes of Section 409A, each payment hereunder will be deemed to be a separate payment as permitted under Treasury Regulation Section 1.409A-2(b)(2)(iii).</w:t>
      </w:r>
    </w:p>
    <w:p>
      <w:pPr>
        <w:spacing w:after="0" w:line="174" w:lineRule="exact"/>
        <w:rPr>
          <w:rFonts w:ascii="Arial" w:cs="Arial" w:eastAsia="Arial" w:hAnsi="Arial"/>
          <w:sz w:val="22"/>
          <w:szCs w:val="22"/>
          <w:color w:val="010000"/>
        </w:rPr>
      </w:pPr>
    </w:p>
    <w:p>
      <w:pPr>
        <w:ind w:right="440" w:firstLine="1952"/>
        <w:spacing w:after="0" w:line="302" w:lineRule="auto"/>
        <w:tabs>
          <w:tab w:leader="none" w:pos="2310" w:val="left"/>
        </w:tabs>
        <w:numPr>
          <w:ilvl w:val="0"/>
          <w:numId w:val="345"/>
        </w:numPr>
        <w:rPr>
          <w:rFonts w:ascii="Arial" w:cs="Arial" w:eastAsia="Arial" w:hAnsi="Arial"/>
          <w:sz w:val="19"/>
          <w:szCs w:val="19"/>
          <w:color w:val="010000"/>
        </w:rPr>
      </w:pPr>
      <w:r>
        <w:rPr>
          <w:rFonts w:ascii="Arial" w:cs="Arial" w:eastAsia="Arial" w:hAnsi="Arial"/>
          <w:sz w:val="19"/>
          <w:szCs w:val="19"/>
          <w:color w:val="auto"/>
        </w:rPr>
        <w:t>Except as specifically permitted by Section 409A, any benefits and reimbursements provided to Employee under this Agreement during any calendar year shall not affect any benefits and reimbursements to be provided to Employee under this Agreement in any other calendar year, and the right to such benefits and reimbursements cannot be liquidated or exchanged for any other benefit. Furthermore, reimbursement payments shall be made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00"/>
          </w:cols>
          <w:pgMar w:left="320" w:top="1265" w:right="379" w:bottom="1440" w:gutter="0" w:footer="0" w:header="0"/>
        </w:sectPr>
      </w:pPr>
    </w:p>
    <w:bookmarkStart w:id="403" w:name="page404"/>
    <w:bookmarkEnd w:id="403"/>
    <w:p>
      <w:pPr>
        <w:spacing w:after="0" w:line="263" w:lineRule="auto"/>
        <w:rPr>
          <w:sz w:val="20"/>
          <w:szCs w:val="20"/>
          <w:color w:val="auto"/>
        </w:rPr>
      </w:pPr>
      <w:r>
        <w:rPr>
          <w:rFonts w:ascii="Arial" w:cs="Arial" w:eastAsia="Arial" w:hAnsi="Arial"/>
          <w:sz w:val="22"/>
          <w:szCs w:val="22"/>
          <w:color w:val="auto"/>
        </w:rPr>
        <w:t>Employee as soon as practicable following the date that the applicable expense is incurred, but in no event later than the last day of the calendar year following the calendar year in which the underlying expense is incurred.</w:t>
      </w:r>
    </w:p>
    <w:p>
      <w:pPr>
        <w:spacing w:after="0" w:line="175" w:lineRule="exact"/>
        <w:rPr>
          <w:sz w:val="20"/>
          <w:szCs w:val="20"/>
          <w:color w:val="auto"/>
        </w:rPr>
      </w:pPr>
    </w:p>
    <w:p>
      <w:pPr>
        <w:ind w:right="20" w:firstLine="1304"/>
        <w:spacing w:after="0" w:line="302" w:lineRule="auto"/>
        <w:tabs>
          <w:tab w:leader="none" w:pos="1602" w:val="left"/>
        </w:tabs>
        <w:numPr>
          <w:ilvl w:val="0"/>
          <w:numId w:val="346"/>
        </w:numPr>
        <w:rPr>
          <w:rFonts w:ascii="Arial" w:cs="Arial" w:eastAsia="Arial" w:hAnsi="Arial"/>
          <w:sz w:val="19"/>
          <w:szCs w:val="19"/>
          <w:color w:val="010000"/>
        </w:rPr>
      </w:pPr>
      <w:r>
        <w:rPr>
          <w:rFonts w:ascii="Arial" w:cs="Arial" w:eastAsia="Arial" w:hAnsi="Arial"/>
          <w:sz w:val="19"/>
          <w:szCs w:val="19"/>
          <w:u w:val="single" w:color="auto"/>
          <w:color w:val="auto"/>
        </w:rPr>
        <w:t>Section 105(h)</w:t>
      </w:r>
      <w:r>
        <w:rPr>
          <w:rFonts w:ascii="Arial" w:cs="Arial" w:eastAsia="Arial" w:hAnsi="Arial"/>
          <w:sz w:val="19"/>
          <w:szCs w:val="19"/>
          <w:color w:val="auto"/>
        </w:rPr>
        <w:t>. Notwithstanding any provision of this Agreement to the contrary, to the extent necessary to satisfy Section 105(h) of the Code, the Company will be permitted to alter the manner in which medical benefits are provided to Employee following termination of Employee’s employment, provided that the after-tax cost to Employee of such benefits shall not be greater than the cost applicable to similarly situated executives of the Company who have not terminated employment.</w:t>
      </w:r>
    </w:p>
    <w:p>
      <w:pPr>
        <w:spacing w:after="0" w:line="142" w:lineRule="exact"/>
        <w:rPr>
          <w:rFonts w:ascii="Arial" w:cs="Arial" w:eastAsia="Arial" w:hAnsi="Arial"/>
          <w:sz w:val="19"/>
          <w:szCs w:val="19"/>
          <w:color w:val="010000"/>
        </w:rPr>
      </w:pPr>
    </w:p>
    <w:p>
      <w:pPr>
        <w:jc w:val="both"/>
        <w:ind w:right="340" w:firstLine="1304"/>
        <w:spacing w:after="0" w:line="253" w:lineRule="auto"/>
        <w:tabs>
          <w:tab w:leader="none" w:pos="1602" w:val="left"/>
        </w:tabs>
        <w:numPr>
          <w:ilvl w:val="0"/>
          <w:numId w:val="346"/>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an original, but all of which shall constitute one and the same instrument. Signatures delivered by facsimile or electronic means (including by “pdf”) shall be deemed effective for all purposes.</w:t>
      </w:r>
    </w:p>
    <w:p>
      <w:pPr>
        <w:spacing w:after="0" w:line="185" w:lineRule="exact"/>
        <w:rPr>
          <w:rFonts w:ascii="Arial" w:cs="Arial" w:eastAsia="Arial" w:hAnsi="Arial"/>
          <w:sz w:val="22"/>
          <w:szCs w:val="22"/>
          <w:color w:val="010000"/>
        </w:rPr>
      </w:pPr>
    </w:p>
    <w:p>
      <w:pPr>
        <w:ind w:right="220" w:firstLine="1304"/>
        <w:spacing w:after="0" w:line="263" w:lineRule="auto"/>
        <w:tabs>
          <w:tab w:leader="none" w:pos="1602" w:val="left"/>
        </w:tabs>
        <w:numPr>
          <w:ilvl w:val="0"/>
          <w:numId w:val="346"/>
        </w:numPr>
        <w:rPr>
          <w:rFonts w:ascii="Arial" w:cs="Arial" w:eastAsia="Arial" w:hAnsi="Arial"/>
          <w:sz w:val="22"/>
          <w:szCs w:val="22"/>
          <w:color w:val="010000"/>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Agreement are inserted for convenience of reference only and shall not be a part of or control or affect the meaning of any provision hereof.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100"/>
          </w:cols>
          <w:pgMar w:left="320" w:top="1265" w:right="479" w:bottom="1440" w:gutter="0" w:footer="0" w:header="0"/>
        </w:sectPr>
      </w:pPr>
    </w:p>
    <w:bookmarkStart w:id="404" w:name="page405"/>
    <w:bookmarkEnd w:id="404"/>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pacing w:after="0" w:line="29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XPO Logistics, inc.</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/s/ Meghan 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24130</wp:posOffset>
            </wp:positionV>
            <wp:extent cx="29057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51"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Meghan Henson</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Chief Human Resources Officer</w:t>
      </w:r>
    </w:p>
    <w:p>
      <w:pPr>
        <w:spacing w:after="0" w:line="161"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/s/ Troy A.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24130</wp:posOffset>
            </wp:positionV>
            <wp:extent cx="29057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38" w:lineRule="exact"/>
        <w:rPr>
          <w:sz w:val="20"/>
          <w:szCs w:val="20"/>
          <w:color w:val="auto"/>
        </w:rPr>
      </w:pPr>
    </w:p>
    <w:p>
      <w:pPr>
        <w:ind w:left="7600"/>
        <w:spacing w:after="0"/>
        <w:rPr>
          <w:sz w:val="20"/>
          <w:szCs w:val="20"/>
          <w:color w:val="auto"/>
        </w:rPr>
      </w:pPr>
      <w:r>
        <w:rPr>
          <w:rFonts w:ascii="Arial" w:cs="Arial" w:eastAsia="Arial" w:hAnsi="Arial"/>
          <w:sz w:val="22"/>
          <w:szCs w:val="22"/>
          <w:color w:val="auto"/>
        </w:rPr>
        <w:t>Troy A. Cooper</w:t>
      </w:r>
    </w:p>
    <w:p>
      <w:pPr>
        <w:sectPr>
          <w:pgSz w:w="11900" w:h="16838" w:orient="portrait"/>
          <w:cols w:equalWidth="0" w:num="1">
            <w:col w:w="9479"/>
          </w:cols>
          <w:pgMar w:left="980" w:top="1427" w:right="1440" w:bottom="1440" w:gutter="0" w:footer="0" w:header="0"/>
        </w:sectPr>
      </w:pPr>
    </w:p>
    <w:bookmarkStart w:id="405" w:name="page406"/>
    <w:bookmarkEnd w:id="405"/>
    <w:tbl>
      <w:tblPr>
        <w:tblLayout w:type="fixed"/>
        <w:tblInd w:w="10" w:type="dxa"/>
        <w:tblCellMar>
          <w:top w:w="0" w:type="dxa"/>
          <w:left w:w="0" w:type="dxa"/>
          <w:bottom w:w="0" w:type="dxa"/>
          <w:right w:w="0" w:type="dxa"/>
        </w:tblCellMar>
      </w:tblPr>
      <w:tr>
        <w:trPr>
          <w:trHeight w:val="253"/>
        </w:trPr>
        <w:tc>
          <w:tcPr>
            <w:tcW w:w="29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5960" w:type="dxa"/>
            <w:vAlign w:val="bottom"/>
            <w:gridSpan w:val="2"/>
          </w:tcPr>
          <w:p>
            <w:pPr>
              <w:jc w:val="center"/>
              <w:ind w:right="4880"/>
              <w:spacing w:after="0"/>
              <w:rPr>
                <w:sz w:val="20"/>
                <w:szCs w:val="20"/>
                <w:color w:val="auto"/>
              </w:rPr>
            </w:pPr>
            <w:r>
              <w:rPr>
                <w:rFonts w:ascii="Arial" w:cs="Arial" w:eastAsia="Arial" w:hAnsi="Arial"/>
                <w:sz w:val="22"/>
                <w:szCs w:val="22"/>
                <w:color w:val="auto"/>
              </w:rPr>
              <w:t>EXHIBIT A</w:t>
            </w:r>
          </w:p>
        </w:tc>
      </w:tr>
      <w:tr>
        <w:trPr>
          <w:trHeight w:val="20"/>
        </w:trPr>
        <w:tc>
          <w:tcPr>
            <w:tcW w:w="2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517"/>
        </w:trPr>
        <w:tc>
          <w:tcPr>
            <w:tcW w:w="2980" w:type="dxa"/>
            <w:vAlign w:val="bottom"/>
          </w:tcPr>
          <w:p>
            <w:pPr>
              <w:spacing w:after="0"/>
              <w:rPr>
                <w:sz w:val="24"/>
                <w:szCs w:val="24"/>
                <w:color w:val="auto"/>
              </w:rPr>
            </w:pPr>
          </w:p>
        </w:tc>
        <w:tc>
          <w:tcPr>
            <w:tcW w:w="8060" w:type="dxa"/>
            <w:vAlign w:val="bottom"/>
            <w:gridSpan w:val="3"/>
          </w:tcPr>
          <w:p>
            <w:pPr>
              <w:jc w:val="center"/>
              <w:ind w:right="2780"/>
              <w:spacing w:after="0"/>
              <w:rPr>
                <w:sz w:val="20"/>
                <w:szCs w:val="20"/>
                <w:color w:val="auto"/>
              </w:rPr>
            </w:pPr>
            <w:r>
              <w:rPr>
                <w:rFonts w:ascii="Arial" w:cs="Arial" w:eastAsia="Arial" w:hAnsi="Arial"/>
                <w:sz w:val="22"/>
                <w:szCs w:val="22"/>
                <w:color w:val="auto"/>
                <w:w w:val="92"/>
              </w:rPr>
              <w:t>TROY A. COOPER</w:t>
            </w:r>
          </w:p>
        </w:tc>
      </w:tr>
      <w:tr>
        <w:trPr>
          <w:trHeight w:val="98"/>
        </w:trPr>
        <w:tc>
          <w:tcPr>
            <w:tcW w:w="2980" w:type="dxa"/>
            <w:vAlign w:val="bottom"/>
            <w:tcBorders>
              <w:bottom w:val="single" w:sz="8" w:color="auto"/>
            </w:tcBorders>
          </w:tcPr>
          <w:p>
            <w:pPr>
              <w:spacing w:after="0"/>
              <w:rPr>
                <w:sz w:val="8"/>
                <w:szCs w:val="8"/>
                <w:color w:val="auto"/>
              </w:rPr>
            </w:pPr>
          </w:p>
        </w:tc>
        <w:tc>
          <w:tcPr>
            <w:tcW w:w="8060" w:type="dxa"/>
            <w:vAlign w:val="bottom"/>
            <w:tcBorders>
              <w:bottom w:val="single" w:sz="8" w:color="auto"/>
            </w:tcBorders>
            <w:gridSpan w:val="3"/>
          </w:tcPr>
          <w:p>
            <w:pPr>
              <w:spacing w:after="0"/>
              <w:rPr>
                <w:sz w:val="8"/>
                <w:szCs w:val="8"/>
                <w:color w:val="auto"/>
              </w:rPr>
            </w:pPr>
          </w:p>
        </w:tc>
      </w:tr>
      <w:tr>
        <w:trPr>
          <w:trHeight w:val="284"/>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Start Date:</w:t>
            </w:r>
          </w:p>
        </w:tc>
        <w:tc>
          <w:tcPr>
            <w:tcW w:w="80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July 31, 2020</w:t>
            </w:r>
          </w:p>
        </w:tc>
      </w:tr>
      <w:tr>
        <w:trPr>
          <w:trHeight w:val="291"/>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Employee:</w:t>
            </w:r>
          </w:p>
        </w:tc>
        <w:tc>
          <w:tcPr>
            <w:tcW w:w="80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Troy A. Cooper</w:t>
            </w:r>
          </w:p>
        </w:tc>
      </w:tr>
      <w:tr>
        <w:trPr>
          <w:trHeight w:val="290"/>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Position:</w:t>
            </w:r>
          </w:p>
        </w:tc>
        <w:tc>
          <w:tcPr>
            <w:tcW w:w="80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President of the Company</w:t>
            </w:r>
          </w:p>
        </w:tc>
      </w:tr>
      <w:tr>
        <w:trPr>
          <w:trHeight w:val="291"/>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Reporting Person:</w:t>
            </w:r>
          </w:p>
        </w:tc>
        <w:tc>
          <w:tcPr>
            <w:tcW w:w="80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Chief Executive Officer of the Company</w:t>
            </w:r>
          </w:p>
        </w:tc>
      </w:tr>
      <w:tr>
        <w:trPr>
          <w:trHeight w:val="290"/>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Base Salary:</w:t>
            </w:r>
          </w:p>
        </w:tc>
        <w:tc>
          <w:tcPr>
            <w:tcW w:w="21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$650,000</w:t>
            </w:r>
          </w:p>
        </w:tc>
        <w:tc>
          <w:tcPr>
            <w:tcW w:w="1080" w:type="dxa"/>
            <w:vAlign w:val="bottom"/>
            <w:tcBorders>
              <w:bottom w:val="single" w:sz="8" w:color="auto"/>
            </w:tcBorders>
          </w:tcPr>
          <w:p>
            <w:pPr>
              <w:spacing w:after="0"/>
              <w:rPr>
                <w:sz w:val="24"/>
                <w:szCs w:val="24"/>
                <w:color w:val="auto"/>
              </w:rPr>
            </w:pPr>
          </w:p>
        </w:tc>
        <w:tc>
          <w:tcPr>
            <w:tcW w:w="4880" w:type="dxa"/>
            <w:vAlign w:val="bottom"/>
            <w:tcBorders>
              <w:bottom w:val="single" w:sz="8" w:color="auto"/>
              <w:right w:val="single" w:sz="8" w:color="auto"/>
            </w:tcBorders>
          </w:tcPr>
          <w:p>
            <w:pPr>
              <w:spacing w:after="0"/>
              <w:rPr>
                <w:sz w:val="24"/>
                <w:szCs w:val="24"/>
                <w:color w:val="auto"/>
              </w:rPr>
            </w:pPr>
          </w:p>
        </w:tc>
      </w:tr>
      <w:tr>
        <w:trPr>
          <w:trHeight w:val="291"/>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Target Bonus:</w:t>
            </w:r>
          </w:p>
        </w:tc>
        <w:tc>
          <w:tcPr>
            <w:tcW w:w="80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200% of Base Salary</w:t>
            </w:r>
          </w:p>
        </w:tc>
      </w:tr>
    </w:tbl>
    <w:p>
      <w:pPr>
        <w:sectPr>
          <w:pgSz w:w="11900" w:h="16838" w:orient="portrait"/>
          <w:cols w:equalWidth="0" w:num="1">
            <w:col w:w="11020"/>
          </w:cols>
          <w:pgMar w:left="320" w:top="1398" w:right="559" w:bottom="1440" w:gutter="0" w:footer="0" w:header="0"/>
        </w:sectPr>
      </w:pPr>
    </w:p>
    <w:bookmarkStart w:id="406" w:name="page407"/>
    <w:bookmarkEnd w:id="406"/>
    <w:p>
      <w:pPr>
        <w:jc w:val="right"/>
        <w:spacing w:after="0"/>
        <w:rPr>
          <w:sz w:val="20"/>
          <w:szCs w:val="20"/>
          <w:color w:val="auto"/>
        </w:rPr>
      </w:pPr>
      <w:r>
        <w:rPr>
          <w:rFonts w:ascii="Arial" w:cs="Arial" w:eastAsia="Arial" w:hAnsi="Arial"/>
          <w:sz w:val="22"/>
          <w:szCs w:val="22"/>
          <w:b w:val="1"/>
          <w:bCs w:val="1"/>
          <w:color w:val="auto"/>
        </w:rPr>
        <w:t>Exhibit 10.7</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26"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This Employment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xml:space="preserve">”), effective as of the date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Start Date</w:t>
      </w:r>
      <w:r>
        <w:rPr>
          <w:rFonts w:ascii="Arial" w:cs="Arial" w:eastAsia="Arial" w:hAnsi="Arial"/>
          <w:sz w:val="22"/>
          <w:szCs w:val="22"/>
          <w:color w:val="auto"/>
        </w:rPr>
        <w:t>”), by and between XPO Logistics, Inc., a Delaware corporation (together with its successors and assigns,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the individual named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w:t>
      </w:r>
      <w:r>
        <w:rPr>
          <w:rFonts w:ascii="Arial" w:cs="Arial" w:eastAsia="Arial" w:hAnsi="Arial"/>
          <w:sz w:val="22"/>
          <w:szCs w:val="22"/>
          <w:u w:val="single" w:color="auto"/>
          <w:color w:val="auto"/>
        </w:rPr>
        <w:t>Employee</w:t>
      </w:r>
      <w:r>
        <w:rPr>
          <w:rFonts w:ascii="Arial" w:cs="Arial" w:eastAsia="Arial" w:hAnsi="Arial"/>
          <w:sz w:val="22"/>
          <w:szCs w:val="22"/>
          <w:color w:val="auto"/>
        </w:rPr>
        <w:t>”).</w:t>
      </w:r>
    </w:p>
    <w:p>
      <w:pPr>
        <w:spacing w:after="0" w:line="185"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WHEREAS, the Company desires to continue to employ Employee and Employee desires to accept such employment with the Company, subject to the terms and conditions set forth herein.</w:t>
      </w:r>
    </w:p>
    <w:p>
      <w:pPr>
        <w:spacing w:after="0" w:line="175"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NOW, THEREFORE, in consideration of the premises and mutual covenants herein and for other good and valuable consideration, Employee and the Company agree as follows:</w:t>
      </w:r>
    </w:p>
    <w:p>
      <w:pPr>
        <w:spacing w:after="0" w:line="175" w:lineRule="exact"/>
        <w:rPr>
          <w:sz w:val="20"/>
          <w:szCs w:val="20"/>
          <w:color w:val="auto"/>
        </w:rPr>
      </w:pPr>
    </w:p>
    <w:p>
      <w:pPr>
        <w:ind w:right="100" w:firstLine="656"/>
        <w:spacing w:after="0" w:line="250" w:lineRule="auto"/>
        <w:tabs>
          <w:tab w:leader="none" w:pos="864" w:val="left"/>
        </w:tabs>
        <w:numPr>
          <w:ilvl w:val="0"/>
          <w:numId w:val="347"/>
        </w:numPr>
        <w:rPr>
          <w:rFonts w:ascii="Arial" w:cs="Arial" w:eastAsia="Arial" w:hAnsi="Arial"/>
          <w:sz w:val="22"/>
          <w:szCs w:val="22"/>
          <w:color w:val="010000"/>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Employee’s employment hereunder (the “</w:t>
      </w:r>
      <w:r>
        <w:rPr>
          <w:rFonts w:ascii="Arial" w:cs="Arial" w:eastAsia="Arial" w:hAnsi="Arial"/>
          <w:sz w:val="22"/>
          <w:szCs w:val="22"/>
          <w:u w:val="single" w:color="auto"/>
          <w:color w:val="auto"/>
        </w:rPr>
        <w:t>Term</w:t>
      </w:r>
      <w:r>
        <w:rPr>
          <w:rFonts w:ascii="Arial" w:cs="Arial" w:eastAsia="Arial" w:hAnsi="Arial"/>
          <w:sz w:val="22"/>
          <w:szCs w:val="22"/>
          <w:color w:val="auto"/>
        </w:rPr>
        <w:t>”) shall begin on the Start Date and end on the fourth anniversary of the Start Date. Notwithstanding the foregoing, the Term may be earlier terminated by either party in accordance with the terms of Section 5 of this Agreement, and the Term shall automatically expire on the last day of the Term (the “</w:t>
      </w:r>
      <w:r>
        <w:rPr>
          <w:rFonts w:ascii="Arial" w:cs="Arial" w:eastAsia="Arial" w:hAnsi="Arial"/>
          <w:sz w:val="22"/>
          <w:szCs w:val="22"/>
          <w:u w:val="single" w:color="auto"/>
          <w:color w:val="auto"/>
        </w:rPr>
        <w:t>Expiration Date</w:t>
      </w:r>
      <w:r>
        <w:rPr>
          <w:rFonts w:ascii="Arial" w:cs="Arial" w:eastAsia="Arial" w:hAnsi="Arial"/>
          <w:sz w:val="22"/>
          <w:szCs w:val="22"/>
          <w:color w:val="auto"/>
        </w:rPr>
        <w:t>”) without notice required by any party to the other.</w:t>
      </w:r>
    </w:p>
    <w:p>
      <w:pPr>
        <w:spacing w:after="0" w:line="187" w:lineRule="exact"/>
        <w:rPr>
          <w:rFonts w:ascii="Arial" w:cs="Arial" w:eastAsia="Arial" w:hAnsi="Arial"/>
          <w:sz w:val="22"/>
          <w:szCs w:val="22"/>
          <w:color w:val="010000"/>
        </w:rPr>
      </w:pPr>
    </w:p>
    <w:p>
      <w:pPr>
        <w:ind w:right="20" w:firstLine="656"/>
        <w:spacing w:after="0" w:line="286" w:lineRule="auto"/>
        <w:tabs>
          <w:tab w:leader="none" w:pos="864" w:val="left"/>
        </w:tabs>
        <w:numPr>
          <w:ilvl w:val="0"/>
          <w:numId w:val="347"/>
        </w:numPr>
        <w:rPr>
          <w:rFonts w:ascii="Arial" w:cs="Arial" w:eastAsia="Arial" w:hAnsi="Arial"/>
          <w:sz w:val="19"/>
          <w:szCs w:val="19"/>
          <w:color w:val="010000"/>
        </w:rPr>
      </w:pPr>
      <w:r>
        <w:rPr>
          <w:rFonts w:ascii="Arial" w:cs="Arial" w:eastAsia="Arial" w:hAnsi="Arial"/>
          <w:sz w:val="19"/>
          <w:szCs w:val="19"/>
          <w:u w:val="single" w:color="auto"/>
          <w:color w:val="auto"/>
        </w:rPr>
        <w:t>Employment Duties</w:t>
      </w:r>
      <w:r>
        <w:rPr>
          <w:rFonts w:ascii="Arial" w:cs="Arial" w:eastAsia="Arial" w:hAnsi="Arial"/>
          <w:sz w:val="19"/>
          <w:szCs w:val="19"/>
          <w:color w:val="auto"/>
        </w:rPr>
        <w:t xml:space="preserve">. During the Term, Employee shall serve in the position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excluding any periods of paid time-off or approved sick leave to which Employee is entitled, Employee shall devote his full working time, energy and attention to the performance of his duties and responsibilities hereunder and shall faithfully and diligently endeavor to promote the business and best interests of the Company. Employee shall perform such duties as are customarily performed by an individual in Employee’s position at a public company and as assigned from time to time by the individual or governing body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such individual’s successor, if he ceases to serve in his current position) or such individual’s designee (the “</w:t>
      </w:r>
      <w:r>
        <w:rPr>
          <w:rFonts w:ascii="Arial" w:cs="Arial" w:eastAsia="Arial" w:hAnsi="Arial"/>
          <w:sz w:val="19"/>
          <w:szCs w:val="19"/>
          <w:u w:val="single" w:color="auto"/>
          <w:color w:val="auto"/>
        </w:rPr>
        <w:t>Reporting Person</w:t>
      </w:r>
      <w:r>
        <w:rPr>
          <w:rFonts w:ascii="Arial" w:cs="Arial" w:eastAsia="Arial" w:hAnsi="Arial"/>
          <w:sz w:val="19"/>
          <w:szCs w:val="19"/>
          <w:color w:val="auto"/>
        </w:rPr>
        <w:t>”), and Employee shall report directly to the Reporting Person. During the Term, Employee may not, without the prior written consent of the Reporting Person, directly or indirectly, operate, participate in the management, operations or control of, or act as an employee, officer, consultant, partner, member, agent or representative of, any type of business or service other than as an employee and member of the Company. It shall not, however, be a violation of the foregoing provisions of this Section 2 for Employee to (a) serve as an officer or director or otherwise participate in non-profit, educational, social welfare, religious and civic organizations or (b) manage his personal, financial and legal affairs, in each case so long as any such activities do not unreasonably interfere with the performance of his duties and responsibilities to the Company.</w:t>
      </w:r>
    </w:p>
    <w:p>
      <w:pPr>
        <w:spacing w:after="0" w:line="165" w:lineRule="exact"/>
        <w:rPr>
          <w:rFonts w:ascii="Arial" w:cs="Arial" w:eastAsia="Arial" w:hAnsi="Arial"/>
          <w:sz w:val="19"/>
          <w:szCs w:val="19"/>
          <w:color w:val="010000"/>
        </w:rPr>
      </w:pPr>
    </w:p>
    <w:p>
      <w:pPr>
        <w:ind w:right="20" w:firstLine="656"/>
        <w:spacing w:after="0" w:line="302" w:lineRule="auto"/>
        <w:tabs>
          <w:tab w:leader="none" w:pos="864" w:val="left"/>
        </w:tabs>
        <w:numPr>
          <w:ilvl w:val="0"/>
          <w:numId w:val="347"/>
        </w:numPr>
        <w:rPr>
          <w:rFonts w:ascii="Arial" w:cs="Arial" w:eastAsia="Arial" w:hAnsi="Arial"/>
          <w:sz w:val="19"/>
          <w:szCs w:val="19"/>
          <w:color w:val="010000"/>
        </w:rPr>
      </w:pPr>
      <w:r>
        <w:rPr>
          <w:rFonts w:ascii="Arial" w:cs="Arial" w:eastAsia="Arial" w:hAnsi="Arial"/>
          <w:sz w:val="19"/>
          <w:szCs w:val="19"/>
          <w:u w:val="single" w:color="auto"/>
          <w:color w:val="auto"/>
        </w:rPr>
        <w:t>Compensation</w:t>
      </w:r>
      <w:r>
        <w:rPr>
          <w:rFonts w:ascii="Arial" w:cs="Arial" w:eastAsia="Arial" w:hAnsi="Arial"/>
          <w:sz w:val="19"/>
          <w:szCs w:val="19"/>
          <w:color w:val="auto"/>
        </w:rPr>
        <w:t xml:space="preserve">. (a) </w:t>
      </w:r>
      <w:r>
        <w:rPr>
          <w:rFonts w:ascii="Arial" w:cs="Arial" w:eastAsia="Arial" w:hAnsi="Arial"/>
          <w:sz w:val="19"/>
          <w:szCs w:val="19"/>
          <w:u w:val="single" w:color="auto"/>
          <w:color w:val="auto"/>
        </w:rPr>
        <w:t>Base Salary</w:t>
      </w:r>
      <w:r>
        <w:rPr>
          <w:rFonts w:ascii="Arial" w:cs="Arial" w:eastAsia="Arial" w:hAnsi="Arial"/>
          <w:sz w:val="19"/>
          <w:szCs w:val="19"/>
          <w:color w:val="auto"/>
        </w:rPr>
        <w:t xml:space="preserve">. During the Term, the Company shall pay Employee, pursuant to the Company’s normal and customary payroll procedures but not less frequently than monthly, a base salary at the rate per annum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Base Salary</w:t>
      </w:r>
      <w:r>
        <w:rPr>
          <w:rFonts w:ascii="Arial" w:cs="Arial" w:eastAsia="Arial" w:hAnsi="Arial"/>
          <w:sz w:val="19"/>
          <w:szCs w:val="19"/>
          <w:color w:val="auto"/>
        </w:rPr>
        <w:t>”). The Base Salary is subject to review annually throughout the Term by the Compensation Committee (the “</w:t>
      </w:r>
      <w:r>
        <w:rPr>
          <w:rFonts w:ascii="Arial" w:cs="Arial" w:eastAsia="Arial" w:hAnsi="Arial"/>
          <w:sz w:val="19"/>
          <w:szCs w:val="19"/>
          <w:u w:val="single" w:color="auto"/>
          <w:color w:val="auto"/>
        </w:rPr>
        <w:t>Compensation Committee</w:t>
      </w:r>
      <w:r>
        <w:rPr>
          <w:rFonts w:ascii="Arial" w:cs="Arial" w:eastAsia="Arial" w:hAnsi="Arial"/>
          <w:sz w:val="19"/>
          <w:szCs w:val="19"/>
          <w:color w:val="auto"/>
        </w:rPr>
        <w:t>”) of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in its sole discretion.</w:t>
      </w:r>
    </w:p>
    <w:p>
      <w:pPr>
        <w:sectPr>
          <w:pgSz w:w="11900" w:h="16838" w:orient="portrait"/>
          <w:cols w:equalWidth="0" w:num="1">
            <w:col w:w="11240"/>
          </w:cols>
          <w:pgMar w:left="320" w:top="125" w:right="339" w:bottom="1440" w:gutter="0" w:footer="0" w:header="0"/>
        </w:sectPr>
      </w:pPr>
    </w:p>
    <w:bookmarkStart w:id="407" w:name="page408"/>
    <w:bookmarkEnd w:id="407"/>
    <w:p>
      <w:pPr>
        <w:ind w:left="-40" w:right="40" w:firstLine="1304"/>
        <w:spacing w:after="0" w:line="286" w:lineRule="auto"/>
        <w:tabs>
          <w:tab w:leader="none" w:pos="1562" w:val="left"/>
        </w:tabs>
        <w:numPr>
          <w:ilvl w:val="1"/>
          <w:numId w:val="348"/>
        </w:numPr>
        <w:rPr>
          <w:rFonts w:ascii="Arial" w:cs="Arial" w:eastAsia="Arial" w:hAnsi="Arial"/>
          <w:sz w:val="19"/>
          <w:szCs w:val="19"/>
          <w:color w:val="010000"/>
        </w:rPr>
      </w:pPr>
      <w:r>
        <w:rPr>
          <w:rFonts w:ascii="Arial" w:cs="Arial" w:eastAsia="Arial" w:hAnsi="Arial"/>
          <w:sz w:val="19"/>
          <w:szCs w:val="19"/>
          <w:u w:val="single" w:color="auto"/>
          <w:color w:val="auto"/>
        </w:rPr>
        <w:t>Annual Bonus</w:t>
      </w:r>
      <w:r>
        <w:rPr>
          <w:rFonts w:ascii="Arial" w:cs="Arial" w:eastAsia="Arial" w:hAnsi="Arial"/>
          <w:sz w:val="19"/>
          <w:szCs w:val="19"/>
          <w:color w:val="auto"/>
        </w:rPr>
        <w:t>. As additional compensation, Employee shall have the opportunity to earn a performance-based bonus (the “</w:t>
      </w:r>
      <w:r>
        <w:rPr>
          <w:rFonts w:ascii="Arial" w:cs="Arial" w:eastAsia="Arial" w:hAnsi="Arial"/>
          <w:sz w:val="19"/>
          <w:szCs w:val="19"/>
          <w:u w:val="single" w:color="auto"/>
          <w:color w:val="auto"/>
        </w:rPr>
        <w:t>Annual Bonus</w:t>
      </w:r>
      <w:r>
        <w:rPr>
          <w:rFonts w:ascii="Arial" w:cs="Arial" w:eastAsia="Arial" w:hAnsi="Arial"/>
          <w:sz w:val="19"/>
          <w:szCs w:val="19"/>
          <w:color w:val="auto"/>
        </w:rPr>
        <w:t xml:space="preserve">”) for each year during the Term of Employee’s employment commencing in the 2020 fiscal year with a target as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Target Bonus</w:t>
      </w:r>
      <w:r>
        <w:rPr>
          <w:rFonts w:ascii="Arial" w:cs="Arial" w:eastAsia="Arial" w:hAnsi="Arial"/>
          <w:sz w:val="19"/>
          <w:szCs w:val="19"/>
          <w:color w:val="auto"/>
        </w:rPr>
        <w:t>”), based upon Employee’s achievement of performance goals as determined by the Compensation Committee. Notwithstanding anything to the contrary contained herein and without limiting any other rights and remedies of the Company (including as may be required by law), if Employee has engaged in fraud or other willful misconduct that contributes materially to any financial restatements or material loss to the Company or any of its affiliates, the Company may require repayment by Employee of any cash bonus or Annual Bonus (net of any taxes paid by Employee on such payments) previously paid to Employee, or cancel any earned but unpaid cash bonus or Annual Bonus or adjust the future compensation of Employee in order to recover the amount by which any compensation paid to Employee exceeded the lower amount that would have been payable after giving effect to the restated financial results or the material loss. In addition, Employee’s Annual Bonus shall be subject to any other clawback or recoupment policy of the Company as may be in effect from time to time prior to a Change of Control (as defined in the Company’s 2016 Omnibus Incentive Compensation Plan) (“</w:t>
      </w:r>
      <w:r>
        <w:rPr>
          <w:rFonts w:ascii="Arial" w:cs="Arial" w:eastAsia="Arial" w:hAnsi="Arial"/>
          <w:sz w:val="19"/>
          <w:szCs w:val="19"/>
          <w:u w:val="single" w:color="auto"/>
          <w:color w:val="auto"/>
        </w:rPr>
        <w:t>Change</w:t>
      </w:r>
      <w:r>
        <w:rPr>
          <w:rFonts w:ascii="Arial" w:cs="Arial" w:eastAsia="Arial" w:hAnsi="Arial"/>
          <w:sz w:val="19"/>
          <w:szCs w:val="19"/>
          <w:color w:val="auto"/>
        </w:rPr>
        <w:t xml:space="preserve"> </w:t>
      </w:r>
      <w:r>
        <w:rPr>
          <w:rFonts w:ascii="Arial" w:cs="Arial" w:eastAsia="Arial" w:hAnsi="Arial"/>
          <w:sz w:val="19"/>
          <w:szCs w:val="19"/>
          <w:u w:val="single" w:color="auto"/>
          <w:color w:val="auto"/>
        </w:rPr>
        <w:t>of Control</w:t>
      </w:r>
      <w:r>
        <w:rPr>
          <w:rFonts w:ascii="Arial" w:cs="Arial" w:eastAsia="Arial" w:hAnsi="Arial"/>
          <w:sz w:val="19"/>
          <w:szCs w:val="19"/>
          <w:color w:val="auto"/>
        </w:rPr>
        <w:t>”), or any clawback or recoupment as may be required by applicable law.</w:t>
      </w:r>
    </w:p>
    <w:p>
      <w:pPr>
        <w:spacing w:after="0" w:line="165" w:lineRule="exact"/>
        <w:rPr>
          <w:rFonts w:ascii="Arial" w:cs="Arial" w:eastAsia="Arial" w:hAnsi="Arial"/>
          <w:sz w:val="19"/>
          <w:szCs w:val="19"/>
          <w:color w:val="010000"/>
        </w:rPr>
      </w:pPr>
    </w:p>
    <w:p>
      <w:pPr>
        <w:ind w:left="-40" w:right="260" w:firstLine="1304"/>
        <w:spacing w:after="0" w:line="253" w:lineRule="auto"/>
        <w:tabs>
          <w:tab w:leader="none" w:pos="1550" w:val="left"/>
        </w:tabs>
        <w:numPr>
          <w:ilvl w:val="1"/>
          <w:numId w:val="348"/>
        </w:numPr>
        <w:rPr>
          <w:rFonts w:ascii="Arial" w:cs="Arial" w:eastAsia="Arial" w:hAnsi="Arial"/>
          <w:sz w:val="22"/>
          <w:szCs w:val="22"/>
          <w:color w:val="010000"/>
        </w:rPr>
      </w:pPr>
      <w:r>
        <w:rPr>
          <w:rFonts w:ascii="Arial" w:cs="Arial" w:eastAsia="Arial" w:hAnsi="Arial"/>
          <w:sz w:val="22"/>
          <w:szCs w:val="22"/>
          <w:u w:val="single" w:color="auto"/>
          <w:color w:val="auto"/>
        </w:rPr>
        <w:t>Benefits</w:t>
      </w:r>
      <w:r>
        <w:rPr>
          <w:rFonts w:ascii="Arial" w:cs="Arial" w:eastAsia="Arial" w:hAnsi="Arial"/>
          <w:sz w:val="22"/>
          <w:szCs w:val="22"/>
          <w:color w:val="auto"/>
        </w:rPr>
        <w:t>. During the Term, Employee shall be eligible to participate in the benefit plans and programs of the Company that are generally available to other members of the Company’s senior executive team, subject to the terms and conditions of such plans and programs.</w:t>
      </w:r>
    </w:p>
    <w:p>
      <w:pPr>
        <w:spacing w:after="0" w:line="185" w:lineRule="exact"/>
        <w:rPr>
          <w:rFonts w:ascii="Arial" w:cs="Arial" w:eastAsia="Arial" w:hAnsi="Arial"/>
          <w:sz w:val="22"/>
          <w:szCs w:val="22"/>
          <w:color w:val="010000"/>
        </w:rPr>
      </w:pPr>
    </w:p>
    <w:p>
      <w:pPr>
        <w:ind w:left="-40" w:right="160" w:firstLine="1304"/>
        <w:spacing w:after="0" w:line="250" w:lineRule="auto"/>
        <w:tabs>
          <w:tab w:leader="none" w:pos="1562" w:val="left"/>
        </w:tabs>
        <w:numPr>
          <w:ilvl w:val="1"/>
          <w:numId w:val="348"/>
        </w:numPr>
        <w:rPr>
          <w:rFonts w:ascii="Arial" w:cs="Arial" w:eastAsia="Arial" w:hAnsi="Arial"/>
          <w:sz w:val="22"/>
          <w:szCs w:val="22"/>
          <w:color w:val="010000"/>
        </w:rPr>
      </w:pPr>
      <w:r>
        <w:rPr>
          <w:rFonts w:ascii="Arial" w:cs="Arial" w:eastAsia="Arial" w:hAnsi="Arial"/>
          <w:sz w:val="22"/>
          <w:szCs w:val="22"/>
          <w:u w:val="single" w:color="auto"/>
          <w:color w:val="auto"/>
        </w:rPr>
        <w:t>Paid-Time Off</w:t>
      </w:r>
      <w:r>
        <w:rPr>
          <w:rFonts w:ascii="Arial" w:cs="Arial" w:eastAsia="Arial" w:hAnsi="Arial"/>
          <w:sz w:val="22"/>
          <w:szCs w:val="22"/>
          <w:color w:val="auto"/>
        </w:rPr>
        <w:t>. Employee shall be entitled to 15 days paid-time off, and any holidays that are generally afforded to the Company’s employees, in each case, per calendar year during the Term, prorated for the portion(s) of any partial calendar year during the Term. Employee may take paid-time off only with the consent of the Reporting Person, which consent shall not be withheld unreasonably.</w:t>
      </w:r>
    </w:p>
    <w:p>
      <w:pPr>
        <w:spacing w:after="0" w:line="187" w:lineRule="exact"/>
        <w:rPr>
          <w:rFonts w:ascii="Arial" w:cs="Arial" w:eastAsia="Arial" w:hAnsi="Arial"/>
          <w:sz w:val="22"/>
          <w:szCs w:val="22"/>
          <w:color w:val="010000"/>
        </w:rPr>
      </w:pPr>
    </w:p>
    <w:p>
      <w:pPr>
        <w:jc w:val="both"/>
        <w:ind w:left="-40" w:firstLine="1304"/>
        <w:spacing w:after="0" w:line="250" w:lineRule="auto"/>
        <w:tabs>
          <w:tab w:leader="none" w:pos="1550" w:val="left"/>
        </w:tabs>
        <w:numPr>
          <w:ilvl w:val="1"/>
          <w:numId w:val="348"/>
        </w:numPr>
        <w:rPr>
          <w:rFonts w:ascii="Arial" w:cs="Arial" w:eastAsia="Arial" w:hAnsi="Arial"/>
          <w:sz w:val="22"/>
          <w:szCs w:val="22"/>
          <w:color w:val="010000"/>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The Company shall provide Employee a Company-owned wireless smartphone and Company-owned laptop computer during the Term and shall pay or reimburse Employee for all reasonable and necessary business expenses incurred in the performance of his duties to the Company during the Term upon the presentation of appropriate statements of such expenses.</w:t>
      </w:r>
    </w:p>
    <w:p>
      <w:pPr>
        <w:spacing w:after="0" w:line="187" w:lineRule="exact"/>
        <w:rPr>
          <w:rFonts w:ascii="Arial" w:cs="Arial" w:eastAsia="Arial" w:hAnsi="Arial"/>
          <w:sz w:val="22"/>
          <w:szCs w:val="22"/>
          <w:color w:val="010000"/>
        </w:rPr>
      </w:pPr>
    </w:p>
    <w:p>
      <w:pPr>
        <w:ind w:left="-40" w:firstLine="656"/>
        <w:spacing w:after="0" w:line="343" w:lineRule="auto"/>
        <w:tabs>
          <w:tab w:leader="none" w:pos="824" w:val="left"/>
        </w:tabs>
        <w:numPr>
          <w:ilvl w:val="0"/>
          <w:numId w:val="349"/>
        </w:numPr>
        <w:rPr>
          <w:rFonts w:ascii="Arial" w:cs="Arial" w:eastAsia="Arial" w:hAnsi="Arial"/>
          <w:sz w:val="19"/>
          <w:szCs w:val="19"/>
          <w:color w:val="010000"/>
        </w:rPr>
      </w:pPr>
      <w:r>
        <w:rPr>
          <w:rFonts w:ascii="Arial" w:cs="Arial" w:eastAsia="Arial" w:hAnsi="Arial"/>
          <w:sz w:val="19"/>
          <w:szCs w:val="19"/>
          <w:u w:val="single" w:color="auto"/>
          <w:color w:val="auto"/>
        </w:rPr>
        <w:t>Long-Term Incentive Awards</w:t>
      </w:r>
      <w:r>
        <w:rPr>
          <w:rFonts w:ascii="Arial" w:cs="Arial" w:eastAsia="Arial" w:hAnsi="Arial"/>
          <w:sz w:val="19"/>
          <w:szCs w:val="19"/>
          <w:color w:val="auto"/>
        </w:rPr>
        <w:t>. Employee shall be eligible to receive long-term incentive compensation awards, whether cash-based or equity-based or both, periodically throughout the Term, subject to approval by the Compensation Committee.</w:t>
      </w:r>
    </w:p>
    <w:p>
      <w:pPr>
        <w:spacing w:after="0" w:line="104" w:lineRule="exact"/>
        <w:rPr>
          <w:rFonts w:ascii="Arial" w:cs="Arial" w:eastAsia="Arial" w:hAnsi="Arial"/>
          <w:sz w:val="19"/>
          <w:szCs w:val="19"/>
          <w:color w:val="010000"/>
        </w:rPr>
      </w:pPr>
    </w:p>
    <w:p>
      <w:pPr>
        <w:ind w:left="-40" w:right="640" w:firstLine="656"/>
        <w:spacing w:after="0" w:line="287" w:lineRule="auto"/>
        <w:tabs>
          <w:tab w:leader="none" w:pos="824" w:val="left"/>
        </w:tabs>
        <w:numPr>
          <w:ilvl w:val="0"/>
          <w:numId w:val="349"/>
        </w:numPr>
        <w:rPr>
          <w:rFonts w:ascii="Arial" w:cs="Arial" w:eastAsia="Arial" w:hAnsi="Arial"/>
          <w:sz w:val="21"/>
          <w:szCs w:val="21"/>
          <w:color w:val="010000"/>
        </w:rPr>
      </w:pPr>
      <w:r>
        <w:rPr>
          <w:rFonts w:ascii="Arial" w:cs="Arial" w:eastAsia="Arial" w:hAnsi="Arial"/>
          <w:sz w:val="21"/>
          <w:szCs w:val="21"/>
          <w:u w:val="single" w:color="auto"/>
          <w:color w:val="auto"/>
        </w:rPr>
        <w:t>Termination</w:t>
      </w:r>
      <w:r>
        <w:rPr>
          <w:rFonts w:ascii="Arial" w:cs="Arial" w:eastAsia="Arial" w:hAnsi="Arial"/>
          <w:sz w:val="21"/>
          <w:szCs w:val="21"/>
          <w:color w:val="auto"/>
        </w:rPr>
        <w:t>. Employee’s employment hereunder shall be terminated upon the earliest to occur of any one of the following events (in which case the Term shall terminate as of the applicable Date of Termination):</w:t>
      </w:r>
    </w:p>
    <w:p>
      <w:pPr>
        <w:spacing w:after="0" w:line="151" w:lineRule="exact"/>
        <w:rPr>
          <w:rFonts w:ascii="Arial" w:cs="Arial" w:eastAsia="Arial" w:hAnsi="Arial"/>
          <w:sz w:val="21"/>
          <w:szCs w:val="21"/>
          <w:color w:val="010000"/>
        </w:rPr>
      </w:pPr>
    </w:p>
    <w:p>
      <w:pPr>
        <w:ind w:left="-40" w:right="220" w:firstLine="1304"/>
        <w:spacing w:after="0" w:line="253" w:lineRule="auto"/>
        <w:tabs>
          <w:tab w:leader="none" w:pos="1550" w:val="left"/>
        </w:tabs>
        <w:numPr>
          <w:ilvl w:val="1"/>
          <w:numId w:val="349"/>
        </w:numPr>
        <w:rPr>
          <w:rFonts w:ascii="Arial" w:cs="Arial" w:eastAsia="Arial" w:hAnsi="Arial"/>
          <w:sz w:val="22"/>
          <w:szCs w:val="22"/>
          <w:color w:val="010000"/>
        </w:rPr>
      </w:pPr>
      <w:r>
        <w:rPr>
          <w:rFonts w:ascii="Arial" w:cs="Arial" w:eastAsia="Arial" w:hAnsi="Arial"/>
          <w:sz w:val="22"/>
          <w:szCs w:val="22"/>
          <w:u w:val="single" w:color="auto"/>
          <w:color w:val="auto"/>
        </w:rPr>
        <w:t>Expiration of Term</w:t>
      </w:r>
      <w:r>
        <w:rPr>
          <w:rFonts w:ascii="Arial" w:cs="Arial" w:eastAsia="Arial" w:hAnsi="Arial"/>
          <w:sz w:val="22"/>
          <w:szCs w:val="22"/>
          <w:color w:val="auto"/>
        </w:rPr>
        <w:t>. Unless sooner terminated, Employee’s employment hereunder shall terminate automatically in accordance with Section 1 of this Agreement on the Expiration Date, unless otherwise agreed by the parties in writing, in which case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60"/>
          </w:cols>
          <w:pgMar w:left="360" w:top="1265" w:right="379" w:bottom="1440" w:gutter="0" w:footer="0" w:header="0"/>
        </w:sectPr>
      </w:pPr>
    </w:p>
    <w:bookmarkStart w:id="408" w:name="page409"/>
    <w:bookmarkEnd w:id="408"/>
    <w:p>
      <w:pPr>
        <w:ind w:right="480"/>
        <w:spacing w:after="0" w:line="263" w:lineRule="auto"/>
        <w:rPr>
          <w:sz w:val="20"/>
          <w:szCs w:val="20"/>
          <w:color w:val="auto"/>
        </w:rPr>
      </w:pPr>
      <w:r>
        <w:rPr>
          <w:rFonts w:ascii="Arial" w:cs="Arial" w:eastAsia="Arial" w:hAnsi="Arial"/>
          <w:sz w:val="22"/>
          <w:szCs w:val="22"/>
          <w:color w:val="auto"/>
        </w:rPr>
        <w:t>hereunder will continue on an at-will basis or pursuant to the terms of any subsequent agreement between Employee and the Company.</w:t>
      </w:r>
    </w:p>
    <w:p>
      <w:pPr>
        <w:spacing w:after="0" w:line="175" w:lineRule="exact"/>
        <w:rPr>
          <w:sz w:val="20"/>
          <w:szCs w:val="20"/>
          <w:color w:val="auto"/>
        </w:rPr>
      </w:pPr>
    </w:p>
    <w:p>
      <w:pPr>
        <w:ind w:left="1600" w:hanging="296"/>
        <w:spacing w:after="0"/>
        <w:tabs>
          <w:tab w:leader="none" w:pos="1600" w:val="left"/>
        </w:tabs>
        <w:numPr>
          <w:ilvl w:val="0"/>
          <w:numId w:val="350"/>
        </w:numPr>
        <w:rPr>
          <w:rFonts w:ascii="Arial" w:cs="Arial" w:eastAsia="Arial" w:hAnsi="Arial"/>
          <w:sz w:val="22"/>
          <w:szCs w:val="22"/>
          <w:color w:val="010000"/>
        </w:rPr>
      </w:pPr>
      <w:r>
        <w:rPr>
          <w:rFonts w:ascii="Arial" w:cs="Arial" w:eastAsia="Arial" w:hAnsi="Arial"/>
          <w:sz w:val="22"/>
          <w:szCs w:val="22"/>
          <w:u w:val="single" w:color="auto"/>
          <w:color w:val="auto"/>
        </w:rPr>
        <w:t>Death</w:t>
      </w:r>
      <w:r>
        <w:rPr>
          <w:rFonts w:ascii="Arial" w:cs="Arial" w:eastAsia="Arial" w:hAnsi="Arial"/>
          <w:sz w:val="22"/>
          <w:szCs w:val="22"/>
          <w:color w:val="auto"/>
        </w:rPr>
        <w:t>. Employee’s employment hereunder shall terminate upon his death.</w:t>
      </w:r>
    </w:p>
    <w:p>
      <w:pPr>
        <w:spacing w:after="0" w:line="219" w:lineRule="exact"/>
        <w:rPr>
          <w:rFonts w:ascii="Arial" w:cs="Arial" w:eastAsia="Arial" w:hAnsi="Arial"/>
          <w:sz w:val="22"/>
          <w:szCs w:val="22"/>
          <w:color w:val="010000"/>
        </w:rPr>
      </w:pPr>
    </w:p>
    <w:p>
      <w:pPr>
        <w:ind w:firstLine="1304"/>
        <w:spacing w:after="0" w:line="284" w:lineRule="auto"/>
        <w:tabs>
          <w:tab w:leader="none" w:pos="1590" w:val="left"/>
        </w:tabs>
        <w:numPr>
          <w:ilvl w:val="0"/>
          <w:numId w:val="350"/>
        </w:numPr>
        <w:rPr>
          <w:rFonts w:ascii="Arial" w:cs="Arial" w:eastAsia="Arial" w:hAnsi="Arial"/>
          <w:sz w:val="19"/>
          <w:szCs w:val="19"/>
          <w:color w:val="010000"/>
        </w:rPr>
      </w:pPr>
      <w:r>
        <w:rPr>
          <w:rFonts w:ascii="Arial" w:cs="Arial" w:eastAsia="Arial" w:hAnsi="Arial"/>
          <w:sz w:val="19"/>
          <w:szCs w:val="19"/>
          <w:u w:val="single" w:color="auto"/>
          <w:color w:val="auto"/>
        </w:rPr>
        <w:t>Cause</w:t>
      </w:r>
      <w:r>
        <w:rPr>
          <w:rFonts w:ascii="Arial" w:cs="Arial" w:eastAsia="Arial" w:hAnsi="Arial"/>
          <w:sz w:val="19"/>
          <w:szCs w:val="19"/>
          <w:color w:val="auto"/>
        </w:rPr>
        <w:t>. The Company may terminate Employee’s employment hereunder for Cause by written notice at any time. For purposes of this Agreement, the term “</w:t>
      </w:r>
      <w:r>
        <w:rPr>
          <w:rFonts w:ascii="Arial" w:cs="Arial" w:eastAsia="Arial" w:hAnsi="Arial"/>
          <w:sz w:val="19"/>
          <w:szCs w:val="19"/>
          <w:u w:val="single" w:color="auto"/>
          <w:color w:val="auto"/>
        </w:rPr>
        <w:t>Cause</w:t>
      </w:r>
      <w:r>
        <w:rPr>
          <w:rFonts w:ascii="Arial" w:cs="Arial" w:eastAsia="Arial" w:hAnsi="Arial"/>
          <w:sz w:val="19"/>
          <w:szCs w:val="19"/>
          <w:color w:val="auto"/>
        </w:rPr>
        <w:t>” shall mean Employee’s (i) gross negligence or willful failure to perform his duties hereunder or willful refusal to follow any lawful directive of the Reporting Person; (ii) abuse of or dependency on alcohol or drugs (illicit or otherwise) that adversely affects Employee’s performance of duties hereunder; (iii) commission of any fraud, embezzlement, theft or dishonesty, or any deliberate misappropriation of money or other assets of the Company; (iv) breach of any term of this Agreement, including, without limitation, by virtue of failing to provide at least 30 days’ advanced written notice of resignation as required by Section 5(f), or any agreement governing any of the long-term incentive compensation or equity compensation awards granted to Employee by the Company, its affiliates or any of their respective predecessors (the “</w:t>
      </w:r>
      <w:r>
        <w:rPr>
          <w:rFonts w:ascii="Arial" w:cs="Arial" w:eastAsia="Arial" w:hAnsi="Arial"/>
          <w:sz w:val="19"/>
          <w:szCs w:val="19"/>
          <w:u w:val="single" w:color="auto"/>
          <w:color w:val="auto"/>
        </w:rPr>
        <w:t>Long-Term Incentive Compensation</w:t>
      </w:r>
      <w:r>
        <w:rPr>
          <w:rFonts w:ascii="Arial" w:cs="Arial" w:eastAsia="Arial" w:hAnsi="Arial"/>
          <w:sz w:val="19"/>
          <w:szCs w:val="19"/>
          <w:color w:val="auto"/>
        </w:rPr>
        <w:t>”), in each case, prior to a Change of Control, or breach of his fiduciary duties to the Company; (v) any willful act, or failure to act, in bad faith to the detriment of the Company; (vi) willful failure to cooperate in good faith with a governmental or internal investigation of the Company or any of its directors, managers, officers or employees, if the Company requests his cooperation; (vii) prior to a Change in Control, failure to follow the Company’s code of conduct or ethics policy; and (viii) conviction of, or plea of nolo contendere to, a felony or any serious crime; provided that, the Company will provide Employee with written notice describing the facts and circumstances that the Company believes constitutes Cause and, in cases where cure is possible, Employee shall first be provided a 15-day cure period. If, subsequent to Employee’s termination of employment hereunder for any reason other than by the Company for Cause, it is determined in good faith by the Reporting Person that Employee’s employment could have been terminated by the Company for Cause pursuant to this Section 5(c), Employee’s employment shall, at the election of the Reporting Person at any time up to two years after Employee’s termination of employment but in no event more than six months after the Reporting Person learns of the facts or events that could give rise to the termination for Cause, be deemed to have been terminated for Cause retroactively to the date the events giving rise to Cause occurred, provided that the Company’s ability to deem an Employee’s employment under this sentence to be terminated for Cause shall lapse upon a Change of Control.</w:t>
      </w:r>
    </w:p>
    <w:p>
      <w:pPr>
        <w:spacing w:after="0" w:line="200" w:lineRule="exact"/>
        <w:rPr>
          <w:rFonts w:ascii="Arial" w:cs="Arial" w:eastAsia="Arial" w:hAnsi="Arial"/>
          <w:sz w:val="19"/>
          <w:szCs w:val="19"/>
          <w:color w:val="010000"/>
        </w:rPr>
      </w:pPr>
    </w:p>
    <w:p>
      <w:pPr>
        <w:spacing w:after="0" w:line="229" w:lineRule="exact"/>
        <w:rPr>
          <w:rFonts w:ascii="Arial" w:cs="Arial" w:eastAsia="Arial" w:hAnsi="Arial"/>
          <w:sz w:val="19"/>
          <w:szCs w:val="19"/>
          <w:color w:val="010000"/>
        </w:rPr>
      </w:pPr>
    </w:p>
    <w:p>
      <w:pPr>
        <w:ind w:left="1600" w:hanging="296"/>
        <w:spacing w:after="0"/>
        <w:tabs>
          <w:tab w:leader="none" w:pos="1600" w:val="left"/>
        </w:tabs>
        <w:numPr>
          <w:ilvl w:val="0"/>
          <w:numId w:val="350"/>
        </w:numPr>
        <w:rPr>
          <w:rFonts w:ascii="Arial" w:cs="Arial" w:eastAsia="Arial" w:hAnsi="Arial"/>
          <w:sz w:val="19"/>
          <w:szCs w:val="19"/>
          <w:color w:val="010000"/>
        </w:rPr>
      </w:pPr>
      <w:r>
        <w:rPr>
          <w:rFonts w:ascii="Arial" w:cs="Arial" w:eastAsia="Arial" w:hAnsi="Arial"/>
          <w:sz w:val="19"/>
          <w:szCs w:val="19"/>
          <w:u w:val="single" w:color="auto"/>
          <w:color w:val="auto"/>
        </w:rPr>
        <w:t>Without Cause</w:t>
      </w:r>
      <w:r>
        <w:rPr>
          <w:rFonts w:ascii="Arial" w:cs="Arial" w:eastAsia="Arial" w:hAnsi="Arial"/>
          <w:sz w:val="19"/>
          <w:szCs w:val="19"/>
          <w:color w:val="auto"/>
        </w:rPr>
        <w:t>. The Company may terminate Employee’s employment hereunder without Cause by written</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notice at any time.</w:t>
      </w:r>
    </w:p>
    <w:p>
      <w:pPr>
        <w:spacing w:after="0" w:line="201" w:lineRule="exact"/>
        <w:rPr>
          <w:rFonts w:ascii="Arial" w:cs="Arial" w:eastAsia="Arial" w:hAnsi="Arial"/>
          <w:sz w:val="19"/>
          <w:szCs w:val="19"/>
          <w:color w:val="010000"/>
        </w:rPr>
      </w:pPr>
    </w:p>
    <w:p>
      <w:pPr>
        <w:ind w:right="40" w:firstLine="1304"/>
        <w:spacing w:after="0" w:line="294" w:lineRule="auto"/>
        <w:tabs>
          <w:tab w:leader="none" w:pos="1590" w:val="left"/>
        </w:tabs>
        <w:numPr>
          <w:ilvl w:val="0"/>
          <w:numId w:val="350"/>
        </w:numPr>
        <w:rPr>
          <w:rFonts w:ascii="Arial" w:cs="Arial" w:eastAsia="Arial" w:hAnsi="Arial"/>
          <w:sz w:val="19"/>
          <w:szCs w:val="19"/>
          <w:color w:val="010000"/>
        </w:rPr>
      </w:pPr>
      <w:r>
        <w:rPr>
          <w:rFonts w:ascii="Arial" w:cs="Arial" w:eastAsia="Arial" w:hAnsi="Arial"/>
          <w:sz w:val="19"/>
          <w:szCs w:val="19"/>
          <w:u w:val="single" w:color="auto"/>
          <w:color w:val="auto"/>
        </w:rPr>
        <w:t>Good Reason</w:t>
      </w:r>
      <w:r>
        <w:rPr>
          <w:rFonts w:ascii="Arial" w:cs="Arial" w:eastAsia="Arial" w:hAnsi="Arial"/>
          <w:sz w:val="19"/>
          <w:szCs w:val="19"/>
          <w:color w:val="auto"/>
        </w:rPr>
        <w:t>. Upon or during the two-year period following a Change of Control, Employee may terminate his employment hereunder for Good Reason in accordance with the terms of this Section 5(e). For purposes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without first obtaining Employee’s written consent: (i) the Company materially breaches the terms of this Agreement; (ii) the Company materially diminishes Employee’s title, duties, authorities, reporting relationship(s), responsibilities or position from any of those in effect immediately preceding the Change of Control (including by virtue of Employee not having duties of a senior executive of a publicly-traded company) or as subsequently increased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65" w:right="339" w:bottom="1440" w:gutter="0" w:footer="0" w:header="0"/>
        </w:sectPr>
      </w:pPr>
    </w:p>
    <w:bookmarkStart w:id="409" w:name="page410"/>
    <w:bookmarkEnd w:id="409"/>
    <w:p>
      <w:pPr>
        <w:ind w:right="20"/>
        <w:spacing w:after="0" w:line="287" w:lineRule="auto"/>
        <w:rPr>
          <w:sz w:val="20"/>
          <w:szCs w:val="20"/>
          <w:color w:val="auto"/>
        </w:rPr>
      </w:pPr>
      <w:r>
        <w:rPr>
          <w:rFonts w:ascii="Arial" w:cs="Arial" w:eastAsia="Arial" w:hAnsi="Arial"/>
          <w:sz w:val="19"/>
          <w:szCs w:val="19"/>
          <w:color w:val="auto"/>
        </w:rPr>
        <w:t xml:space="preserve">enhanced; (iii) the Company reduces the Base Salary or Target Bonus; or (iv) the Company requires that Employee be based in a location that is more than 35 miles from the location of Employee’s employment immediately prior to a Change of Control; or (v) Employee not reporting directly and exclusively to the president of a publicly traded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first be provided a 30-day cure period (the “</w:t>
      </w:r>
      <w:r>
        <w:rPr>
          <w:rFonts w:ascii="Arial" w:cs="Arial" w:eastAsia="Arial" w:hAnsi="Arial"/>
          <w:sz w:val="19"/>
          <w:szCs w:val="19"/>
          <w:u w:val="single" w:color="auto"/>
          <w:color w:val="auto"/>
        </w:rPr>
        <w:t>Cure Period</w:t>
      </w:r>
      <w:r>
        <w:rPr>
          <w:rFonts w:ascii="Arial" w:cs="Arial" w:eastAsia="Arial" w:hAnsi="Arial"/>
          <w:sz w:val="19"/>
          <w:szCs w:val="19"/>
          <w:color w:val="auto"/>
        </w:rPr>
        <w:t xml:space="preserve">”), following receipt of written notice setting forth in reasonable detail the specific event, circumstance or conduct of the Company that constitutes Good Reason, to cease, and to cure, any event, circumstance or conduct specified in such written notice, if curable;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such notice shall be provided to the Company within 45 days of the occurrence of the event, circumstance or conduct constituting Good Reason. If, at the end of the Cure Period, the event, circumstance or conduct that constitutes Good Reason has not been remedied, Employee will be entitled to terminate employment for Good Reason during the 90-day period that follows the end of the Cure Period. If Employee does not terminate employment during such 90-day period, Employee will not be permitted to terminate employment for Good Reason as a result of such event, circumstance or conduct.</w:t>
      </w:r>
    </w:p>
    <w:p>
      <w:pPr>
        <w:spacing w:after="0" w:line="163" w:lineRule="exact"/>
        <w:rPr>
          <w:sz w:val="20"/>
          <w:szCs w:val="20"/>
          <w:color w:val="auto"/>
        </w:rPr>
      </w:pPr>
    </w:p>
    <w:p>
      <w:pPr>
        <w:ind w:right="280" w:firstLine="1304"/>
        <w:spacing w:after="0" w:line="263" w:lineRule="auto"/>
        <w:tabs>
          <w:tab w:leader="none" w:pos="1566" w:val="left"/>
        </w:tabs>
        <w:numPr>
          <w:ilvl w:val="1"/>
          <w:numId w:val="351"/>
        </w:numPr>
        <w:rPr>
          <w:rFonts w:ascii="Arial" w:cs="Arial" w:eastAsia="Arial" w:hAnsi="Arial"/>
          <w:sz w:val="22"/>
          <w:szCs w:val="22"/>
          <w:color w:val="010000"/>
        </w:rPr>
      </w:pPr>
      <w:r>
        <w:rPr>
          <w:rFonts w:ascii="Arial" w:cs="Arial" w:eastAsia="Arial" w:hAnsi="Arial"/>
          <w:sz w:val="22"/>
          <w:szCs w:val="22"/>
          <w:u w:val="single" w:color="auto"/>
          <w:color w:val="auto"/>
        </w:rPr>
        <w:t>Resignation</w:t>
      </w:r>
      <w:r>
        <w:rPr>
          <w:rFonts w:ascii="Arial" w:cs="Arial" w:eastAsia="Arial" w:hAnsi="Arial"/>
          <w:sz w:val="22"/>
          <w:szCs w:val="22"/>
          <w:color w:val="auto"/>
        </w:rPr>
        <w:t>. Employee may terminate his employment hereunder at any time upon at least 30 days’ advance written notice to the Company.</w:t>
      </w:r>
    </w:p>
    <w:p>
      <w:pPr>
        <w:spacing w:after="0" w:line="174" w:lineRule="exact"/>
        <w:rPr>
          <w:rFonts w:ascii="Arial" w:cs="Arial" w:eastAsia="Arial" w:hAnsi="Arial"/>
          <w:sz w:val="22"/>
          <w:szCs w:val="22"/>
          <w:color w:val="010000"/>
        </w:rPr>
      </w:pPr>
    </w:p>
    <w:p>
      <w:pPr>
        <w:ind w:right="280" w:firstLine="1304"/>
        <w:spacing w:after="0" w:line="297" w:lineRule="auto"/>
        <w:tabs>
          <w:tab w:leader="none" w:pos="1602" w:val="left"/>
        </w:tabs>
        <w:numPr>
          <w:ilvl w:val="1"/>
          <w:numId w:val="351"/>
        </w:numPr>
        <w:rPr>
          <w:rFonts w:ascii="Arial" w:cs="Arial" w:eastAsia="Arial" w:hAnsi="Arial"/>
          <w:sz w:val="19"/>
          <w:szCs w:val="19"/>
          <w:color w:val="010000"/>
        </w:rPr>
      </w:pPr>
      <w:r>
        <w:rPr>
          <w:rFonts w:ascii="Arial" w:cs="Arial" w:eastAsia="Arial" w:hAnsi="Arial"/>
          <w:sz w:val="19"/>
          <w:szCs w:val="19"/>
          <w:u w:val="single" w:color="auto"/>
          <w:color w:val="auto"/>
        </w:rPr>
        <w:t>Disability</w:t>
      </w:r>
      <w:r>
        <w:rPr>
          <w:rFonts w:ascii="Arial" w:cs="Arial" w:eastAsia="Arial" w:hAnsi="Arial"/>
          <w:sz w:val="19"/>
          <w:szCs w:val="19"/>
          <w:color w:val="auto"/>
        </w:rPr>
        <w:t>. Employee’s employment hereunder shall terminate in the event of Employee’s Disability. For purposes of this Agreement, “</w:t>
      </w:r>
      <w:r>
        <w:rPr>
          <w:rFonts w:ascii="Arial" w:cs="Arial" w:eastAsia="Arial" w:hAnsi="Arial"/>
          <w:sz w:val="19"/>
          <w:szCs w:val="19"/>
          <w:u w:val="single" w:color="auto"/>
          <w:color w:val="auto"/>
        </w:rPr>
        <w:t>Disability</w:t>
      </w:r>
      <w:r>
        <w:rPr>
          <w:rFonts w:ascii="Arial" w:cs="Arial" w:eastAsia="Arial" w:hAnsi="Arial"/>
          <w:sz w:val="19"/>
          <w:szCs w:val="19"/>
          <w:color w:val="auto"/>
        </w:rPr>
        <w:t>” shall mean the inability of Employee, due to illness, accident or any other physical or mental incapacity, to perform Employee’s duties for the Company for an aggregate of 180 days within any period of 12 consecutive months, which inability is determined to be total and permanent by a board-certified physician selected by the Company, and the determination of such physician shall be binding upon Employee and the Company.</w:t>
      </w:r>
    </w:p>
    <w:p>
      <w:pPr>
        <w:spacing w:after="0" w:line="146" w:lineRule="exact"/>
        <w:rPr>
          <w:rFonts w:ascii="Arial" w:cs="Arial" w:eastAsia="Arial" w:hAnsi="Arial"/>
          <w:sz w:val="19"/>
          <w:szCs w:val="19"/>
          <w:color w:val="010000"/>
        </w:rPr>
      </w:pPr>
    </w:p>
    <w:p>
      <w:pPr>
        <w:ind w:right="20" w:firstLine="1304"/>
        <w:spacing w:after="0" w:line="259" w:lineRule="auto"/>
        <w:tabs>
          <w:tab w:leader="none" w:pos="1602" w:val="left"/>
        </w:tabs>
        <w:numPr>
          <w:ilvl w:val="1"/>
          <w:numId w:val="351"/>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u w:val="single" w:color="auto"/>
          <w:color w:val="auto"/>
        </w:rPr>
        <w:t>Date of Termination</w:t>
      </w:r>
      <w:r>
        <w:rPr>
          <w:rFonts w:ascii="Arial" w:cs="Arial" w:eastAsia="Arial" w:hAnsi="Arial"/>
          <w:sz w:val="21"/>
          <w:szCs w:val="21"/>
          <w:color w:val="auto"/>
        </w:rPr>
        <w:t>” shall mean: (i) the scheduled expiration of the Term in the event of termination of Employee’s employment pursuant to Section 5(a) of this Agreement; (ii) the date of Employee’s death in the event of termination of Employee’s employment pursuant to Section 5(b) of this Agreement; (iii) the date of the Company’s delivery of a notice of termination to Employee or such later date as specified in such notice in the event of termination by the Company pursuant to Section 5(c) or 5(d) of this Agreement; (iv) the 30th day following delivery of Employee’s notice to the Company of his resignation in accordance with Section 5(f) (or such earlier date as selected by the Company); (v) the date specified in accordance with Section 5(e) in the event of Employee’s resignation for Good Reason upon or during the two years following a Change of Control; and (vi) the date of a determination of Employee’s Disability in the event of a termination of Employee’s employment pursuant to Section 5(g) of this Agreement.</w:t>
      </w:r>
    </w:p>
    <w:p>
      <w:pPr>
        <w:spacing w:after="0" w:line="179" w:lineRule="exact"/>
        <w:rPr>
          <w:rFonts w:ascii="Arial" w:cs="Arial" w:eastAsia="Arial" w:hAnsi="Arial"/>
          <w:sz w:val="21"/>
          <w:szCs w:val="21"/>
          <w:color w:val="010000"/>
        </w:rPr>
      </w:pPr>
    </w:p>
    <w:p>
      <w:pPr>
        <w:ind w:firstLine="656"/>
        <w:spacing w:after="0" w:line="297" w:lineRule="auto"/>
        <w:tabs>
          <w:tab w:leader="none" w:pos="864" w:val="left"/>
        </w:tabs>
        <w:numPr>
          <w:ilvl w:val="0"/>
          <w:numId w:val="352"/>
        </w:numPr>
        <w:rPr>
          <w:rFonts w:ascii="Arial" w:cs="Arial" w:eastAsia="Arial" w:hAnsi="Arial"/>
          <w:sz w:val="19"/>
          <w:szCs w:val="19"/>
          <w:color w:val="010000"/>
        </w:rPr>
      </w:pPr>
      <w:r>
        <w:rPr>
          <w:rFonts w:ascii="Arial" w:cs="Arial" w:eastAsia="Arial" w:hAnsi="Arial"/>
          <w:sz w:val="19"/>
          <w:szCs w:val="19"/>
          <w:u w:val="single" w:color="auto"/>
          <w:color w:val="auto"/>
        </w:rPr>
        <w:t>Termination Payments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General</w:t>
      </w:r>
      <w:r>
        <w:rPr>
          <w:rFonts w:ascii="Arial" w:cs="Arial" w:eastAsia="Arial" w:hAnsi="Arial"/>
          <w:sz w:val="19"/>
          <w:szCs w:val="19"/>
          <w:color w:val="auto"/>
        </w:rPr>
        <w:t>. Except as otherwise set forth in this Section 6, following any termination of Employee’s employment hereunder, the obligations of the Company to pay or provide Employee with compensation and benefits under Section 3 of this Agreement shall cease, and the Company shall have no further obligations to provide compensation or benefits to Employee hereunder except for payment of (i) any unpaid Base Salary accrued through the Date of Termination; (ii) to the extent required by law, any unused vacation accrued through the Date of Termination, and (iii) any unpaid or unreimbursed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65" w:right="339" w:bottom="1440" w:gutter="0" w:footer="0" w:header="0"/>
        </w:sectPr>
      </w:pPr>
    </w:p>
    <w:bookmarkStart w:id="410" w:name="page411"/>
    <w:bookmarkEnd w:id="410"/>
    <w:p>
      <w:pPr>
        <w:ind w:right="100"/>
        <w:spacing w:after="0" w:line="260" w:lineRule="auto"/>
        <w:rPr>
          <w:sz w:val="20"/>
          <w:szCs w:val="20"/>
          <w:color w:val="auto"/>
        </w:rPr>
      </w:pPr>
      <w:r>
        <w:rPr>
          <w:rFonts w:ascii="Arial" w:cs="Arial" w:eastAsia="Arial" w:hAnsi="Arial"/>
          <w:sz w:val="21"/>
          <w:szCs w:val="21"/>
          <w:color w:val="auto"/>
        </w:rPr>
        <w:t>obligations and expenses under Section 3(e) of this Agreement accrued or incurred through the Date of Termination (collectively items 6(a)(i) through 6(a)(iii) above, the “</w:t>
      </w:r>
      <w:r>
        <w:rPr>
          <w:rFonts w:ascii="Arial" w:cs="Arial" w:eastAsia="Arial" w:hAnsi="Arial"/>
          <w:sz w:val="21"/>
          <w:szCs w:val="21"/>
          <w:u w:val="single" w:color="auto"/>
          <w:color w:val="auto"/>
        </w:rPr>
        <w:t>Accrued Benefits</w:t>
      </w:r>
      <w:r>
        <w:rPr>
          <w:rFonts w:ascii="Arial" w:cs="Arial" w:eastAsia="Arial" w:hAnsi="Arial"/>
          <w:sz w:val="21"/>
          <w:szCs w:val="21"/>
          <w:color w:val="auto"/>
        </w:rPr>
        <w:t>”). The payments referred to in Sections 6(a)(i) and 6(a)(ii) of this Agreement shall be paid within 30 days following the Date of Termination, subject to compliance with Section 409A of the Internal Revenue Code of 1986, as amended (“</w:t>
      </w:r>
      <w:r>
        <w:rPr>
          <w:rFonts w:ascii="Arial" w:cs="Arial" w:eastAsia="Arial" w:hAnsi="Arial"/>
          <w:sz w:val="21"/>
          <w:szCs w:val="21"/>
          <w:u w:val="single" w:color="auto"/>
          <w:color w:val="auto"/>
        </w:rPr>
        <w:t>Section 409A</w:t>
      </w:r>
      <w:r>
        <w:rPr>
          <w:rFonts w:ascii="Arial" w:cs="Arial" w:eastAsia="Arial" w:hAnsi="Arial"/>
          <w:sz w:val="21"/>
          <w:szCs w:val="21"/>
          <w:color w:val="auto"/>
        </w:rPr>
        <w:t>”). The payments referred to in Section 6(a)(iii) of this Agreement shall be paid at the times such amounts would otherwise be paid had Employee’s services hereunder not terminated. The payments and benefits to be provided to Employee under Sections 6(c) and 6(d) of this Agreement, if any, shall in all events be subject to the satisfaction of the conditions of Section 6(e) of this Agreement.</w:t>
      </w:r>
    </w:p>
    <w:p>
      <w:pPr>
        <w:spacing w:after="0" w:line="180" w:lineRule="exact"/>
        <w:rPr>
          <w:sz w:val="20"/>
          <w:szCs w:val="20"/>
          <w:color w:val="auto"/>
        </w:rPr>
      </w:pPr>
    </w:p>
    <w:p>
      <w:pPr>
        <w:ind w:right="80" w:firstLine="1304"/>
        <w:spacing w:after="0" w:line="250" w:lineRule="auto"/>
        <w:tabs>
          <w:tab w:leader="none" w:pos="1602" w:val="left"/>
        </w:tabs>
        <w:numPr>
          <w:ilvl w:val="1"/>
          <w:numId w:val="353"/>
        </w:numPr>
        <w:rPr>
          <w:rFonts w:ascii="Arial" w:cs="Arial" w:eastAsia="Arial" w:hAnsi="Arial"/>
          <w:sz w:val="22"/>
          <w:szCs w:val="22"/>
          <w:color w:val="010000"/>
        </w:rPr>
      </w:pPr>
      <w:r>
        <w:rPr>
          <w:rFonts w:ascii="Arial" w:cs="Arial" w:eastAsia="Arial" w:hAnsi="Arial"/>
          <w:sz w:val="22"/>
          <w:szCs w:val="22"/>
          <w:u w:val="single" w:color="auto"/>
          <w:color w:val="auto"/>
        </w:rPr>
        <w:t>Automatic Expiration of the Term, Resignation, Cause, or Disability</w:t>
      </w:r>
      <w:r>
        <w:rPr>
          <w:rFonts w:ascii="Arial" w:cs="Arial" w:eastAsia="Arial" w:hAnsi="Arial"/>
          <w:sz w:val="22"/>
          <w:szCs w:val="22"/>
          <w:color w:val="auto"/>
        </w:rPr>
        <w:t>. If Employee’s employment is terminated pursuant to Section 5(a), 5(c), 5(f) or 5(g) of this Agreement (excluding, for the avoidance of doubt, a resignation for Good Reason upon or within two years following a Change of Control as described in Section 6(d)), the Company shall have no obligation to Employee other than with respect to the Accrued Benefits.</w:t>
      </w:r>
    </w:p>
    <w:p>
      <w:pPr>
        <w:spacing w:after="0" w:line="187" w:lineRule="exact"/>
        <w:rPr>
          <w:rFonts w:ascii="Arial" w:cs="Arial" w:eastAsia="Arial" w:hAnsi="Arial"/>
          <w:sz w:val="22"/>
          <w:szCs w:val="22"/>
          <w:color w:val="010000"/>
        </w:rPr>
      </w:pPr>
    </w:p>
    <w:p>
      <w:pPr>
        <w:ind w:right="180" w:firstLine="1304"/>
        <w:spacing w:after="0" w:line="271" w:lineRule="auto"/>
        <w:tabs>
          <w:tab w:leader="none" w:pos="1590" w:val="left"/>
        </w:tabs>
        <w:numPr>
          <w:ilvl w:val="1"/>
          <w:numId w:val="353"/>
        </w:numPr>
        <w:rPr>
          <w:rFonts w:ascii="Arial" w:cs="Arial" w:eastAsia="Arial" w:hAnsi="Arial"/>
          <w:sz w:val="21"/>
          <w:szCs w:val="21"/>
          <w:color w:val="010000"/>
        </w:rPr>
      </w:pPr>
      <w:r>
        <w:rPr>
          <w:rFonts w:ascii="Arial" w:cs="Arial" w:eastAsia="Arial" w:hAnsi="Arial"/>
          <w:sz w:val="21"/>
          <w:szCs w:val="21"/>
          <w:u w:val="single" w:color="auto"/>
          <w:color w:val="auto"/>
        </w:rPr>
        <w:t>Death, Without Cause</w:t>
      </w:r>
      <w:r>
        <w:rPr>
          <w:rFonts w:ascii="Arial" w:cs="Arial" w:eastAsia="Arial" w:hAnsi="Arial"/>
          <w:sz w:val="21"/>
          <w:szCs w:val="21"/>
          <w:color w:val="auto"/>
        </w:rPr>
        <w:t>. In the event of a termination by reason of Employee’s death or in the event that, either prior to a Change of Control or more than two years following a Change of Control, the Company terminates Employee’s employment hereunder without Cause, Employee (or his estate) shall be entitled to:</w:t>
      </w:r>
    </w:p>
    <w:p>
      <w:pPr>
        <w:spacing w:after="0" w:line="167" w:lineRule="exact"/>
        <w:rPr>
          <w:rFonts w:ascii="Arial" w:cs="Arial" w:eastAsia="Arial" w:hAnsi="Arial"/>
          <w:sz w:val="21"/>
          <w:szCs w:val="21"/>
          <w:color w:val="010000"/>
        </w:rPr>
      </w:pPr>
    </w:p>
    <w:p>
      <w:pPr>
        <w:ind w:left="2200" w:hanging="248"/>
        <w:spacing w:after="0"/>
        <w:tabs>
          <w:tab w:leader="none" w:pos="2200" w:val="left"/>
        </w:tabs>
        <w:numPr>
          <w:ilvl w:val="2"/>
          <w:numId w:val="353"/>
        </w:numPr>
        <w:rPr>
          <w:rFonts w:ascii="Arial" w:cs="Arial" w:eastAsia="Arial" w:hAnsi="Arial"/>
          <w:sz w:val="22"/>
          <w:szCs w:val="22"/>
          <w:color w:val="010000"/>
        </w:rPr>
      </w:pPr>
      <w:r>
        <w:rPr>
          <w:rFonts w:ascii="Arial" w:cs="Arial" w:eastAsia="Arial" w:hAnsi="Arial"/>
          <w:sz w:val="22"/>
          <w:szCs w:val="22"/>
          <w:color w:val="auto"/>
        </w:rPr>
        <w:t>the Accrued Benefits;</w:t>
      </w:r>
    </w:p>
    <w:p>
      <w:pPr>
        <w:spacing w:after="0" w:line="219" w:lineRule="exact"/>
        <w:rPr>
          <w:rFonts w:ascii="Arial" w:cs="Arial" w:eastAsia="Arial" w:hAnsi="Arial"/>
          <w:sz w:val="22"/>
          <w:szCs w:val="22"/>
          <w:color w:val="010000"/>
        </w:rPr>
      </w:pPr>
    </w:p>
    <w:p>
      <w:pPr>
        <w:ind w:right="120" w:firstLine="1952"/>
        <w:spacing w:after="0" w:line="285" w:lineRule="auto"/>
        <w:tabs>
          <w:tab w:leader="none" w:pos="2262" w:val="left"/>
        </w:tabs>
        <w:numPr>
          <w:ilvl w:val="2"/>
          <w:numId w:val="353"/>
        </w:numPr>
        <w:rPr>
          <w:rFonts w:ascii="Arial" w:cs="Arial" w:eastAsia="Arial" w:hAnsi="Arial"/>
          <w:sz w:val="19"/>
          <w:szCs w:val="19"/>
          <w:color w:val="010000"/>
        </w:rPr>
      </w:pPr>
      <w:r>
        <w:rPr>
          <w:rFonts w:ascii="Arial" w:cs="Arial" w:eastAsia="Arial" w:hAnsi="Arial"/>
          <w:sz w:val="19"/>
          <w:szCs w:val="19"/>
          <w:color w:val="auto"/>
        </w:rPr>
        <w:t>solely in the case of a termination by the Company without Cause, a cash payment (the “</w:t>
      </w:r>
      <w:r>
        <w:rPr>
          <w:rFonts w:ascii="Arial" w:cs="Arial" w:eastAsia="Arial" w:hAnsi="Arial"/>
          <w:sz w:val="19"/>
          <w:szCs w:val="19"/>
          <w:u w:val="single" w:color="auto"/>
          <w:color w:val="auto"/>
        </w:rPr>
        <w:t>Severance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equal to twelve (12) months’ Base Salary, as in effect on the Date of Termination (payable subject to the terms of Section 6(e) of this Agreement), plus any Annual Bonus that the Company has notified Employee in writing that Employee has earned prior to the Date of Termination but is unpaid as of the Date of Termination, and, except in the case of a termination by reason of Employee’s death, medical and dental coverage for a period of six months from the Date of Termination; provided that</w:t>
      </w:r>
    </w:p>
    <w:p>
      <w:pPr>
        <w:spacing w:after="0" w:line="3" w:lineRule="exact"/>
        <w:rPr>
          <w:rFonts w:ascii="Arial" w:cs="Arial" w:eastAsia="Arial" w:hAnsi="Arial"/>
          <w:sz w:val="19"/>
          <w:szCs w:val="19"/>
          <w:color w:val="010000"/>
        </w:rPr>
      </w:pPr>
    </w:p>
    <w:p>
      <w:pPr>
        <w:ind w:firstLine="8"/>
        <w:spacing w:after="0" w:line="259" w:lineRule="auto"/>
        <w:tabs>
          <w:tab w:leader="none" w:pos="306" w:val="left"/>
        </w:tabs>
        <w:numPr>
          <w:ilvl w:val="0"/>
          <w:numId w:val="354"/>
        </w:numPr>
        <w:rPr>
          <w:rFonts w:ascii="Arial" w:cs="Arial" w:eastAsia="Arial" w:hAnsi="Arial"/>
          <w:sz w:val="21"/>
          <w:szCs w:val="21"/>
          <w:color w:val="auto"/>
        </w:rPr>
      </w:pPr>
      <w:r>
        <w:rPr>
          <w:rFonts w:ascii="Arial" w:cs="Arial" w:eastAsia="Arial" w:hAnsi="Arial"/>
          <w:sz w:val="21"/>
          <w:szCs w:val="21"/>
          <w:color w:val="auto"/>
        </w:rPr>
        <w:t>any monies Employee earns from any other work, whether as an employee or as an independent contractor, while Employee is receiving any Severance Payments shall reduce, on a dollar-for-dollar basis, the amount that the Company is obligated to pay Employee under this Section 6(c)(ii) and (y) if Employee secures other employment, any medical or dental benefits provided under this Section 6(c)(ii) shall cease as of the commencement of such employment; and</w:t>
      </w:r>
    </w:p>
    <w:p>
      <w:pPr>
        <w:spacing w:after="0" w:line="181" w:lineRule="exact"/>
        <w:rPr>
          <w:rFonts w:ascii="Arial" w:cs="Arial" w:eastAsia="Arial" w:hAnsi="Arial"/>
          <w:sz w:val="21"/>
          <w:szCs w:val="21"/>
          <w:color w:val="auto"/>
        </w:rPr>
      </w:pPr>
    </w:p>
    <w:p>
      <w:pPr>
        <w:ind w:right="40" w:firstLine="1952"/>
        <w:spacing w:after="0" w:line="263" w:lineRule="auto"/>
        <w:tabs>
          <w:tab w:leader="none" w:pos="2322" w:val="left"/>
        </w:tabs>
        <w:numPr>
          <w:ilvl w:val="2"/>
          <w:numId w:val="354"/>
        </w:numPr>
        <w:rPr>
          <w:rFonts w:ascii="Arial" w:cs="Arial" w:eastAsia="Arial" w:hAnsi="Arial"/>
          <w:sz w:val="22"/>
          <w:szCs w:val="22"/>
          <w:color w:val="010000"/>
        </w:rPr>
      </w:pPr>
      <w:r>
        <w:rPr>
          <w:rFonts w:ascii="Arial" w:cs="Arial" w:eastAsia="Arial" w:hAnsi="Arial"/>
          <w:sz w:val="22"/>
          <w:szCs w:val="22"/>
          <w:color w:val="auto"/>
        </w:rPr>
        <w:t>vesting of equity based or other long-term incentive compensation awards solely to the extent set forth in the applicable award agreement.</w:t>
      </w:r>
    </w:p>
    <w:p>
      <w:pPr>
        <w:spacing w:after="0" w:line="174" w:lineRule="exact"/>
        <w:rPr>
          <w:rFonts w:ascii="Arial" w:cs="Arial" w:eastAsia="Arial" w:hAnsi="Arial"/>
          <w:sz w:val="22"/>
          <w:szCs w:val="22"/>
          <w:color w:val="010000"/>
        </w:rPr>
      </w:pPr>
    </w:p>
    <w:p>
      <w:pPr>
        <w:jc w:val="both"/>
        <w:ind w:right="60" w:firstLine="1304"/>
        <w:spacing w:after="0" w:line="253" w:lineRule="auto"/>
        <w:tabs>
          <w:tab w:leader="none" w:pos="1602" w:val="left"/>
        </w:tabs>
        <w:numPr>
          <w:ilvl w:val="1"/>
          <w:numId w:val="354"/>
        </w:numPr>
        <w:rPr>
          <w:rFonts w:ascii="Arial" w:cs="Arial" w:eastAsia="Arial" w:hAnsi="Arial"/>
          <w:sz w:val="22"/>
          <w:szCs w:val="22"/>
          <w:color w:val="010000"/>
        </w:rPr>
      </w:pPr>
      <w:r>
        <w:rPr>
          <w:rFonts w:ascii="Arial" w:cs="Arial" w:eastAsia="Arial" w:hAnsi="Arial"/>
          <w:sz w:val="22"/>
          <w:szCs w:val="22"/>
          <w:u w:val="single" w:color="auto"/>
          <w:color w:val="auto"/>
        </w:rPr>
        <w:t>Without Cause or for Good Reason Following a Change of Control</w:t>
      </w:r>
      <w:r>
        <w:rPr>
          <w:rFonts w:ascii="Arial" w:cs="Arial" w:eastAsia="Arial" w:hAnsi="Arial"/>
          <w:sz w:val="22"/>
          <w:szCs w:val="22"/>
          <w:color w:val="auto"/>
        </w:rPr>
        <w:t>. In the event that, upon or within two years following a Change of Control, the Company terminates Employee’s employment hereunder without Cause or Employee resigns for Good Reason, Employee shall be entitled to:</w:t>
      </w:r>
    </w:p>
    <w:p>
      <w:pPr>
        <w:spacing w:after="0" w:line="185" w:lineRule="exact"/>
        <w:rPr>
          <w:rFonts w:ascii="Arial" w:cs="Arial" w:eastAsia="Arial" w:hAnsi="Arial"/>
          <w:sz w:val="22"/>
          <w:szCs w:val="22"/>
          <w:color w:val="010000"/>
        </w:rPr>
      </w:pPr>
    </w:p>
    <w:p>
      <w:pPr>
        <w:ind w:left="2200" w:hanging="248"/>
        <w:spacing w:after="0"/>
        <w:tabs>
          <w:tab w:leader="none" w:pos="2200" w:val="left"/>
        </w:tabs>
        <w:numPr>
          <w:ilvl w:val="2"/>
          <w:numId w:val="355"/>
        </w:numPr>
        <w:rPr>
          <w:rFonts w:ascii="Arial" w:cs="Arial" w:eastAsia="Arial" w:hAnsi="Arial"/>
          <w:sz w:val="22"/>
          <w:szCs w:val="22"/>
          <w:color w:val="010000"/>
        </w:rPr>
      </w:pPr>
      <w:r>
        <w:rPr>
          <w:rFonts w:ascii="Arial" w:cs="Arial" w:eastAsia="Arial" w:hAnsi="Arial"/>
          <w:sz w:val="22"/>
          <w:szCs w:val="22"/>
          <w:color w:val="auto"/>
        </w:rPr>
        <w:t>the Accrued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265" w:right="339" w:bottom="1440" w:gutter="0" w:footer="0" w:header="0"/>
        </w:sectPr>
      </w:pPr>
    </w:p>
    <w:bookmarkStart w:id="411" w:name="page412"/>
    <w:bookmarkEnd w:id="411"/>
    <w:p>
      <w:pPr>
        <w:ind w:left="-20" w:firstLine="1952"/>
        <w:spacing w:after="0" w:line="250" w:lineRule="auto"/>
        <w:tabs>
          <w:tab w:leader="none" w:pos="2242" w:val="left"/>
        </w:tabs>
        <w:numPr>
          <w:ilvl w:val="1"/>
          <w:numId w:val="356"/>
        </w:numPr>
        <w:rPr>
          <w:rFonts w:ascii="Arial" w:cs="Arial" w:eastAsia="Arial" w:hAnsi="Arial"/>
          <w:sz w:val="22"/>
          <w:szCs w:val="22"/>
          <w:color w:val="010000"/>
        </w:rPr>
      </w:pPr>
      <w:r>
        <w:rPr>
          <w:rFonts w:ascii="Arial" w:cs="Arial" w:eastAsia="Arial" w:hAnsi="Arial"/>
          <w:sz w:val="22"/>
          <w:szCs w:val="22"/>
          <w:color w:val="auto"/>
        </w:rPr>
        <w:t>a cash payment (the “</w:t>
      </w:r>
      <w:r>
        <w:rPr>
          <w:rFonts w:ascii="Arial" w:cs="Arial" w:eastAsia="Arial" w:hAnsi="Arial"/>
          <w:sz w:val="22"/>
          <w:szCs w:val="22"/>
          <w:u w:val="single" w:color="auto"/>
          <w:color w:val="auto"/>
        </w:rPr>
        <w:t>CIC Severance Payment</w:t>
      </w:r>
      <w:r>
        <w:rPr>
          <w:rFonts w:ascii="Arial" w:cs="Arial" w:eastAsia="Arial" w:hAnsi="Arial"/>
          <w:sz w:val="22"/>
          <w:szCs w:val="22"/>
          <w:color w:val="auto"/>
        </w:rPr>
        <w:t>”) equal to two times the sum of (A) the Base Salary as in effect on the Date of Termination (without regard to any reduction thereto that would provide a basis for Employee to resign for Good Reason) and (B) the Target Bonus as in effect on the Date of Termination (without regard to any reduction thereto that would provide a basis for Employee to resign for Good Reason);</w:t>
      </w:r>
    </w:p>
    <w:p>
      <w:pPr>
        <w:spacing w:after="0" w:line="187" w:lineRule="exact"/>
        <w:rPr>
          <w:rFonts w:ascii="Arial" w:cs="Arial" w:eastAsia="Arial" w:hAnsi="Arial"/>
          <w:sz w:val="22"/>
          <w:szCs w:val="22"/>
          <w:color w:val="010000"/>
        </w:rPr>
      </w:pPr>
    </w:p>
    <w:p>
      <w:pPr>
        <w:ind w:left="-20" w:right="180" w:firstLine="1952"/>
        <w:spacing w:after="0" w:line="250" w:lineRule="auto"/>
        <w:tabs>
          <w:tab w:leader="none" w:pos="2302" w:val="left"/>
        </w:tabs>
        <w:numPr>
          <w:ilvl w:val="1"/>
          <w:numId w:val="356"/>
        </w:numPr>
        <w:rPr>
          <w:rFonts w:ascii="Arial" w:cs="Arial" w:eastAsia="Arial" w:hAnsi="Arial"/>
          <w:sz w:val="22"/>
          <w:szCs w:val="22"/>
          <w:color w:val="010000"/>
        </w:rPr>
      </w:pPr>
      <w:r>
        <w:rPr>
          <w:rFonts w:ascii="Arial" w:cs="Arial" w:eastAsia="Arial" w:hAnsi="Arial"/>
          <w:sz w:val="22"/>
          <w:szCs w:val="22"/>
          <w:color w:val="auto"/>
        </w:rPr>
        <w:t>a cash payment equal to the product of (A) the Target Bonus as in effect on the Date of Termination (without regard to any reduction thereto that would provide a basis for Employee to resign for Good Reason) and (B) a fraction, the numerator of which is the number of days from January 1 in the year in which the Date of Termination occurs through the Date of Termination and the denominator of which is 365;</w:t>
      </w:r>
    </w:p>
    <w:p>
      <w:pPr>
        <w:spacing w:after="0" w:line="187" w:lineRule="exact"/>
        <w:rPr>
          <w:rFonts w:ascii="Arial" w:cs="Arial" w:eastAsia="Arial" w:hAnsi="Arial"/>
          <w:sz w:val="22"/>
          <w:szCs w:val="22"/>
          <w:color w:val="010000"/>
        </w:rPr>
      </w:pPr>
    </w:p>
    <w:p>
      <w:pPr>
        <w:ind w:left="-20" w:right="120" w:firstLine="1952"/>
        <w:spacing w:after="0" w:line="343" w:lineRule="auto"/>
        <w:tabs>
          <w:tab w:leader="none" w:pos="2290" w:val="left"/>
        </w:tabs>
        <w:numPr>
          <w:ilvl w:val="1"/>
          <w:numId w:val="356"/>
        </w:numPr>
        <w:rPr>
          <w:rFonts w:ascii="Arial" w:cs="Arial" w:eastAsia="Arial" w:hAnsi="Arial"/>
          <w:sz w:val="19"/>
          <w:szCs w:val="19"/>
          <w:color w:val="010000"/>
        </w:rPr>
      </w:pPr>
      <w:r>
        <w:rPr>
          <w:rFonts w:ascii="Arial" w:cs="Arial" w:eastAsia="Arial" w:hAnsi="Arial"/>
          <w:sz w:val="19"/>
          <w:szCs w:val="19"/>
          <w:color w:val="auto"/>
        </w:rPr>
        <w:t>a cash payment equal to the amount of any Annual Bonus that the Company has notified Employee in writing that Employee has earned prior to the Date of Termination but is unpaid as of the Date of Termination; and</w:t>
      </w:r>
    </w:p>
    <w:p>
      <w:pPr>
        <w:spacing w:after="0" w:line="104" w:lineRule="exact"/>
        <w:rPr>
          <w:rFonts w:ascii="Arial" w:cs="Arial" w:eastAsia="Arial" w:hAnsi="Arial"/>
          <w:sz w:val="19"/>
          <w:szCs w:val="19"/>
          <w:color w:val="010000"/>
        </w:rPr>
      </w:pPr>
    </w:p>
    <w:p>
      <w:pPr>
        <w:ind w:left="2240" w:hanging="308"/>
        <w:spacing w:after="0"/>
        <w:tabs>
          <w:tab w:leader="none" w:pos="2240" w:val="left"/>
        </w:tabs>
        <w:numPr>
          <w:ilvl w:val="1"/>
          <w:numId w:val="356"/>
        </w:numPr>
        <w:rPr>
          <w:rFonts w:ascii="Arial" w:cs="Arial" w:eastAsia="Arial" w:hAnsi="Arial"/>
          <w:sz w:val="22"/>
          <w:szCs w:val="22"/>
          <w:color w:val="010000"/>
        </w:rPr>
      </w:pPr>
      <w:r>
        <w:rPr>
          <w:rFonts w:ascii="Arial" w:cs="Arial" w:eastAsia="Arial" w:hAnsi="Arial"/>
          <w:sz w:val="22"/>
          <w:szCs w:val="22"/>
          <w:color w:val="auto"/>
        </w:rPr>
        <w:t>medical and dental coverage for a period of 24 months from the Date of Termination.</w:t>
      </w:r>
    </w:p>
    <w:p>
      <w:pPr>
        <w:spacing w:after="0" w:line="219" w:lineRule="exact"/>
        <w:rPr>
          <w:rFonts w:ascii="Arial" w:cs="Arial" w:eastAsia="Arial" w:hAnsi="Arial"/>
          <w:sz w:val="22"/>
          <w:szCs w:val="22"/>
          <w:color w:val="010000"/>
        </w:rPr>
      </w:pPr>
    </w:p>
    <w:p>
      <w:pPr>
        <w:ind w:left="-20" w:firstLine="1304"/>
        <w:spacing w:after="0" w:line="284" w:lineRule="auto"/>
        <w:tabs>
          <w:tab w:leader="none" w:pos="1570" w:val="left"/>
        </w:tabs>
        <w:numPr>
          <w:ilvl w:val="0"/>
          <w:numId w:val="357"/>
        </w:numPr>
        <w:rPr>
          <w:rFonts w:ascii="Arial" w:cs="Arial" w:eastAsia="Arial" w:hAnsi="Arial"/>
          <w:sz w:val="19"/>
          <w:szCs w:val="19"/>
          <w:color w:val="010000"/>
        </w:rPr>
      </w:pPr>
      <w:r>
        <w:rPr>
          <w:rFonts w:ascii="Arial" w:cs="Arial" w:eastAsia="Arial" w:hAnsi="Arial"/>
          <w:sz w:val="19"/>
          <w:szCs w:val="19"/>
          <w:u w:val="single" w:color="auto"/>
          <w:color w:val="auto"/>
        </w:rPr>
        <w:t>Conditions Precedent and Subsequent</w:t>
      </w:r>
      <w:r>
        <w:rPr>
          <w:rFonts w:ascii="Arial" w:cs="Arial" w:eastAsia="Arial" w:hAnsi="Arial"/>
          <w:sz w:val="19"/>
          <w:szCs w:val="19"/>
          <w:color w:val="auto"/>
        </w:rPr>
        <w:t xml:space="preserve">. The payments and benefits provided under Sections 6(c) and 6(d) of this Agreement (other than the Accrued Benefits and other than in the event of termination by reason of Employee’s death or Disability) are subject to and conditioned upon (i) Employee having provided, within 60 days after the Date of Termination (or such greater period as required by law), a waiver and general release agreement in a form satisfactory to the Company, which form shall, in the case of a termination on or following a Change of Control, be a form approved by the Compensation Committee prior to the Change of Control that shall not be modified on or after the Change of Control without Employee’s prior written consent, that has become effective and irrevocable in accordance with its terms, and (ii) Employee’s compliance with Sections 7 and 8 of this Agreement. Employee shall, upon request by the Company, be required to repay to the Company (net of any taxes paid by Employee on such payments), and the Company shall have no further obligation to pay, the Severance Payment or CIC Severance Payment, as applicable, in the event Employee receives, within six months after the occurrence of the breach, written notice from the Company that, in the reasonable judgment of the Reporting Person, Employee has materially breached his obligations under Section 7 or 8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cases where cure is possible, Employee shall first be provided a 15-day cure period to cease, and to cure, such conduct. The Severance Payment if any, payable hereunder shall be paid in substantially equal installments over the 6-month period, following the Date of Termination, consistent with the Company’s payroll practices, with the first installment to be paid within 65 days after the Date of Termination and with any installments that would otherwise have been paid prior to such date accumulated and paid in a lump sum on the first date on which payments are made in accordance with the terms of this sentence. The CIC Severance Payment, if any, payable hereunder shall be paid in one lump sum within 65 days after the Date of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unless the CIC Severance Payment relates to a transaction that satisfies the requirements of Treas. Reg. § 1.409A-3(i)(5), any portion of the CIC Severance Payment that constitutes deferred compensation within the meaning of Section 409A, will be paid at the earliest date that is permitted in accordance with the schedule that is applicable to the Severance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40" w:top="1265" w:right="339" w:bottom="1440" w:gutter="0" w:footer="0" w:header="0"/>
        </w:sectPr>
      </w:pPr>
    </w:p>
    <w:bookmarkStart w:id="412" w:name="page413"/>
    <w:bookmarkEnd w:id="412"/>
    <w:p>
      <w:pPr>
        <w:ind w:left="-20" w:right="20" w:firstLine="1304"/>
        <w:spacing w:after="0" w:line="285" w:lineRule="auto"/>
        <w:tabs>
          <w:tab w:leader="none" w:pos="1546" w:val="left"/>
        </w:tabs>
        <w:numPr>
          <w:ilvl w:val="0"/>
          <w:numId w:val="358"/>
        </w:numPr>
        <w:rPr>
          <w:rFonts w:ascii="Arial" w:cs="Arial" w:eastAsia="Arial" w:hAnsi="Arial"/>
          <w:sz w:val="19"/>
          <w:szCs w:val="19"/>
          <w:color w:val="010000"/>
        </w:rPr>
      </w:pPr>
      <w:r>
        <w:rPr>
          <w:rFonts w:ascii="Arial" w:cs="Arial" w:eastAsia="Arial" w:hAnsi="Arial"/>
          <w:sz w:val="19"/>
          <w:szCs w:val="19"/>
          <w:u w:val="single" w:color="auto"/>
          <w:color w:val="auto"/>
        </w:rPr>
        <w:t>Forfeiture of Long-Term Incentive Compensation Awards</w:t>
      </w:r>
      <w:r>
        <w:rPr>
          <w:rFonts w:ascii="Arial" w:cs="Arial" w:eastAsia="Arial" w:hAnsi="Arial"/>
          <w:sz w:val="19"/>
          <w:szCs w:val="19"/>
          <w:color w:val="auto"/>
        </w:rPr>
        <w:t xml:space="preserve">. Notwithstanding anything to the contrary herein and without limiting any rights and remedies available to the Company under the terms of this Agreement or otherwise at law or in equity (including as may be required by law or pursuant to policies of the Company as may be in effect from time to time), in the event the Company terminates Employee’s employment for Cause or if Employee violates the restrictive covenants set forth in Sections 7 and 8 of this Agreement or engages in fraud or willful misconduct that contributes materially to any financial restatement or material loss to the Company or any of its affiliates, the Company may (i) in the case of a termination for Cause, at any time up to six months after such termination, or (ii) in the case of a violation of the restrictive covenants or engaging in fraud or willful misconduct, at any time up to six months after learning of such conduct, but in no event more than two years after Employee engages in such conduct, (x) terminate or cancel any Long-Term Incentive Compensation that are unvested or vested and unexercised, (y) require Employee to forfeit or remit to the Company any amount payable, or the after-tax net amount paid or received by Employee, in respect of any Long-Term Incentive Compensation the vesting of which was accelerated upon termination of Employee’s employment for any reason and (z) require Employee to forfeit or remit to the Company any shares (or the equivalent value in cash) that were issued to Employee (or cash that was paid to Employee) upon vesting, settlement or exercise, as applicable, of any Long-Term Incentive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cases where cure is possible, Employee shall first be provided a 15-day cure period to cease, and to cure, such conduct. In addition, Employee’s Long-Term Incentive Compensation shall be subject to any other clawback or recoupment policy of the Company as may be in effect from time to time or any clawback or recoupment as may be required by applicable law</w:t>
      </w:r>
    </w:p>
    <w:p>
      <w:pPr>
        <w:spacing w:after="0" w:line="165" w:lineRule="exact"/>
        <w:rPr>
          <w:rFonts w:ascii="Arial" w:cs="Arial" w:eastAsia="Arial" w:hAnsi="Arial"/>
          <w:sz w:val="19"/>
          <w:szCs w:val="19"/>
          <w:color w:val="010000"/>
        </w:rPr>
      </w:pPr>
    </w:p>
    <w:p>
      <w:pPr>
        <w:ind w:left="-20" w:firstLine="1304"/>
        <w:spacing w:after="0" w:line="285" w:lineRule="auto"/>
        <w:tabs>
          <w:tab w:leader="none" w:pos="1582" w:val="left"/>
        </w:tabs>
        <w:numPr>
          <w:ilvl w:val="0"/>
          <w:numId w:val="358"/>
        </w:numPr>
        <w:rPr>
          <w:rFonts w:ascii="Arial" w:cs="Arial" w:eastAsia="Arial" w:hAnsi="Arial"/>
          <w:sz w:val="19"/>
          <w:szCs w:val="19"/>
          <w:color w:val="010000"/>
        </w:rPr>
      </w:pPr>
      <w:r>
        <w:rPr>
          <w:rFonts w:ascii="Arial" w:cs="Arial" w:eastAsia="Arial" w:hAnsi="Arial"/>
          <w:sz w:val="19"/>
          <w:szCs w:val="19"/>
          <w:u w:val="single" w:color="auto"/>
          <w:color w:val="auto"/>
        </w:rPr>
        <w:t>Section 280G</w:t>
      </w:r>
      <w:r>
        <w:rPr>
          <w:rFonts w:ascii="Arial" w:cs="Arial" w:eastAsia="Arial" w:hAnsi="Arial"/>
          <w:sz w:val="19"/>
          <w:szCs w:val="19"/>
          <w:color w:val="auto"/>
        </w:rPr>
        <w:t>. In the event that any payments, distributions, benefits or entitlements of any type payable to Employee (“</w:t>
      </w:r>
      <w:r>
        <w:rPr>
          <w:rFonts w:ascii="Arial" w:cs="Arial" w:eastAsia="Arial" w:hAnsi="Arial"/>
          <w:sz w:val="19"/>
          <w:szCs w:val="19"/>
          <w:u w:val="single" w:color="auto"/>
          <w:color w:val="auto"/>
        </w:rPr>
        <w:t>CIC Benefits</w:t>
      </w:r>
      <w:r>
        <w:rPr>
          <w:rFonts w:ascii="Arial" w:cs="Arial" w:eastAsia="Arial" w:hAnsi="Arial"/>
          <w:sz w:val="19"/>
          <w:szCs w:val="19"/>
          <w:color w:val="auto"/>
        </w:rPr>
        <w:t>”) (i) constitute “parachute payments” within the meaning of Section 280G of the Code, and (ii) but for this paragraph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Employee’s CIC Benefits shall be reduced to such lesser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xml:space="preserve">”) that would result in no portion of such benefits being subject to the Excise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amounts shall not be so reduced if the Company determines, based on the advice of a nationally recognized accounting firm selected by the Company prior to a Change of Control (the “</w:t>
      </w:r>
      <w:r>
        <w:rPr>
          <w:rFonts w:ascii="Arial" w:cs="Arial" w:eastAsia="Arial" w:hAnsi="Arial"/>
          <w:sz w:val="19"/>
          <w:szCs w:val="19"/>
          <w:u w:val="single" w:color="auto"/>
          <w:color w:val="auto"/>
        </w:rPr>
        <w:t>Accountants</w:t>
      </w:r>
      <w:r>
        <w:rPr>
          <w:rFonts w:ascii="Arial" w:cs="Arial" w:eastAsia="Arial" w:hAnsi="Arial"/>
          <w:sz w:val="19"/>
          <w:szCs w:val="19"/>
          <w:color w:val="auto"/>
        </w:rPr>
        <w:t>”), that without such reduction Employee would be entitled to receive and retain, on a net after tax basis (including, without limitation, any excise taxes payable under Section 4999 of the Code), an amount that is greater than the amount, on a net after tax basis, that Employee would be entitled to retain upon receipt of the Reduced Amount. Unless the Company and Employee otherwise agree in writing, any determination required under this Section 6(g) shall be made in writing in good faith by the Accountants. In the event of a reduction of benefits hereunder, benefits shall be reduced by first reducing or eliminating the portion of the CIC Benefits that are payable in cash under Section 6(d)(ii) and 6(d)(iii) and then by reducing or eliminating any amounts that are payable with respect to long-term incentives including any equity-based or equity-related awards (whether payable in cash or in kind). For purposes of making the calculations required by this Section 6(g), the Accountants may make reasonable assumptions and approximations concerning applicable taxes and may rely on reasonable, good faith interpretations concerning the application of the Code, and other applicable legal authority. The Company and Employee shall furnish to the Accountants such information and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40" w:top="1265" w:right="339" w:bottom="1440" w:gutter="0" w:footer="0" w:header="0"/>
        </w:sectPr>
      </w:pPr>
    </w:p>
    <w:bookmarkStart w:id="413" w:name="page414"/>
    <w:bookmarkEnd w:id="413"/>
    <w:p>
      <w:pPr>
        <w:ind w:right="80"/>
        <w:spacing w:after="0" w:line="343" w:lineRule="auto"/>
        <w:rPr>
          <w:sz w:val="20"/>
          <w:szCs w:val="20"/>
          <w:color w:val="auto"/>
        </w:rPr>
      </w:pPr>
      <w:r>
        <w:rPr>
          <w:rFonts w:ascii="Arial" w:cs="Arial" w:eastAsia="Arial" w:hAnsi="Arial"/>
          <w:sz w:val="19"/>
          <w:szCs w:val="19"/>
          <w:color w:val="auto"/>
        </w:rPr>
        <w:t>as the Accountants may reasonably require in order to make a determination under this Section 6(g), and the Company shall bear the cost of all fees the Accountants charge in connection with any calculations contemplated by this Section 6(g).</w:t>
      </w:r>
    </w:p>
    <w:p>
      <w:pPr>
        <w:spacing w:after="0" w:line="104" w:lineRule="exact"/>
        <w:rPr>
          <w:sz w:val="20"/>
          <w:szCs w:val="20"/>
          <w:color w:val="auto"/>
        </w:rPr>
      </w:pPr>
    </w:p>
    <w:p>
      <w:pPr>
        <w:ind w:right="40" w:firstLine="1304"/>
        <w:spacing w:after="0" w:line="247" w:lineRule="auto"/>
        <w:tabs>
          <w:tab w:leader="none" w:pos="1602" w:val="left"/>
        </w:tabs>
        <w:numPr>
          <w:ilvl w:val="1"/>
          <w:numId w:val="359"/>
        </w:numPr>
        <w:rPr>
          <w:rFonts w:ascii="Arial" w:cs="Arial" w:eastAsia="Arial" w:hAnsi="Arial"/>
          <w:sz w:val="22"/>
          <w:szCs w:val="22"/>
          <w:color w:val="010000"/>
        </w:rPr>
      </w:pPr>
      <w:r>
        <w:rPr>
          <w:rFonts w:ascii="Arial" w:cs="Arial" w:eastAsia="Arial" w:hAnsi="Arial"/>
          <w:sz w:val="22"/>
          <w:szCs w:val="22"/>
          <w:u w:val="single" w:color="auto"/>
          <w:color w:val="auto"/>
        </w:rPr>
        <w:t>Mitigation; Offset</w:t>
      </w:r>
      <w:r>
        <w:rPr>
          <w:rFonts w:ascii="Arial" w:cs="Arial" w:eastAsia="Arial" w:hAnsi="Arial"/>
          <w:sz w:val="22"/>
          <w:szCs w:val="22"/>
          <w:color w:val="auto"/>
        </w:rPr>
        <w:t>. Except as expressly provided hereunder, the Company’s obligation to make the payments provided for in this Agreement and otherwise to perform its obligations hereunder shall not be affected by any set-off, counterclaim, recoupment, defense, or other claim, right or action that the Company may have against the Employee or others. In no event shall the Employee be obligated to seek other employment or take any other action by way of mitigation of the amounts payable to the Employee under any of the provisions of this Agreement, and such amounts shall not be reduced whether or not the Employee obtains other employment.</w:t>
      </w:r>
    </w:p>
    <w:p>
      <w:pPr>
        <w:spacing w:after="0" w:line="192" w:lineRule="exact"/>
        <w:rPr>
          <w:rFonts w:ascii="Arial" w:cs="Arial" w:eastAsia="Arial" w:hAnsi="Arial"/>
          <w:sz w:val="22"/>
          <w:szCs w:val="22"/>
          <w:color w:val="010000"/>
        </w:rPr>
      </w:pPr>
    </w:p>
    <w:p>
      <w:pPr>
        <w:ind w:right="60" w:firstLine="656"/>
        <w:spacing w:after="0" w:line="259" w:lineRule="auto"/>
        <w:tabs>
          <w:tab w:leader="none" w:pos="864" w:val="left"/>
        </w:tabs>
        <w:numPr>
          <w:ilvl w:val="0"/>
          <w:numId w:val="360"/>
        </w:numPr>
        <w:rPr>
          <w:rFonts w:ascii="Arial" w:cs="Arial" w:eastAsia="Arial" w:hAnsi="Arial"/>
          <w:sz w:val="21"/>
          <w:szCs w:val="21"/>
          <w:color w:val="010000"/>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(a) During the Term and during the Restricted Period, Employee hereby agrees not to, directly or indirectly, solicit or hire or assist any other person or entity in soliciting or hiring any employee of the Company, or any of its affiliates (the “</w:t>
      </w:r>
      <w:r>
        <w:rPr>
          <w:rFonts w:ascii="Arial" w:cs="Arial" w:eastAsia="Arial" w:hAnsi="Arial"/>
          <w:sz w:val="21"/>
          <w:szCs w:val="21"/>
          <w:u w:val="single" w:color="auto"/>
          <w:color w:val="auto"/>
        </w:rPr>
        <w:t>Company Entities</w:t>
      </w:r>
      <w:r>
        <w:rPr>
          <w:rFonts w:ascii="Arial" w:cs="Arial" w:eastAsia="Arial" w:hAnsi="Arial"/>
          <w:sz w:val="21"/>
          <w:szCs w:val="21"/>
          <w:color w:val="auto"/>
        </w:rPr>
        <w:t>”), to perform services for any entity (other than a Company Entity) or attempt to induce any such employee to leave the service of a Company Entity, or solicit, hire, employ or engage on behalf of himself or any other person, any employee of a Company Entity, or anyone who was employed by a Company Entity, during the twelve-month period preceding such soliciting, hiring, employment or engagement. “</w:t>
      </w:r>
      <w:r>
        <w:rPr>
          <w:rFonts w:ascii="Arial" w:cs="Arial" w:eastAsia="Arial" w:hAnsi="Arial"/>
          <w:sz w:val="21"/>
          <w:szCs w:val="21"/>
          <w:u w:val="single" w:color="auto"/>
          <w:color w:val="auto"/>
        </w:rPr>
        <w:t>Restricted Period</w:t>
      </w:r>
      <w:r>
        <w:rPr>
          <w:rFonts w:ascii="Arial" w:cs="Arial" w:eastAsia="Arial" w:hAnsi="Arial"/>
          <w:sz w:val="21"/>
          <w:szCs w:val="21"/>
          <w:color w:val="auto"/>
        </w:rPr>
        <w:t>” means two years following termination of Employee’s employment for any reason and, for the avoidance of doubt, regardless of whether such termination is before, upon or after expiration of the Term.</w:t>
      </w:r>
    </w:p>
    <w:p>
      <w:pPr>
        <w:spacing w:after="0" w:line="183" w:lineRule="exact"/>
        <w:rPr>
          <w:rFonts w:ascii="Arial" w:cs="Arial" w:eastAsia="Arial" w:hAnsi="Arial"/>
          <w:sz w:val="21"/>
          <w:szCs w:val="21"/>
          <w:color w:val="010000"/>
        </w:rPr>
      </w:pPr>
    </w:p>
    <w:p>
      <w:pPr>
        <w:ind w:right="20" w:firstLine="1304"/>
        <w:spacing w:after="0" w:line="297" w:lineRule="auto"/>
        <w:tabs>
          <w:tab w:leader="none" w:pos="1602" w:val="left"/>
        </w:tabs>
        <w:numPr>
          <w:ilvl w:val="1"/>
          <w:numId w:val="360"/>
        </w:numPr>
        <w:rPr>
          <w:rFonts w:ascii="Arial" w:cs="Arial" w:eastAsia="Arial" w:hAnsi="Arial"/>
          <w:sz w:val="19"/>
          <w:szCs w:val="19"/>
          <w:color w:val="010000"/>
        </w:rPr>
      </w:pPr>
      <w:r>
        <w:rPr>
          <w:rFonts w:ascii="Arial" w:cs="Arial" w:eastAsia="Arial" w:hAnsi="Arial"/>
          <w:sz w:val="19"/>
          <w:szCs w:val="19"/>
          <w:color w:val="auto"/>
        </w:rPr>
        <w:t>During the Term and during the Restricted Period, Employee hereby agrees not to, directly or indirectly, discontinue or reduce the extent of the relationship between the Company Entities and the individuals, partnerships, corporations, professional associations or other business organizations that have a business relationship with any Company Entity (the “</w:t>
      </w:r>
      <w:r>
        <w:rPr>
          <w:rFonts w:ascii="Arial" w:cs="Arial" w:eastAsia="Arial" w:hAnsi="Arial"/>
          <w:sz w:val="19"/>
          <w:szCs w:val="19"/>
          <w:u w:val="single" w:color="auto"/>
          <w:color w:val="auto"/>
        </w:rPr>
        <w:t>Company’s Clients</w:t>
      </w:r>
      <w:r>
        <w:rPr>
          <w:rFonts w:ascii="Arial" w:cs="Arial" w:eastAsia="Arial" w:hAnsi="Arial"/>
          <w:sz w:val="19"/>
          <w:szCs w:val="19"/>
          <w:color w:val="auto"/>
        </w:rPr>
        <w:t>”) and about which business relationship Employee was aware, or to obtain or seek products or services the same as or similar to those offered by the Company Entities from any source not affiliated with the Company Entities.</w:t>
      </w:r>
    </w:p>
    <w:p>
      <w:pPr>
        <w:spacing w:after="0" w:line="146" w:lineRule="exact"/>
        <w:rPr>
          <w:rFonts w:ascii="Arial" w:cs="Arial" w:eastAsia="Arial" w:hAnsi="Arial"/>
          <w:sz w:val="19"/>
          <w:szCs w:val="19"/>
          <w:color w:val="010000"/>
        </w:rPr>
      </w:pPr>
    </w:p>
    <w:p>
      <w:pPr>
        <w:ind w:firstLine="656"/>
        <w:spacing w:after="0" w:line="287" w:lineRule="auto"/>
        <w:tabs>
          <w:tab w:leader="none" w:pos="864" w:val="left"/>
        </w:tabs>
        <w:numPr>
          <w:ilvl w:val="0"/>
          <w:numId w:val="360"/>
        </w:numPr>
        <w:rPr>
          <w:rFonts w:ascii="Arial" w:cs="Arial" w:eastAsia="Arial" w:hAnsi="Arial"/>
          <w:sz w:val="19"/>
          <w:szCs w:val="19"/>
          <w:color w:val="010000"/>
        </w:rPr>
      </w:pPr>
      <w:r>
        <w:rPr>
          <w:rFonts w:ascii="Arial" w:cs="Arial" w:eastAsia="Arial" w:hAnsi="Arial"/>
          <w:sz w:val="19"/>
          <w:szCs w:val="19"/>
          <w:u w:val="single" w:color="auto"/>
          <w:color w:val="auto"/>
        </w:rPr>
        <w:t>Confidentiality; Non-Compete; Non-Disclosure; Non-Disparagement; Cooperation</w:t>
      </w:r>
      <w:r>
        <w:rPr>
          <w:rFonts w:ascii="Arial" w:cs="Arial" w:eastAsia="Arial" w:hAnsi="Arial"/>
          <w:sz w:val="19"/>
          <w:szCs w:val="19"/>
          <w:color w:val="auto"/>
        </w:rPr>
        <w:t xml:space="preserve">. (a) </w:t>
      </w:r>
      <w:r>
        <w:rPr>
          <w:rFonts w:ascii="Arial" w:cs="Arial" w:eastAsia="Arial" w:hAnsi="Arial"/>
          <w:sz w:val="19"/>
          <w:szCs w:val="19"/>
          <w:u w:val="single" w:color="auto"/>
          <w:color w:val="auto"/>
        </w:rPr>
        <w:t>Confidentiality</w:t>
      </w:r>
      <w:r>
        <w:rPr>
          <w:rFonts w:ascii="Arial" w:cs="Arial" w:eastAsia="Arial" w:hAnsi="Arial"/>
          <w:sz w:val="19"/>
          <w:szCs w:val="19"/>
          <w:color w:val="auto"/>
        </w:rPr>
        <w:t>. (i) Employee hereby agrees that, during the Term and thereafter, he will hold in strict confidence any Confidential Information related to any of the Company Entities. For purposes of this Agreement,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shall mean all confidential or proprietary information of any of the Company Entities (in whatever form), whether or not that information rises to the level of a protectable trade secret, including, without limitation: any information, observations and data concerning the business or affairs or operation of the Company Entities developed or learned by Employee during the Term or which any Company Entity or any of their respective members, directors, officers, managers, partners, employees, agents, advisors, attorneys, accountants, consultants, investment bankers, investment advisors or financing sources at any time furnishes or has furnished to Employee in connection with the business of any of the Company Entities; the Company’s (and any of its respective affiliates’) investment methodologies or models, investment advisory contracts, fees and fee schedules or investment performance (“</w:t>
      </w:r>
      <w:r>
        <w:rPr>
          <w:rFonts w:ascii="Arial" w:cs="Arial" w:eastAsia="Arial" w:hAnsi="Arial"/>
          <w:sz w:val="19"/>
          <w:szCs w:val="19"/>
          <w:u w:val="single" w:color="auto"/>
          <w:color w:val="auto"/>
        </w:rPr>
        <w:t>Track Records</w:t>
      </w:r>
      <w:r>
        <w:rPr>
          <w:rFonts w:ascii="Arial" w:cs="Arial" w:eastAsia="Arial" w:hAnsi="Arial"/>
          <w:sz w:val="19"/>
          <w:szCs w:val="19"/>
          <w:color w:val="auto"/>
        </w:rPr>
        <w:t>”); technical information or reports; brand names, trademarks, formulas; trade secrets; unwritten knowledge and “know-how”; operating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265" w:right="359" w:bottom="1440" w:gutter="0" w:footer="0" w:header="0"/>
        </w:sectPr>
      </w:pPr>
    </w:p>
    <w:bookmarkStart w:id="414" w:name="page415"/>
    <w:bookmarkEnd w:id="414"/>
    <w:p>
      <w:pPr>
        <w:spacing w:after="0" w:line="284" w:lineRule="auto"/>
        <w:rPr>
          <w:sz w:val="20"/>
          <w:szCs w:val="20"/>
          <w:color w:val="auto"/>
        </w:rPr>
      </w:pPr>
      <w:r>
        <w:rPr>
          <w:rFonts w:ascii="Arial" w:cs="Arial" w:eastAsia="Arial" w:hAnsi="Arial"/>
          <w:sz w:val="19"/>
          <w:szCs w:val="19"/>
          <w:color w:val="auto"/>
        </w:rPr>
        <w:t>instructions; training manuals; customer lists and related customer information; customer buying records and habits; product sales records and documents, and product development, marketing and sales strategies; market surveys; marketing plans; profitability analyses; product cost; long- range plans; information relating to pricing, competitive strategies and new product development; information relating to any forms of compensation or other personnel-related information of the Company Entities; contracts and supplier lists and any information relating to financial data, strategic business plans; information about any third parties with which any Company Entity has a business relationship or owes a duty of confidentiality; and all notes, analyses, compilations, forecasts, studies or other documents prepared by Employee or obtained by Employee in the course of his work for a Company Entity that contain or reflect any such information and, in each case, which is not known to the public generally other than as a result of Employee’s breach of this Agreement. Without limiting the foregoing, Employee acknowledges and agrees that the Track Records shall not be the work of any one individual (including Employee) and are the exclusive property of the Company and its affiliates, as applicable, and agrees that he shall in no event claim the Track Records as his own following termination of his employment with the Company. Nothing in this Agreement shall prohibit or restrict any person from (1) testifying truthfully to the extent required by applicable law or legal process, (2) communicating with any governmental, administrative or regulatory agency or authority, including, but not limited to, the U.S. Securities and Exchange Commission, the U.S. Consumer Financial Protection Bureau, the U.S. Department of Justice, the U.S. Equal Employment Opportunity Commission and the U.S. National Labor Relations Board, (3) disclosing information in confidence to an attorney for the purpose of obtaining legal advice so long as such attorney agrees not to use or disclose such information, (4) disclosing information with the prior written consent of the Board so long as such consent specifically references this provision and/or (5) disclosing information that is publicly known other than by reason of Employee’s violation of this Section 8(a). In the event Employee or his legal representative is requested or required to disclose any Confidential Information, Employee shall provide the Company with prompt notice of such request or requirement so that the Company may seek an appropriate protective order (in which Employee will cooperate). If the Company fails to obtain a protective order or provides a waiver hereunder, and Employee is, in the opinion of counsel, compelled to disclose Confidential Information, Employee may disclose only that portion of the Confidential Information that Employee’s counsel advises is reasonably required by law to disclose.</w:t>
      </w:r>
    </w:p>
    <w:p>
      <w:pPr>
        <w:spacing w:after="0" w:line="200" w:lineRule="exact"/>
        <w:rPr>
          <w:sz w:val="20"/>
          <w:szCs w:val="20"/>
          <w:color w:val="auto"/>
        </w:rPr>
      </w:pPr>
    </w:p>
    <w:p>
      <w:pPr>
        <w:spacing w:after="0" w:line="226" w:lineRule="exact"/>
        <w:rPr>
          <w:sz w:val="20"/>
          <w:szCs w:val="20"/>
          <w:color w:val="auto"/>
        </w:rPr>
      </w:pPr>
    </w:p>
    <w:p>
      <w:pPr>
        <w:ind w:firstLine="1952"/>
        <w:spacing w:after="0" w:line="297" w:lineRule="auto"/>
        <w:tabs>
          <w:tab w:leader="none" w:pos="2262" w:val="left"/>
        </w:tabs>
        <w:numPr>
          <w:ilvl w:val="0"/>
          <w:numId w:val="361"/>
        </w:numPr>
        <w:rPr>
          <w:rFonts w:ascii="Arial" w:cs="Arial" w:eastAsia="Arial" w:hAnsi="Arial"/>
          <w:sz w:val="19"/>
          <w:szCs w:val="19"/>
          <w:color w:val="010000"/>
        </w:rPr>
      </w:pPr>
      <w:r>
        <w:rPr>
          <w:rFonts w:ascii="Arial" w:cs="Arial" w:eastAsia="Arial" w:hAnsi="Arial"/>
          <w:sz w:val="19"/>
          <w:szCs w:val="19"/>
          <w:color w:val="auto"/>
        </w:rPr>
        <w:t>Except as expressly set forth otherwise in this Agreement, Employee agrees that, prior to the date on which the Company publicly files this Agreement with the Securities and Exchange Commission, Employee shall not disclose the terms of this Agreement, except to his immediate family and his financial and legal advisors, or as may be required by law or ordered by a court. Employee further agrees that any disclosure to his financial and legal advisors will only be made after such advisors acknowledge and agree to maintain the confidentiality of this Agreement and its terms.</w:t>
      </w:r>
    </w:p>
    <w:p>
      <w:pPr>
        <w:spacing w:after="0" w:line="146" w:lineRule="exact"/>
        <w:rPr>
          <w:rFonts w:ascii="Arial" w:cs="Arial" w:eastAsia="Arial" w:hAnsi="Arial"/>
          <w:sz w:val="19"/>
          <w:szCs w:val="19"/>
          <w:color w:val="010000"/>
        </w:rPr>
      </w:pPr>
    </w:p>
    <w:p>
      <w:pPr>
        <w:ind w:right="160" w:firstLine="1952"/>
        <w:spacing w:after="0" w:line="312" w:lineRule="auto"/>
        <w:tabs>
          <w:tab w:leader="none" w:pos="2322" w:val="left"/>
        </w:tabs>
        <w:numPr>
          <w:ilvl w:val="0"/>
          <w:numId w:val="361"/>
        </w:numPr>
        <w:rPr>
          <w:rFonts w:ascii="Arial" w:cs="Arial" w:eastAsia="Arial" w:hAnsi="Arial"/>
          <w:sz w:val="19"/>
          <w:szCs w:val="19"/>
          <w:color w:val="010000"/>
        </w:rPr>
      </w:pPr>
      <w:r>
        <w:rPr>
          <w:rFonts w:ascii="Arial" w:cs="Arial" w:eastAsia="Arial" w:hAnsi="Arial"/>
          <w:sz w:val="19"/>
          <w:szCs w:val="19"/>
          <w:color w:val="auto"/>
        </w:rPr>
        <w:t>Employee further agrees that he will not improperly use or disclose any Confidential Information or trade secrets, if any, of any former employers of Employee or any other person to whom Employee has an obligation of confidentiality, and will not bring onto the premises of the Company or its affiliates any unpublished documents or any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265" w:right="339" w:bottom="1440" w:gutter="0" w:footer="0" w:header="0"/>
        </w:sectPr>
      </w:pPr>
    </w:p>
    <w:bookmarkStart w:id="415" w:name="page416"/>
    <w:bookmarkEnd w:id="415"/>
    <w:p>
      <w:pPr>
        <w:ind w:right="120"/>
        <w:spacing w:after="0" w:line="263" w:lineRule="auto"/>
        <w:rPr>
          <w:sz w:val="20"/>
          <w:szCs w:val="20"/>
          <w:color w:val="auto"/>
        </w:rPr>
      </w:pPr>
      <w:r>
        <w:rPr>
          <w:rFonts w:ascii="Arial" w:cs="Arial" w:eastAsia="Arial" w:hAnsi="Arial"/>
          <w:sz w:val="22"/>
          <w:szCs w:val="22"/>
          <w:color w:val="auto"/>
        </w:rPr>
        <w:t>belonging to any such former employer or other person to whom Employee has an obligation of confidentiality unless consented to in writing by the former employer or such other person.</w:t>
      </w:r>
    </w:p>
    <w:p>
      <w:pPr>
        <w:spacing w:after="0" w:line="175" w:lineRule="exact"/>
        <w:rPr>
          <w:sz w:val="20"/>
          <w:szCs w:val="20"/>
          <w:color w:val="auto"/>
        </w:rPr>
      </w:pPr>
    </w:p>
    <w:p>
      <w:pPr>
        <w:ind w:firstLine="1304"/>
        <w:spacing w:after="0" w:line="283" w:lineRule="auto"/>
        <w:tabs>
          <w:tab w:leader="none" w:pos="1602" w:val="left"/>
        </w:tabs>
        <w:numPr>
          <w:ilvl w:val="0"/>
          <w:numId w:val="362"/>
        </w:numPr>
        <w:rPr>
          <w:rFonts w:ascii="Arial" w:cs="Arial" w:eastAsia="Arial" w:hAnsi="Arial"/>
          <w:sz w:val="19"/>
          <w:szCs w:val="19"/>
          <w:color w:val="010000"/>
        </w:rPr>
      </w:pPr>
      <w:r>
        <w:rPr>
          <w:rFonts w:ascii="Arial" w:cs="Arial" w:eastAsia="Arial" w:hAnsi="Arial"/>
          <w:sz w:val="19"/>
          <w:szCs w:val="19"/>
          <w:u w:val="single" w:color="auto"/>
          <w:color w:val="auto"/>
        </w:rPr>
        <w:t>Non-Competition</w:t>
      </w:r>
      <w:r>
        <w:rPr>
          <w:rFonts w:ascii="Arial" w:cs="Arial" w:eastAsia="Arial" w:hAnsi="Arial"/>
          <w:sz w:val="19"/>
          <w:szCs w:val="19"/>
          <w:color w:val="auto"/>
        </w:rPr>
        <w:t>. Employee agrees that Employee will not, during the Term and during the Non-Compete Period, within the Restricted Area, directly or indirectly (whether or not for compensation) become employed by, engage in business with, serve as an agent or consultant to, become an employee, partner, member, principal, stockholder or other owner (other than a holder of less than 1% of the outstanding voting shares of any publicly held company) of, any Competitive Business. Nor shall Employee, during the Term and during the Non-Compete Period, within the Restricted Area, otherwise compete with, or perform services relating to the business of, any of the Company Entities for any business other than a Company Entity, in any business in which the Company Entities participate, or businesses they are actively considering, at the time of termination of Employee’s employment or during the one year prior to such termination (the “</w:t>
      </w:r>
      <w:r>
        <w:rPr>
          <w:rFonts w:ascii="Arial" w:cs="Arial" w:eastAsia="Arial" w:hAnsi="Arial"/>
          <w:sz w:val="19"/>
          <w:szCs w:val="19"/>
          <w:u w:val="single" w:color="auto"/>
          <w:color w:val="auto"/>
        </w:rPr>
        <w:t>Business</w:t>
      </w:r>
      <w:r>
        <w:rPr>
          <w:rFonts w:ascii="Arial" w:cs="Arial" w:eastAsia="Arial" w:hAnsi="Arial"/>
          <w:sz w:val="19"/>
          <w:szCs w:val="19"/>
          <w:color w:val="auto"/>
        </w:rPr>
        <w:t>”). For purposes of this Agreement, “</w:t>
      </w:r>
      <w:r>
        <w:rPr>
          <w:rFonts w:ascii="Arial" w:cs="Arial" w:eastAsia="Arial" w:hAnsi="Arial"/>
          <w:sz w:val="19"/>
          <w:szCs w:val="19"/>
          <w:u w:val="single" w:color="auto"/>
          <w:color w:val="auto"/>
        </w:rPr>
        <w:t>Competitive Business</w:t>
      </w:r>
      <w:r>
        <w:rPr>
          <w:rFonts w:ascii="Arial" w:cs="Arial" w:eastAsia="Arial" w:hAnsi="Arial"/>
          <w:sz w:val="19"/>
          <w:szCs w:val="19"/>
          <w:color w:val="auto"/>
        </w:rPr>
        <w:t>” shall mean any individual, corporation, limited liability company, partnership, unincorporated organization, trust, joint venture or other entity (i) that engages in or may engage in acquisition related or mergers and acquisition activities related to the transportation or third-party logistics industry, including, without limitation, researching, analyzing and evaluating companies for possible investment in or acquisition of, for itself or clients, (ii) that engages in or may engage in transportation or logistics services, including asset-based, asset-light or non-asset, supply chain services, including only by way of illustration, freight brokerage or freight transportation, freight management, freight forwarding, expediting, internet load boards, last-mile delivery logistics, contract logistics or intermodal providers, or firms such as Amazon, CH Robinson, Echo Global Logistics Inc., Total Quality Logistics, TransCor, Deutsche Post DHL Group, FedEx Corporation, United Parcel Service, Inc., J.B. Hunt Transport Services, Inc., Kühne + Nagel International AG, syncreon, Neovia Logistics and Hub Group Inc., DB Schenker, ID Logistics, KKR, Uber and Walmart, Inc. or (iii) that otherwise competes with the Company Entities anywhere in which the Company Entities engage in or intend to engage in the Business or where any of the Company Entities’ customers are located. For the avoidance of doubt, it shall be a violation of this Section 8(b) for Employee to provide any services whatsoever to any private equity firm, hedge fund or similar firm or fund that invests in a company engaged in any Competitive Business or any investment bank or similar firm that advises companies engaged in any Competitive Business, or any business intelligence or similar research or consulting organization that services private equity firms, hedge funds or similar firms or funds that invest in companies engaged in any Competitive Business (such as the Third Bridge Group, the Gerson Lehrman Group, Alphasights and Coleman Research), in each case, in the Restricted Area during the Term or the Restricted Period. “</w:t>
      </w:r>
      <w:r>
        <w:rPr>
          <w:rFonts w:ascii="Arial" w:cs="Arial" w:eastAsia="Arial" w:hAnsi="Arial"/>
          <w:sz w:val="19"/>
          <w:szCs w:val="19"/>
          <w:u w:val="single" w:color="auto"/>
          <w:color w:val="auto"/>
        </w:rPr>
        <w:t>Restricted Area</w:t>
      </w:r>
      <w:r>
        <w:rPr>
          <w:rFonts w:ascii="Arial" w:cs="Arial" w:eastAsia="Arial" w:hAnsi="Arial"/>
          <w:sz w:val="19"/>
          <w:szCs w:val="19"/>
          <w:color w:val="auto"/>
        </w:rPr>
        <w:t>” means Canada, Mexico, France, United Kingdom, Netherlands, Spain, Italy, and any State of the United States and any other country in which the Company or any Company Entity does business or any other country in which any Company client is located during the Term or the Restricted Period. “</w:t>
      </w:r>
      <w:r>
        <w:rPr>
          <w:rFonts w:ascii="Arial" w:cs="Arial" w:eastAsia="Arial" w:hAnsi="Arial"/>
          <w:sz w:val="19"/>
          <w:szCs w:val="19"/>
          <w:u w:val="single" w:color="auto"/>
          <w:color w:val="auto"/>
        </w:rPr>
        <w:t>Non-Compete Period</w:t>
      </w:r>
      <w:r>
        <w:rPr>
          <w:rFonts w:ascii="Arial" w:cs="Arial" w:eastAsia="Arial" w:hAnsi="Arial"/>
          <w:sz w:val="19"/>
          <w:szCs w:val="19"/>
          <w:color w:val="auto"/>
        </w:rPr>
        <w:t>” shall mean, subject to Section 8(c) below, three years following termination of Employee’s employment for any reason and, for the avoidance of doubt, regardless of whether such termination is before, upon or after expiration of the Term.</w:t>
      </w:r>
    </w:p>
    <w:p>
      <w:pPr>
        <w:spacing w:after="0" w:line="200" w:lineRule="exact"/>
        <w:rPr>
          <w:rFonts w:ascii="Arial" w:cs="Arial" w:eastAsia="Arial" w:hAnsi="Arial"/>
          <w:sz w:val="19"/>
          <w:szCs w:val="19"/>
          <w:color w:val="010000"/>
        </w:rPr>
      </w:pPr>
    </w:p>
    <w:p>
      <w:pPr>
        <w:spacing w:after="0" w:line="239" w:lineRule="exact"/>
        <w:rPr>
          <w:rFonts w:ascii="Arial" w:cs="Arial" w:eastAsia="Arial" w:hAnsi="Arial"/>
          <w:sz w:val="19"/>
          <w:szCs w:val="19"/>
          <w:color w:val="010000"/>
        </w:rPr>
      </w:pPr>
    </w:p>
    <w:p>
      <w:pPr>
        <w:ind w:right="80" w:firstLine="1304"/>
        <w:spacing w:after="0" w:line="263" w:lineRule="auto"/>
        <w:tabs>
          <w:tab w:leader="none" w:pos="1590" w:val="left"/>
        </w:tabs>
        <w:numPr>
          <w:ilvl w:val="0"/>
          <w:numId w:val="362"/>
        </w:numPr>
        <w:rPr>
          <w:rFonts w:ascii="Arial" w:cs="Arial" w:eastAsia="Arial" w:hAnsi="Arial"/>
          <w:sz w:val="22"/>
          <w:szCs w:val="22"/>
          <w:color w:val="010000"/>
        </w:rPr>
      </w:pPr>
      <w:r>
        <w:rPr>
          <w:rFonts w:ascii="Arial" w:cs="Arial" w:eastAsia="Arial" w:hAnsi="Arial"/>
          <w:sz w:val="22"/>
          <w:szCs w:val="22"/>
          <w:u w:val="single" w:color="auto"/>
          <w:color w:val="auto"/>
        </w:rPr>
        <w:t>Extended Non-Competition</w:t>
      </w:r>
      <w:r>
        <w:rPr>
          <w:rFonts w:ascii="Arial" w:cs="Arial" w:eastAsia="Arial" w:hAnsi="Arial"/>
          <w:sz w:val="22"/>
          <w:szCs w:val="22"/>
          <w:color w:val="auto"/>
        </w:rPr>
        <w:t>. The Company shall have the right to extend the Non-Compete Period for up to an additional 12-month period (the “</w:t>
      </w:r>
      <w:r>
        <w:rPr>
          <w:rFonts w:ascii="Arial" w:cs="Arial" w:eastAsia="Arial" w:hAnsi="Arial"/>
          <w:sz w:val="22"/>
          <w:szCs w:val="22"/>
          <w:u w:val="single" w:color="auto"/>
          <w:color w:val="auto"/>
        </w:rPr>
        <w:t>Extended Non-Compete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265" w:right="339" w:bottom="1440" w:gutter="0" w:footer="0" w:header="0"/>
        </w:sectPr>
      </w:pPr>
    </w:p>
    <w:bookmarkStart w:id="416" w:name="page417"/>
    <w:bookmarkEnd w:id="416"/>
    <w:p>
      <w:pPr>
        <w:spacing w:after="0" w:line="286" w:lineRule="auto"/>
        <w:rPr>
          <w:sz w:val="20"/>
          <w:szCs w:val="20"/>
          <w:color w:val="auto"/>
        </w:rPr>
      </w:pPr>
      <w:r>
        <w:rPr>
          <w:rFonts w:ascii="Arial" w:cs="Arial" w:eastAsia="Arial" w:hAnsi="Arial"/>
          <w:sz w:val="19"/>
          <w:szCs w:val="19"/>
          <w:u w:val="single" w:color="auto"/>
          <w:color w:val="auto"/>
        </w:rPr>
        <w:t>Period</w:t>
      </w:r>
      <w:r>
        <w:rPr>
          <w:rFonts w:ascii="Arial" w:cs="Arial" w:eastAsia="Arial" w:hAnsi="Arial"/>
          <w:sz w:val="19"/>
          <w:szCs w:val="19"/>
          <w:color w:val="auto"/>
        </w:rPr>
        <w:t>”) beyond the completion of the Non-Compete Period. If the Company elects to extend the Non-Compete Period, it will notify Employee in writing of such fact not later than the 90th day prior to the expiration of the Non-Compete Period. By signing this Agreement, Employee agrees to accept and abide by the Company’s election. If the Company elects to extend the Non-Compete Period, Employee agrees that, during the Extended Non-Compete Period, Employee shall be bound by the restrictions set forth in Section 8(b) in the same manner applicable during the Non-Compete Period, and the Company agrees to pay Employee subject to Section 6(e) of this Agreement during each month of the Extended Non-Compete Period, in an amount equal to his monthly Base Salary as in effect on the Date of Termination. Payment for any partial month will be prorated. Payment of Employee’s Base Salary during the Extended Non-Compete Period will be made pursuant to the Company’s normal and customary payroll procedures. If the Company elects to extend the Non-Compete Period, any monies Employee earns from any other work during such periods, whether as an employee or as an independent contractor, will reduce, dollar for dollar, the amount that the Company is obligated to pay Employee under this Section 8(c). Payments made by the Company under this Section 8(c) are made solely for the extension of the non-compete covenant and do not render Employee either an employee of, or a consultant to, the Company. Notwithstanding any provision of this Agreement to the contrary, the right of the Company to extend the Non-Compete Period hereunder and any related payment of Base Salary for the Extended Non-Compete Period hereunder shall lapse upon a Change of Control.</w:t>
      </w:r>
    </w:p>
    <w:p>
      <w:pPr>
        <w:spacing w:after="0" w:line="200" w:lineRule="exact"/>
        <w:rPr>
          <w:sz w:val="20"/>
          <w:szCs w:val="20"/>
          <w:color w:val="auto"/>
        </w:rPr>
      </w:pPr>
    </w:p>
    <w:p>
      <w:pPr>
        <w:spacing w:after="0" w:line="218" w:lineRule="exact"/>
        <w:rPr>
          <w:sz w:val="20"/>
          <w:szCs w:val="20"/>
          <w:color w:val="auto"/>
        </w:rPr>
      </w:pPr>
    </w:p>
    <w:p>
      <w:pPr>
        <w:ind w:firstLine="1304"/>
        <w:spacing w:after="0" w:line="246" w:lineRule="auto"/>
        <w:tabs>
          <w:tab w:leader="none" w:pos="1602" w:val="left"/>
        </w:tabs>
        <w:numPr>
          <w:ilvl w:val="0"/>
          <w:numId w:val="363"/>
        </w:numPr>
        <w:rPr>
          <w:rFonts w:ascii="Arial" w:cs="Arial" w:eastAsia="Arial" w:hAnsi="Arial"/>
          <w:sz w:val="22"/>
          <w:szCs w:val="22"/>
          <w:color w:val="010000"/>
        </w:rPr>
      </w:pPr>
      <w:r>
        <w:rPr>
          <w:rFonts w:ascii="Arial" w:cs="Arial" w:eastAsia="Arial" w:hAnsi="Arial"/>
          <w:sz w:val="22"/>
          <w:szCs w:val="22"/>
          <w:u w:val="single" w:color="auto"/>
          <w:color w:val="auto"/>
        </w:rPr>
        <w:t>Competitive Opportunity</w:t>
      </w:r>
      <w:r>
        <w:rPr>
          <w:rFonts w:ascii="Arial" w:cs="Arial" w:eastAsia="Arial" w:hAnsi="Arial"/>
          <w:sz w:val="22"/>
          <w:szCs w:val="22"/>
          <w:color w:val="auto"/>
        </w:rPr>
        <w:t>. If, at any time during the Term, Employee (i) acquires knowledge of a potential investment, investment opportunity or business venture which may be an appropriate investment by the Company, or in which the Company could otherwise have an interest or expectancy (a “</w:t>
      </w:r>
      <w:r>
        <w:rPr>
          <w:rFonts w:ascii="Arial" w:cs="Arial" w:eastAsia="Arial" w:hAnsi="Arial"/>
          <w:sz w:val="22"/>
          <w:szCs w:val="22"/>
          <w:u w:val="single" w:color="auto"/>
          <w:color w:val="auto"/>
        </w:rPr>
        <w:t>Competitive Opportunity</w:t>
      </w:r>
      <w:r>
        <w:rPr>
          <w:rFonts w:ascii="Arial" w:cs="Arial" w:eastAsia="Arial" w:hAnsi="Arial"/>
          <w:sz w:val="22"/>
          <w:szCs w:val="22"/>
          <w:color w:val="auto"/>
        </w:rPr>
        <w:t>”), or (ii) otherwise is then exploiting any Competitive Opportunity, Employee shall promptly bring such Competitive Opportunity to the Company. In such event, Employee shall not have the right to hold any such Competitive Opportunity for his (and his agents’, employees’ or affiliates’) own account and benefit or to recommend, assign or otherwise transfer or deal in such Competitive Opportunity with persons other than the Company.</w:t>
      </w:r>
    </w:p>
    <w:p>
      <w:pPr>
        <w:spacing w:after="0" w:line="196" w:lineRule="exact"/>
        <w:rPr>
          <w:rFonts w:ascii="Arial" w:cs="Arial" w:eastAsia="Arial" w:hAnsi="Arial"/>
          <w:sz w:val="22"/>
          <w:szCs w:val="22"/>
          <w:color w:val="010000"/>
        </w:rPr>
      </w:pPr>
    </w:p>
    <w:p>
      <w:pPr>
        <w:ind w:right="60" w:firstLine="1304"/>
        <w:spacing w:after="0" w:line="259" w:lineRule="auto"/>
        <w:tabs>
          <w:tab w:leader="none" w:pos="1590" w:val="left"/>
        </w:tabs>
        <w:numPr>
          <w:ilvl w:val="0"/>
          <w:numId w:val="363"/>
        </w:numPr>
        <w:rPr>
          <w:rFonts w:ascii="Arial" w:cs="Arial" w:eastAsia="Arial" w:hAnsi="Arial"/>
          <w:sz w:val="21"/>
          <w:szCs w:val="21"/>
          <w:color w:val="010000"/>
        </w:rPr>
      </w:pPr>
      <w:r>
        <w:rPr>
          <w:rFonts w:ascii="Arial" w:cs="Arial" w:eastAsia="Arial" w:hAnsi="Arial"/>
          <w:sz w:val="21"/>
          <w:szCs w:val="21"/>
          <w:u w:val="single" w:color="auto"/>
          <w:color w:val="auto"/>
        </w:rPr>
        <w:t>Return of Company Property</w:t>
      </w:r>
      <w:r>
        <w:rPr>
          <w:rFonts w:ascii="Arial" w:cs="Arial" w:eastAsia="Arial" w:hAnsi="Arial"/>
          <w:sz w:val="21"/>
          <w:szCs w:val="21"/>
          <w:color w:val="auto"/>
        </w:rPr>
        <w:t>. All documents, data, recordings, or other property, including, without limitation, smartphones, computers and other business equipment, whether tangible or intangible, including all information stored in electronic form, obtained or prepared by or for Employee and utilized by Employee in the course of his employment with the Company shall remain the exclusive property of the Company and Employee shall return all copies of such property upon any termination of his employment and as otherwise requested by the Company during the Term. Employee further agrees not to alter, delete or destroy any Company property, documents, records, data contained in any location, including but not limited to any information contained on any Company-provided computer or electronic device. Such devices shall not be wiped, scrubbed, or reset to original factory condition prior to surrender.</w:t>
      </w:r>
    </w:p>
    <w:p>
      <w:pPr>
        <w:spacing w:after="0" w:line="183" w:lineRule="exact"/>
        <w:rPr>
          <w:rFonts w:ascii="Arial" w:cs="Arial" w:eastAsia="Arial" w:hAnsi="Arial"/>
          <w:sz w:val="21"/>
          <w:szCs w:val="21"/>
          <w:color w:val="010000"/>
        </w:rPr>
      </w:pPr>
    </w:p>
    <w:p>
      <w:pPr>
        <w:ind w:right="200" w:firstLine="1304"/>
        <w:spacing w:after="0" w:line="312" w:lineRule="auto"/>
        <w:tabs>
          <w:tab w:leader="none" w:pos="1566" w:val="left"/>
        </w:tabs>
        <w:numPr>
          <w:ilvl w:val="0"/>
          <w:numId w:val="363"/>
        </w:numPr>
        <w:rPr>
          <w:rFonts w:ascii="Arial" w:cs="Arial" w:eastAsia="Arial" w:hAnsi="Arial"/>
          <w:sz w:val="19"/>
          <w:szCs w:val="19"/>
          <w:color w:val="010000"/>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Employee hereby agrees not to defame or disparage any of the Company Entities or any of their respective officers, directors, members, partners or employees (collectively, the “</w:t>
      </w:r>
      <w:r>
        <w:rPr>
          <w:rFonts w:ascii="Arial" w:cs="Arial" w:eastAsia="Arial" w:hAnsi="Arial"/>
          <w:sz w:val="19"/>
          <w:szCs w:val="19"/>
          <w:u w:val="single" w:color="auto"/>
          <w:color w:val="auto"/>
        </w:rPr>
        <w:t>Company Parties</w:t>
      </w:r>
      <w:r>
        <w:rPr>
          <w:rFonts w:ascii="Arial" w:cs="Arial" w:eastAsia="Arial" w:hAnsi="Arial"/>
          <w:sz w:val="19"/>
          <w:szCs w:val="19"/>
          <w:color w:val="auto"/>
        </w:rPr>
        <w:t>”), and to cooperate with the Company upon reasonable request, in refuting any defamatory or disparaging remarks by any third party made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265" w:right="339" w:bottom="1440" w:gutter="0" w:footer="0" w:header="0"/>
        </w:sectPr>
      </w:pPr>
    </w:p>
    <w:bookmarkStart w:id="417" w:name="page418"/>
    <w:bookmarkEnd w:id="417"/>
    <w:p>
      <w:pPr>
        <w:ind w:right="200"/>
        <w:spacing w:after="0" w:line="294" w:lineRule="auto"/>
        <w:rPr>
          <w:sz w:val="20"/>
          <w:szCs w:val="20"/>
          <w:color w:val="auto"/>
        </w:rPr>
      </w:pPr>
      <w:r>
        <w:rPr>
          <w:rFonts w:ascii="Arial" w:cs="Arial" w:eastAsia="Arial" w:hAnsi="Arial"/>
          <w:sz w:val="19"/>
          <w:szCs w:val="19"/>
          <w:color w:val="auto"/>
        </w:rPr>
        <w:t xml:space="preserve">respect of any of the Company Parties. Employee shall not, directly or indirectly, make (or cause to be made) any comment or statement, oral or written, including, without limitation, in the media or to the press or to any individual or entity, that could reasonably be expected to adversely affect the reputation of any of the Company Parties or the conduct of its, his or their business. The Company shall request that its directors and executive officers not defame or disparage Employee;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failure of any director, executive officer or employee of the Company to comply with such request shall in no way constitute a breach or violation of the Company’s obligations hereunder or otherwise subject the Company to any liability.</w:t>
      </w:r>
    </w:p>
    <w:p>
      <w:pPr>
        <w:spacing w:after="0" w:line="149" w:lineRule="exact"/>
        <w:rPr>
          <w:sz w:val="20"/>
          <w:szCs w:val="20"/>
          <w:color w:val="auto"/>
        </w:rPr>
      </w:pPr>
    </w:p>
    <w:p>
      <w:pPr>
        <w:ind w:right="100" w:firstLine="1304"/>
        <w:spacing w:after="0" w:line="288" w:lineRule="auto"/>
        <w:tabs>
          <w:tab w:leader="none" w:pos="1602" w:val="left"/>
        </w:tabs>
        <w:numPr>
          <w:ilvl w:val="1"/>
          <w:numId w:val="364"/>
        </w:numPr>
        <w:rPr>
          <w:rFonts w:ascii="Arial" w:cs="Arial" w:eastAsia="Arial" w:hAnsi="Arial"/>
          <w:sz w:val="19"/>
          <w:szCs w:val="19"/>
          <w:color w:val="010000"/>
        </w:rPr>
      </w:pPr>
      <w:r>
        <w:rPr>
          <w:rFonts w:ascii="Arial" w:cs="Arial" w:eastAsia="Arial" w:hAnsi="Arial"/>
          <w:sz w:val="19"/>
          <w:szCs w:val="19"/>
          <w:u w:val="single" w:color="auto"/>
          <w:color w:val="auto"/>
        </w:rPr>
        <w:t>Cooperation</w:t>
      </w:r>
      <w:r>
        <w:rPr>
          <w:rFonts w:ascii="Arial" w:cs="Arial" w:eastAsia="Arial" w:hAnsi="Arial"/>
          <w:sz w:val="19"/>
          <w:szCs w:val="19"/>
          <w:color w:val="auto"/>
        </w:rPr>
        <w:t>. During the Term and thereafter (including, without limitation, following the Date of Termination), Employee shall, upon reasonable notice and without the necessity of any Company Entity obtaining a subpoena or court order, provide Employee’s reasonable cooperation in connection with any suit, action or proceeding (or any appeal from any suit, action or proceeding), and any investigation and/or defense of any claims asserted against any Company Entity that relates to events occurring during Employee’s employment with any Company Entity as to which Employee may have relevant information (including furnishing relevant information and materials to the relevant Company Entity or its designee and/or providing testimony at depositions and at trial), provided that the Company shall reimburse Employee for expenses reasonably incurred in connection with any such cooperation occurring after the termination of Employee’s employment and provided that any such cooperation occurring after the Date of Termination shall be scheduled to the extent reasonably practicable so as not to unreasonably interfere with Employee’s business or personal affairs.</w:t>
      </w:r>
    </w:p>
    <w:p>
      <w:pPr>
        <w:spacing w:after="0" w:line="159" w:lineRule="exact"/>
        <w:rPr>
          <w:rFonts w:ascii="Arial" w:cs="Arial" w:eastAsia="Arial" w:hAnsi="Arial"/>
          <w:sz w:val="19"/>
          <w:szCs w:val="19"/>
          <w:color w:val="010000"/>
        </w:rPr>
      </w:pPr>
    </w:p>
    <w:p>
      <w:pPr>
        <w:ind w:right="260" w:firstLine="656"/>
        <w:spacing w:after="0" w:line="250" w:lineRule="auto"/>
        <w:tabs>
          <w:tab w:leader="none" w:pos="864" w:val="left"/>
        </w:tabs>
        <w:numPr>
          <w:ilvl w:val="0"/>
          <w:numId w:val="365"/>
        </w:numPr>
        <w:rPr>
          <w:rFonts w:ascii="Arial" w:cs="Arial" w:eastAsia="Arial" w:hAnsi="Arial"/>
          <w:sz w:val="22"/>
          <w:szCs w:val="22"/>
          <w:color w:val="010000"/>
        </w:rPr>
      </w:pPr>
      <w:r>
        <w:rPr>
          <w:rFonts w:ascii="Arial" w:cs="Arial" w:eastAsia="Arial" w:hAnsi="Arial"/>
          <w:sz w:val="22"/>
          <w:szCs w:val="22"/>
          <w:u w:val="single" w:color="auto"/>
          <w:color w:val="auto"/>
        </w:rPr>
        <w:t>Notification of Subsequent Employer</w:t>
      </w:r>
      <w:r>
        <w:rPr>
          <w:rFonts w:ascii="Arial" w:cs="Arial" w:eastAsia="Arial" w:hAnsi="Arial"/>
          <w:sz w:val="22"/>
          <w:szCs w:val="22"/>
          <w:color w:val="auto"/>
        </w:rPr>
        <w:t>. Employee hereby agrees that, prior to accepting employment with any other person during any period during which Employee remains subject to any of the covenants set forth in Section 7, 8(b) or 8(c) of this Agreement, Employee shall provide such prospective employer with written notice of such provisions of this Agreement, with a copy of such notice delivered simultaneously to the Company.</w:t>
      </w:r>
    </w:p>
    <w:p>
      <w:pPr>
        <w:spacing w:after="0" w:line="187" w:lineRule="exact"/>
        <w:rPr>
          <w:rFonts w:ascii="Arial" w:cs="Arial" w:eastAsia="Arial" w:hAnsi="Arial"/>
          <w:sz w:val="22"/>
          <w:szCs w:val="22"/>
          <w:color w:val="010000"/>
        </w:rPr>
      </w:pPr>
    </w:p>
    <w:p>
      <w:pPr>
        <w:ind w:firstLine="656"/>
        <w:spacing w:after="0" w:line="287" w:lineRule="auto"/>
        <w:tabs>
          <w:tab w:leader="none" w:pos="972" w:val="left"/>
        </w:tabs>
        <w:numPr>
          <w:ilvl w:val="0"/>
          <w:numId w:val="365"/>
        </w:numPr>
        <w:rPr>
          <w:rFonts w:ascii="Arial" w:cs="Arial" w:eastAsia="Arial" w:hAnsi="Arial"/>
          <w:sz w:val="19"/>
          <w:szCs w:val="19"/>
          <w:color w:val="010000"/>
        </w:rPr>
      </w:pPr>
      <w:r>
        <w:rPr>
          <w:rFonts w:ascii="Arial" w:cs="Arial" w:eastAsia="Arial" w:hAnsi="Arial"/>
          <w:sz w:val="19"/>
          <w:szCs w:val="19"/>
          <w:u w:val="single" w:color="auto"/>
          <w:color w:val="auto"/>
        </w:rPr>
        <w:t>Injunctive Relief</w:t>
      </w:r>
      <w:r>
        <w:rPr>
          <w:rFonts w:ascii="Arial" w:cs="Arial" w:eastAsia="Arial" w:hAnsi="Arial"/>
          <w:sz w:val="19"/>
          <w:szCs w:val="19"/>
          <w:color w:val="auto"/>
        </w:rPr>
        <w:t>. Employee and the Company agree that Employee will occupy a high-level and unique position of trust and confidence with the Company Entities and will have access to their Confidential Information, and that the Company would likely suffer significant harm to its protectable confidential information and business goodwill from Employee’s breach of any of the covenants set forth in Sections 7 and 8. Employee acknowledges that it is impossible to measure in money the damages that will accrue to the Company Parties in the event that Employee breaches any of the restrictive covenants provided in Sections 7 and 8 of this Agreement. In the event that Employee breaches any such restrictive covenant, the Company Parties shall be entitled to an injunction restraining Employee from violating such restrictive covenant (without posting any bond). If any of the Company Parties shall institute any action or proceeding to enforce any such restrictive covenant, Employee hereby waives the claim or defense that such Company Party has an adequate remedy at law and agrees not to assert in any such action or proceeding the claim or defense that there is an adequate remedy at law. The foregoing shall not prejudice the Company’s right to require Employee to account for and pay over to the Company, and Employee hereby agrees to account for and pay over, the compensation, profits, monies, accruals or other benefits derived or received by Employee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20"/>
          </w:cols>
          <w:pgMar w:left="320" w:top="1265" w:right="359" w:bottom="1440" w:gutter="0" w:footer="0" w:header="0"/>
        </w:sectPr>
      </w:pPr>
    </w:p>
    <w:bookmarkStart w:id="418" w:name="page419"/>
    <w:bookmarkEnd w:id="418"/>
    <w:p>
      <w:pPr>
        <w:ind w:right="160"/>
        <w:spacing w:after="0" w:line="263" w:lineRule="auto"/>
        <w:rPr>
          <w:sz w:val="20"/>
          <w:szCs w:val="20"/>
          <w:color w:val="auto"/>
        </w:rPr>
      </w:pPr>
      <w:r>
        <w:rPr>
          <w:rFonts w:ascii="Arial" w:cs="Arial" w:eastAsia="Arial" w:hAnsi="Arial"/>
          <w:sz w:val="22"/>
          <w:szCs w:val="22"/>
          <w:color w:val="auto"/>
        </w:rPr>
        <w:t>result of any transaction constituting a breach of any of the restrictive covenants provided in Sections 7 and 8 of this Agreement or to seek any other relief to which it may be entitled.</w:t>
      </w:r>
    </w:p>
    <w:p>
      <w:pPr>
        <w:spacing w:after="0" w:line="175" w:lineRule="exact"/>
        <w:rPr>
          <w:sz w:val="20"/>
          <w:szCs w:val="20"/>
          <w:color w:val="auto"/>
        </w:rPr>
      </w:pPr>
    </w:p>
    <w:p>
      <w:pPr>
        <w:ind w:right="220" w:firstLine="656"/>
        <w:spacing w:after="0" w:line="302" w:lineRule="auto"/>
        <w:tabs>
          <w:tab w:leader="none" w:pos="964" w:val="left"/>
        </w:tabs>
        <w:numPr>
          <w:ilvl w:val="0"/>
          <w:numId w:val="366"/>
        </w:numPr>
        <w:rPr>
          <w:rFonts w:ascii="Arial" w:cs="Arial" w:eastAsia="Arial" w:hAnsi="Arial"/>
          <w:sz w:val="19"/>
          <w:szCs w:val="19"/>
          <w:color w:val="010000"/>
        </w:rPr>
      </w:pPr>
      <w:r>
        <w:rPr>
          <w:rFonts w:ascii="Arial" w:cs="Arial" w:eastAsia="Arial" w:hAnsi="Arial"/>
          <w:sz w:val="19"/>
          <w:szCs w:val="19"/>
          <w:u w:val="single" w:color="auto"/>
          <w:color w:val="auto"/>
        </w:rPr>
        <w:t>Miscellaneous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Notices</w:t>
      </w:r>
      <w:r>
        <w:rPr>
          <w:rFonts w:ascii="Arial" w:cs="Arial" w:eastAsia="Arial" w:hAnsi="Arial"/>
          <w:sz w:val="19"/>
          <w:szCs w:val="19"/>
          <w:color w:val="auto"/>
        </w:rPr>
        <w:t>. Any notice or other communication required or permitted under this Agreement shall be effective only if it is in writing and shall be deemed to be given when delivered personally, or four days after it is mailed by registered or certified mail, postage prepaid, return receipt requested or one day after it is sent by overnight courier service via UPS or FedEx and, in each case, addressed as follows (or if it is sent through any other method agreed upon by the parties):</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XPO Logistics, Inc.</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Five American Lane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Greenwich, CT 06831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Chief Human Resources Officer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Employee:</w:t>
      </w:r>
    </w:p>
    <w:p>
      <w:pPr>
        <w:spacing w:after="0" w:line="220" w:lineRule="exact"/>
        <w:rPr>
          <w:sz w:val="20"/>
          <w:szCs w:val="20"/>
          <w:color w:val="auto"/>
        </w:rPr>
      </w:pPr>
    </w:p>
    <w:p>
      <w:pPr>
        <w:ind w:right="2780" w:firstLine="1296"/>
        <w:spacing w:after="0" w:line="448" w:lineRule="auto"/>
        <w:rPr>
          <w:sz w:val="20"/>
          <w:szCs w:val="20"/>
          <w:color w:val="auto"/>
        </w:rPr>
      </w:pPr>
      <w:r>
        <w:rPr>
          <w:rFonts w:ascii="Arial" w:cs="Arial" w:eastAsia="Arial" w:hAnsi="Arial"/>
          <w:sz w:val="22"/>
          <w:szCs w:val="22"/>
          <w:color w:val="auto"/>
        </w:rPr>
        <w:t>During the Term, to his principal residence as listed in the records of the Company or to such other address as any party may designate by notice to the other.</w:t>
      </w:r>
    </w:p>
    <w:p>
      <w:pPr>
        <w:spacing w:after="0" w:line="1" w:lineRule="exact"/>
        <w:rPr>
          <w:sz w:val="20"/>
          <w:szCs w:val="20"/>
          <w:color w:val="auto"/>
        </w:rPr>
      </w:pPr>
    </w:p>
    <w:p>
      <w:pPr>
        <w:ind w:right="120" w:firstLine="1304"/>
        <w:spacing w:after="0" w:line="259" w:lineRule="auto"/>
        <w:tabs>
          <w:tab w:leader="none" w:pos="1602" w:val="left"/>
        </w:tabs>
        <w:numPr>
          <w:ilvl w:val="0"/>
          <w:numId w:val="367"/>
        </w:numPr>
        <w:rPr>
          <w:rFonts w:ascii="Arial" w:cs="Arial" w:eastAsia="Arial" w:hAnsi="Arial"/>
          <w:sz w:val="21"/>
          <w:szCs w:val="21"/>
          <w:color w:val="010000"/>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shall constitute the entire agreement and understanding among the parties hereto with respect to Employee’s employment hereunder and supersedes and is in full substitution for any and all prior understandings or agreements (whether written or oral) with respect to Employee’s employment including without limitation the prior agreement, dated February 9, 2016 and amended on June 5, 2019. The Company does not make and has not made, and Employee does not rely and has not relied on any statement, omission, representation or warranty, written or oral, of any kind or nature whatsoever, regarding the Company or the Long-Term Incentive Compensation, including, without limitation, its or their present, future, prospective or potential value, worth, prospects, performance, soundness, profit or loss potential, or any other matter or thing whatsoever relating to whether Employee should purchase or accept any Long-Term Incentive Compensation and/or the consideration therefor.</w:t>
      </w:r>
    </w:p>
    <w:p>
      <w:pPr>
        <w:spacing w:after="0" w:line="179" w:lineRule="exact"/>
        <w:rPr>
          <w:rFonts w:ascii="Arial" w:cs="Arial" w:eastAsia="Arial" w:hAnsi="Arial"/>
          <w:sz w:val="21"/>
          <w:szCs w:val="21"/>
          <w:color w:val="010000"/>
        </w:rPr>
      </w:pPr>
    </w:p>
    <w:p>
      <w:pPr>
        <w:ind w:firstLine="1304"/>
        <w:spacing w:after="0" w:line="259" w:lineRule="auto"/>
        <w:tabs>
          <w:tab w:leader="none" w:pos="1590" w:val="left"/>
        </w:tabs>
        <w:numPr>
          <w:ilvl w:val="0"/>
          <w:numId w:val="367"/>
        </w:numPr>
        <w:rPr>
          <w:rFonts w:ascii="Arial" w:cs="Arial" w:eastAsia="Arial" w:hAnsi="Arial"/>
          <w:sz w:val="21"/>
          <w:szCs w:val="21"/>
          <w:color w:val="010000"/>
        </w:rPr>
      </w:pPr>
      <w:r>
        <w:rPr>
          <w:rFonts w:ascii="Arial" w:cs="Arial" w:eastAsia="Arial" w:hAnsi="Arial"/>
          <w:sz w:val="21"/>
          <w:szCs w:val="21"/>
          <w:u w:val="single" w:color="auto"/>
          <w:color w:val="auto"/>
        </w:rPr>
        <w:t>Amendment; No Waiver</w:t>
      </w:r>
      <w:r>
        <w:rPr>
          <w:rFonts w:ascii="Arial" w:cs="Arial" w:eastAsia="Arial" w:hAnsi="Arial"/>
          <w:sz w:val="21"/>
          <w:szCs w:val="21"/>
          <w:color w:val="auto"/>
        </w:rPr>
        <w:t>. Except as expressly set forth otherwise in this Agreement (including, without limitation, pursuant to Sections 11(l)(iv) and 11(m) of this Agreement), this Agreement may be amended only by an instrument in writing signed by the parties, and the application of any provision hereof may be waived only by an instrument in writing that specifically identifies the provision whose application is being waived and that is signed by the party against whom or which enforcement of such waiver is sought. The failure of any party at any time to insist upon strict adherence to any provision hereof shall in no way affect the full right to insist upon strict adherence at any time thereafter, nor shall the waiver by any party of a breach of any provision hereof be taken or held to be a waiver of any succeeding breach of such provision or a waiver of the provision itself or a waiver of any other provision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20"/>
          </w:cols>
          <w:pgMar w:left="320" w:top="1265" w:right="359" w:bottom="1440" w:gutter="0" w:footer="0" w:header="0"/>
        </w:sectPr>
      </w:pPr>
    </w:p>
    <w:bookmarkStart w:id="419" w:name="page420"/>
    <w:bookmarkEnd w:id="419"/>
    <w:p>
      <w:pPr>
        <w:ind w:right="220"/>
        <w:spacing w:after="0" w:line="302" w:lineRule="auto"/>
        <w:rPr>
          <w:sz w:val="20"/>
          <w:szCs w:val="20"/>
          <w:color w:val="auto"/>
        </w:rPr>
      </w:pPr>
      <w:r>
        <w:rPr>
          <w:rFonts w:ascii="Arial" w:cs="Arial" w:eastAsia="Arial" w:hAnsi="Arial"/>
          <w:sz w:val="19"/>
          <w:szCs w:val="19"/>
          <w:color w:val="auto"/>
        </w:rPr>
        <w:t>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 Termination of this Agreement shall not relieve any party of liability for any breach of this Agreement occurring prior to such termination.</w:t>
      </w:r>
    </w:p>
    <w:p>
      <w:pPr>
        <w:spacing w:after="0" w:line="142" w:lineRule="exact"/>
        <w:rPr>
          <w:sz w:val="20"/>
          <w:szCs w:val="20"/>
          <w:color w:val="auto"/>
        </w:rPr>
      </w:pPr>
    </w:p>
    <w:p>
      <w:pPr>
        <w:ind w:right="120" w:firstLine="1304"/>
        <w:spacing w:after="0" w:line="250" w:lineRule="auto"/>
        <w:tabs>
          <w:tab w:leader="none" w:pos="1602" w:val="left"/>
        </w:tabs>
        <w:numPr>
          <w:ilvl w:val="0"/>
          <w:numId w:val="368"/>
        </w:numPr>
        <w:rPr>
          <w:rFonts w:ascii="Arial" w:cs="Arial" w:eastAsia="Arial" w:hAnsi="Arial"/>
          <w:sz w:val="22"/>
          <w:szCs w:val="22"/>
          <w:color w:val="010000"/>
        </w:rPr>
      </w:pPr>
      <w:r>
        <w:rPr>
          <w:rFonts w:ascii="Arial" w:cs="Arial" w:eastAsia="Arial" w:hAnsi="Arial"/>
          <w:sz w:val="22"/>
          <w:szCs w:val="22"/>
          <w:u w:val="single" w:color="auto"/>
          <w:color w:val="auto"/>
        </w:rPr>
        <w:t>No Construction Against Drafter</w:t>
      </w:r>
      <w:r>
        <w:rPr>
          <w:rFonts w:ascii="Arial" w:cs="Arial" w:eastAsia="Arial" w:hAnsi="Arial"/>
          <w:sz w:val="22"/>
          <w:szCs w:val="22"/>
          <w:color w:val="auto"/>
        </w:rPr>
        <w:t>. The parties acknowledge and agree that each party has reviewed and negotiated the terms and provisions of this Agreement and has had the opportunity to contribute to its revision. Accordingly, any rule of construction to the effect that ambiguities are resolved against the drafting party shall not be employed in the interpretation of this Agreement.</w:t>
      </w:r>
    </w:p>
    <w:p>
      <w:pPr>
        <w:spacing w:after="0" w:line="187" w:lineRule="exact"/>
        <w:rPr>
          <w:rFonts w:ascii="Arial" w:cs="Arial" w:eastAsia="Arial" w:hAnsi="Arial"/>
          <w:sz w:val="22"/>
          <w:szCs w:val="22"/>
          <w:color w:val="010000"/>
        </w:rPr>
      </w:pPr>
    </w:p>
    <w:p>
      <w:pPr>
        <w:ind w:right="20" w:firstLine="1304"/>
        <w:spacing w:after="0" w:line="302" w:lineRule="auto"/>
        <w:tabs>
          <w:tab w:leader="none" w:pos="1590" w:val="left"/>
        </w:tabs>
        <w:numPr>
          <w:ilvl w:val="0"/>
          <w:numId w:val="368"/>
        </w:numPr>
        <w:rPr>
          <w:rFonts w:ascii="Arial" w:cs="Arial" w:eastAsia="Arial" w:hAnsi="Arial"/>
          <w:sz w:val="19"/>
          <w:szCs w:val="19"/>
          <w:color w:val="010000"/>
        </w:rPr>
      </w:pPr>
      <w:r>
        <w:rPr>
          <w:rFonts w:ascii="Arial" w:cs="Arial" w:eastAsia="Arial" w:hAnsi="Arial"/>
          <w:sz w:val="19"/>
          <w:szCs w:val="19"/>
          <w:u w:val="single" w:color="auto"/>
          <w:color w:val="auto"/>
        </w:rPr>
        <w:t>Clawbacks</w:t>
      </w:r>
      <w:r>
        <w:rPr>
          <w:rFonts w:ascii="Arial" w:cs="Arial" w:eastAsia="Arial" w:hAnsi="Arial"/>
          <w:sz w:val="19"/>
          <w:szCs w:val="19"/>
          <w:color w:val="auto"/>
        </w:rPr>
        <w:t>. Employee hereby acknowledges and agrees that, notwithstanding any provision of this Agreement to the contrary, Employee will be subject to any legally mandated policy relating to the recovery of compensation, solely to the extent that the Company is required to implement such policy pursuant to applicable law, whether pursuant to the Sarbanes-Oxley Act of 2002, the Dodd-Frank Wall Street Reform and Consumer Protection Act of 2010 or otherwise.</w:t>
      </w:r>
    </w:p>
    <w:p>
      <w:pPr>
        <w:spacing w:after="0" w:line="142" w:lineRule="exact"/>
        <w:rPr>
          <w:rFonts w:ascii="Arial" w:cs="Arial" w:eastAsia="Arial" w:hAnsi="Arial"/>
          <w:sz w:val="19"/>
          <w:szCs w:val="19"/>
          <w:color w:val="010000"/>
        </w:rPr>
      </w:pPr>
    </w:p>
    <w:p>
      <w:pPr>
        <w:ind w:firstLine="1304"/>
        <w:spacing w:after="0" w:line="285" w:lineRule="auto"/>
        <w:tabs>
          <w:tab w:leader="none" w:pos="1566" w:val="left"/>
        </w:tabs>
        <w:numPr>
          <w:ilvl w:val="0"/>
          <w:numId w:val="368"/>
        </w:numPr>
        <w:rPr>
          <w:rFonts w:ascii="Arial" w:cs="Arial" w:eastAsia="Arial" w:hAnsi="Arial"/>
          <w:sz w:val="19"/>
          <w:szCs w:val="19"/>
          <w:color w:val="010000"/>
        </w:rPr>
      </w:pPr>
      <w:r>
        <w:rPr>
          <w:rFonts w:ascii="Arial" w:cs="Arial" w:eastAsia="Arial" w:hAnsi="Arial"/>
          <w:sz w:val="19"/>
          <w:szCs w:val="19"/>
          <w:u w:val="single" w:color="auto"/>
          <w:color w:val="auto"/>
        </w:rPr>
        <w:t>Employee Representations and Acknowledgements</w:t>
      </w:r>
      <w:r>
        <w:rPr>
          <w:rFonts w:ascii="Arial" w:cs="Arial" w:eastAsia="Arial" w:hAnsi="Arial"/>
          <w:sz w:val="19"/>
          <w:szCs w:val="19"/>
          <w:color w:val="auto"/>
        </w:rPr>
        <w:t>. Employee represents, warrants and covenants that as of the date that the Company and Employee have executed this Agreement as set forth on the signature page hereto: (i) he has the full right, authority and capacity to enter into this Agreement, (ii) he is ready, willing and able to perform his obligations hereunder and, to his knowledge, no reason exists that would prevent him from performing his obligations hereunder, (iii) he is not bound by any agreement that conflicts with or prevents or restricts the full performance of his duties and obligations to the Company hereunder during or after the Term and (iv) the execution and delivery of this Agreement shall not result in any breach or violation of, or a default under, any existing obligation, commitment or agreement to which Employee is subject. Employee acknowledges and agrees that nothing in this Agreement shall (x) entitle Employee to any compensation or other interest in respect of any activity of Jacobs Private Equity, LLC, a Delaware limited liability company (“</w:t>
      </w:r>
      <w:r>
        <w:rPr>
          <w:rFonts w:ascii="Arial" w:cs="Arial" w:eastAsia="Arial" w:hAnsi="Arial"/>
          <w:sz w:val="19"/>
          <w:szCs w:val="19"/>
          <w:u w:val="single" w:color="auto"/>
          <w:color w:val="auto"/>
        </w:rPr>
        <w:t>JPE</w:t>
      </w:r>
      <w:r>
        <w:rPr>
          <w:rFonts w:ascii="Arial" w:cs="Arial" w:eastAsia="Arial" w:hAnsi="Arial"/>
          <w:sz w:val="19"/>
          <w:szCs w:val="19"/>
          <w:color w:val="auto"/>
        </w:rPr>
        <w:t>”) or Bradley S. Jacobs other than with respect to the Company; (y) restrict or prohibit the Company, Bradley S. Jacobs or any of his affiliates from having business interests and engaging in business activities in addition to those relating to the Company; or (z) restrict the investments which the Company, Bradley S. Jacobs or JPE or any of his or its affiliates may make, regardless of whether such investment opportunity or investment may be deemed to be a Competitive Opportunity. Employee acknowledges that he has carefully read this Agreement and has given careful consideration to the restraints imposed upon Employee by this Agreement, and is in full accord as to the necessity of such restraints for the reasonable and proper protection of the Confidential Information, business strategies, employee and customer relationships and goodwill of the Company Entities now existing or to be developed in the future. Employee expressly acknowledges and agrees that each and every restraint imposed by this Agreement is reasonable with respect to subject matter, industry scope, time period and geographic area. Employee agrees to comply with each of the covenants contained in Sections 7 and 8 of this Agreement in accordance with their terms, and Employee shall not, and hereby agrees to waive and release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265" w:right="339" w:bottom="1440" w:gutter="0" w:footer="0" w:header="0"/>
        </w:sectPr>
      </w:pPr>
    </w:p>
    <w:bookmarkStart w:id="420" w:name="page421"/>
    <w:bookmarkEnd w:id="420"/>
    <w:p>
      <w:pPr>
        <w:spacing w:after="0" w:line="294" w:lineRule="auto"/>
        <w:rPr>
          <w:sz w:val="20"/>
          <w:szCs w:val="20"/>
          <w:color w:val="auto"/>
        </w:rPr>
      </w:pPr>
      <w:r>
        <w:rPr>
          <w:rFonts w:ascii="Arial" w:cs="Arial" w:eastAsia="Arial" w:hAnsi="Arial"/>
          <w:sz w:val="19"/>
          <w:szCs w:val="19"/>
          <w:color w:val="auto"/>
        </w:rPr>
        <w:t>right or claim to, challenge the reasonableness, validity or enforceability of any of the covenants contained in Section 7 or 8 of this Agreement. Employee further acknowledges that although Employee’s compliance with the covenants contained in Sections 7 and 8 of this Agreement may prevent Employee from earning a livelihood in a business similar to the business of the Company Entities, Employee’s experience and capabilities are such that Employee has other opportunities to earn a livelihood and adequate means of support for Employee and Employee’s dependents. Employee acknowledges that the Company has advised him that it is in his best interest to consult with an attorney prior to executing this Agreement.</w:t>
      </w:r>
    </w:p>
    <w:p>
      <w:pPr>
        <w:spacing w:after="0" w:line="149" w:lineRule="exact"/>
        <w:rPr>
          <w:sz w:val="20"/>
          <w:szCs w:val="20"/>
          <w:color w:val="auto"/>
        </w:rPr>
      </w:pPr>
    </w:p>
    <w:p>
      <w:pPr>
        <w:ind w:firstLine="1304"/>
        <w:spacing w:after="0" w:line="250" w:lineRule="auto"/>
        <w:tabs>
          <w:tab w:leader="none" w:pos="1602" w:val="left"/>
        </w:tabs>
        <w:numPr>
          <w:ilvl w:val="0"/>
          <w:numId w:val="369"/>
        </w:numPr>
        <w:rPr>
          <w:rFonts w:ascii="Arial" w:cs="Arial" w:eastAsia="Arial" w:hAnsi="Arial"/>
          <w:sz w:val="22"/>
          <w:szCs w:val="22"/>
          <w:color w:val="010000"/>
        </w:rPr>
      </w:pPr>
      <w:r>
        <w:rPr>
          <w:rFonts w:ascii="Arial" w:cs="Arial" w:eastAsia="Arial" w:hAnsi="Arial"/>
          <w:sz w:val="22"/>
          <w:szCs w:val="22"/>
          <w:u w:val="single" w:color="auto"/>
          <w:color w:val="auto"/>
        </w:rPr>
        <w:t>Survival</w:t>
      </w:r>
      <w:r>
        <w:rPr>
          <w:rFonts w:ascii="Arial" w:cs="Arial" w:eastAsia="Arial" w:hAnsi="Arial"/>
          <w:sz w:val="22"/>
          <w:szCs w:val="22"/>
          <w:color w:val="auto"/>
        </w:rPr>
        <w:t>. Employee’s obligations under Sections 7 and 8 of this Agreement shall remain in full force and effect for the entire period provided therein notwithstanding any termination of employment or other expiration of the Term or termination of this Agreement. The terms and conditions of Sections 6, 7, 8, 9, 10 and 11 of this Agreement shall survive the Term and termination of Employee’s employment.</w:t>
      </w:r>
    </w:p>
    <w:p>
      <w:pPr>
        <w:spacing w:after="0" w:line="187" w:lineRule="exact"/>
        <w:rPr>
          <w:rFonts w:ascii="Arial" w:cs="Arial" w:eastAsia="Arial" w:hAnsi="Arial"/>
          <w:sz w:val="22"/>
          <w:szCs w:val="22"/>
          <w:color w:val="010000"/>
        </w:rPr>
      </w:pPr>
    </w:p>
    <w:p>
      <w:pPr>
        <w:ind w:firstLine="1304"/>
        <w:spacing w:after="0" w:line="248" w:lineRule="auto"/>
        <w:tabs>
          <w:tab w:leader="none" w:pos="1602" w:val="left"/>
        </w:tabs>
        <w:numPr>
          <w:ilvl w:val="0"/>
          <w:numId w:val="369"/>
        </w:numPr>
        <w:rPr>
          <w:rFonts w:ascii="Arial" w:cs="Arial" w:eastAsia="Arial" w:hAnsi="Arial"/>
          <w:sz w:val="22"/>
          <w:szCs w:val="22"/>
          <w:color w:val="010000"/>
        </w:rPr>
      </w:pP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is binding on and is for the benefit of the parties hereto and their respective successors, assigns, heirs, executors, administrators and other legal representatives. This Agreement is personal to Employee; and neither this Agreement nor any right or obligation hereunder may be assigned by Employee without the prior written consent of the Company (or except by will or the laws of descent and distribution), and any purported assignment in violation of this Section 11(h) shall be void.</w:t>
      </w:r>
    </w:p>
    <w:p>
      <w:pPr>
        <w:spacing w:after="0" w:line="191" w:lineRule="exact"/>
        <w:rPr>
          <w:rFonts w:ascii="Arial" w:cs="Arial" w:eastAsia="Arial" w:hAnsi="Arial"/>
          <w:sz w:val="22"/>
          <w:szCs w:val="22"/>
          <w:color w:val="010000"/>
        </w:rPr>
      </w:pPr>
    </w:p>
    <w:p>
      <w:pPr>
        <w:ind w:firstLine="1304"/>
        <w:spacing w:after="0" w:line="286" w:lineRule="auto"/>
        <w:tabs>
          <w:tab w:leader="none" w:pos="1554" w:val="left"/>
        </w:tabs>
        <w:numPr>
          <w:ilvl w:val="0"/>
          <w:numId w:val="369"/>
        </w:numPr>
        <w:rPr>
          <w:rFonts w:ascii="Arial" w:cs="Arial" w:eastAsia="Arial" w:hAnsi="Arial"/>
          <w:sz w:val="19"/>
          <w:szCs w:val="19"/>
          <w:color w:val="010000"/>
        </w:rPr>
      </w:pP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If any provision of this Agreement or the application thereof is held invalid, the invalidity shall not affect other provisions or applications of this Agreement which can be given effect without the invalid provisions or applications and to this end the provisions of this Agreement are declared to be severable. If any term or provision of this Agreement is invalid, illegal or incapable of being enforced by any applicable law or public policy, all other conditions and provisions of this Agreement shall nonetheless remain in full force and effect so long as the economic and legal substance of the transactions contemplated by this Agreement is not affected in any manner materially adverse;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a final, non-reviewable, non-appealable determination that any provision of Section 7 or 8 of this Agreement (whether in whole or in part) is void or constitutes an unreasonable restriction against Employee, such provision shall not be rendered void but shall be deemed to be modified to the minimum extent necessary to make such provision enforceable for the longest duration and the greatest scope as may constitute a reasonable restriction under the circumstances. Subject to the foregoing, upon such determination that any term or other provision is invalid, illegal or incapable of being enforced,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200" w:lineRule="exact"/>
        <w:rPr>
          <w:rFonts w:ascii="Arial" w:cs="Arial" w:eastAsia="Arial" w:hAnsi="Arial"/>
          <w:sz w:val="19"/>
          <w:szCs w:val="19"/>
          <w:color w:val="010000"/>
        </w:rPr>
      </w:pPr>
    </w:p>
    <w:p>
      <w:pPr>
        <w:spacing w:after="0" w:line="222" w:lineRule="exact"/>
        <w:rPr>
          <w:rFonts w:ascii="Arial" w:cs="Arial" w:eastAsia="Arial" w:hAnsi="Arial"/>
          <w:sz w:val="19"/>
          <w:szCs w:val="19"/>
          <w:color w:val="010000"/>
        </w:rPr>
      </w:pPr>
    </w:p>
    <w:p>
      <w:pPr>
        <w:ind w:right="220" w:firstLine="1304"/>
        <w:spacing w:after="0" w:line="250" w:lineRule="auto"/>
        <w:tabs>
          <w:tab w:leader="none" w:pos="1554" w:val="left"/>
        </w:tabs>
        <w:numPr>
          <w:ilvl w:val="0"/>
          <w:numId w:val="369"/>
        </w:numPr>
        <w:rPr>
          <w:rFonts w:ascii="Arial" w:cs="Arial" w:eastAsia="Arial" w:hAnsi="Arial"/>
          <w:sz w:val="22"/>
          <w:szCs w:val="22"/>
          <w:color w:val="010000"/>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The Company may withhold from any amounts payable to Employee hereunder all federal, state, city, foreign or other taxes that the Company may reasonably determine are required to be withheld pursuant to any applicable law or regulation (it being understood that Employee shall be responsible for payment of all taxes in respect of the payments and benefits provided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1265" w:right="359" w:bottom="1440" w:gutter="0" w:footer="0" w:header="0"/>
        </w:sectPr>
      </w:pPr>
    </w:p>
    <w:bookmarkStart w:id="421" w:name="page422"/>
    <w:bookmarkEnd w:id="421"/>
    <w:p>
      <w:pPr>
        <w:ind w:left="-8" w:right="100" w:firstLine="1304"/>
        <w:spacing w:after="0" w:line="271" w:lineRule="auto"/>
        <w:tabs>
          <w:tab w:leader="none" w:pos="1594" w:val="left"/>
        </w:tabs>
        <w:numPr>
          <w:ilvl w:val="1"/>
          <w:numId w:val="370"/>
        </w:numPr>
        <w:rPr>
          <w:rFonts w:ascii="Arial" w:cs="Arial" w:eastAsia="Arial" w:hAnsi="Arial"/>
          <w:sz w:val="21"/>
          <w:szCs w:val="21"/>
          <w:color w:val="010000"/>
        </w:rPr>
      </w:pPr>
      <w:r>
        <w:rPr>
          <w:rFonts w:ascii="Arial" w:cs="Arial" w:eastAsia="Arial" w:hAnsi="Arial"/>
          <w:sz w:val="21"/>
          <w:szCs w:val="21"/>
          <w:u w:val="single" w:color="auto"/>
          <w:color w:val="auto"/>
        </w:rPr>
        <w:t>Cooperation Regarding Long-Term Incentive Compensation</w:t>
      </w:r>
      <w:r>
        <w:rPr>
          <w:rFonts w:ascii="Arial" w:cs="Arial" w:eastAsia="Arial" w:hAnsi="Arial"/>
          <w:sz w:val="21"/>
          <w:szCs w:val="21"/>
          <w:color w:val="auto"/>
        </w:rPr>
        <w:t>. Employee expressly agrees that he shall execute such other documents as reasonably requested by the Company to effect the terms of this Agreement and the issuance of the Long-Term Incentive Compensation as contemplated hereunder in compliance with applicable law.</w:t>
      </w:r>
    </w:p>
    <w:p>
      <w:pPr>
        <w:spacing w:after="0" w:line="167" w:lineRule="exact"/>
        <w:rPr>
          <w:rFonts w:ascii="Arial" w:cs="Arial" w:eastAsia="Arial" w:hAnsi="Arial"/>
          <w:sz w:val="21"/>
          <w:szCs w:val="21"/>
          <w:color w:val="010000"/>
        </w:rPr>
      </w:pPr>
    </w:p>
    <w:p>
      <w:pPr>
        <w:ind w:left="-8" w:right="640" w:firstLine="1304"/>
        <w:spacing w:after="0" w:line="253" w:lineRule="auto"/>
        <w:tabs>
          <w:tab w:leader="none" w:pos="1546" w:val="left"/>
        </w:tabs>
        <w:numPr>
          <w:ilvl w:val="1"/>
          <w:numId w:val="370"/>
        </w:numPr>
        <w:rPr>
          <w:rFonts w:ascii="Arial" w:cs="Arial" w:eastAsia="Arial" w:hAnsi="Arial"/>
          <w:sz w:val="22"/>
          <w:szCs w:val="22"/>
          <w:color w:val="010000"/>
        </w:rPr>
      </w:pPr>
      <w:r>
        <w:rPr>
          <w:rFonts w:ascii="Arial" w:cs="Arial" w:eastAsia="Arial" w:hAnsi="Arial"/>
          <w:sz w:val="22"/>
          <w:szCs w:val="22"/>
          <w:u w:val="single" w:color="auto"/>
          <w:color w:val="auto"/>
        </w:rPr>
        <w:t>Governing Law; Arbitration; Consent to Jurisdiction; Waiver of Jury Trial.</w:t>
      </w:r>
      <w:r>
        <w:rPr>
          <w:rFonts w:ascii="Arial" w:cs="Arial" w:eastAsia="Arial" w:hAnsi="Arial"/>
          <w:sz w:val="22"/>
          <w:szCs w:val="22"/>
          <w:color w:val="auto"/>
        </w:rPr>
        <w:t xml:space="preserve"> (i) This Agreement shall be governed by and construed in accordance with its express terms, and otherwise in accordance with the laws of the State of Delaware without reference to its principles of conflicts of law.</w:t>
      </w:r>
    </w:p>
    <w:p>
      <w:pPr>
        <w:spacing w:after="0" w:line="185" w:lineRule="exact"/>
        <w:rPr>
          <w:rFonts w:ascii="Arial" w:cs="Arial" w:eastAsia="Arial" w:hAnsi="Arial"/>
          <w:sz w:val="22"/>
          <w:szCs w:val="22"/>
          <w:color w:val="010000"/>
        </w:rPr>
      </w:pPr>
    </w:p>
    <w:p>
      <w:pPr>
        <w:ind w:left="-8" w:firstLine="1952"/>
        <w:spacing w:after="0" w:line="302" w:lineRule="auto"/>
        <w:tabs>
          <w:tab w:leader="none" w:pos="2254" w:val="left"/>
        </w:tabs>
        <w:numPr>
          <w:ilvl w:val="2"/>
          <w:numId w:val="370"/>
        </w:numPr>
        <w:rPr>
          <w:rFonts w:ascii="Arial" w:cs="Arial" w:eastAsia="Arial" w:hAnsi="Arial"/>
          <w:sz w:val="19"/>
          <w:szCs w:val="19"/>
          <w:color w:val="010000"/>
        </w:rPr>
      </w:pPr>
      <w:r>
        <w:rPr>
          <w:rFonts w:ascii="Arial" w:cs="Arial" w:eastAsia="Arial" w:hAnsi="Arial"/>
          <w:sz w:val="19"/>
          <w:szCs w:val="19"/>
          <w:color w:val="auto"/>
        </w:rPr>
        <w:t>Any claim initiated by Employee arising out of or relating to this Agreement, or the breach thereof, or Employee’s employment, or the termination thereof, shall be resolved by binding arbitration before a single arbitrator in the State of Delaware administered by the American Arbitration Association in accordance with its Commercial Arbitration Rules, and judgment on the award rendered by the arbitrator may be entered in any court having jurisdiction thereof.</w:t>
      </w:r>
    </w:p>
    <w:p>
      <w:pPr>
        <w:spacing w:after="0" w:line="142" w:lineRule="exact"/>
        <w:rPr>
          <w:rFonts w:ascii="Arial" w:cs="Arial" w:eastAsia="Arial" w:hAnsi="Arial"/>
          <w:sz w:val="19"/>
          <w:szCs w:val="19"/>
          <w:color w:val="010000"/>
        </w:rPr>
      </w:pPr>
    </w:p>
    <w:p>
      <w:pPr>
        <w:ind w:left="-8" w:right="120" w:firstLine="1952"/>
        <w:spacing w:after="0" w:line="288" w:lineRule="auto"/>
        <w:tabs>
          <w:tab w:leader="none" w:pos="2314" w:val="left"/>
        </w:tabs>
        <w:numPr>
          <w:ilvl w:val="2"/>
          <w:numId w:val="370"/>
        </w:numPr>
        <w:rPr>
          <w:rFonts w:ascii="Arial" w:cs="Arial" w:eastAsia="Arial" w:hAnsi="Arial"/>
          <w:sz w:val="19"/>
          <w:szCs w:val="19"/>
          <w:color w:val="010000"/>
        </w:rPr>
      </w:pPr>
      <w:r>
        <w:rPr>
          <w:rFonts w:ascii="Arial" w:cs="Arial" w:eastAsia="Arial" w:hAnsi="Arial"/>
          <w:sz w:val="19"/>
          <w:szCs w:val="19"/>
          <w:color w:val="auto"/>
        </w:rPr>
        <w:t>Except the extent that the Company seeks injunctive relief pursuant to Section 10 of this Agreement, any claim initiated by the Company arising out of or relating to this Agreement, or the breach thereof, or Employee’s employment, or the termination thereof, shall, at the election of the Company be resolved in accordance with Section 11(l)(ii) or</w:t>
      </w:r>
    </w:p>
    <w:p>
      <w:pPr>
        <w:ind w:left="372" w:hanging="372"/>
        <w:spacing w:after="0"/>
        <w:tabs>
          <w:tab w:leader="none" w:pos="372" w:val="left"/>
        </w:tabs>
        <w:numPr>
          <w:ilvl w:val="0"/>
          <w:numId w:val="371"/>
        </w:numPr>
        <w:rPr>
          <w:rFonts w:ascii="Arial" w:cs="Arial" w:eastAsia="Arial" w:hAnsi="Arial"/>
          <w:sz w:val="22"/>
          <w:szCs w:val="22"/>
          <w:color w:val="auto"/>
        </w:rPr>
      </w:pPr>
      <w:r>
        <w:rPr>
          <w:rFonts w:ascii="Arial" w:cs="Arial" w:eastAsia="Arial" w:hAnsi="Arial"/>
          <w:sz w:val="22"/>
          <w:szCs w:val="22"/>
          <w:color w:val="auto"/>
        </w:rPr>
        <w:t>of this Agreement.</w:t>
      </w:r>
    </w:p>
    <w:p>
      <w:pPr>
        <w:spacing w:after="0" w:line="201" w:lineRule="exact"/>
        <w:rPr>
          <w:rFonts w:ascii="Arial" w:cs="Arial" w:eastAsia="Arial" w:hAnsi="Arial"/>
          <w:sz w:val="22"/>
          <w:szCs w:val="22"/>
          <w:color w:val="auto"/>
        </w:rPr>
      </w:pPr>
    </w:p>
    <w:p>
      <w:pPr>
        <w:ind w:left="-8" w:firstLine="1952"/>
        <w:spacing w:after="0" w:line="287" w:lineRule="auto"/>
        <w:tabs>
          <w:tab w:leader="none" w:pos="2302" w:val="left"/>
        </w:tabs>
        <w:numPr>
          <w:ilvl w:val="2"/>
          <w:numId w:val="371"/>
        </w:numPr>
        <w:rPr>
          <w:rFonts w:ascii="Arial" w:cs="Arial" w:eastAsia="Arial" w:hAnsi="Arial"/>
          <w:sz w:val="19"/>
          <w:szCs w:val="19"/>
          <w:color w:val="010000"/>
        </w:rPr>
      </w:pPr>
      <w:r>
        <w:rPr>
          <w:rFonts w:ascii="Arial" w:cs="Arial" w:eastAsia="Arial" w:hAnsi="Arial"/>
          <w:sz w:val="19"/>
          <w:szCs w:val="19"/>
          <w:color w:val="auto"/>
        </w:rPr>
        <w:t xml:space="preserve">Employee hereby irrevocably submits to the jurisdiction of any state or federal court located in the State of Delaware;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nothing herein shall preclude the Company from bringing any suit, action or proceeding in any other court for the purposes of enforcing the provisions of this Section 11(l) or enforcing any judgment or award obtained by the Company. Employee waives, to the fullest extent permitted by applicable law, any objection which he now or hereafter has to personal jurisdiction or to the laying of venue of any such suit, action or proceeding brought in an applicable court described in this Section 11(l)(iv), and agrees that he shall not attempt to deny or defeat such personal jurisdiction by motion or other request for leave from any court. Employee agrees that, to the fullest extent permitted by applicable law, a final and non-appealable judgment in any suit, action or proceeding brought in any applicable court described in this Section 11(l)(iv) shall be conclusive and binding upon Employee and may be enforced in any other jurisdiction. EMPLOYEE EXPRESSLY AND KNOWINGLY WAIVES ANY RIGHT TO A JURY TRIAL IN THE EVENT THAT ANY ACTION ARISING OUT OF OR RELATING TO THIS AGREEMENT OR THE BREACH HEREOF, OR EMPLOYEE’S EMPLOYMENT, OR THE TERMINATION THEREOF, IS LITIGATED OR HEARD IN ANY COURT.</w:t>
      </w:r>
    </w:p>
    <w:p>
      <w:pPr>
        <w:spacing w:after="0" w:line="200" w:lineRule="exact"/>
        <w:rPr>
          <w:rFonts w:ascii="Arial" w:cs="Arial" w:eastAsia="Arial" w:hAnsi="Arial"/>
          <w:sz w:val="19"/>
          <w:szCs w:val="19"/>
          <w:color w:val="010000"/>
        </w:rPr>
      </w:pPr>
    </w:p>
    <w:p>
      <w:pPr>
        <w:spacing w:after="0" w:line="219" w:lineRule="exact"/>
        <w:rPr>
          <w:rFonts w:ascii="Arial" w:cs="Arial" w:eastAsia="Arial" w:hAnsi="Arial"/>
          <w:sz w:val="19"/>
          <w:szCs w:val="19"/>
          <w:color w:val="010000"/>
        </w:rPr>
      </w:pPr>
    </w:p>
    <w:p>
      <w:pPr>
        <w:ind w:left="-8" w:right="20" w:firstLine="1952"/>
        <w:spacing w:after="0" w:line="253" w:lineRule="auto"/>
        <w:tabs>
          <w:tab w:leader="none" w:pos="2242" w:val="left"/>
        </w:tabs>
        <w:numPr>
          <w:ilvl w:val="2"/>
          <w:numId w:val="371"/>
        </w:numPr>
        <w:rPr>
          <w:rFonts w:ascii="Arial" w:cs="Arial" w:eastAsia="Arial" w:hAnsi="Arial"/>
          <w:sz w:val="22"/>
          <w:szCs w:val="22"/>
          <w:color w:val="010000"/>
        </w:rPr>
      </w:pPr>
      <w:r>
        <w:rPr>
          <w:rFonts w:ascii="Arial" w:cs="Arial" w:eastAsia="Arial" w:hAnsi="Arial"/>
          <w:sz w:val="22"/>
          <w:szCs w:val="22"/>
          <w:color w:val="auto"/>
        </w:rPr>
        <w:t>The prevailing party shall be entitled to recover all legal fees and costs (including reasonable attorney’s fees and the fees of experts) from the losing party in connection with any claim arising under this Agreement or Employee’s employment hereunder.</w:t>
      </w:r>
    </w:p>
    <w:p>
      <w:pPr>
        <w:spacing w:after="0" w:line="185" w:lineRule="exact"/>
        <w:rPr>
          <w:rFonts w:ascii="Arial" w:cs="Arial" w:eastAsia="Arial" w:hAnsi="Arial"/>
          <w:sz w:val="22"/>
          <w:szCs w:val="22"/>
          <w:color w:val="010000"/>
        </w:rPr>
      </w:pPr>
    </w:p>
    <w:p>
      <w:pPr>
        <w:ind w:left="-8" w:right="520" w:firstLine="1304"/>
        <w:spacing w:after="0" w:line="263" w:lineRule="auto"/>
        <w:tabs>
          <w:tab w:leader="none" w:pos="1654" w:val="left"/>
        </w:tabs>
        <w:numPr>
          <w:ilvl w:val="1"/>
          <w:numId w:val="371"/>
        </w:numPr>
        <w:rPr>
          <w:rFonts w:ascii="Arial" w:cs="Arial" w:eastAsia="Arial" w:hAnsi="Arial"/>
          <w:sz w:val="22"/>
          <w:szCs w:val="22"/>
          <w:color w:val="010000"/>
        </w:rPr>
      </w:pPr>
      <w:r>
        <w:rPr>
          <w:rFonts w:ascii="Arial" w:cs="Arial" w:eastAsia="Arial" w:hAnsi="Arial"/>
          <w:sz w:val="22"/>
          <w:szCs w:val="22"/>
          <w:u w:val="single" w:color="auto"/>
          <w:color w:val="auto"/>
        </w:rPr>
        <w:t>Section 409A</w:t>
      </w:r>
      <w:r>
        <w:rPr>
          <w:rFonts w:ascii="Arial" w:cs="Arial" w:eastAsia="Arial" w:hAnsi="Arial"/>
          <w:sz w:val="22"/>
          <w:szCs w:val="22"/>
          <w:color w:val="auto"/>
        </w:rPr>
        <w:t>. (i) It is intended that the provisions of this Agreement comply with Section 409A, and all provisions of this Agreement shall be construed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192"/>
          </w:cols>
          <w:pgMar w:left="328" w:top="1265" w:right="379" w:bottom="1440" w:gutter="0" w:footer="0" w:header="0"/>
        </w:sectPr>
      </w:pPr>
    </w:p>
    <w:bookmarkStart w:id="422" w:name="page423"/>
    <w:bookmarkEnd w:id="422"/>
    <w:p>
      <w:pPr>
        <w:spacing w:after="0"/>
        <w:rPr>
          <w:sz w:val="20"/>
          <w:szCs w:val="20"/>
          <w:color w:val="auto"/>
        </w:rPr>
      </w:pPr>
      <w:r>
        <w:rPr>
          <w:rFonts w:ascii="Arial" w:cs="Arial" w:eastAsia="Arial" w:hAnsi="Arial"/>
          <w:sz w:val="22"/>
          <w:szCs w:val="22"/>
          <w:color w:val="auto"/>
        </w:rPr>
        <w:t>interpreted in a manner consistent with the requirements for avoiding taxes or penalties under Section 409A.</w:t>
      </w:r>
    </w:p>
    <w:p>
      <w:pPr>
        <w:spacing w:after="0" w:line="220" w:lineRule="exact"/>
        <w:rPr>
          <w:sz w:val="20"/>
          <w:szCs w:val="20"/>
          <w:color w:val="auto"/>
        </w:rPr>
      </w:pPr>
    </w:p>
    <w:p>
      <w:pPr>
        <w:ind w:firstLine="1952"/>
        <w:spacing w:after="0" w:line="260" w:lineRule="auto"/>
        <w:tabs>
          <w:tab w:leader="none" w:pos="2262" w:val="left"/>
        </w:tabs>
        <w:numPr>
          <w:ilvl w:val="0"/>
          <w:numId w:val="372"/>
        </w:numPr>
        <w:rPr>
          <w:rFonts w:ascii="Arial" w:cs="Arial" w:eastAsia="Arial" w:hAnsi="Arial"/>
          <w:sz w:val="21"/>
          <w:szCs w:val="21"/>
          <w:color w:val="010000"/>
        </w:rPr>
      </w:pPr>
      <w:r>
        <w:rPr>
          <w:rFonts w:ascii="Arial" w:cs="Arial" w:eastAsia="Arial" w:hAnsi="Arial"/>
          <w:sz w:val="21"/>
          <w:szCs w:val="21"/>
          <w:color w:val="auto"/>
        </w:rPr>
        <w:t>Neither Employee nor any of his creditors or beneficiaries shall have the right to subject any deferred compensation (within the meaning of Section 409A) payable under this Agreement or under any other plan, policy, arrangement or agreement of or with the Company or any of its affiliates (this Agreement and such other plans, policies, arrangements and agreements, the “</w:t>
      </w:r>
      <w:r>
        <w:rPr>
          <w:rFonts w:ascii="Arial" w:cs="Arial" w:eastAsia="Arial" w:hAnsi="Arial"/>
          <w:sz w:val="21"/>
          <w:szCs w:val="21"/>
          <w:u w:val="single" w:color="auto"/>
          <w:color w:val="auto"/>
        </w:rPr>
        <w:t>Company Plans</w:t>
      </w:r>
      <w:r>
        <w:rPr>
          <w:rFonts w:ascii="Arial" w:cs="Arial" w:eastAsia="Arial" w:hAnsi="Arial"/>
          <w:sz w:val="21"/>
          <w:szCs w:val="21"/>
          <w:color w:val="auto"/>
        </w:rPr>
        <w:t>”) to any anticipation, alienation, sale, transfer, assignment, pledge, encumbrance, attachment or garnishment. Except as permitted under Section 409A, any deferred compensation (within the meaning of Section 409A) payable to Employee or for Employee’s benefit under any Company Plan may not be reduced by, or offset against, any amount owing by Employee to the Company or any of its affiliates.</w:t>
      </w:r>
    </w:p>
    <w:p>
      <w:pPr>
        <w:spacing w:after="0" w:line="180" w:lineRule="exact"/>
        <w:rPr>
          <w:rFonts w:ascii="Arial" w:cs="Arial" w:eastAsia="Arial" w:hAnsi="Arial"/>
          <w:sz w:val="21"/>
          <w:szCs w:val="21"/>
          <w:color w:val="010000"/>
        </w:rPr>
      </w:pPr>
    </w:p>
    <w:p>
      <w:pPr>
        <w:ind w:right="100" w:firstLine="1952"/>
        <w:spacing w:after="0" w:line="258" w:lineRule="auto"/>
        <w:tabs>
          <w:tab w:leader="none" w:pos="2322" w:val="left"/>
        </w:tabs>
        <w:numPr>
          <w:ilvl w:val="0"/>
          <w:numId w:val="372"/>
        </w:numPr>
        <w:rPr>
          <w:rFonts w:ascii="Arial" w:cs="Arial" w:eastAsia="Arial" w:hAnsi="Arial"/>
          <w:sz w:val="21"/>
          <w:szCs w:val="21"/>
          <w:color w:val="010000"/>
        </w:rPr>
      </w:pPr>
      <w:r>
        <w:rPr>
          <w:rFonts w:ascii="Arial" w:cs="Arial" w:eastAsia="Arial" w:hAnsi="Arial"/>
          <w:sz w:val="21"/>
          <w:szCs w:val="21"/>
          <w:color w:val="auto"/>
        </w:rPr>
        <w:t>If, at the time of Employee’s separation from service (within the meaning of Section 409A), (i) Employee shall be a specified employee (within the meaning of Section 409A and using the identification methodology selected by the Company from time to time) and (ii) the Company shall make a good faith determination that an amount payable under a Company Plan constitutes deferred compensation (within the meaning of Section 409A) the payment of which is required to be delayed pursuant to the six-month delay rule set forth in Section 409A in order to avoid taxes or penalties under Section 409A, then the Company (or its affiliate, as applicable) shall not pay such amount on the otherwise scheduled payment date but shall instead accumulate such amount and pay it on the first business day after such six-month period. To the extent required in order to avoid accelerated taxation and/or tax penalties under Section 409A, Employee shall not be considered to have terminated employment with the Company for purposes of this Agreement and no payment shall be due to Employee under this Agreement until Employee would be considered to have incurred a “separation from service” from the Company within the meaning of Section 409A.</w:t>
      </w:r>
    </w:p>
    <w:p>
      <w:pPr>
        <w:spacing w:after="0" w:line="181" w:lineRule="exact"/>
        <w:rPr>
          <w:rFonts w:ascii="Arial" w:cs="Arial" w:eastAsia="Arial" w:hAnsi="Arial"/>
          <w:sz w:val="21"/>
          <w:szCs w:val="21"/>
          <w:color w:val="010000"/>
        </w:rPr>
      </w:pPr>
    </w:p>
    <w:p>
      <w:pPr>
        <w:ind w:firstLine="1952"/>
        <w:spacing w:after="0" w:line="260" w:lineRule="auto"/>
        <w:tabs>
          <w:tab w:leader="none" w:pos="2310" w:val="left"/>
        </w:tabs>
        <w:numPr>
          <w:ilvl w:val="0"/>
          <w:numId w:val="372"/>
        </w:numPr>
        <w:rPr>
          <w:rFonts w:ascii="Arial" w:cs="Arial" w:eastAsia="Arial" w:hAnsi="Arial"/>
          <w:sz w:val="21"/>
          <w:szCs w:val="21"/>
          <w:color w:val="010000"/>
        </w:rPr>
      </w:pPr>
      <w:r>
        <w:rPr>
          <w:rFonts w:ascii="Arial" w:cs="Arial" w:eastAsia="Arial" w:hAnsi="Arial"/>
          <w:sz w:val="21"/>
          <w:szCs w:val="21"/>
          <w:color w:val="auto"/>
        </w:rPr>
        <w:t>Notwithstanding any provision of this Agreement or any Company Plan to the contrary, in light of the uncertainty with respect to the proper application of Section 409A, the Company reserves the right to make amendments to any Company Plan as the Company deems necessary or desirable to avoid the imposition of taxes or penalties under Section 409A. In any case, Employee is solely responsible and liable for the satisfaction of all taxes and penalties that may be imposed on Employee or for Employee’s account in connection with any Company Plan (including any taxes and penalties under Section 409A), and neither the Company nor any affiliate shall have any obligation to indemnify or otherwise hold Employee harmless from any or all of such taxes or penalties.</w:t>
      </w:r>
    </w:p>
    <w:p>
      <w:pPr>
        <w:spacing w:after="0" w:line="180" w:lineRule="exact"/>
        <w:rPr>
          <w:rFonts w:ascii="Arial" w:cs="Arial" w:eastAsia="Arial" w:hAnsi="Arial"/>
          <w:sz w:val="21"/>
          <w:szCs w:val="21"/>
          <w:color w:val="010000"/>
        </w:rPr>
      </w:pPr>
    </w:p>
    <w:p>
      <w:pPr>
        <w:ind w:right="340" w:firstLine="1952"/>
        <w:spacing w:after="0" w:line="263" w:lineRule="auto"/>
        <w:tabs>
          <w:tab w:leader="none" w:pos="2250" w:val="left"/>
        </w:tabs>
        <w:numPr>
          <w:ilvl w:val="0"/>
          <w:numId w:val="372"/>
        </w:numPr>
        <w:rPr>
          <w:rFonts w:ascii="Arial" w:cs="Arial" w:eastAsia="Arial" w:hAnsi="Arial"/>
          <w:sz w:val="22"/>
          <w:szCs w:val="22"/>
          <w:color w:val="010000"/>
        </w:rPr>
      </w:pPr>
      <w:r>
        <w:rPr>
          <w:rFonts w:ascii="Arial" w:cs="Arial" w:eastAsia="Arial" w:hAnsi="Arial"/>
          <w:sz w:val="22"/>
          <w:szCs w:val="22"/>
          <w:color w:val="auto"/>
        </w:rPr>
        <w:t>For purposes of Section 409A, each payment hereunder will be deemed to be a separate payment as permitted under Treasury Regulation Section 1.409A-2(b)(2)(iii).</w:t>
      </w:r>
    </w:p>
    <w:p>
      <w:pPr>
        <w:spacing w:after="0" w:line="174" w:lineRule="exact"/>
        <w:rPr>
          <w:rFonts w:ascii="Arial" w:cs="Arial" w:eastAsia="Arial" w:hAnsi="Arial"/>
          <w:sz w:val="22"/>
          <w:szCs w:val="22"/>
          <w:color w:val="010000"/>
        </w:rPr>
      </w:pPr>
    </w:p>
    <w:p>
      <w:pPr>
        <w:ind w:right="440" w:firstLine="1952"/>
        <w:spacing w:after="0" w:line="302" w:lineRule="auto"/>
        <w:tabs>
          <w:tab w:leader="none" w:pos="2310" w:val="left"/>
        </w:tabs>
        <w:numPr>
          <w:ilvl w:val="0"/>
          <w:numId w:val="372"/>
        </w:numPr>
        <w:rPr>
          <w:rFonts w:ascii="Arial" w:cs="Arial" w:eastAsia="Arial" w:hAnsi="Arial"/>
          <w:sz w:val="19"/>
          <w:szCs w:val="19"/>
          <w:color w:val="010000"/>
        </w:rPr>
      </w:pPr>
      <w:r>
        <w:rPr>
          <w:rFonts w:ascii="Arial" w:cs="Arial" w:eastAsia="Arial" w:hAnsi="Arial"/>
          <w:sz w:val="19"/>
          <w:szCs w:val="19"/>
          <w:color w:val="auto"/>
        </w:rPr>
        <w:t>Except as specifically permitted by Section 409A, any benefits and reimbursements provided to Employee under this Agreement during any calendar year shall not affect any benefits and reimbursements to be provided to Employee under this Agreement in any other calendar year, and the right to such benefits and reimbursements cannot be liquidated or exchanged for any other benefit. Furthermore, reimbursement payments shall be made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00"/>
          </w:cols>
          <w:pgMar w:left="320" w:top="1265" w:right="379" w:bottom="1440" w:gutter="0" w:footer="0" w:header="0"/>
        </w:sectPr>
      </w:pPr>
    </w:p>
    <w:bookmarkStart w:id="423" w:name="page424"/>
    <w:bookmarkEnd w:id="423"/>
    <w:p>
      <w:pPr>
        <w:spacing w:after="0" w:line="263" w:lineRule="auto"/>
        <w:rPr>
          <w:sz w:val="20"/>
          <w:szCs w:val="20"/>
          <w:color w:val="auto"/>
        </w:rPr>
      </w:pPr>
      <w:r>
        <w:rPr>
          <w:rFonts w:ascii="Arial" w:cs="Arial" w:eastAsia="Arial" w:hAnsi="Arial"/>
          <w:sz w:val="22"/>
          <w:szCs w:val="22"/>
          <w:color w:val="auto"/>
        </w:rPr>
        <w:t>Employee as soon as practicable following the date that the applicable expense is incurred, but in no event later than the last day of the calendar year following the calendar year in which the underlying expense is incurred.</w:t>
      </w:r>
    </w:p>
    <w:p>
      <w:pPr>
        <w:spacing w:after="0" w:line="175" w:lineRule="exact"/>
        <w:rPr>
          <w:sz w:val="20"/>
          <w:szCs w:val="20"/>
          <w:color w:val="auto"/>
        </w:rPr>
      </w:pPr>
    </w:p>
    <w:p>
      <w:pPr>
        <w:ind w:right="20" w:firstLine="1304"/>
        <w:spacing w:after="0" w:line="302" w:lineRule="auto"/>
        <w:tabs>
          <w:tab w:leader="none" w:pos="1602" w:val="left"/>
        </w:tabs>
        <w:numPr>
          <w:ilvl w:val="0"/>
          <w:numId w:val="373"/>
        </w:numPr>
        <w:rPr>
          <w:rFonts w:ascii="Arial" w:cs="Arial" w:eastAsia="Arial" w:hAnsi="Arial"/>
          <w:sz w:val="19"/>
          <w:szCs w:val="19"/>
          <w:color w:val="010000"/>
        </w:rPr>
      </w:pPr>
      <w:r>
        <w:rPr>
          <w:rFonts w:ascii="Arial" w:cs="Arial" w:eastAsia="Arial" w:hAnsi="Arial"/>
          <w:sz w:val="19"/>
          <w:szCs w:val="19"/>
          <w:u w:val="single" w:color="auto"/>
          <w:color w:val="auto"/>
        </w:rPr>
        <w:t>Section 105(h)</w:t>
      </w:r>
      <w:r>
        <w:rPr>
          <w:rFonts w:ascii="Arial" w:cs="Arial" w:eastAsia="Arial" w:hAnsi="Arial"/>
          <w:sz w:val="19"/>
          <w:szCs w:val="19"/>
          <w:color w:val="auto"/>
        </w:rPr>
        <w:t>. Notwithstanding any provision of this Agreement to the contrary, to the extent necessary to satisfy Section 105(h) of the Code, the Company will be permitted to alter the manner in which medical benefits are provided to Employee following termination of Employee’s employment, provided that the after-tax cost to Employee of such benefits shall not be greater than the cost applicable to similarly situated executives of the Company who have not terminated employment.</w:t>
      </w:r>
    </w:p>
    <w:p>
      <w:pPr>
        <w:spacing w:after="0" w:line="142" w:lineRule="exact"/>
        <w:rPr>
          <w:rFonts w:ascii="Arial" w:cs="Arial" w:eastAsia="Arial" w:hAnsi="Arial"/>
          <w:sz w:val="19"/>
          <w:szCs w:val="19"/>
          <w:color w:val="010000"/>
        </w:rPr>
      </w:pPr>
    </w:p>
    <w:p>
      <w:pPr>
        <w:jc w:val="both"/>
        <w:ind w:right="340" w:firstLine="1304"/>
        <w:spacing w:after="0" w:line="253" w:lineRule="auto"/>
        <w:tabs>
          <w:tab w:leader="none" w:pos="1602" w:val="left"/>
        </w:tabs>
        <w:numPr>
          <w:ilvl w:val="0"/>
          <w:numId w:val="373"/>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an original, but all of which shall constitute one and the same instrument. Signatures delivered by facsimile or electronic means (including by “pdf”) shall be deemed effective for all purposes.</w:t>
      </w:r>
    </w:p>
    <w:p>
      <w:pPr>
        <w:spacing w:after="0" w:line="185" w:lineRule="exact"/>
        <w:rPr>
          <w:rFonts w:ascii="Arial" w:cs="Arial" w:eastAsia="Arial" w:hAnsi="Arial"/>
          <w:sz w:val="22"/>
          <w:szCs w:val="22"/>
          <w:color w:val="010000"/>
        </w:rPr>
      </w:pPr>
    </w:p>
    <w:p>
      <w:pPr>
        <w:ind w:right="220" w:firstLine="1304"/>
        <w:spacing w:after="0" w:line="263" w:lineRule="auto"/>
        <w:tabs>
          <w:tab w:leader="none" w:pos="1602" w:val="left"/>
        </w:tabs>
        <w:numPr>
          <w:ilvl w:val="0"/>
          <w:numId w:val="373"/>
        </w:numPr>
        <w:rPr>
          <w:rFonts w:ascii="Arial" w:cs="Arial" w:eastAsia="Arial" w:hAnsi="Arial"/>
          <w:sz w:val="22"/>
          <w:szCs w:val="22"/>
          <w:color w:val="010000"/>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in this Agreement are inserted for convenience of reference only and shall not be a part of or control or affect the meaning of any provision hereof.</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100"/>
          </w:cols>
          <w:pgMar w:left="320" w:top="1265" w:right="479" w:bottom="1440" w:gutter="0" w:footer="0" w:header="0"/>
        </w:sectPr>
      </w:pPr>
    </w:p>
    <w:bookmarkStart w:id="424" w:name="page425"/>
    <w:bookmarkEnd w:id="424"/>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pacing w:after="0" w:line="29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XPO Logistics, inc.</w:t>
      </w:r>
    </w:p>
    <w:p>
      <w:pPr>
        <w:spacing w:after="0" w:line="4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/s/ Meghan 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24130</wp:posOffset>
            </wp:positionV>
            <wp:extent cx="29057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51"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Meghan Henson</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22"/>
          <w:szCs w:val="22"/>
          <w:color w:val="auto"/>
        </w:rPr>
        <w:t>Chief Human Resources Officer</w:t>
      </w:r>
    </w:p>
    <w:p>
      <w:pPr>
        <w:spacing w:after="0" w:line="161"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/s/ Mario A. Harik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3811905</wp:posOffset>
            </wp:positionH>
            <wp:positionV relativeFrom="paragraph">
              <wp:posOffset>24130</wp:posOffset>
            </wp:positionV>
            <wp:extent cx="29057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38" w:lineRule="exact"/>
        <w:rPr>
          <w:sz w:val="20"/>
          <w:szCs w:val="20"/>
          <w:color w:val="auto"/>
        </w:rPr>
      </w:pPr>
    </w:p>
    <w:p>
      <w:pPr>
        <w:ind w:left="7620"/>
        <w:spacing w:after="0"/>
        <w:rPr>
          <w:sz w:val="20"/>
          <w:szCs w:val="20"/>
          <w:color w:val="auto"/>
        </w:rPr>
      </w:pPr>
      <w:r>
        <w:rPr>
          <w:rFonts w:ascii="Arial" w:cs="Arial" w:eastAsia="Arial" w:hAnsi="Arial"/>
          <w:sz w:val="22"/>
          <w:szCs w:val="22"/>
          <w:color w:val="auto"/>
        </w:rPr>
        <w:t>Mario A. Harik</w:t>
      </w:r>
    </w:p>
    <w:p>
      <w:pPr>
        <w:sectPr>
          <w:pgSz w:w="11900" w:h="16838" w:orient="portrait"/>
          <w:cols w:equalWidth="0" w:num="1">
            <w:col w:w="9479"/>
          </w:cols>
          <w:pgMar w:left="980" w:top="1427" w:right="1440" w:bottom="1440" w:gutter="0" w:footer="0" w:header="0"/>
        </w:sectPr>
      </w:pPr>
    </w:p>
    <w:bookmarkStart w:id="425" w:name="page426"/>
    <w:bookmarkEnd w:id="425"/>
    <w:tbl>
      <w:tblPr>
        <w:tblLayout w:type="fixed"/>
        <w:tblInd w:w="10" w:type="dxa"/>
        <w:tblCellMar>
          <w:top w:w="0" w:type="dxa"/>
          <w:left w:w="0" w:type="dxa"/>
          <w:bottom w:w="0" w:type="dxa"/>
          <w:right w:w="0" w:type="dxa"/>
        </w:tblCellMar>
      </w:tblPr>
      <w:tr>
        <w:trPr>
          <w:trHeight w:val="253"/>
        </w:trPr>
        <w:tc>
          <w:tcPr>
            <w:tcW w:w="29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5960" w:type="dxa"/>
            <w:vAlign w:val="bottom"/>
            <w:gridSpan w:val="2"/>
          </w:tcPr>
          <w:p>
            <w:pPr>
              <w:jc w:val="center"/>
              <w:ind w:right="4880"/>
              <w:spacing w:after="0"/>
              <w:rPr>
                <w:sz w:val="20"/>
                <w:szCs w:val="20"/>
                <w:color w:val="auto"/>
              </w:rPr>
            </w:pPr>
            <w:r>
              <w:rPr>
                <w:rFonts w:ascii="Arial" w:cs="Arial" w:eastAsia="Arial" w:hAnsi="Arial"/>
                <w:sz w:val="22"/>
                <w:szCs w:val="22"/>
                <w:color w:val="auto"/>
              </w:rPr>
              <w:t>EXHIBIT A</w:t>
            </w:r>
          </w:p>
        </w:tc>
      </w:tr>
      <w:tr>
        <w:trPr>
          <w:trHeight w:val="20"/>
        </w:trPr>
        <w:tc>
          <w:tcPr>
            <w:tcW w:w="2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517"/>
        </w:trPr>
        <w:tc>
          <w:tcPr>
            <w:tcW w:w="2980" w:type="dxa"/>
            <w:vAlign w:val="bottom"/>
          </w:tcPr>
          <w:p>
            <w:pPr>
              <w:spacing w:after="0"/>
              <w:rPr>
                <w:sz w:val="24"/>
                <w:szCs w:val="24"/>
                <w:color w:val="auto"/>
              </w:rPr>
            </w:pPr>
          </w:p>
        </w:tc>
        <w:tc>
          <w:tcPr>
            <w:tcW w:w="8060" w:type="dxa"/>
            <w:vAlign w:val="bottom"/>
            <w:gridSpan w:val="3"/>
          </w:tcPr>
          <w:p>
            <w:pPr>
              <w:jc w:val="center"/>
              <w:ind w:right="2780"/>
              <w:spacing w:after="0"/>
              <w:rPr>
                <w:sz w:val="20"/>
                <w:szCs w:val="20"/>
                <w:color w:val="auto"/>
              </w:rPr>
            </w:pPr>
            <w:r>
              <w:rPr>
                <w:rFonts w:ascii="Arial" w:cs="Arial" w:eastAsia="Arial" w:hAnsi="Arial"/>
                <w:sz w:val="22"/>
                <w:szCs w:val="22"/>
                <w:color w:val="auto"/>
                <w:w w:val="99"/>
              </w:rPr>
              <w:t>MARIO A. HARIK</w:t>
            </w:r>
          </w:p>
        </w:tc>
      </w:tr>
      <w:tr>
        <w:trPr>
          <w:trHeight w:val="98"/>
        </w:trPr>
        <w:tc>
          <w:tcPr>
            <w:tcW w:w="2980" w:type="dxa"/>
            <w:vAlign w:val="bottom"/>
            <w:tcBorders>
              <w:bottom w:val="single" w:sz="8" w:color="auto"/>
            </w:tcBorders>
          </w:tcPr>
          <w:p>
            <w:pPr>
              <w:spacing w:after="0"/>
              <w:rPr>
                <w:sz w:val="8"/>
                <w:szCs w:val="8"/>
                <w:color w:val="auto"/>
              </w:rPr>
            </w:pPr>
          </w:p>
        </w:tc>
        <w:tc>
          <w:tcPr>
            <w:tcW w:w="8060" w:type="dxa"/>
            <w:vAlign w:val="bottom"/>
            <w:tcBorders>
              <w:bottom w:val="single" w:sz="8" w:color="auto"/>
            </w:tcBorders>
            <w:gridSpan w:val="3"/>
          </w:tcPr>
          <w:p>
            <w:pPr>
              <w:spacing w:after="0"/>
              <w:rPr>
                <w:sz w:val="8"/>
                <w:szCs w:val="8"/>
                <w:color w:val="auto"/>
              </w:rPr>
            </w:pPr>
          </w:p>
        </w:tc>
      </w:tr>
      <w:tr>
        <w:trPr>
          <w:trHeight w:val="284"/>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Start Date:</w:t>
            </w:r>
          </w:p>
        </w:tc>
        <w:tc>
          <w:tcPr>
            <w:tcW w:w="80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July 31, 2020</w:t>
            </w:r>
          </w:p>
        </w:tc>
      </w:tr>
      <w:tr>
        <w:trPr>
          <w:trHeight w:val="290"/>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Employee:</w:t>
            </w:r>
          </w:p>
        </w:tc>
        <w:tc>
          <w:tcPr>
            <w:tcW w:w="80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Mario A. Harik</w:t>
            </w:r>
          </w:p>
        </w:tc>
      </w:tr>
      <w:tr>
        <w:trPr>
          <w:trHeight w:val="291"/>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Position:</w:t>
            </w:r>
          </w:p>
        </w:tc>
        <w:tc>
          <w:tcPr>
            <w:tcW w:w="80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Chief Information Officer of the Company</w:t>
            </w:r>
          </w:p>
        </w:tc>
      </w:tr>
      <w:tr>
        <w:trPr>
          <w:trHeight w:val="290"/>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Reporting Person:</w:t>
            </w:r>
          </w:p>
        </w:tc>
        <w:tc>
          <w:tcPr>
            <w:tcW w:w="80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President of the Company</w:t>
            </w:r>
          </w:p>
        </w:tc>
      </w:tr>
      <w:tr>
        <w:trPr>
          <w:trHeight w:val="291"/>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Base Salary:</w:t>
            </w:r>
          </w:p>
        </w:tc>
        <w:tc>
          <w:tcPr>
            <w:tcW w:w="21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$500,000</w:t>
            </w:r>
          </w:p>
        </w:tc>
        <w:tc>
          <w:tcPr>
            <w:tcW w:w="1080" w:type="dxa"/>
            <w:vAlign w:val="bottom"/>
            <w:tcBorders>
              <w:bottom w:val="single" w:sz="8" w:color="auto"/>
            </w:tcBorders>
          </w:tcPr>
          <w:p>
            <w:pPr>
              <w:spacing w:after="0"/>
              <w:rPr>
                <w:sz w:val="24"/>
                <w:szCs w:val="24"/>
                <w:color w:val="auto"/>
              </w:rPr>
            </w:pPr>
          </w:p>
        </w:tc>
        <w:tc>
          <w:tcPr>
            <w:tcW w:w="4880" w:type="dxa"/>
            <w:vAlign w:val="bottom"/>
            <w:tcBorders>
              <w:bottom w:val="single" w:sz="8" w:color="auto"/>
              <w:right w:val="single" w:sz="8" w:color="auto"/>
            </w:tcBorders>
          </w:tcPr>
          <w:p>
            <w:pPr>
              <w:spacing w:after="0"/>
              <w:rPr>
                <w:sz w:val="24"/>
                <w:szCs w:val="24"/>
                <w:color w:val="auto"/>
              </w:rPr>
            </w:pPr>
          </w:p>
        </w:tc>
      </w:tr>
      <w:tr>
        <w:trPr>
          <w:trHeight w:val="291"/>
        </w:trPr>
        <w:tc>
          <w:tcPr>
            <w:tcW w:w="29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Target Bonus:</w:t>
            </w:r>
          </w:p>
        </w:tc>
        <w:tc>
          <w:tcPr>
            <w:tcW w:w="80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125% of Base Salary</w:t>
            </w:r>
          </w:p>
        </w:tc>
      </w:tr>
    </w:tbl>
    <w:p>
      <w:pPr>
        <w:sectPr>
          <w:pgSz w:w="11900" w:h="16838" w:orient="portrait"/>
          <w:cols w:equalWidth="0" w:num="1">
            <w:col w:w="11020"/>
          </w:cols>
          <w:pgMar w:left="320" w:top="1398" w:right="559" w:bottom="1440" w:gutter="0" w:footer="0" w:header="0"/>
        </w:sectPr>
      </w:pPr>
    </w:p>
    <w:bookmarkStart w:id="426" w:name="page427"/>
    <w:bookmarkEnd w:id="426"/>
    <w:p>
      <w:pPr>
        <w:jc w:val="right"/>
        <w:spacing w:after="0"/>
        <w:rPr>
          <w:sz w:val="20"/>
          <w:szCs w:val="20"/>
          <w:color w:val="auto"/>
        </w:rPr>
      </w:pPr>
      <w:r>
        <w:rPr>
          <w:rFonts w:ascii="Arial" w:cs="Arial" w:eastAsia="Arial" w:hAnsi="Arial"/>
          <w:sz w:val="22"/>
          <w:szCs w:val="22"/>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00" w:right="1400"/>
        <w:spacing w:after="0" w:line="253" w:lineRule="auto"/>
        <w:rPr>
          <w:sz w:val="20"/>
          <w:szCs w:val="20"/>
          <w:color w:val="auto"/>
        </w:rPr>
      </w:pPr>
      <w:r>
        <w:rPr>
          <w:rFonts w:ascii="Arial" w:cs="Arial" w:eastAsia="Arial" w:hAnsi="Arial"/>
          <w:sz w:val="22"/>
          <w:szCs w:val="22"/>
          <w:color w:val="auto"/>
        </w:rPr>
        <w:t>FORM OF XPO LOGISTICS, INC. CASH LONG-TERM INCENTIVE AWARD AGREEMENT, dated as of July 31, 2020, (the “</w:t>
      </w:r>
      <w:r>
        <w:rPr>
          <w:rFonts w:ascii="Arial" w:cs="Arial" w:eastAsia="Arial" w:hAnsi="Arial"/>
          <w:sz w:val="22"/>
          <w:szCs w:val="22"/>
          <w:u w:val="single" w:color="auto"/>
          <w:color w:val="auto"/>
        </w:rPr>
        <w:t>Grant Date</w:t>
      </w:r>
      <w:r>
        <w:rPr>
          <w:rFonts w:ascii="Arial" w:cs="Arial" w:eastAsia="Arial" w:hAnsi="Arial"/>
          <w:sz w:val="22"/>
          <w:szCs w:val="22"/>
          <w:color w:val="auto"/>
        </w:rPr>
        <w:t>”), between XPO LOGISTICS,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[NAME].</w:t>
      </w:r>
    </w:p>
    <w:p>
      <w:pPr>
        <w:spacing w:after="0" w:line="185" w:lineRule="exact"/>
        <w:rPr>
          <w:sz w:val="20"/>
          <w:szCs w:val="20"/>
          <w:color w:val="auto"/>
        </w:rPr>
      </w:pPr>
    </w:p>
    <w:p>
      <w:pPr>
        <w:ind w:right="100" w:firstLine="1296"/>
        <w:spacing w:after="0" w:line="312" w:lineRule="auto"/>
        <w:rPr>
          <w:sz w:val="20"/>
          <w:szCs w:val="20"/>
          <w:color w:val="auto"/>
        </w:rPr>
      </w:pPr>
      <w:r>
        <w:rPr>
          <w:rFonts w:ascii="Arial" w:cs="Arial" w:eastAsia="Arial" w:hAnsi="Arial"/>
          <w:sz w:val="19"/>
          <w:szCs w:val="19"/>
          <w:color w:val="auto"/>
        </w:rPr>
        <w:t>This Award Agreement (this “</w:t>
      </w:r>
      <w:r>
        <w:rPr>
          <w:rFonts w:ascii="Arial" w:cs="Arial" w:eastAsia="Arial" w:hAnsi="Arial"/>
          <w:sz w:val="19"/>
          <w:szCs w:val="19"/>
          <w:u w:val="single" w:color="auto"/>
          <w:color w:val="auto"/>
        </w:rPr>
        <w:t>Award Agreement</w:t>
      </w:r>
      <w:r>
        <w:rPr>
          <w:rFonts w:ascii="Arial" w:cs="Arial" w:eastAsia="Arial" w:hAnsi="Arial"/>
          <w:sz w:val="19"/>
          <w:szCs w:val="19"/>
          <w:color w:val="auto"/>
        </w:rPr>
        <w:t>”) sets forth the terms and conditions of a cash long-term incentive award (this “</w:t>
      </w:r>
      <w:r>
        <w:rPr>
          <w:rFonts w:ascii="Arial" w:cs="Arial" w:eastAsia="Arial" w:hAnsi="Arial"/>
          <w:sz w:val="19"/>
          <w:szCs w:val="19"/>
          <w:u w:val="single" w:color="auto"/>
          <w:color w:val="auto"/>
        </w:rPr>
        <w:t>Award</w:t>
      </w:r>
      <w:r>
        <w:rPr>
          <w:rFonts w:ascii="Arial" w:cs="Arial" w:eastAsia="Arial" w:hAnsi="Arial"/>
          <w:sz w:val="19"/>
          <w:szCs w:val="19"/>
          <w:color w:val="auto"/>
        </w:rPr>
        <w:t>”) granted to you pursuant to this Award Agreement. This Award provides you with the opportunity to earn, subject to the terms of this Award Agreement, an amount of cash determined in accordance with this Award Agreement.</w:t>
      </w:r>
    </w:p>
    <w:p>
      <w:pPr>
        <w:spacing w:after="0" w:line="133" w:lineRule="exact"/>
        <w:rPr>
          <w:sz w:val="20"/>
          <w:szCs w:val="20"/>
          <w:color w:val="auto"/>
        </w:rPr>
      </w:pPr>
    </w:p>
    <w:p>
      <w:pPr>
        <w:ind w:right="160" w:firstLine="1296"/>
        <w:spacing w:after="0" w:line="250" w:lineRule="auto"/>
        <w:rPr>
          <w:sz w:val="20"/>
          <w:szCs w:val="20"/>
          <w:color w:val="auto"/>
        </w:rPr>
      </w:pPr>
      <w:r>
        <w:rPr>
          <w:rFonts w:ascii="Arial" w:cs="Arial" w:eastAsia="Arial" w:hAnsi="Arial"/>
          <w:sz w:val="22"/>
          <w:szCs w:val="22"/>
          <w:color w:val="auto"/>
        </w:rPr>
        <w:t xml:space="preserve">THIS AWARD IS SUBJECT TO ALL TERMS AND CONDITIONS OF THIS AWARD AGREEMENT, INCLUDING THE DISPUTE RESOLUTION PROVISIONS SET FORTH IN </w:t>
      </w:r>
      <w:r>
        <w:rPr>
          <w:rFonts w:ascii="Arial" w:cs="Arial" w:eastAsia="Arial" w:hAnsi="Arial"/>
          <w:sz w:val="22"/>
          <w:szCs w:val="22"/>
          <w:u w:val="single" w:color="auto"/>
          <w:color w:val="auto"/>
        </w:rPr>
        <w:t>SECTION 8</w:t>
      </w:r>
      <w:r>
        <w:rPr>
          <w:rFonts w:ascii="Arial" w:cs="Arial" w:eastAsia="Arial" w:hAnsi="Arial"/>
          <w:sz w:val="22"/>
          <w:szCs w:val="22"/>
          <w:color w:val="auto"/>
        </w:rPr>
        <w:t xml:space="preserve"> OF THIS AWARD AGREEMENT. BY SIGNING YOUR NAME BELOW, YOU SHALL HAVE CONFIRMED YOUR ACCEPTANCE OF THE TERMS AND CONDITIONS OF THIS AWARD AGREEMENT.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Definitions</w:t>
      </w:r>
      <w:r>
        <w:rPr>
          <w:rFonts w:ascii="Arial" w:cs="Arial" w:eastAsia="Arial" w:hAnsi="Arial"/>
          <w:sz w:val="19"/>
          <w:szCs w:val="19"/>
          <w:color w:val="auto"/>
        </w:rPr>
        <w:t>. As used in this Award Agreement, the following terms have the meanings set forth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02" w:lineRule="exact"/>
        <w:rPr>
          <w:sz w:val="20"/>
          <w:szCs w:val="20"/>
          <w:color w:val="auto"/>
        </w:rPr>
      </w:pPr>
    </w:p>
    <w:p>
      <w:pPr>
        <w:ind w:right="3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means a day that is not a Saturday, a Sunday or a day on which banking institutions are legally permitted to be closed in the City of New York.</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Cause</w:t>
      </w:r>
      <w:r>
        <w:rPr>
          <w:rFonts w:ascii="Arial" w:cs="Arial" w:eastAsia="Arial" w:hAnsi="Arial"/>
          <w:sz w:val="22"/>
          <w:szCs w:val="22"/>
          <w:color w:val="auto"/>
        </w:rPr>
        <w:t>” shall have the meaning given to such term in your Employment Agreement.</w:t>
      </w:r>
    </w:p>
    <w:p>
      <w:pPr>
        <w:spacing w:after="0" w:line="220" w:lineRule="exact"/>
        <w:rPr>
          <w:sz w:val="20"/>
          <w:szCs w:val="20"/>
          <w:color w:val="auto"/>
        </w:rPr>
      </w:pPr>
    </w:p>
    <w:p>
      <w:pPr>
        <w:ind w:right="68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shall have the meaning given to such term in the Company’s 2016 Omnibus Incentive Compensation Plan, as amended, as in effect on the Grant Date.</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 of Directors of the Company.</w:t>
      </w:r>
    </w:p>
    <w:p>
      <w:pPr>
        <w:spacing w:after="0" w:line="220" w:lineRule="exact"/>
        <w:rPr>
          <w:sz w:val="20"/>
          <w:szCs w:val="20"/>
          <w:color w:val="auto"/>
        </w:rPr>
      </w:pPr>
    </w:p>
    <w:p>
      <w:pPr>
        <w:jc w:val="both"/>
        <w:ind w:right="100" w:firstLine="1296"/>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Determination Date</w:t>
      </w:r>
      <w:r>
        <w:rPr>
          <w:rFonts w:ascii="Arial" w:cs="Arial" w:eastAsia="Arial" w:hAnsi="Arial"/>
          <w:sz w:val="21"/>
          <w:szCs w:val="21"/>
          <w:color w:val="auto"/>
        </w:rPr>
        <w:t>” means, with respect to each Performance Period, the date following the completion of such Performance Period on which the Committee certifies the level of achievement of the applicable Performance Goals, which shall be no later than March 10 immediately following the Performance Period.</w:t>
      </w:r>
    </w:p>
    <w:p>
      <w:pPr>
        <w:spacing w:after="0" w:line="167" w:lineRule="exact"/>
        <w:rPr>
          <w:sz w:val="20"/>
          <w:szCs w:val="20"/>
          <w:color w:val="auto"/>
        </w:rPr>
      </w:pPr>
    </w:p>
    <w:p>
      <w:pPr>
        <w:ind w:right="280" w:firstLine="1296"/>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Earned Amount</w:t>
      </w:r>
      <w:r>
        <w:rPr>
          <w:rFonts w:ascii="Arial" w:cs="Arial" w:eastAsia="Arial" w:hAnsi="Arial"/>
          <w:sz w:val="19"/>
          <w:szCs w:val="19"/>
          <w:color w:val="auto"/>
        </w:rPr>
        <w:t>” means, with respect to each Tranche, the amount of cash earned with respect to such Tranche based on the level of achievement of the Performance Goals or otherwise in accordance with this Award Agreement.</w:t>
      </w:r>
    </w:p>
    <w:p>
      <w:pPr>
        <w:spacing w:after="0" w:line="104" w:lineRule="exact"/>
        <w:rPr>
          <w:sz w:val="20"/>
          <w:szCs w:val="20"/>
          <w:color w:val="auto"/>
        </w:rPr>
      </w:pPr>
    </w:p>
    <w:p>
      <w:pPr>
        <w:ind w:right="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means any individual employment agreement between you and the Company or any of its subsidiaries.</w:t>
      </w:r>
    </w:p>
    <w:p>
      <w:pPr>
        <w:sectPr>
          <w:pgSz w:w="11900" w:h="16838" w:orient="portrait"/>
          <w:cols w:equalWidth="0" w:num="1">
            <w:col w:w="11240"/>
          </w:cols>
          <w:pgMar w:left="320" w:top="125" w:right="339" w:bottom="1440" w:gutter="0" w:footer="0" w:header="0"/>
        </w:sectPr>
      </w:pPr>
    </w:p>
    <w:bookmarkStart w:id="427" w:name="page428"/>
    <w:bookmarkEnd w:id="427"/>
    <w:p>
      <w:pPr>
        <w:ind w:right="4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Goal</w:t>
      </w:r>
      <w:r>
        <w:rPr>
          <w:rFonts w:ascii="Arial" w:cs="Arial" w:eastAsia="Arial" w:hAnsi="Arial"/>
          <w:sz w:val="22"/>
          <w:szCs w:val="22"/>
          <w:color w:val="auto"/>
        </w:rPr>
        <w:t xml:space="preserve">” means, with respect to each Tranche, the performance goals applicable to such Tranche as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w:t>
      </w:r>
    </w:p>
    <w:p>
      <w:pPr>
        <w:spacing w:after="0" w:line="175" w:lineRule="exact"/>
        <w:rPr>
          <w:sz w:val="20"/>
          <w:szCs w:val="20"/>
          <w:color w:val="auto"/>
        </w:rPr>
      </w:pPr>
    </w:p>
    <w:p>
      <w:pPr>
        <w:ind w:right="46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Performance Period</w:t>
      </w:r>
      <w:r>
        <w:rPr>
          <w:rFonts w:ascii="Arial" w:cs="Arial" w:eastAsia="Arial" w:hAnsi="Arial"/>
          <w:sz w:val="22"/>
          <w:szCs w:val="22"/>
          <w:color w:val="auto"/>
        </w:rPr>
        <w:t xml:space="preserve">” means, with respect to each Tranche, the period with respect to which the Performance Goals are measured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5"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Code, and the regulations and other interpretive guidance promulgated thereunder, as in effect from time to time.</w:t>
      </w:r>
    </w:p>
    <w:p>
      <w:pPr>
        <w:spacing w:after="0" w:line="175" w:lineRule="exact"/>
        <w:rPr>
          <w:sz w:val="20"/>
          <w:szCs w:val="20"/>
          <w:color w:val="auto"/>
        </w:rPr>
      </w:pPr>
    </w:p>
    <w:p>
      <w:pPr>
        <w:ind w:right="60" w:firstLine="1296"/>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Settlement Date</w:t>
      </w:r>
      <w:r>
        <w:rPr>
          <w:rFonts w:ascii="Arial" w:cs="Arial" w:eastAsia="Arial" w:hAnsi="Arial"/>
          <w:sz w:val="21"/>
          <w:szCs w:val="21"/>
          <w:color w:val="auto"/>
        </w:rPr>
        <w:t xml:space="preserve">” means, with respect to each Tranche, on, or as soon as reasonably practicable (and in any event no later than ten (10) calendar days) following, the later of the date on which such Tranche becomes vested in accordance with Section 2 of this Award Agreement and the Determination Date for such Tranche;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any Tranche that becomes vested pursuant to Section 2(b)(i) or Section 2(b)(iii) of this Award Agreement, the Settlement Date shall not be later than the March 15 immediately following the calendar year during which your death (in the case of vesting pursuant to Section 2(b)(i) of this Award Agreement) or termination of employment by the Company without Cause (in the case of vesting pursuant to Section 2(b)(iii) of this Award Agreement), occurred.</w:t>
      </w:r>
    </w:p>
    <w:p>
      <w:pPr>
        <w:spacing w:after="0" w:line="180" w:lineRule="exact"/>
        <w:rPr>
          <w:sz w:val="20"/>
          <w:szCs w:val="20"/>
          <w:color w:val="auto"/>
        </w:rPr>
      </w:pPr>
    </w:p>
    <w:p>
      <w:pPr>
        <w:ind w:right="32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Target Amount</w:t>
      </w:r>
      <w:r>
        <w:rPr>
          <w:rFonts w:ascii="Arial" w:cs="Arial" w:eastAsia="Arial" w:hAnsi="Arial"/>
          <w:sz w:val="22"/>
          <w:szCs w:val="22"/>
          <w:color w:val="auto"/>
        </w:rPr>
        <w:t xml:space="preserve">” means, with respect to each Tranche, the target amount of cash subject to such Tranche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5" w:lineRule="exact"/>
        <w:rPr>
          <w:sz w:val="20"/>
          <w:szCs w:val="20"/>
          <w:color w:val="auto"/>
        </w:rPr>
      </w:pPr>
    </w:p>
    <w:p>
      <w:pPr>
        <w:ind w:right="800" w:firstLine="1296"/>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Tranche</w:t>
      </w:r>
      <w:r>
        <w:rPr>
          <w:rFonts w:ascii="Arial" w:cs="Arial" w:eastAsia="Arial" w:hAnsi="Arial"/>
          <w:sz w:val="22"/>
          <w:szCs w:val="22"/>
          <w:color w:val="auto"/>
        </w:rPr>
        <w:t xml:space="preserve">” means each of the 2020 Tranche, the 2021 Tranche, the 2022 Tranche and the 2023 Tranche as identified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Vesting Date</w:t>
      </w:r>
      <w:r>
        <w:rPr>
          <w:rFonts w:ascii="Arial" w:cs="Arial" w:eastAsia="Arial" w:hAnsi="Arial"/>
          <w:sz w:val="22"/>
          <w:szCs w:val="22"/>
          <w:color w:val="auto"/>
        </w:rPr>
        <w:t xml:space="preserve">” means, with respect to each Tranche, the vesting date specified in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Vesting and Settlement</w:t>
      </w:r>
      <w:r>
        <w:rPr>
          <w:rFonts w:ascii="Arial" w:cs="Arial" w:eastAsia="Arial" w:hAnsi="Arial"/>
          <w:sz w:val="22"/>
          <w:szCs w:val="22"/>
          <w:color w:val="auto"/>
        </w:rPr>
        <w:t>.</w:t>
      </w:r>
    </w:p>
    <w:p>
      <w:pPr>
        <w:spacing w:after="0" w:line="220" w:lineRule="exact"/>
        <w:rPr>
          <w:sz w:val="20"/>
          <w:szCs w:val="20"/>
          <w:color w:val="auto"/>
        </w:rPr>
      </w:pPr>
    </w:p>
    <w:p>
      <w:pPr>
        <w:ind w:right="40" w:firstLine="1304"/>
        <w:spacing w:after="0" w:line="294" w:lineRule="auto"/>
        <w:tabs>
          <w:tab w:leader="none" w:pos="1590" w:val="left"/>
        </w:tabs>
        <w:numPr>
          <w:ilvl w:val="0"/>
          <w:numId w:val="374"/>
        </w:numPr>
        <w:rPr>
          <w:rFonts w:ascii="Arial" w:cs="Arial" w:eastAsia="Arial" w:hAnsi="Arial"/>
          <w:sz w:val="19"/>
          <w:szCs w:val="19"/>
          <w:color w:val="auto"/>
        </w:rPr>
      </w:pPr>
      <w:r>
        <w:rPr>
          <w:rFonts w:ascii="Arial" w:cs="Arial" w:eastAsia="Arial" w:hAnsi="Arial"/>
          <w:sz w:val="19"/>
          <w:szCs w:val="19"/>
          <w:u w:val="single" w:color="auto"/>
          <w:color w:val="auto"/>
        </w:rPr>
        <w:t>Regularly Scheduled Vesting</w:t>
      </w:r>
      <w:r>
        <w:rPr>
          <w:rFonts w:ascii="Arial" w:cs="Arial" w:eastAsia="Arial" w:hAnsi="Arial"/>
          <w:sz w:val="19"/>
          <w:szCs w:val="19"/>
          <w:color w:val="auto"/>
        </w:rPr>
        <w:t>. Except as otherwise provided in this Award Agreement, the Earned Amount of each Tranche, determined based on the level of achievement of the Performance Goals during the applicable Performance Period as certified by the Committee, shall vest on the Vesting Date for such Tranche subject to your continued employment through such Vesting Date. Except as otherwise provided in this Award Agreement, no amount shall be earned and payable with respect to any Tranche unless the Committee has certified the level of achievement of the applicable Performance Goals. The Committee shall have sole discretion to determine the level of achievement of the applicable Performance Goals.</w:t>
      </w:r>
    </w:p>
    <w:p>
      <w:pPr>
        <w:spacing w:after="0" w:line="149" w:lineRule="exact"/>
        <w:rPr>
          <w:rFonts w:ascii="Arial" w:cs="Arial" w:eastAsia="Arial" w:hAnsi="Arial"/>
          <w:sz w:val="19"/>
          <w:szCs w:val="19"/>
          <w:color w:val="auto"/>
        </w:rPr>
      </w:pPr>
    </w:p>
    <w:p>
      <w:pPr>
        <w:ind w:right="260" w:firstLine="1304"/>
        <w:spacing w:after="0" w:line="253" w:lineRule="auto"/>
        <w:tabs>
          <w:tab w:leader="none" w:pos="1602" w:val="left"/>
        </w:tabs>
        <w:numPr>
          <w:ilvl w:val="0"/>
          <w:numId w:val="374"/>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Notwithstanding anything to the contrary in this Award Agreement, upon your termination of employment with the Company and its affiliates prior to the last Vesting Date, the Award shall be treated as follows:</w:t>
      </w:r>
    </w:p>
    <w:p>
      <w:pPr>
        <w:spacing w:after="0" w:line="185" w:lineRule="exact"/>
        <w:rPr>
          <w:rFonts w:ascii="Arial" w:cs="Arial" w:eastAsia="Arial" w:hAnsi="Arial"/>
          <w:sz w:val="22"/>
          <w:szCs w:val="22"/>
          <w:color w:val="auto"/>
        </w:rPr>
      </w:pPr>
    </w:p>
    <w:p>
      <w:pPr>
        <w:ind w:left="660" w:right="20" w:firstLine="1292"/>
        <w:spacing w:after="0" w:line="263" w:lineRule="auto"/>
        <w:tabs>
          <w:tab w:leader="none" w:pos="2214" w:val="left"/>
        </w:tabs>
        <w:numPr>
          <w:ilvl w:val="1"/>
          <w:numId w:val="374"/>
        </w:numPr>
        <w:rPr>
          <w:rFonts w:ascii="Arial" w:cs="Arial" w:eastAsia="Arial" w:hAnsi="Arial"/>
          <w:sz w:val="22"/>
          <w:szCs w:val="22"/>
          <w:color w:val="auto"/>
        </w:rPr>
      </w:pPr>
      <w:r>
        <w:rPr>
          <w:rFonts w:ascii="Arial" w:cs="Arial" w:eastAsia="Arial" w:hAnsi="Arial"/>
          <w:sz w:val="22"/>
          <w:szCs w:val="22"/>
          <w:color w:val="auto"/>
        </w:rPr>
        <w:t>if your employment terminates by reason of your death, you shall vest in (A) the Earned Amount of any outstanding and unvested Tranche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265" w:right="359" w:bottom="1440" w:gutter="0" w:footer="0" w:header="0"/>
        </w:sectPr>
      </w:pPr>
    </w:p>
    <w:bookmarkStart w:id="428" w:name="page429"/>
    <w:bookmarkEnd w:id="428"/>
    <w:p>
      <w:pPr>
        <w:spacing w:after="0" w:line="294" w:lineRule="auto"/>
        <w:rPr>
          <w:sz w:val="20"/>
          <w:szCs w:val="20"/>
          <w:color w:val="auto"/>
        </w:rPr>
      </w:pPr>
      <w:r>
        <w:rPr>
          <w:rFonts w:ascii="Arial" w:cs="Arial" w:eastAsia="Arial" w:hAnsi="Arial"/>
          <w:sz w:val="19"/>
          <w:szCs w:val="19"/>
          <w:color w:val="auto"/>
        </w:rPr>
        <w:t>that relates to a Performance Period that ended prior to your termination of employment, with such Earned Amount determined based on the level of achievement of the Performance Goals for such Performance Period, which vesting shall occur on the date of your death (or, if later, the Determination Date for such Performance Period) and (B) the Earned Amount of the Tranche that relates to the Performance Period in which your death occurs and the Earned Amount of any Tranche for which the Performance Period is scheduled to commence after your death, with each such Earned Amount equal to the Target Amount, which vesting shall occur on the date of your death;</w:t>
      </w:r>
    </w:p>
    <w:p>
      <w:pPr>
        <w:spacing w:after="0" w:line="149" w:lineRule="exact"/>
        <w:rPr>
          <w:sz w:val="20"/>
          <w:szCs w:val="20"/>
          <w:color w:val="auto"/>
        </w:rPr>
      </w:pPr>
    </w:p>
    <w:p>
      <w:pPr>
        <w:ind w:right="100" w:firstLine="1292"/>
        <w:spacing w:after="0" w:line="263" w:lineRule="auto"/>
        <w:tabs>
          <w:tab w:leader="none" w:pos="1614" w:val="left"/>
        </w:tabs>
        <w:numPr>
          <w:ilvl w:val="1"/>
          <w:numId w:val="375"/>
        </w:numPr>
        <w:rPr>
          <w:rFonts w:ascii="Arial" w:cs="Arial" w:eastAsia="Arial" w:hAnsi="Arial"/>
          <w:sz w:val="22"/>
          <w:szCs w:val="22"/>
          <w:color w:val="auto"/>
        </w:rPr>
      </w:pPr>
      <w:r>
        <w:rPr>
          <w:rFonts w:ascii="Arial" w:cs="Arial" w:eastAsia="Arial" w:hAnsi="Arial"/>
          <w:sz w:val="22"/>
          <w:szCs w:val="22"/>
          <w:color w:val="auto"/>
        </w:rPr>
        <w:t>if your employment is terminated by the Company for Cause or by reason of your Disability, or if you resign for any reason, the remainder of this Award shall be forfeited immediately; and</w:t>
      </w:r>
    </w:p>
    <w:p>
      <w:pPr>
        <w:spacing w:after="0" w:line="174" w:lineRule="exact"/>
        <w:rPr>
          <w:rFonts w:ascii="Arial" w:cs="Arial" w:eastAsia="Arial" w:hAnsi="Arial"/>
          <w:sz w:val="22"/>
          <w:szCs w:val="22"/>
          <w:color w:val="auto"/>
        </w:rPr>
      </w:pPr>
    </w:p>
    <w:p>
      <w:pPr>
        <w:ind w:right="60" w:firstLine="1292"/>
        <w:spacing w:after="0" w:line="258" w:lineRule="auto"/>
        <w:tabs>
          <w:tab w:leader="none" w:pos="1674" w:val="left"/>
        </w:tabs>
        <w:numPr>
          <w:ilvl w:val="1"/>
          <w:numId w:val="375"/>
        </w:numPr>
        <w:rPr>
          <w:rFonts w:ascii="Arial" w:cs="Arial" w:eastAsia="Arial" w:hAnsi="Arial"/>
          <w:sz w:val="21"/>
          <w:szCs w:val="21"/>
          <w:color w:val="auto"/>
        </w:rPr>
      </w:pPr>
      <w:r>
        <w:rPr>
          <w:rFonts w:ascii="Arial" w:cs="Arial" w:eastAsia="Arial" w:hAnsi="Arial"/>
          <w:sz w:val="21"/>
          <w:szCs w:val="21"/>
          <w:color w:val="auto"/>
        </w:rPr>
        <w:t>if your employment is terminated by the Company without Cause, you shall vest in (A) the Earned Amount of any outstanding and unvested Tranche that relates to a Performance Period that ended prior to your termination of employment, with such Earned Amount determined based on the level of achievement of the Performance Goals for such Performance Period, which vesting shall occur on the date of your termination of employment (or, if later, the Determination Date for such Performance Period) and (B) a prorated portion of the Earned Amount of the Tranche that relates to the Performance Period in which your termination of employment occurs, with proration based on a fraction, the numerator of which is the number of days from the first day of such Performance Period through your termination of employment and the denominator of which is the total number of days in such Performance Period, and with such Earned Amount determined based on the level of achievement of the Performance Goals for such Performance Period, which vesting shall occur on the Determination Date for such Performance Period, and the remainder of this Award shall be forfeited.</w:t>
      </w:r>
    </w:p>
    <w:p>
      <w:pPr>
        <w:spacing w:after="0" w:line="181" w:lineRule="exact"/>
        <w:rPr>
          <w:rFonts w:ascii="Arial" w:cs="Arial" w:eastAsia="Arial" w:hAnsi="Arial"/>
          <w:sz w:val="21"/>
          <w:szCs w:val="21"/>
          <w:color w:val="auto"/>
        </w:rPr>
      </w:pPr>
    </w:p>
    <w:p>
      <w:pPr>
        <w:ind w:left="940" w:hanging="296"/>
        <w:spacing w:after="0"/>
        <w:tabs>
          <w:tab w:leader="none" w:pos="940" w:val="left"/>
        </w:tabs>
        <w:numPr>
          <w:ilvl w:val="0"/>
          <w:numId w:val="376"/>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Upon a Change of Control prior to the last Determination Date:</w:t>
      </w:r>
    </w:p>
    <w:p>
      <w:pPr>
        <w:spacing w:after="0" w:line="219" w:lineRule="exact"/>
        <w:rPr>
          <w:rFonts w:ascii="Arial" w:cs="Arial" w:eastAsia="Arial" w:hAnsi="Arial"/>
          <w:sz w:val="22"/>
          <w:szCs w:val="22"/>
          <w:color w:val="auto"/>
        </w:rPr>
      </w:pPr>
    </w:p>
    <w:p>
      <w:pPr>
        <w:ind w:right="40" w:firstLine="1292"/>
        <w:spacing w:after="0" w:line="247" w:lineRule="auto"/>
        <w:tabs>
          <w:tab w:leader="none" w:pos="1554" w:val="left"/>
        </w:tabs>
        <w:numPr>
          <w:ilvl w:val="1"/>
          <w:numId w:val="376"/>
        </w:numPr>
        <w:rPr>
          <w:rFonts w:ascii="Arial" w:cs="Arial" w:eastAsia="Arial" w:hAnsi="Arial"/>
          <w:sz w:val="22"/>
          <w:szCs w:val="22"/>
          <w:color w:val="auto"/>
        </w:rPr>
      </w:pPr>
      <w:r>
        <w:rPr>
          <w:rFonts w:ascii="Arial" w:cs="Arial" w:eastAsia="Arial" w:hAnsi="Arial"/>
          <w:sz w:val="22"/>
          <w:szCs w:val="22"/>
          <w:color w:val="auto"/>
        </w:rPr>
        <w:t>the Earned Amount of any outstanding and unvested Tranche that relates to a Performance Period that has ended prior to the Change of Control shall vest in full, with such Earned Amount equal to (A) if such Change of Control occurs prior to the Determination Date for such Performance Period, the Target Amount or (B) if such Change of Control occurs on or after the Determination Date for such Performance Period, the amount determined based on the actual level of achievement of the Performance Goals for such Performance Period as certified by the Committee prior to the Change of Control;</w:t>
      </w:r>
    </w:p>
    <w:p>
      <w:pPr>
        <w:spacing w:after="0" w:line="192" w:lineRule="exact"/>
        <w:rPr>
          <w:rFonts w:ascii="Arial" w:cs="Arial" w:eastAsia="Arial" w:hAnsi="Arial"/>
          <w:sz w:val="22"/>
          <w:szCs w:val="22"/>
          <w:color w:val="auto"/>
        </w:rPr>
      </w:pPr>
    </w:p>
    <w:p>
      <w:pPr>
        <w:ind w:right="420" w:firstLine="1292"/>
        <w:spacing w:after="0" w:line="271" w:lineRule="auto"/>
        <w:tabs>
          <w:tab w:leader="none" w:pos="1614" w:val="left"/>
        </w:tabs>
        <w:numPr>
          <w:ilvl w:val="1"/>
          <w:numId w:val="376"/>
        </w:numPr>
        <w:rPr>
          <w:rFonts w:ascii="Arial" w:cs="Arial" w:eastAsia="Arial" w:hAnsi="Arial"/>
          <w:sz w:val="21"/>
          <w:szCs w:val="21"/>
          <w:color w:val="auto"/>
        </w:rPr>
      </w:pPr>
      <w:r>
        <w:rPr>
          <w:rFonts w:ascii="Arial" w:cs="Arial" w:eastAsia="Arial" w:hAnsi="Arial"/>
          <w:sz w:val="21"/>
          <w:szCs w:val="21"/>
          <w:color w:val="auto"/>
        </w:rPr>
        <w:t>the Earned Amount of the Tranche that relates to the Performance Period in which the Change of Control occurs shall vest in full, with such Earned Amount equal to the greater of (A) an Earned Amount determined based on the level of achievement of the Performance Goals through the latest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20"/>
          </w:cols>
          <w:pgMar w:left="980" w:top="1265" w:right="399" w:bottom="1440" w:gutter="0" w:footer="0" w:header="0"/>
        </w:sectPr>
      </w:pPr>
    </w:p>
    <w:bookmarkStart w:id="429" w:name="page430"/>
    <w:bookmarkEnd w:id="429"/>
    <w:p>
      <w:pPr>
        <w:ind w:left="660" w:right="220"/>
        <w:spacing w:after="0" w:line="263" w:lineRule="auto"/>
        <w:rPr>
          <w:sz w:val="20"/>
          <w:szCs w:val="20"/>
          <w:color w:val="auto"/>
        </w:rPr>
      </w:pPr>
      <w:r>
        <w:rPr>
          <w:rFonts w:ascii="Arial" w:cs="Arial" w:eastAsia="Arial" w:hAnsi="Arial"/>
          <w:sz w:val="22"/>
          <w:szCs w:val="22"/>
          <w:color w:val="auto"/>
        </w:rPr>
        <w:t>practicable date prior to the Change of Control as certified by the Committee prior to the Change of Control and (B) the Target Amount; and</w:t>
      </w:r>
    </w:p>
    <w:p>
      <w:pPr>
        <w:spacing w:after="0" w:line="175" w:lineRule="exact"/>
        <w:rPr>
          <w:sz w:val="20"/>
          <w:szCs w:val="20"/>
          <w:color w:val="auto"/>
        </w:rPr>
      </w:pPr>
    </w:p>
    <w:p>
      <w:pPr>
        <w:ind w:left="660" w:firstLine="1292"/>
        <w:spacing w:after="0" w:line="253" w:lineRule="auto"/>
        <w:tabs>
          <w:tab w:leader="none" w:pos="2334" w:val="left"/>
        </w:tabs>
        <w:numPr>
          <w:ilvl w:val="1"/>
          <w:numId w:val="377"/>
        </w:numPr>
        <w:rPr>
          <w:rFonts w:ascii="Arial" w:cs="Arial" w:eastAsia="Arial" w:hAnsi="Arial"/>
          <w:sz w:val="22"/>
          <w:szCs w:val="22"/>
          <w:color w:val="auto"/>
        </w:rPr>
      </w:pPr>
      <w:r>
        <w:rPr>
          <w:rFonts w:ascii="Arial" w:cs="Arial" w:eastAsia="Arial" w:hAnsi="Arial"/>
          <w:sz w:val="22"/>
          <w:szCs w:val="22"/>
          <w:color w:val="auto"/>
        </w:rPr>
        <w:t>if you remain employed through the Change of Control, the Earned Amount for any Tranche for which the Performance Period is scheduled to commence after the Change of Control shall vest in full, with such Earned Amount equal to the Target Amount.</w:t>
      </w:r>
    </w:p>
    <w:p>
      <w:pPr>
        <w:spacing w:after="0" w:line="185" w:lineRule="exact"/>
        <w:rPr>
          <w:rFonts w:ascii="Arial" w:cs="Arial" w:eastAsia="Arial" w:hAnsi="Arial"/>
          <w:sz w:val="22"/>
          <w:szCs w:val="22"/>
          <w:color w:val="auto"/>
        </w:rPr>
      </w:pPr>
    </w:p>
    <w:p>
      <w:pPr>
        <w:jc w:val="both"/>
        <w:ind w:right="60" w:firstLine="1304"/>
        <w:spacing w:after="0" w:line="253" w:lineRule="auto"/>
        <w:tabs>
          <w:tab w:leader="none" w:pos="1602" w:val="left"/>
        </w:tabs>
        <w:numPr>
          <w:ilvl w:val="0"/>
          <w:numId w:val="378"/>
        </w:numPr>
        <w:rPr>
          <w:rFonts w:ascii="Arial" w:cs="Arial" w:eastAsia="Arial" w:hAnsi="Arial"/>
          <w:sz w:val="22"/>
          <w:szCs w:val="22"/>
          <w:color w:val="auto"/>
        </w:rPr>
      </w:pPr>
      <w:r>
        <w:rPr>
          <w:rFonts w:ascii="Arial" w:cs="Arial" w:eastAsia="Arial" w:hAnsi="Arial"/>
          <w:sz w:val="22"/>
          <w:szCs w:val="22"/>
          <w:u w:val="single" w:color="auto"/>
          <w:color w:val="auto"/>
        </w:rPr>
        <w:t>Settlement of Award</w:t>
      </w:r>
      <w:r>
        <w:rPr>
          <w:rFonts w:ascii="Arial" w:cs="Arial" w:eastAsia="Arial" w:hAnsi="Arial"/>
          <w:sz w:val="22"/>
          <w:szCs w:val="22"/>
          <w:color w:val="auto"/>
        </w:rPr>
        <w:t>. On the Settlement Date for each Tranche, the Company shall deliver to you or your legal representative a lump sum cash payment equal to the Earned Amount of such Tranche (if any) that has vested in accordance with the terms of this Award Agreement.</w:t>
      </w:r>
    </w:p>
    <w:p>
      <w:pPr>
        <w:spacing w:after="0" w:line="185" w:lineRule="exact"/>
        <w:rPr>
          <w:sz w:val="20"/>
          <w:szCs w:val="20"/>
          <w:color w:val="auto"/>
        </w:rPr>
      </w:pPr>
    </w:p>
    <w:p>
      <w:pPr>
        <w:ind w:firstLine="1296"/>
        <w:spacing w:after="0" w:line="288"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Forfeiture of Award</w:t>
      </w:r>
      <w:r>
        <w:rPr>
          <w:rFonts w:ascii="Arial" w:cs="Arial" w:eastAsia="Arial" w:hAnsi="Arial"/>
          <w:sz w:val="19"/>
          <w:szCs w:val="19"/>
          <w:color w:val="auto"/>
        </w:rPr>
        <w:t xml:space="preserve">. If you (a) breach any restrictive covenant (which, for the avoidance of doubt, includes any non-compete, non-solicit, non-disparagement or confidentiality provisions) contained in any arrangements with the Company (including any Employment Agreement and the confidentiality covenant contained in </w:t>
      </w:r>
      <w:r>
        <w:rPr>
          <w:rFonts w:ascii="Arial" w:cs="Arial" w:eastAsia="Arial" w:hAnsi="Arial"/>
          <w:sz w:val="19"/>
          <w:szCs w:val="19"/>
          <w:u w:val="single" w:color="auto"/>
          <w:color w:val="auto"/>
        </w:rPr>
        <w:t>Section 8(c)</w:t>
      </w:r>
      <w:r>
        <w:rPr>
          <w:rFonts w:ascii="Arial" w:cs="Arial" w:eastAsia="Arial" w:hAnsi="Arial"/>
          <w:sz w:val="19"/>
          <w:szCs w:val="19"/>
          <w:color w:val="auto"/>
        </w:rPr>
        <w:t xml:space="preserve"> hereof) to which you are subject or (b) engage in fraud or willful misconduct that contributes materially to any financial restatement or material loss to the Company or any of its subsidiaries, your rights with respect to this Award shall immediately terminate, and you shall be entitled to no further payments or benefits with respect thereto and, if this Award has vested and/or settled, the Company may require you to forfeit or remit to the Company any amount payable, or the after-tax net amount paid or received by you, in respect of this Award;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 the Company shall make such demand that you forfeit or remit any such amount no later than six months after learning of the conduct described in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and (ii) in cases where cure is possible, you shall first be provided a 15-day cure period to cease, and to cure, such conduct.</w:t>
      </w:r>
    </w:p>
    <w:p>
      <w:pPr>
        <w:spacing w:after="0" w:line="159" w:lineRule="exact"/>
        <w:rPr>
          <w:sz w:val="20"/>
          <w:szCs w:val="20"/>
          <w:color w:val="auto"/>
        </w:rPr>
      </w:pPr>
    </w:p>
    <w:p>
      <w:pPr>
        <w:ind w:right="340" w:firstLine="1296"/>
        <w:spacing w:after="0" w:line="250"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Non-Transferability of Award</w:t>
      </w:r>
      <w:r>
        <w:rPr>
          <w:rFonts w:ascii="Arial" w:cs="Arial" w:eastAsia="Arial" w:hAnsi="Arial"/>
          <w:sz w:val="22"/>
          <w:szCs w:val="22"/>
          <w:color w:val="auto"/>
        </w:rPr>
        <w:t xml:space="preserve">. Unless otherwise provided by the Committee in its discretion, this Award may not be sold, assigned, alienated, transferred, pledged, attached or otherwise encumbered. Any purported sale, assignment, alienation, transfer, pledge, attachment or other encumbrance of this Award in violation of the provisions of this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shall be void.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5. </w:t>
      </w:r>
      <w:r>
        <w:rPr>
          <w:rFonts w:ascii="Arial" w:cs="Arial" w:eastAsia="Arial" w:hAnsi="Arial"/>
          <w:sz w:val="22"/>
          <w:szCs w:val="22"/>
          <w:u w:val="single" w:color="auto"/>
          <w:color w:val="auto"/>
        </w:rPr>
        <w:t>Withholding, Consents and Legends</w:t>
      </w:r>
      <w:r>
        <w:rPr>
          <w:rFonts w:ascii="Arial" w:cs="Arial" w:eastAsia="Arial" w:hAnsi="Arial"/>
          <w:sz w:val="22"/>
          <w:szCs w:val="22"/>
          <w:color w:val="auto"/>
        </w:rPr>
        <w:t>.</w:t>
      </w:r>
    </w:p>
    <w:p>
      <w:pPr>
        <w:spacing w:after="0" w:line="220" w:lineRule="exact"/>
        <w:rPr>
          <w:sz w:val="20"/>
          <w:szCs w:val="20"/>
          <w:color w:val="auto"/>
        </w:rPr>
      </w:pPr>
    </w:p>
    <w:p>
      <w:pPr>
        <w:ind w:right="80" w:firstLine="1304"/>
        <w:spacing w:after="0" w:line="246" w:lineRule="auto"/>
        <w:tabs>
          <w:tab w:leader="none" w:pos="1590" w:val="left"/>
        </w:tabs>
        <w:numPr>
          <w:ilvl w:val="0"/>
          <w:numId w:val="379"/>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xml:space="preserve">. The delivery of cash pursuant to </w:t>
      </w:r>
      <w:r>
        <w:rPr>
          <w:rFonts w:ascii="Arial" w:cs="Arial" w:eastAsia="Arial" w:hAnsi="Arial"/>
          <w:sz w:val="22"/>
          <w:szCs w:val="22"/>
          <w:u w:val="single" w:color="auto"/>
          <w:color w:val="auto"/>
        </w:rPr>
        <w:t>Section 2(d)</w:t>
      </w:r>
      <w:r>
        <w:rPr>
          <w:rFonts w:ascii="Arial" w:cs="Arial" w:eastAsia="Arial" w:hAnsi="Arial"/>
          <w:sz w:val="22"/>
          <w:szCs w:val="22"/>
          <w:color w:val="auto"/>
        </w:rPr>
        <w:t xml:space="preserve"> of this Award Agreement is conditioned on your satisfaction of any applicable withholding taxes in accordance with this </w:t>
      </w:r>
      <w:r>
        <w:rPr>
          <w:rFonts w:ascii="Arial" w:cs="Arial" w:eastAsia="Arial" w:hAnsi="Arial"/>
          <w:sz w:val="22"/>
          <w:szCs w:val="22"/>
          <w:u w:val="single" w:color="auto"/>
          <w:color w:val="auto"/>
        </w:rPr>
        <w:t>Section 5(a)</w:t>
      </w:r>
      <w:r>
        <w:rPr>
          <w:rFonts w:ascii="Arial" w:cs="Arial" w:eastAsia="Arial" w:hAnsi="Arial"/>
          <w:sz w:val="22"/>
          <w:szCs w:val="22"/>
          <w:color w:val="auto"/>
        </w:rPr>
        <w:t>. No later than the date as of which an amount first becomes includible in your gross income for Federal, state, local or foreign income tax purposes with respect to any portion of this Award, you shall pay to the Company, or make arrangements satisfactory to the Company regarding the payment of, any Federal, state, local and foreign taxes that are required by applicable laws and regulations to be withheld with respect to such amount. In the event that there is withholding tax liability in connection with the settlement of this Award, the Company may satisfy, in whole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20"/>
          </w:cols>
          <w:pgMar w:left="320" w:top="1265" w:right="359" w:bottom="1440" w:gutter="0" w:footer="0" w:header="0"/>
        </w:sectPr>
      </w:pPr>
    </w:p>
    <w:bookmarkStart w:id="430" w:name="page431"/>
    <w:bookmarkEnd w:id="430"/>
    <w:p>
      <w:pPr>
        <w:ind w:right="200"/>
        <w:spacing w:after="0" w:line="263" w:lineRule="auto"/>
        <w:rPr>
          <w:sz w:val="20"/>
          <w:szCs w:val="20"/>
          <w:color w:val="auto"/>
        </w:rPr>
      </w:pPr>
      <w:r>
        <w:rPr>
          <w:rFonts w:ascii="Arial" w:cs="Arial" w:eastAsia="Arial" w:hAnsi="Arial"/>
          <w:sz w:val="22"/>
          <w:szCs w:val="22"/>
          <w:color w:val="auto"/>
        </w:rPr>
        <w:t>part, any withholding tax liability by withholding from the cash you would be entitled to receive upon settlement of this Award, an amount equal to such withholding tax liability.</w:t>
      </w:r>
    </w:p>
    <w:p>
      <w:pPr>
        <w:spacing w:after="0" w:line="175" w:lineRule="exact"/>
        <w:rPr>
          <w:sz w:val="20"/>
          <w:szCs w:val="20"/>
          <w:color w:val="auto"/>
        </w:rPr>
      </w:pPr>
    </w:p>
    <w:p>
      <w:pPr>
        <w:ind w:right="200" w:firstLine="1304"/>
        <w:spacing w:after="0" w:line="250" w:lineRule="auto"/>
        <w:tabs>
          <w:tab w:leader="none" w:pos="1602" w:val="left"/>
        </w:tabs>
        <w:numPr>
          <w:ilvl w:val="0"/>
          <w:numId w:val="380"/>
        </w:numPr>
        <w:rPr>
          <w:rFonts w:ascii="Arial" w:cs="Arial" w:eastAsia="Arial" w:hAnsi="Arial"/>
          <w:sz w:val="22"/>
          <w:szCs w:val="22"/>
          <w:color w:val="auto"/>
        </w:rPr>
      </w:pPr>
      <w:r>
        <w:rPr>
          <w:rFonts w:ascii="Arial" w:cs="Arial" w:eastAsia="Arial" w:hAnsi="Arial"/>
          <w:sz w:val="22"/>
          <w:szCs w:val="22"/>
          <w:u w:val="single" w:color="auto"/>
          <w:color w:val="auto"/>
        </w:rPr>
        <w:t>Consents</w:t>
      </w:r>
      <w:r>
        <w:rPr>
          <w:rFonts w:ascii="Arial" w:cs="Arial" w:eastAsia="Arial" w:hAnsi="Arial"/>
          <w:sz w:val="22"/>
          <w:szCs w:val="22"/>
          <w:color w:val="auto"/>
        </w:rPr>
        <w:t>. Your rights in respect of this Award are conditioned on the receipt to the full satisfaction of the Committee of any required consents that the Committee may determine to be necessary or advisable (including your consent to the Company’s supplying to any third-party recordkeeper with respect to this Award such personal information as the Company deems advisable to administer this Award).</w:t>
      </w:r>
    </w:p>
    <w:p>
      <w:pPr>
        <w:spacing w:after="0" w:line="188" w:lineRule="exact"/>
        <w:rPr>
          <w:sz w:val="20"/>
          <w:szCs w:val="20"/>
          <w:color w:val="auto"/>
        </w:rPr>
      </w:pPr>
    </w:p>
    <w:p>
      <w:pPr>
        <w:ind w:firstLine="1296"/>
        <w:spacing w:after="0" w:line="263"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Successors and Assigns of the Company</w:t>
      </w:r>
      <w:r>
        <w:rPr>
          <w:rFonts w:ascii="Arial" w:cs="Arial" w:eastAsia="Arial" w:hAnsi="Arial"/>
          <w:sz w:val="22"/>
          <w:szCs w:val="22"/>
          <w:color w:val="auto"/>
        </w:rPr>
        <w:t>. The terms and conditions of this Award Agreement shall be binding upon and shall inure to the benefit of the Company and its successors and assigns.</w:t>
      </w:r>
    </w:p>
    <w:p>
      <w:pPr>
        <w:spacing w:after="0" w:line="175" w:lineRule="exact"/>
        <w:rPr>
          <w:sz w:val="20"/>
          <w:szCs w:val="20"/>
          <w:color w:val="auto"/>
        </w:rPr>
      </w:pPr>
    </w:p>
    <w:p>
      <w:pPr>
        <w:ind w:right="140" w:firstLine="1296"/>
        <w:spacing w:after="0" w:line="253" w:lineRule="auto"/>
        <w:rPr>
          <w:sz w:val="20"/>
          <w:szCs w:val="20"/>
          <w:color w:val="auto"/>
        </w:rPr>
      </w:pPr>
      <w:r>
        <w:rPr>
          <w:rFonts w:ascii="Arial" w:cs="Arial" w:eastAsia="Arial" w:hAnsi="Arial"/>
          <w:sz w:val="22"/>
          <w:szCs w:val="22"/>
          <w:color w:val="auto"/>
        </w:rPr>
        <w:t xml:space="preserve">SECTION 7. </w:t>
      </w:r>
      <w:r>
        <w:rPr>
          <w:rFonts w:ascii="Arial" w:cs="Arial" w:eastAsia="Arial" w:hAnsi="Arial"/>
          <w:sz w:val="22"/>
          <w:szCs w:val="22"/>
          <w:u w:val="single" w:color="auto"/>
          <w:color w:val="auto"/>
        </w:rPr>
        <w:t>Committee Discretion</w:t>
      </w:r>
      <w:r>
        <w:rPr>
          <w:rFonts w:ascii="Arial" w:cs="Arial" w:eastAsia="Arial" w:hAnsi="Arial"/>
          <w:sz w:val="22"/>
          <w:szCs w:val="22"/>
          <w:color w:val="auto"/>
        </w:rPr>
        <w:t>. The Committee shall have full and plenary discretion with respect to any actions to be taken or determinations to be made in connection with this Award Agreement, and its determinations shall be final, binding and conclusive.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u w:val="single" w:color="auto"/>
          <w:color w:val="auto"/>
        </w:rPr>
        <w:t>Dispute Resolution</w:t>
      </w:r>
      <w:r>
        <w:rPr>
          <w:rFonts w:ascii="Arial" w:cs="Arial" w:eastAsia="Arial" w:hAnsi="Arial"/>
          <w:sz w:val="22"/>
          <w:szCs w:val="22"/>
          <w:color w:val="auto"/>
        </w:rPr>
        <w:t>.</w:t>
      </w:r>
    </w:p>
    <w:p>
      <w:pPr>
        <w:spacing w:after="0" w:line="220" w:lineRule="exact"/>
        <w:rPr>
          <w:sz w:val="20"/>
          <w:szCs w:val="20"/>
          <w:color w:val="auto"/>
        </w:rPr>
      </w:pPr>
    </w:p>
    <w:p>
      <w:pPr>
        <w:ind w:right="20" w:firstLine="1304"/>
        <w:spacing w:after="0" w:line="291" w:lineRule="auto"/>
        <w:tabs>
          <w:tab w:leader="none" w:pos="1590" w:val="left"/>
        </w:tabs>
        <w:numPr>
          <w:ilvl w:val="1"/>
          <w:numId w:val="381"/>
        </w:numPr>
        <w:rPr>
          <w:rFonts w:ascii="Arial" w:cs="Arial" w:eastAsia="Arial" w:hAnsi="Arial"/>
          <w:sz w:val="19"/>
          <w:szCs w:val="19"/>
          <w:color w:val="auto"/>
        </w:rPr>
      </w:pPr>
      <w:r>
        <w:rPr>
          <w:rFonts w:ascii="Arial" w:cs="Arial" w:eastAsia="Arial" w:hAnsi="Arial"/>
          <w:sz w:val="19"/>
          <w:szCs w:val="19"/>
          <w:u w:val="single" w:color="auto"/>
          <w:color w:val="auto"/>
        </w:rPr>
        <w:t>Jurisdiction and Venue</w:t>
      </w:r>
      <w:r>
        <w:rPr>
          <w:rFonts w:ascii="Arial" w:cs="Arial" w:eastAsia="Arial" w:hAnsi="Arial"/>
          <w:sz w:val="19"/>
          <w:szCs w:val="19"/>
          <w:color w:val="auto"/>
        </w:rPr>
        <w:t>. Notwithstanding any provision in your Employment Agreement, you and the Company irrevocably submit to the exclusive jurisdiction of (i) the United States District Court for the Southern District of New York and</w:t>
      </w:r>
    </w:p>
    <w:p>
      <w:pPr>
        <w:spacing w:after="0" w:line="1" w:lineRule="exact"/>
        <w:rPr>
          <w:rFonts w:ascii="Arial" w:cs="Arial" w:eastAsia="Arial" w:hAnsi="Arial"/>
          <w:sz w:val="19"/>
          <w:szCs w:val="19"/>
          <w:color w:val="auto"/>
        </w:rPr>
      </w:pPr>
    </w:p>
    <w:p>
      <w:pPr>
        <w:ind w:right="80" w:firstLine="8"/>
        <w:spacing w:after="0" w:line="256" w:lineRule="auto"/>
        <w:tabs>
          <w:tab w:leader="none" w:pos="318" w:val="left"/>
        </w:tabs>
        <w:numPr>
          <w:ilvl w:val="0"/>
          <w:numId w:val="382"/>
        </w:numPr>
        <w:rPr>
          <w:rFonts w:ascii="Arial" w:cs="Arial" w:eastAsia="Arial" w:hAnsi="Arial"/>
          <w:sz w:val="21"/>
          <w:szCs w:val="21"/>
          <w:color w:val="auto"/>
        </w:rPr>
      </w:pPr>
      <w:r>
        <w:rPr>
          <w:rFonts w:ascii="Arial" w:cs="Arial" w:eastAsia="Arial" w:hAnsi="Arial"/>
          <w:sz w:val="21"/>
          <w:szCs w:val="21"/>
          <w:color w:val="auto"/>
        </w:rPr>
        <w:t xml:space="preserve">the courts of the State of New York for the purposes of any suit, action or other proceeding arising out of this Award Agreement. You and the Company agree to commence any such action, suit or proceeding either in the United States District Court for the Southern District of New York or, if such suit, action or other proceeding may not be brought in such court for jurisdictional reasons, in the courts of the State of New York. You and the Company further agree that service of any process, summons, notice or document by U.S. registered mail to the other party’s address set forth below shall be effective service of process for any action, suit or proceeding in New York with respect to any matters to which you have submitted to jurisdiction in this </w:t>
      </w:r>
      <w:r>
        <w:rPr>
          <w:rFonts w:ascii="Arial" w:cs="Arial" w:eastAsia="Arial" w:hAnsi="Arial"/>
          <w:sz w:val="21"/>
          <w:szCs w:val="21"/>
          <w:u w:val="single" w:color="auto"/>
          <w:color w:val="auto"/>
        </w:rPr>
        <w:t>Section 8</w:t>
      </w:r>
      <w:r>
        <w:rPr>
          <w:rFonts w:ascii="Arial" w:cs="Arial" w:eastAsia="Arial" w:hAnsi="Arial"/>
          <w:sz w:val="21"/>
          <w:szCs w:val="21"/>
          <w:color w:val="auto"/>
        </w:rPr>
        <w:t>. You and the Company irrevocably and unconditionally waive any objection to the laying of venue of any action, suit or proceeding arising out of this Award Agreement in (A) the United States District Court for the Southern District of New York or (B) the courts of the State of New York, and hereby and thereby further irrevocably and unconditionally waive and agree not to plead or claim in any such court that any such action, suit or proceeding brought in any such court has been brought in an inconvenient forum.</w:t>
      </w:r>
    </w:p>
    <w:p>
      <w:pPr>
        <w:spacing w:after="0" w:line="186" w:lineRule="exact"/>
        <w:rPr>
          <w:rFonts w:ascii="Arial" w:cs="Arial" w:eastAsia="Arial" w:hAnsi="Arial"/>
          <w:sz w:val="21"/>
          <w:szCs w:val="21"/>
          <w:color w:val="auto"/>
        </w:rPr>
      </w:pPr>
    </w:p>
    <w:p>
      <w:pPr>
        <w:ind w:firstLine="1304"/>
        <w:spacing w:after="0" w:line="253" w:lineRule="auto"/>
        <w:tabs>
          <w:tab w:leader="none" w:pos="1602" w:val="left"/>
        </w:tabs>
        <w:numPr>
          <w:ilvl w:val="1"/>
          <w:numId w:val="382"/>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You and the Company hereby waive, to the fullest extent permitted by applicable law, any right either of you may have to a trial by jury in respect to any litigation directly or indirectly arising out of, under or in connection with this Award Agreement.</w:t>
      </w:r>
    </w:p>
    <w:p>
      <w:pPr>
        <w:spacing w:after="0" w:line="185" w:lineRule="exact"/>
        <w:rPr>
          <w:rFonts w:ascii="Arial" w:cs="Arial" w:eastAsia="Arial" w:hAnsi="Arial"/>
          <w:sz w:val="22"/>
          <w:szCs w:val="22"/>
          <w:color w:val="auto"/>
        </w:rPr>
      </w:pPr>
    </w:p>
    <w:p>
      <w:pPr>
        <w:ind w:right="460" w:firstLine="1304"/>
        <w:spacing w:after="0" w:line="343" w:lineRule="auto"/>
        <w:tabs>
          <w:tab w:leader="none" w:pos="1590" w:val="left"/>
        </w:tabs>
        <w:numPr>
          <w:ilvl w:val="1"/>
          <w:numId w:val="382"/>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You hereby agree to keep confidential the existence of, and any information concerning, a dispute described in this </w:t>
      </w:r>
      <w:r>
        <w:rPr>
          <w:rFonts w:ascii="Arial" w:cs="Arial" w:eastAsia="Arial" w:hAnsi="Arial"/>
          <w:sz w:val="19"/>
          <w:szCs w:val="19"/>
          <w:u w:val="single" w:color="auto"/>
          <w:color w:val="auto"/>
        </w:rPr>
        <w:t>Section 8</w:t>
      </w:r>
      <w:r>
        <w:rPr>
          <w:rFonts w:ascii="Arial" w:cs="Arial" w:eastAsia="Arial" w:hAnsi="Arial"/>
          <w:sz w:val="19"/>
          <w:szCs w:val="19"/>
          <w:color w:val="auto"/>
        </w:rPr>
        <w:t>, except that you may disclose information concerning such dispute to the court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265" w:right="339" w:bottom="1440" w:gutter="0" w:footer="0" w:header="0"/>
        </w:sectPr>
      </w:pPr>
    </w:p>
    <w:bookmarkStart w:id="431" w:name="page432"/>
    <w:bookmarkEnd w:id="431"/>
    <w:p>
      <w:pPr>
        <w:ind w:right="220"/>
        <w:spacing w:after="0" w:line="263" w:lineRule="auto"/>
        <w:rPr>
          <w:sz w:val="20"/>
          <w:szCs w:val="20"/>
          <w:color w:val="auto"/>
        </w:rPr>
      </w:pPr>
      <w:r>
        <w:rPr>
          <w:rFonts w:ascii="Arial" w:cs="Arial" w:eastAsia="Arial" w:hAnsi="Arial"/>
          <w:sz w:val="22"/>
          <w:szCs w:val="22"/>
          <w:color w:val="auto"/>
        </w:rPr>
        <w:t>considering such dispute or to your legal counsel (provided that such counsel agrees not to disclose any such information other than as necessary to the prosecution or defense of the dispute).</w:t>
      </w:r>
    </w:p>
    <w:p>
      <w:pPr>
        <w:spacing w:after="0" w:line="175" w:lineRule="exact"/>
        <w:rPr>
          <w:sz w:val="20"/>
          <w:szCs w:val="20"/>
          <w:color w:val="auto"/>
        </w:rPr>
      </w:pPr>
    </w:p>
    <w:p>
      <w:pPr>
        <w:ind w:right="120" w:firstLine="1296"/>
        <w:spacing w:after="0" w:line="265"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Notice</w:t>
      </w:r>
      <w:r>
        <w:rPr>
          <w:rFonts w:ascii="Arial" w:cs="Arial" w:eastAsia="Arial" w:hAnsi="Arial"/>
          <w:sz w:val="21"/>
          <w:szCs w:val="21"/>
          <w:color w:val="auto"/>
        </w:rPr>
        <w:t>. All notices, requests, demands and other communications required or permitted to be given under the terms of this Award Agreement shall be in writing and shall be deemed to have been duly given when delivered by hand or overnight courier or three Business Days after they have been mailed by U.S. certified or registered mail, return receipt requested, postage prepaid, addressed to the other party as set forth below:</w:t>
      </w:r>
    </w:p>
    <w:p>
      <w:pPr>
        <w:spacing w:after="0" w:line="216" w:lineRule="exact"/>
        <w:rPr>
          <w:sz w:val="20"/>
          <w:szCs w:val="20"/>
          <w:color w:val="auto"/>
        </w:rPr>
      </w:pPr>
    </w:p>
    <w:tbl>
      <w:tblPr>
        <w:tblLayout w:type="fixed"/>
        <w:tblInd w:w="1020" w:type="dxa"/>
        <w:tblCellMar>
          <w:top w:w="0" w:type="dxa"/>
          <w:left w:w="0" w:type="dxa"/>
          <w:bottom w:w="0" w:type="dxa"/>
          <w:right w:w="0" w:type="dxa"/>
        </w:tblCellMar>
      </w:tblPr>
      <w:tr>
        <w:trPr>
          <w:trHeight w:val="297"/>
        </w:trPr>
        <w:tc>
          <w:tcPr>
            <w:tcW w:w="3140" w:type="dxa"/>
            <w:vAlign w:val="bottom"/>
          </w:tcPr>
          <w:p>
            <w:pPr>
              <w:spacing w:after="0"/>
              <w:rPr>
                <w:sz w:val="20"/>
                <w:szCs w:val="20"/>
                <w:color w:val="auto"/>
              </w:rPr>
            </w:pPr>
            <w:r>
              <w:rPr>
                <w:rFonts w:ascii="Arial" w:cs="Arial" w:eastAsia="Arial" w:hAnsi="Arial"/>
                <w:sz w:val="22"/>
                <w:szCs w:val="22"/>
                <w:color w:val="auto"/>
              </w:rPr>
              <w:t>If to the Company:</w:t>
            </w:r>
          </w:p>
        </w:tc>
        <w:tc>
          <w:tcPr>
            <w:tcW w:w="6920" w:type="dxa"/>
            <w:vAlign w:val="bottom"/>
          </w:tcPr>
          <w:p>
            <w:pPr>
              <w:ind w:left="1500"/>
              <w:spacing w:after="0"/>
              <w:rPr>
                <w:sz w:val="20"/>
                <w:szCs w:val="20"/>
                <w:color w:val="auto"/>
              </w:rPr>
            </w:pPr>
            <w:r>
              <w:rPr>
                <w:rFonts w:ascii="Arial" w:cs="Arial" w:eastAsia="Arial" w:hAnsi="Arial"/>
                <w:sz w:val="22"/>
                <w:szCs w:val="22"/>
                <w:color w:val="auto"/>
              </w:rPr>
              <w:t>XPO Logistics, Inc.</w:t>
            </w:r>
          </w:p>
        </w:tc>
      </w:tr>
      <w:tr>
        <w:trPr>
          <w:trHeight w:val="257"/>
        </w:trPr>
        <w:tc>
          <w:tcPr>
            <w:tcW w:w="3140" w:type="dxa"/>
            <w:vAlign w:val="bottom"/>
          </w:tcPr>
          <w:p>
            <w:pPr>
              <w:spacing w:after="0"/>
              <w:rPr>
                <w:sz w:val="22"/>
                <w:szCs w:val="22"/>
                <w:color w:val="auto"/>
              </w:rPr>
            </w:pPr>
          </w:p>
        </w:tc>
        <w:tc>
          <w:tcPr>
            <w:tcW w:w="6920" w:type="dxa"/>
            <w:vAlign w:val="bottom"/>
          </w:tcPr>
          <w:p>
            <w:pPr>
              <w:ind w:left="1500"/>
              <w:spacing w:after="0"/>
              <w:rPr>
                <w:sz w:val="20"/>
                <w:szCs w:val="20"/>
                <w:color w:val="auto"/>
              </w:rPr>
            </w:pPr>
            <w:r>
              <w:rPr>
                <w:rFonts w:ascii="Arial" w:cs="Arial" w:eastAsia="Arial" w:hAnsi="Arial"/>
                <w:sz w:val="22"/>
                <w:szCs w:val="22"/>
                <w:color w:val="auto"/>
              </w:rPr>
              <w:t>Five American Lane</w:t>
            </w:r>
          </w:p>
        </w:tc>
      </w:tr>
      <w:tr>
        <w:trPr>
          <w:trHeight w:val="257"/>
        </w:trPr>
        <w:tc>
          <w:tcPr>
            <w:tcW w:w="3140" w:type="dxa"/>
            <w:vAlign w:val="bottom"/>
          </w:tcPr>
          <w:p>
            <w:pPr>
              <w:spacing w:after="0"/>
              <w:rPr>
                <w:sz w:val="22"/>
                <w:szCs w:val="22"/>
                <w:color w:val="auto"/>
              </w:rPr>
            </w:pPr>
          </w:p>
        </w:tc>
        <w:tc>
          <w:tcPr>
            <w:tcW w:w="6920" w:type="dxa"/>
            <w:vAlign w:val="bottom"/>
          </w:tcPr>
          <w:p>
            <w:pPr>
              <w:ind w:left="1500"/>
              <w:spacing w:after="0"/>
              <w:rPr>
                <w:sz w:val="20"/>
                <w:szCs w:val="20"/>
                <w:color w:val="auto"/>
              </w:rPr>
            </w:pPr>
            <w:r>
              <w:rPr>
                <w:rFonts w:ascii="Arial" w:cs="Arial" w:eastAsia="Arial" w:hAnsi="Arial"/>
                <w:sz w:val="22"/>
                <w:szCs w:val="22"/>
                <w:color w:val="auto"/>
              </w:rPr>
              <w:t>Greenwich, CT 06831</w:t>
            </w:r>
          </w:p>
        </w:tc>
      </w:tr>
      <w:tr>
        <w:trPr>
          <w:trHeight w:val="257"/>
        </w:trPr>
        <w:tc>
          <w:tcPr>
            <w:tcW w:w="3140" w:type="dxa"/>
            <w:vAlign w:val="bottom"/>
          </w:tcPr>
          <w:p>
            <w:pPr>
              <w:spacing w:after="0"/>
              <w:rPr>
                <w:sz w:val="22"/>
                <w:szCs w:val="22"/>
                <w:color w:val="auto"/>
              </w:rPr>
            </w:pPr>
          </w:p>
        </w:tc>
        <w:tc>
          <w:tcPr>
            <w:tcW w:w="6920" w:type="dxa"/>
            <w:vAlign w:val="bottom"/>
          </w:tcPr>
          <w:p>
            <w:pPr>
              <w:ind w:left="1500"/>
              <w:spacing w:after="0"/>
              <w:rPr>
                <w:sz w:val="20"/>
                <w:szCs w:val="20"/>
                <w:color w:val="auto"/>
              </w:rPr>
            </w:pPr>
            <w:r>
              <w:rPr>
                <w:rFonts w:ascii="Arial" w:cs="Arial" w:eastAsia="Arial" w:hAnsi="Arial"/>
                <w:sz w:val="22"/>
                <w:szCs w:val="22"/>
                <w:color w:val="auto"/>
              </w:rPr>
              <w:t>Attention: Chief Human Resources</w:t>
            </w:r>
          </w:p>
        </w:tc>
      </w:tr>
      <w:tr>
        <w:trPr>
          <w:trHeight w:val="274"/>
        </w:trPr>
        <w:tc>
          <w:tcPr>
            <w:tcW w:w="3140" w:type="dxa"/>
            <w:vAlign w:val="bottom"/>
          </w:tcPr>
          <w:p>
            <w:pPr>
              <w:spacing w:after="0"/>
              <w:rPr>
                <w:sz w:val="23"/>
                <w:szCs w:val="23"/>
                <w:color w:val="auto"/>
              </w:rPr>
            </w:pPr>
          </w:p>
        </w:tc>
        <w:tc>
          <w:tcPr>
            <w:tcW w:w="6920" w:type="dxa"/>
            <w:vAlign w:val="bottom"/>
          </w:tcPr>
          <w:p>
            <w:pPr>
              <w:ind w:left="1500"/>
              <w:spacing w:after="0"/>
              <w:rPr>
                <w:sz w:val="20"/>
                <w:szCs w:val="20"/>
                <w:color w:val="auto"/>
              </w:rPr>
            </w:pPr>
            <w:r>
              <w:rPr>
                <w:rFonts w:ascii="Arial" w:cs="Arial" w:eastAsia="Arial" w:hAnsi="Arial"/>
                <w:sz w:val="22"/>
                <w:szCs w:val="22"/>
                <w:color w:val="auto"/>
              </w:rPr>
              <w:t>Officer</w:t>
            </w:r>
          </w:p>
        </w:tc>
      </w:tr>
      <w:tr>
        <w:trPr>
          <w:trHeight w:val="563"/>
        </w:trPr>
        <w:tc>
          <w:tcPr>
            <w:tcW w:w="3140" w:type="dxa"/>
            <w:vAlign w:val="bottom"/>
          </w:tcPr>
          <w:p>
            <w:pPr>
              <w:spacing w:after="0"/>
              <w:rPr>
                <w:sz w:val="20"/>
                <w:szCs w:val="20"/>
                <w:color w:val="auto"/>
              </w:rPr>
            </w:pPr>
            <w:r>
              <w:rPr>
                <w:rFonts w:ascii="Arial" w:cs="Arial" w:eastAsia="Arial" w:hAnsi="Arial"/>
                <w:sz w:val="22"/>
                <w:szCs w:val="22"/>
                <w:color w:val="auto"/>
              </w:rPr>
              <w:t>If to you:</w:t>
            </w:r>
          </w:p>
        </w:tc>
        <w:tc>
          <w:tcPr>
            <w:tcW w:w="6920" w:type="dxa"/>
            <w:vAlign w:val="bottom"/>
          </w:tcPr>
          <w:p>
            <w:pPr>
              <w:ind w:left="1500"/>
              <w:spacing w:after="0"/>
              <w:rPr>
                <w:sz w:val="20"/>
                <w:szCs w:val="20"/>
                <w:color w:val="auto"/>
              </w:rPr>
            </w:pPr>
            <w:r>
              <w:rPr>
                <w:rFonts w:ascii="Arial" w:cs="Arial" w:eastAsia="Arial" w:hAnsi="Arial"/>
                <w:sz w:val="22"/>
                <w:szCs w:val="22"/>
                <w:color w:val="auto"/>
                <w:w w:val="87"/>
              </w:rPr>
              <w:t>To your address as most recently supplied to the Company and</w:t>
            </w:r>
          </w:p>
        </w:tc>
      </w:tr>
      <w:tr>
        <w:trPr>
          <w:trHeight w:val="274"/>
        </w:trPr>
        <w:tc>
          <w:tcPr>
            <w:tcW w:w="3140" w:type="dxa"/>
            <w:vAlign w:val="bottom"/>
          </w:tcPr>
          <w:p>
            <w:pPr>
              <w:spacing w:after="0"/>
              <w:rPr>
                <w:sz w:val="23"/>
                <w:szCs w:val="23"/>
                <w:color w:val="auto"/>
              </w:rPr>
            </w:pPr>
          </w:p>
        </w:tc>
        <w:tc>
          <w:tcPr>
            <w:tcW w:w="6920" w:type="dxa"/>
            <w:vAlign w:val="bottom"/>
          </w:tcPr>
          <w:p>
            <w:pPr>
              <w:ind w:left="1500"/>
              <w:spacing w:after="0"/>
              <w:rPr>
                <w:sz w:val="20"/>
                <w:szCs w:val="20"/>
                <w:color w:val="auto"/>
              </w:rPr>
            </w:pPr>
            <w:r>
              <w:rPr>
                <w:rFonts w:ascii="Arial" w:cs="Arial" w:eastAsia="Arial" w:hAnsi="Arial"/>
                <w:sz w:val="22"/>
                <w:szCs w:val="22"/>
                <w:color w:val="auto"/>
              </w:rPr>
              <w:t>set forth in the Company’s records</w:t>
            </w:r>
          </w:p>
        </w:tc>
      </w:tr>
    </w:tbl>
    <w:p>
      <w:pPr>
        <w:spacing w:after="0" w:line="36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parties may change the address to which notices under this Award Agreement shall be sent by providing written notice to the other in the manner specified above.</w:t>
      </w:r>
    </w:p>
    <w:p>
      <w:pPr>
        <w:spacing w:after="0" w:line="175" w:lineRule="exact"/>
        <w:rPr>
          <w:sz w:val="20"/>
          <w:szCs w:val="20"/>
          <w:color w:val="auto"/>
        </w:rPr>
      </w:pPr>
    </w:p>
    <w:p>
      <w:pPr>
        <w:ind w:right="80" w:firstLine="1296"/>
        <w:spacing w:after="0" w:line="253" w:lineRule="auto"/>
        <w:rPr>
          <w:sz w:val="20"/>
          <w:szCs w:val="20"/>
          <w:color w:val="auto"/>
        </w:rPr>
      </w:pPr>
      <w:r>
        <w:rPr>
          <w:rFonts w:ascii="Arial" w:cs="Arial" w:eastAsia="Arial" w:hAnsi="Arial"/>
          <w:sz w:val="22"/>
          <w:szCs w:val="22"/>
          <w:color w:val="auto"/>
        </w:rPr>
        <w:t xml:space="preserve">SECTION 10. </w:t>
      </w:r>
      <w:r>
        <w:rPr>
          <w:rFonts w:ascii="Arial" w:cs="Arial" w:eastAsia="Arial" w:hAnsi="Arial"/>
          <w:sz w:val="22"/>
          <w:szCs w:val="22"/>
          <w:u w:val="single" w:color="auto"/>
          <w:color w:val="auto"/>
        </w:rPr>
        <w:t>Governing Law</w:t>
      </w:r>
      <w:r>
        <w:rPr>
          <w:rFonts w:ascii="Arial" w:cs="Arial" w:eastAsia="Arial" w:hAnsi="Arial"/>
          <w:sz w:val="22"/>
          <w:szCs w:val="22"/>
          <w:color w:val="auto"/>
        </w:rPr>
        <w:t>. This Award Agreement shall be deemed to be made in the State of Delaware, and the validity, construction and effect of this Award Agreement in all respects shall be determined in accordance with the laws of the State of Delaware, without giving effect to the conflict of law principles thereof.</w:t>
      </w:r>
    </w:p>
    <w:p>
      <w:pPr>
        <w:spacing w:after="0" w:line="185" w:lineRule="exact"/>
        <w:rPr>
          <w:sz w:val="20"/>
          <w:szCs w:val="20"/>
          <w:color w:val="auto"/>
        </w:rPr>
      </w:pPr>
    </w:p>
    <w:p>
      <w:pPr>
        <w:ind w:right="120" w:firstLine="1296"/>
        <w:spacing w:after="0" w:line="248"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Headings and Construction</w:t>
      </w:r>
      <w:r>
        <w:rPr>
          <w:rFonts w:ascii="Arial" w:cs="Arial" w:eastAsia="Arial" w:hAnsi="Arial"/>
          <w:sz w:val="22"/>
          <w:szCs w:val="22"/>
          <w:color w:val="auto"/>
        </w:rPr>
        <w:t>. Headings are given to the Sections and subsections of this Award Agreement solely as a convenience to facilitate reference. Such headings shall not be deemed in any way material or relevant to the construction or interpretation of this Award Agreement or any provision thereof. Whenever the words “include”, “includes” or “including” are used in this Award Agreement, they shall be deemed to be followed by the words “but not limited to”. The term “or” is not exclusive.</w:t>
      </w:r>
    </w:p>
    <w:p>
      <w:pPr>
        <w:spacing w:after="0" w:line="192" w:lineRule="exact"/>
        <w:rPr>
          <w:sz w:val="20"/>
          <w:szCs w:val="20"/>
          <w:color w:val="auto"/>
        </w:rPr>
      </w:pPr>
    </w:p>
    <w:p>
      <w:pPr>
        <w:ind w:right="140" w:firstLine="1296"/>
        <w:spacing w:after="0" w:line="263"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u w:val="single" w:color="auto"/>
          <w:color w:val="auto"/>
        </w:rPr>
        <w:t>Amendment of this Award Agreement</w:t>
      </w:r>
      <w:r>
        <w:rPr>
          <w:rFonts w:ascii="Arial" w:cs="Arial" w:eastAsia="Arial" w:hAnsi="Arial"/>
          <w:sz w:val="21"/>
          <w:szCs w:val="21"/>
          <w:color w:val="auto"/>
        </w:rPr>
        <w:t xml:space="preserve">. The Committee may waive any conditions or rights under, amend any terms of, or alter, suspend, discontinue, cancel or terminate this Award Agreement prospectively or retroactively;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except as set forth in </w:t>
      </w:r>
      <w:r>
        <w:rPr>
          <w:rFonts w:ascii="Arial" w:cs="Arial" w:eastAsia="Arial" w:hAnsi="Arial"/>
          <w:sz w:val="21"/>
          <w:szCs w:val="21"/>
          <w:u w:val="single" w:color="auto"/>
          <w:color w:val="auto"/>
        </w:rPr>
        <w:t>Section 13(d)</w:t>
      </w:r>
      <w:r>
        <w:rPr>
          <w:rFonts w:ascii="Arial" w:cs="Arial" w:eastAsia="Arial" w:hAnsi="Arial"/>
          <w:sz w:val="21"/>
          <w:szCs w:val="21"/>
          <w:color w:val="auto"/>
        </w:rPr>
        <w:t xml:space="preserve"> of this Award Agreement, any such waiver, amendment, alteration, suspension, discontinuance, cancelation or termination that would materially and adversely impair your rights under this Award Agreement shall not to that extent be effective without your consent.</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80"/>
          </w:cols>
          <w:pgMar w:left="320" w:top="1265" w:right="399" w:bottom="1440" w:gutter="0" w:footer="0" w:header="0"/>
        </w:sectPr>
      </w:pPr>
    </w:p>
    <w:bookmarkStart w:id="432" w:name="page433"/>
    <w:bookmarkEnd w:id="432"/>
    <w:p>
      <w:pPr>
        <w:ind w:firstLine="1304"/>
        <w:spacing w:after="0" w:line="253" w:lineRule="auto"/>
        <w:tabs>
          <w:tab w:leader="none" w:pos="1590" w:val="left"/>
        </w:tabs>
        <w:numPr>
          <w:ilvl w:val="0"/>
          <w:numId w:val="383"/>
        </w:numPr>
        <w:rPr>
          <w:rFonts w:ascii="Arial" w:cs="Arial" w:eastAsia="Arial" w:hAnsi="Arial"/>
          <w:sz w:val="22"/>
          <w:szCs w:val="22"/>
          <w:color w:val="auto"/>
        </w:rPr>
      </w:pPr>
      <w:r>
        <w:rPr>
          <w:rFonts w:ascii="Arial" w:cs="Arial" w:eastAsia="Arial" w:hAnsi="Arial"/>
          <w:sz w:val="22"/>
          <w:szCs w:val="22"/>
          <w:color w:val="auto"/>
        </w:rPr>
        <w:t>It is intended that the provisions of this Award Agreement comply with Section 409A, and all provisions of this Award Agreement shall be construed and interpreted in a manner consistent with the requirements for avoiding taxes or penalties under Section 409A.</w:t>
      </w:r>
    </w:p>
    <w:p>
      <w:pPr>
        <w:spacing w:after="0" w:line="185" w:lineRule="exact"/>
        <w:rPr>
          <w:rFonts w:ascii="Arial" w:cs="Arial" w:eastAsia="Arial" w:hAnsi="Arial"/>
          <w:sz w:val="22"/>
          <w:szCs w:val="22"/>
          <w:color w:val="auto"/>
        </w:rPr>
      </w:pPr>
    </w:p>
    <w:p>
      <w:pPr>
        <w:ind w:right="20" w:firstLine="1304"/>
        <w:spacing w:after="0" w:line="263" w:lineRule="auto"/>
        <w:tabs>
          <w:tab w:leader="none" w:pos="1602" w:val="left"/>
        </w:tabs>
        <w:numPr>
          <w:ilvl w:val="0"/>
          <w:numId w:val="383"/>
        </w:numPr>
        <w:rPr>
          <w:rFonts w:ascii="Arial" w:cs="Arial" w:eastAsia="Arial" w:hAnsi="Arial"/>
          <w:sz w:val="21"/>
          <w:szCs w:val="21"/>
          <w:color w:val="auto"/>
        </w:rPr>
      </w:pPr>
      <w:r>
        <w:rPr>
          <w:rFonts w:ascii="Arial" w:cs="Arial" w:eastAsia="Arial" w:hAnsi="Arial"/>
          <w:sz w:val="21"/>
          <w:szCs w:val="21"/>
          <w:color w:val="auto"/>
        </w:rPr>
        <w:t>Neither you nor any of your creditors or beneficiaries shall have the right to subject any deferred compensation (within the meaning of Section 409A) payable under this Award Agreement to any anticipation, alienation, sale, transfer, assignment, pledge, encumbrance, attachment or garnishment. Except as permitted under Section 409A, any deferred compensation (within the meaning of Section 409A) payable to you or for your benefit under this Award Agreement may not be reduced by, or offset against, any amount owing by you to the Company or any of its Affiliates.</w:t>
      </w:r>
    </w:p>
    <w:p>
      <w:pPr>
        <w:spacing w:after="0" w:line="175" w:lineRule="exact"/>
        <w:rPr>
          <w:rFonts w:ascii="Arial" w:cs="Arial" w:eastAsia="Arial" w:hAnsi="Arial"/>
          <w:sz w:val="21"/>
          <w:szCs w:val="21"/>
          <w:color w:val="auto"/>
        </w:rPr>
      </w:pPr>
    </w:p>
    <w:p>
      <w:pPr>
        <w:ind w:right="60" w:firstLine="1304"/>
        <w:spacing w:after="0" w:line="245" w:lineRule="auto"/>
        <w:tabs>
          <w:tab w:leader="none" w:pos="1590" w:val="left"/>
        </w:tabs>
        <w:numPr>
          <w:ilvl w:val="0"/>
          <w:numId w:val="383"/>
        </w:numPr>
        <w:rPr>
          <w:rFonts w:ascii="Arial" w:cs="Arial" w:eastAsia="Arial" w:hAnsi="Arial"/>
          <w:sz w:val="22"/>
          <w:szCs w:val="22"/>
          <w:color w:val="auto"/>
        </w:rPr>
      </w:pPr>
      <w:r>
        <w:rPr>
          <w:rFonts w:ascii="Arial" w:cs="Arial" w:eastAsia="Arial" w:hAnsi="Arial"/>
          <w:sz w:val="22"/>
          <w:szCs w:val="22"/>
          <w:color w:val="auto"/>
        </w:rPr>
        <w:t>If, at the time of your separation from service (within the meaning of Section 409A), (i) you shall be a specified employee (within the meaning of Section 409A and using the identification methodology selected by the Company from time to time) and (ii) 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(except as otherwise provided in your Employment Agreement), on the first Business Day after such six-month period. For purposes of Section 409A, each payment hereunder will be deemed to be a separate payment as permitted under Treasury Regulations Section 1.409A-2(b)(2) (iii).</w:t>
      </w:r>
    </w:p>
    <w:p>
      <w:pPr>
        <w:spacing w:after="0" w:line="200" w:lineRule="exact"/>
        <w:rPr>
          <w:rFonts w:ascii="Arial" w:cs="Arial" w:eastAsia="Arial" w:hAnsi="Arial"/>
          <w:sz w:val="22"/>
          <w:szCs w:val="22"/>
          <w:color w:val="auto"/>
        </w:rPr>
      </w:pPr>
    </w:p>
    <w:p>
      <w:pPr>
        <w:ind w:firstLine="1304"/>
        <w:spacing w:after="0" w:line="294" w:lineRule="auto"/>
        <w:tabs>
          <w:tab w:leader="none" w:pos="1602" w:val="left"/>
        </w:tabs>
        <w:numPr>
          <w:ilvl w:val="0"/>
          <w:numId w:val="383"/>
        </w:numPr>
        <w:rPr>
          <w:rFonts w:ascii="Arial" w:cs="Arial" w:eastAsia="Arial" w:hAnsi="Arial"/>
          <w:sz w:val="19"/>
          <w:szCs w:val="19"/>
          <w:color w:val="auto"/>
        </w:rPr>
      </w:pPr>
      <w:r>
        <w:rPr>
          <w:rFonts w:ascii="Arial" w:cs="Arial" w:eastAsia="Arial" w:hAnsi="Arial"/>
          <w:sz w:val="19"/>
          <w:szCs w:val="19"/>
          <w:color w:val="auto"/>
        </w:rPr>
        <w:t>Notwithstanding any provision of this Award Agreement to the contrary, in light of the uncertainty with respect to the proper application of Section 409A, the Company reserves the right to make amendments to this Award Agreement as the Company deems necessary or desirable to avoid the imposition of taxes or penalties under Section 409A. In any case, you shall be solely responsible and liable for the satisfaction of all taxes and penalties that may be imposed on you or for your account in connection with this Award Agreement (including any taxes and penalties under Section 409A), and neither the Company nor any of its Affiliates shall have any obligation to indemnify or otherwise hold you harmless from any or all of such taxes or penalties.</w:t>
      </w:r>
    </w:p>
    <w:p>
      <w:pPr>
        <w:spacing w:after="0" w:line="149" w:lineRule="exact"/>
        <w:rPr>
          <w:sz w:val="20"/>
          <w:szCs w:val="20"/>
          <w:color w:val="auto"/>
        </w:rPr>
      </w:pPr>
    </w:p>
    <w:p>
      <w:pPr>
        <w:ind w:right="280" w:firstLine="1296"/>
        <w:spacing w:after="0" w:line="250" w:lineRule="auto"/>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Counterparts</w:t>
      </w:r>
      <w:r>
        <w:rPr>
          <w:rFonts w:ascii="Arial" w:cs="Arial" w:eastAsia="Arial" w:hAnsi="Arial"/>
          <w:sz w:val="22"/>
          <w:szCs w:val="22"/>
          <w:color w:val="auto"/>
        </w:rPr>
        <w:t>. This Award Agreement may be signed in counterparts, each of which shall be an original, with the same effect as if the signatures thereto and hereto were upon the same instrument. You and the Company hereby acknowledge and agree that signatures delivered by facsimile or electronic means (including by “pdf”) shall be deemed effective for all purposes.</w:t>
      </w:r>
    </w:p>
    <w:p>
      <w:pPr>
        <w:spacing w:after="0" w:line="188" w:lineRule="exact"/>
        <w:rPr>
          <w:sz w:val="20"/>
          <w:szCs w:val="20"/>
          <w:color w:val="auto"/>
        </w:rPr>
      </w:pPr>
    </w:p>
    <w:p>
      <w:pPr>
        <w:jc w:val="both"/>
        <w:ind w:right="40" w:firstLine="1296"/>
        <w:spacing w:after="0" w:line="253"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Section 280G</w:t>
      </w:r>
      <w:r>
        <w:rPr>
          <w:rFonts w:ascii="Arial" w:cs="Arial" w:eastAsia="Arial" w:hAnsi="Arial"/>
          <w:sz w:val="22"/>
          <w:szCs w:val="22"/>
          <w:color w:val="auto"/>
        </w:rPr>
        <w:t>. Notwithstanding anything in this Award Agreement to the contrary and regardless of whether this Award Agreement has otherwise expired or terminated, unless otherwise provided in your Employment Agreement, in the event that any payments, distributions, benefits or entitlements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265" w:right="339" w:bottom="1440" w:gutter="0" w:footer="0" w:header="0"/>
        </w:sectPr>
      </w:pPr>
    </w:p>
    <w:bookmarkStart w:id="433" w:name="page434"/>
    <w:bookmarkEnd w:id="433"/>
    <w:p>
      <w:pPr>
        <w:spacing w:after="0"/>
        <w:rPr>
          <w:sz w:val="20"/>
          <w:szCs w:val="20"/>
          <w:color w:val="auto"/>
        </w:rPr>
      </w:pPr>
      <w:r>
        <w:rPr>
          <w:rFonts w:ascii="Arial" w:cs="Arial" w:eastAsia="Arial" w:hAnsi="Arial"/>
          <w:sz w:val="19"/>
          <w:szCs w:val="19"/>
          <w:color w:val="auto"/>
        </w:rPr>
        <w:t>type payable to you (“</w:t>
      </w:r>
      <w:r>
        <w:rPr>
          <w:rFonts w:ascii="Arial" w:cs="Arial" w:eastAsia="Arial" w:hAnsi="Arial"/>
          <w:sz w:val="19"/>
          <w:szCs w:val="19"/>
          <w:u w:val="single" w:color="auto"/>
          <w:color w:val="auto"/>
        </w:rPr>
        <w:t>CIC Benefits</w:t>
      </w:r>
      <w:r>
        <w:rPr>
          <w:rFonts w:ascii="Arial" w:cs="Arial" w:eastAsia="Arial" w:hAnsi="Arial"/>
          <w:sz w:val="19"/>
          <w:szCs w:val="19"/>
          <w:color w:val="auto"/>
        </w:rPr>
        <w:t>”) (i) constitute “parachute payments” within the meaning of Section 280G of the Code, and</w:t>
      </w:r>
    </w:p>
    <w:p>
      <w:pPr>
        <w:spacing w:after="0" w:line="56" w:lineRule="exact"/>
        <w:rPr>
          <w:sz w:val="20"/>
          <w:szCs w:val="20"/>
          <w:color w:val="auto"/>
        </w:rPr>
      </w:pPr>
    </w:p>
    <w:p>
      <w:pPr>
        <w:ind w:firstLine="8"/>
        <w:spacing w:after="0" w:line="283" w:lineRule="auto"/>
        <w:tabs>
          <w:tab w:leader="none" w:pos="318" w:val="left"/>
        </w:tabs>
        <w:numPr>
          <w:ilvl w:val="0"/>
          <w:numId w:val="384"/>
        </w:numPr>
        <w:rPr>
          <w:rFonts w:ascii="Arial" w:cs="Arial" w:eastAsia="Arial" w:hAnsi="Arial"/>
          <w:sz w:val="19"/>
          <w:szCs w:val="19"/>
          <w:color w:val="auto"/>
        </w:rPr>
      </w:pPr>
      <w:r>
        <w:rPr>
          <w:rFonts w:ascii="Arial" w:cs="Arial" w:eastAsia="Arial" w:hAnsi="Arial"/>
          <w:sz w:val="19"/>
          <w:szCs w:val="19"/>
          <w:color w:val="auto"/>
        </w:rPr>
        <w:t>but for this paragraph would be subject to the excise tax imposed by Section 4999 of the Code (the “</w:t>
      </w:r>
      <w:r>
        <w:rPr>
          <w:rFonts w:ascii="Arial" w:cs="Arial" w:eastAsia="Arial" w:hAnsi="Arial"/>
          <w:sz w:val="19"/>
          <w:szCs w:val="19"/>
          <w:u w:val="single" w:color="auto"/>
          <w:color w:val="auto"/>
        </w:rPr>
        <w:t>Excise Tax</w:t>
      </w:r>
      <w:r>
        <w:rPr>
          <w:rFonts w:ascii="Arial" w:cs="Arial" w:eastAsia="Arial" w:hAnsi="Arial"/>
          <w:sz w:val="19"/>
          <w:szCs w:val="19"/>
          <w:color w:val="auto"/>
        </w:rPr>
        <w:t>”), then your CIC Benefits shall be reduced to such lesser amount (the “</w:t>
      </w:r>
      <w:r>
        <w:rPr>
          <w:rFonts w:ascii="Arial" w:cs="Arial" w:eastAsia="Arial" w:hAnsi="Arial"/>
          <w:sz w:val="19"/>
          <w:szCs w:val="19"/>
          <w:u w:val="single" w:color="auto"/>
          <w:color w:val="auto"/>
        </w:rPr>
        <w:t>Reduced Amount</w:t>
      </w:r>
      <w:r>
        <w:rPr>
          <w:rFonts w:ascii="Arial" w:cs="Arial" w:eastAsia="Arial" w:hAnsi="Arial"/>
          <w:sz w:val="19"/>
          <w:szCs w:val="19"/>
          <w:color w:val="auto"/>
        </w:rPr>
        <w:t xml:space="preserve">”) that would result in no portion of such benefits being subject to the Excise Tax;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amounts shall not be so reduced if the Company determines, based on the advice of Compensation &amp; Benefits Advisory Services, LLC, or such other nationally recognized certified public accounting firm as may be designated by the Company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xml:space="preserve">”), that without such reduction you would be entitled to receive and retain, on a net after tax basis (including, without limitation, any excise taxes payable under Section 4999 of the Code), an amount that is greater than the amount, on a net after tax basis, that you would be entitled to retain upon receipt of the Reduced Amount. Unless the Company and you otherwise agree in writing, any determination required under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shall be made in writing in good faith by the Accounting Firm. In the event of a reduction of benefits hereunder, benefits shall be reduced by first reducing or eliminating the portion of the CIC Benefits that are payable under this Award Agreement and then by reducing or eliminating the portion of the CIC Benefits that are payable in cash and then by reducing or eliminating the non-cash portion of the CIC Benefits, in each case, in reverse order beginning with payments or benefits which are to be paid the furthest in the future. For purposes of making the calculations required by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the Accounting Firm may make reasonable assumptions and approximations concerning applicable taxes and may rely on reasonable, good faith interpretations concerning the application of the Code, and other applicable legal authority. The Company and you shall furnish to the Accounting Firm such information and documents as the Accounting Firm may reasonably require in order to make a determination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15</w:t>
      </w:r>
      <w:r>
        <w:rPr>
          <w:rFonts w:ascii="Arial" w:cs="Arial" w:eastAsia="Arial" w:hAnsi="Arial"/>
          <w:sz w:val="19"/>
          <w:szCs w:val="19"/>
          <w:color w:val="auto"/>
        </w:rPr>
        <w:t xml:space="preserve">, and the Company shall bear the cost of all fees the Accounting Firm charges in connection with any calculations contemplated by this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In connection with making determinations under this </w:t>
      </w:r>
      <w:r>
        <w:rPr>
          <w:rFonts w:ascii="Arial" w:cs="Arial" w:eastAsia="Arial" w:hAnsi="Arial"/>
          <w:sz w:val="19"/>
          <w:szCs w:val="19"/>
          <w:u w:val="single" w:color="auto"/>
          <w:color w:val="auto"/>
        </w:rPr>
        <w:t>Section 15</w:t>
      </w:r>
      <w:r>
        <w:rPr>
          <w:rFonts w:ascii="Arial" w:cs="Arial" w:eastAsia="Arial" w:hAnsi="Arial"/>
          <w:sz w:val="19"/>
          <w:szCs w:val="19"/>
          <w:color w:val="auto"/>
        </w:rPr>
        <w:t>, the Accounting Firm shall take into account the value of any reasonable compensation for services to be rendered by you before or after the Change of Control, including any non-competition provisions that may apply to you and the Company shall cooperate in the valuation of any such services, including any non-competition provisions.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265" w:right="339" w:bottom="1440" w:gutter="0" w:footer="0" w:header="0"/>
        </w:sectPr>
      </w:pPr>
    </w:p>
    <w:bookmarkStart w:id="434" w:name="page435"/>
    <w:bookmarkEnd w:id="434"/>
    <w:p>
      <w:pPr>
        <w:ind w:left="180"/>
        <w:spacing w:after="0"/>
        <w:rPr>
          <w:sz w:val="20"/>
          <w:szCs w:val="20"/>
          <w:color w:val="auto"/>
        </w:rPr>
      </w:pPr>
      <w:r>
        <w:rPr>
          <w:rFonts w:ascii="Arial" w:cs="Arial" w:eastAsia="Arial" w:hAnsi="Arial"/>
          <w:sz w:val="19"/>
          <w:szCs w:val="19"/>
          <w:color w:val="auto"/>
        </w:rPr>
        <w:t>The parties have duly executed this Award Agreement as of the date first written above.</w:t>
      </w:r>
    </w:p>
    <w:p>
      <w:pPr>
        <w:spacing w:after="0" w:line="200" w:lineRule="exact"/>
        <w:rPr>
          <w:sz w:val="20"/>
          <w:szCs w:val="20"/>
          <w:color w:val="auto"/>
        </w:rPr>
      </w:pPr>
    </w:p>
    <w:p>
      <w:pPr>
        <w:spacing w:after="0" w:line="311"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XPO Logistics, inc.</w:t>
      </w:r>
    </w:p>
    <w:p>
      <w:pPr>
        <w:spacing w:after="0" w:line="44"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195580</wp:posOffset>
            </wp:positionV>
            <wp:extent cx="31457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21" w:lineRule="exact"/>
        <w:rPr>
          <w:sz w:val="20"/>
          <w:szCs w:val="20"/>
          <w:color w:val="auto"/>
        </w:rPr>
      </w:pPr>
    </w:p>
    <w:p>
      <w:pPr>
        <w:ind w:left="5940"/>
        <w:spacing w:after="0"/>
        <w:rPr>
          <w:sz w:val="20"/>
          <w:szCs w:val="20"/>
          <w:color w:val="auto"/>
        </w:rPr>
      </w:pPr>
      <w:r>
        <w:rPr>
          <w:rFonts w:ascii="Arial" w:cs="Arial" w:eastAsia="Arial" w:hAnsi="Arial"/>
          <w:sz w:val="22"/>
          <w:szCs w:val="22"/>
          <w:color w:val="auto"/>
        </w:rPr>
        <w:t>Meghan Henson</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9"/>
          <w:szCs w:val="19"/>
          <w:color w:val="auto"/>
        </w:rPr>
        <w:t>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635000</wp:posOffset>
            </wp:positionV>
            <wp:extent cx="31546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31546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ind w:right="879"/>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[Cash LTI Award Signature Page]</w:t>
      </w:r>
    </w:p>
    <w:p>
      <w:pPr>
        <w:sectPr>
          <w:pgSz w:w="11900" w:h="16838" w:orient="portrait"/>
          <w:cols w:equalWidth="0" w:num="1">
            <w:col w:w="9019"/>
          </w:cols>
          <w:pgMar w:left="1440" w:top="1427" w:right="1440" w:bottom="1440" w:gutter="0" w:footer="0" w:header="0"/>
        </w:sectPr>
      </w:pPr>
    </w:p>
    <w:bookmarkStart w:id="435" w:name="page436"/>
    <w:bookmarkEnd w:id="435"/>
    <w:p>
      <w:pPr>
        <w:jc w:val="center"/>
        <w:ind w:right="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Details of Award</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286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8"/>
              </w:rPr>
              <w:t>Tranche</w:t>
            </w:r>
          </w:p>
        </w:tc>
        <w:tc>
          <w:tcPr>
            <w:tcW w:w="282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0"/>
              </w:rPr>
              <w:t>Target Amount</w:t>
            </w:r>
          </w:p>
        </w:tc>
        <w:tc>
          <w:tcPr>
            <w:tcW w:w="278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8"/>
              </w:rPr>
              <w:t>Performance Period</w:t>
            </w:r>
          </w:p>
        </w:tc>
        <w:tc>
          <w:tcPr>
            <w:tcW w:w="280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8"/>
              </w:rPr>
              <w:t>Vesting Date</w:t>
            </w:r>
          </w:p>
        </w:tc>
      </w:tr>
      <w:tr>
        <w:trPr>
          <w:trHeight w:val="249"/>
        </w:trPr>
        <w:tc>
          <w:tcPr>
            <w:tcW w:w="2860" w:type="dxa"/>
            <w:vAlign w:val="bottom"/>
            <w:tcBorders>
              <w:left w:val="single" w:sz="8" w:color="auto"/>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6"/>
              </w:rPr>
              <w:t>2020 Tranche</w:t>
            </w:r>
          </w:p>
        </w:tc>
        <w:tc>
          <w:tcPr>
            <w:tcW w:w="282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rPr>
              <w:t>$[●]</w:t>
            </w:r>
          </w:p>
        </w:tc>
        <w:tc>
          <w:tcPr>
            <w:tcW w:w="27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8"/>
              </w:rPr>
              <w:t>The period ending on the last</w:t>
            </w:r>
          </w:p>
        </w:tc>
        <w:tc>
          <w:tcPr>
            <w:tcW w:w="280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9"/>
              </w:rPr>
              <w:t>First anniversary of Grant Date</w:t>
            </w:r>
          </w:p>
        </w:tc>
      </w:tr>
      <w:tr>
        <w:trPr>
          <w:trHeight w:val="243"/>
        </w:trPr>
        <w:tc>
          <w:tcPr>
            <w:tcW w:w="286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7"/>
              </w:rPr>
              <w:t>day of calendar year 2020 and</w:t>
            </w:r>
          </w:p>
        </w:tc>
        <w:tc>
          <w:tcPr>
            <w:tcW w:w="2800" w:type="dxa"/>
            <w:vAlign w:val="bottom"/>
            <w:tcBorders>
              <w:right w:val="single" w:sz="8" w:color="auto"/>
            </w:tcBorders>
          </w:tcPr>
          <w:p>
            <w:pPr>
              <w:spacing w:after="0"/>
              <w:rPr>
                <w:sz w:val="21"/>
                <w:szCs w:val="21"/>
                <w:color w:val="auto"/>
              </w:rPr>
            </w:pPr>
          </w:p>
        </w:tc>
      </w:tr>
      <w:tr>
        <w:trPr>
          <w:trHeight w:val="243"/>
        </w:trPr>
        <w:tc>
          <w:tcPr>
            <w:tcW w:w="286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commencing on (a) July 1,</w:t>
            </w:r>
          </w:p>
        </w:tc>
        <w:tc>
          <w:tcPr>
            <w:tcW w:w="2800" w:type="dxa"/>
            <w:vAlign w:val="bottom"/>
            <w:tcBorders>
              <w:right w:val="single" w:sz="8" w:color="auto"/>
            </w:tcBorders>
          </w:tcPr>
          <w:p>
            <w:pPr>
              <w:spacing w:after="0"/>
              <w:rPr>
                <w:sz w:val="21"/>
                <w:szCs w:val="21"/>
                <w:color w:val="auto"/>
              </w:rPr>
            </w:pPr>
          </w:p>
        </w:tc>
      </w:tr>
      <w:tr>
        <w:trPr>
          <w:trHeight w:val="243"/>
        </w:trPr>
        <w:tc>
          <w:tcPr>
            <w:tcW w:w="286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7"/>
              </w:rPr>
              <w:t>2020, in the case of the</w:t>
            </w:r>
          </w:p>
        </w:tc>
        <w:tc>
          <w:tcPr>
            <w:tcW w:w="2800" w:type="dxa"/>
            <w:vAlign w:val="bottom"/>
            <w:tcBorders>
              <w:right w:val="single" w:sz="8" w:color="auto"/>
            </w:tcBorders>
          </w:tcPr>
          <w:p>
            <w:pPr>
              <w:spacing w:after="0"/>
              <w:rPr>
                <w:sz w:val="21"/>
                <w:szCs w:val="21"/>
                <w:color w:val="auto"/>
              </w:rPr>
            </w:pPr>
          </w:p>
        </w:tc>
      </w:tr>
      <w:tr>
        <w:trPr>
          <w:trHeight w:val="243"/>
        </w:trPr>
        <w:tc>
          <w:tcPr>
            <w:tcW w:w="286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6"/>
              </w:rPr>
              <w:t>Performance Goals based on</w:t>
            </w:r>
          </w:p>
        </w:tc>
        <w:tc>
          <w:tcPr>
            <w:tcW w:w="2800" w:type="dxa"/>
            <w:vAlign w:val="bottom"/>
            <w:tcBorders>
              <w:right w:val="single" w:sz="8" w:color="auto"/>
            </w:tcBorders>
          </w:tcPr>
          <w:p>
            <w:pPr>
              <w:spacing w:after="0"/>
              <w:rPr>
                <w:sz w:val="21"/>
                <w:szCs w:val="21"/>
                <w:color w:val="auto"/>
              </w:rPr>
            </w:pPr>
          </w:p>
        </w:tc>
      </w:tr>
      <w:tr>
        <w:trPr>
          <w:trHeight w:val="243"/>
        </w:trPr>
        <w:tc>
          <w:tcPr>
            <w:tcW w:w="286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Adjusted Cash Flow Per Share</w:t>
            </w:r>
          </w:p>
        </w:tc>
        <w:tc>
          <w:tcPr>
            <w:tcW w:w="2800" w:type="dxa"/>
            <w:vAlign w:val="bottom"/>
            <w:tcBorders>
              <w:right w:val="single" w:sz="8" w:color="auto"/>
            </w:tcBorders>
          </w:tcPr>
          <w:p>
            <w:pPr>
              <w:spacing w:after="0"/>
              <w:rPr>
                <w:sz w:val="21"/>
                <w:szCs w:val="21"/>
                <w:color w:val="auto"/>
              </w:rPr>
            </w:pPr>
          </w:p>
        </w:tc>
      </w:tr>
      <w:tr>
        <w:trPr>
          <w:trHeight w:val="243"/>
        </w:trPr>
        <w:tc>
          <w:tcPr>
            <w:tcW w:w="286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90"/>
              </w:rPr>
              <w:t>and Relative Growth in</w:t>
            </w:r>
          </w:p>
        </w:tc>
        <w:tc>
          <w:tcPr>
            <w:tcW w:w="2800" w:type="dxa"/>
            <w:vAlign w:val="bottom"/>
            <w:tcBorders>
              <w:right w:val="single" w:sz="8" w:color="auto"/>
            </w:tcBorders>
          </w:tcPr>
          <w:p>
            <w:pPr>
              <w:spacing w:after="0"/>
              <w:rPr>
                <w:sz w:val="21"/>
                <w:szCs w:val="21"/>
                <w:color w:val="auto"/>
              </w:rPr>
            </w:pPr>
          </w:p>
        </w:tc>
      </w:tr>
      <w:tr>
        <w:trPr>
          <w:trHeight w:val="243"/>
        </w:trPr>
        <w:tc>
          <w:tcPr>
            <w:tcW w:w="286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8"/>
              </w:rPr>
              <w:t>Adjusted Cash Flow Per Share</w:t>
            </w:r>
          </w:p>
        </w:tc>
        <w:tc>
          <w:tcPr>
            <w:tcW w:w="2800" w:type="dxa"/>
            <w:vAlign w:val="bottom"/>
            <w:tcBorders>
              <w:right w:val="single" w:sz="8" w:color="auto"/>
            </w:tcBorders>
          </w:tcPr>
          <w:p>
            <w:pPr>
              <w:spacing w:after="0"/>
              <w:rPr>
                <w:sz w:val="21"/>
                <w:szCs w:val="21"/>
                <w:color w:val="auto"/>
              </w:rPr>
            </w:pPr>
          </w:p>
        </w:tc>
      </w:tr>
      <w:tr>
        <w:trPr>
          <w:trHeight w:val="243"/>
        </w:trPr>
        <w:tc>
          <w:tcPr>
            <w:tcW w:w="286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7"/>
              </w:rPr>
              <w:t>and (b) January 1, 2020 in the</w:t>
            </w:r>
          </w:p>
        </w:tc>
        <w:tc>
          <w:tcPr>
            <w:tcW w:w="2800" w:type="dxa"/>
            <w:vAlign w:val="bottom"/>
            <w:tcBorders>
              <w:right w:val="single" w:sz="8" w:color="auto"/>
            </w:tcBorders>
          </w:tcPr>
          <w:p>
            <w:pPr>
              <w:spacing w:after="0"/>
              <w:rPr>
                <w:sz w:val="21"/>
                <w:szCs w:val="21"/>
                <w:color w:val="auto"/>
              </w:rPr>
            </w:pPr>
          </w:p>
        </w:tc>
      </w:tr>
      <w:tr>
        <w:trPr>
          <w:trHeight w:val="243"/>
        </w:trPr>
        <w:tc>
          <w:tcPr>
            <w:tcW w:w="286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7"/>
              </w:rPr>
              <w:t>case of the Performance Goal</w:t>
            </w:r>
          </w:p>
        </w:tc>
        <w:tc>
          <w:tcPr>
            <w:tcW w:w="2800" w:type="dxa"/>
            <w:vAlign w:val="bottom"/>
            <w:tcBorders>
              <w:right w:val="single" w:sz="8" w:color="auto"/>
            </w:tcBorders>
          </w:tcPr>
          <w:p>
            <w:pPr>
              <w:spacing w:after="0"/>
              <w:rPr>
                <w:sz w:val="21"/>
                <w:szCs w:val="21"/>
                <w:color w:val="auto"/>
              </w:rPr>
            </w:pPr>
          </w:p>
        </w:tc>
      </w:tr>
      <w:tr>
        <w:trPr>
          <w:trHeight w:val="243"/>
        </w:trPr>
        <w:tc>
          <w:tcPr>
            <w:tcW w:w="286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2780" w:type="dxa"/>
            <w:vAlign w:val="bottom"/>
            <w:tcBorders>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7"/>
              </w:rPr>
              <w:t>based on the ESG Metrics</w:t>
            </w:r>
          </w:p>
        </w:tc>
        <w:tc>
          <w:tcPr>
            <w:tcW w:w="2800" w:type="dxa"/>
            <w:vAlign w:val="bottom"/>
            <w:tcBorders>
              <w:right w:val="single" w:sz="8" w:color="auto"/>
            </w:tcBorders>
          </w:tcPr>
          <w:p>
            <w:pPr>
              <w:spacing w:after="0"/>
              <w:rPr>
                <w:sz w:val="21"/>
                <w:szCs w:val="21"/>
                <w:color w:val="auto"/>
              </w:rPr>
            </w:pPr>
          </w:p>
        </w:tc>
      </w:tr>
      <w:tr>
        <w:trPr>
          <w:trHeight w:val="285"/>
        </w:trPr>
        <w:tc>
          <w:tcPr>
            <w:tcW w:w="2860" w:type="dxa"/>
            <w:vAlign w:val="bottom"/>
            <w:tcBorders>
              <w:left w:val="single" w:sz="8" w:color="auto"/>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Scorecard.</w:t>
            </w:r>
          </w:p>
        </w:tc>
        <w:tc>
          <w:tcPr>
            <w:tcW w:w="2800" w:type="dxa"/>
            <w:vAlign w:val="bottom"/>
            <w:tcBorders>
              <w:bottom w:val="single" w:sz="8" w:color="auto"/>
              <w:right w:val="single" w:sz="8" w:color="auto"/>
            </w:tcBorders>
          </w:tcPr>
          <w:p>
            <w:pPr>
              <w:spacing w:after="0"/>
              <w:rPr>
                <w:sz w:val="24"/>
                <w:szCs w:val="24"/>
                <w:color w:val="auto"/>
              </w:rPr>
            </w:pPr>
          </w:p>
        </w:tc>
      </w:tr>
      <w:tr>
        <w:trPr>
          <w:trHeight w:val="291"/>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2021 Tranche</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Calendar year 2021</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January 15, 2022</w:t>
            </w:r>
          </w:p>
        </w:tc>
      </w:tr>
      <w:tr>
        <w:trPr>
          <w:trHeight w:val="290"/>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2022 Tranche</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Calendar year 2022</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January 15, 2024</w:t>
            </w:r>
          </w:p>
        </w:tc>
      </w:tr>
      <w:tr>
        <w:trPr>
          <w:trHeight w:val="291"/>
        </w:trPr>
        <w:tc>
          <w:tcPr>
            <w:tcW w:w="28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2023 Tranche</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Calendar year 2023</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January 15, 2026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60"/>
          </w:cols>
          <w:pgMar w:left="320" w:top="1421" w:right="319" w:bottom="1440" w:gutter="0" w:footer="0" w:header="0"/>
        </w:sectPr>
      </w:pPr>
    </w:p>
    <w:bookmarkStart w:id="436" w:name="page437"/>
    <w:bookmarkEnd w:id="436"/>
    <w:p>
      <w:pPr>
        <w:jc w:val="center"/>
        <w:ind w:right="-11"/>
        <w:spacing w:after="0"/>
        <w:rPr>
          <w:sz w:val="20"/>
          <w:szCs w:val="20"/>
          <w:color w:val="auto"/>
        </w:rPr>
      </w:pPr>
      <w:r>
        <w:rPr>
          <w:rFonts w:ascii="Arial" w:cs="Arial" w:eastAsia="Arial" w:hAnsi="Arial"/>
          <w:sz w:val="22"/>
          <w:szCs w:val="22"/>
          <w:b w:val="1"/>
          <w:bCs w:val="1"/>
          <w:u w:val="single" w:color="auto"/>
          <w:color w:val="auto"/>
        </w:rPr>
        <w:t>Exhibit B</w:t>
      </w:r>
    </w:p>
    <w:p>
      <w:pPr>
        <w:spacing w:after="0" w:line="247"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Performance Goals</w:t>
      </w:r>
    </w:p>
    <w:p>
      <w:pPr>
        <w:spacing w:after="0" w:line="253" w:lineRule="exact"/>
        <w:rPr>
          <w:sz w:val="20"/>
          <w:szCs w:val="20"/>
          <w:color w:val="auto"/>
        </w:rPr>
      </w:pPr>
    </w:p>
    <w:p>
      <w:pPr>
        <w:ind w:left="652" w:hanging="652"/>
        <w:spacing w:after="0" w:line="290" w:lineRule="auto"/>
        <w:tabs>
          <w:tab w:leader="none" w:pos="220" w:val="left"/>
        </w:tabs>
        <w:numPr>
          <w:ilvl w:val="0"/>
          <w:numId w:val="385"/>
        </w:numPr>
        <w:rPr>
          <w:rFonts w:ascii="Arial" w:cs="Arial" w:eastAsia="Arial" w:hAnsi="Arial"/>
          <w:sz w:val="19"/>
          <w:szCs w:val="19"/>
          <w:color w:val="auto"/>
        </w:rPr>
      </w:pPr>
      <w:r>
        <w:rPr>
          <w:rFonts w:ascii="Arial" w:cs="Arial" w:eastAsia="Arial" w:hAnsi="Arial"/>
          <w:sz w:val="19"/>
          <w:szCs w:val="19"/>
          <w:u w:val="single" w:color="auto"/>
          <w:color w:val="auto"/>
        </w:rPr>
        <w:t>Performance Goals</w:t>
      </w:r>
      <w:r>
        <w:rPr>
          <w:rFonts w:ascii="Arial" w:cs="Arial" w:eastAsia="Arial" w:hAnsi="Arial"/>
          <w:sz w:val="19"/>
          <w:szCs w:val="19"/>
          <w:color w:val="auto"/>
        </w:rPr>
        <w:t xml:space="preserve">. For each Performance Period, the metrics for the Performance Goals shall be the Company’s Adjusted Cash Flow Per Share (weighted 50%), the Company’s Relative Growth in Adjusted Cash Flow Per Share Percentile Rank (weighted 25%) and ESG Metrics Scorecard (weighted 25%). The Performance Goal for each metric shall be as set forth below in this </w:t>
      </w:r>
      <w:r>
        <w:rPr>
          <w:rFonts w:ascii="Arial" w:cs="Arial" w:eastAsia="Arial" w:hAnsi="Arial"/>
          <w:sz w:val="19"/>
          <w:szCs w:val="19"/>
          <w:u w:val="single" w:color="auto"/>
          <w:color w:val="auto"/>
        </w:rPr>
        <w:t>Section 1</w:t>
      </w:r>
      <w:r>
        <w:rPr>
          <w:rFonts w:ascii="Arial" w:cs="Arial" w:eastAsia="Arial" w:hAnsi="Arial"/>
          <w:sz w:val="19"/>
          <w:szCs w:val="19"/>
          <w:color w:val="auto"/>
        </w:rPr>
        <w:t>, unless the Committee shall determine in its discretion to reduce, or adjust the underlying elements of, the applicable Performance Goal based on changes in economic circumstances or government-related mandates that impact the Company’s financial metrics, changes in the competitive market, or other factors that materially change the relevance of the metric in the performance period. The level of achievement of each Performance Goal shall be measured over the applicable Performance Period for the applicable Tranche.</w:t>
      </w:r>
    </w:p>
    <w:p>
      <w:pPr>
        <w:spacing w:after="0" w:line="155" w:lineRule="exact"/>
        <w:rPr>
          <w:rFonts w:ascii="Arial" w:cs="Arial" w:eastAsia="Arial" w:hAnsi="Arial"/>
          <w:sz w:val="19"/>
          <w:szCs w:val="19"/>
          <w:color w:val="auto"/>
        </w:rPr>
      </w:pPr>
    </w:p>
    <w:p>
      <w:pPr>
        <w:ind w:left="1292" w:right="340" w:hanging="644"/>
        <w:spacing w:after="0" w:line="263" w:lineRule="auto"/>
        <w:tabs>
          <w:tab w:leader="none" w:pos="848" w:val="left"/>
        </w:tabs>
        <w:numPr>
          <w:ilvl w:val="1"/>
          <w:numId w:val="385"/>
        </w:numPr>
        <w:rPr>
          <w:rFonts w:ascii="Arial" w:cs="Arial" w:eastAsia="Arial" w:hAnsi="Arial"/>
          <w:sz w:val="22"/>
          <w:szCs w:val="22"/>
          <w:color w:val="auto"/>
        </w:rPr>
      </w:pPr>
      <w:r>
        <w:rPr>
          <w:rFonts w:ascii="Arial" w:cs="Arial" w:eastAsia="Arial" w:hAnsi="Arial"/>
          <w:sz w:val="22"/>
          <w:szCs w:val="22"/>
          <w:u w:val="single" w:color="auto"/>
          <w:color w:val="auto"/>
        </w:rPr>
        <w:t>Adjusted Cash Flow Per Share</w:t>
      </w:r>
      <w:r>
        <w:rPr>
          <w:rFonts w:ascii="Arial" w:cs="Arial" w:eastAsia="Arial" w:hAnsi="Arial"/>
          <w:sz w:val="22"/>
          <w:szCs w:val="22"/>
          <w:color w:val="auto"/>
        </w:rPr>
        <w:t>. The Performance Goal relating to the Company’s Adjusted Cash Flow Per Share for each Tranche is as follows:</w:t>
      </w:r>
    </w:p>
    <w:p>
      <w:pPr>
        <w:spacing w:after="0" w:line="174" w:lineRule="exact"/>
        <w:rPr>
          <w:rFonts w:ascii="Arial" w:cs="Arial" w:eastAsia="Arial" w:hAnsi="Arial"/>
          <w:sz w:val="22"/>
          <w:szCs w:val="22"/>
          <w:color w:val="auto"/>
        </w:rPr>
      </w:pPr>
    </w:p>
    <w:p>
      <w:pPr>
        <w:ind w:left="1632" w:hanging="174"/>
        <w:spacing w:after="0"/>
        <w:tabs>
          <w:tab w:leader="none" w:pos="1632" w:val="left"/>
        </w:tabs>
        <w:numPr>
          <w:ilvl w:val="2"/>
          <w:numId w:val="385"/>
        </w:numPr>
        <w:rPr>
          <w:rFonts w:ascii="Arial" w:cs="Arial" w:eastAsia="Arial" w:hAnsi="Arial"/>
          <w:sz w:val="22"/>
          <w:szCs w:val="22"/>
          <w:color w:val="auto"/>
        </w:rPr>
      </w:pPr>
      <w:r>
        <w:rPr>
          <w:rFonts w:ascii="Arial" w:cs="Arial" w:eastAsia="Arial" w:hAnsi="Arial"/>
          <w:sz w:val="22"/>
          <w:szCs w:val="22"/>
          <w:i w:val="1"/>
          <w:iCs w:val="1"/>
          <w:color w:val="auto"/>
        </w:rPr>
        <w:t>2020 Tranche</w:t>
      </w:r>
    </w:p>
    <w:p>
      <w:pPr>
        <w:spacing w:after="0" w:line="234" w:lineRule="exact"/>
        <w:rPr>
          <w:sz w:val="20"/>
          <w:szCs w:val="20"/>
          <w:color w:val="auto"/>
        </w:rPr>
      </w:pPr>
    </w:p>
    <w:tbl>
      <w:tblPr>
        <w:tblLayout w:type="fixed"/>
        <w:tblInd w:w="2122" w:type="dxa"/>
        <w:tblCellMar>
          <w:top w:w="0" w:type="dxa"/>
          <w:left w:w="0" w:type="dxa"/>
          <w:bottom w:w="0" w:type="dxa"/>
          <w:right w:w="0" w:type="dxa"/>
        </w:tblCellMar>
      </w:tblPr>
      <w:tr>
        <w:trPr>
          <w:trHeight w:val="256"/>
        </w:trPr>
        <w:tc>
          <w:tcPr>
            <w:tcW w:w="298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8"/>
              </w:rPr>
              <w:t>Company’s Adjusted Cash</w:t>
            </w:r>
          </w:p>
        </w:tc>
        <w:tc>
          <w:tcPr>
            <w:tcW w:w="30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7"/>
              </w:rPr>
              <w:t>Value Earned as Percentage of</w:t>
            </w:r>
          </w:p>
        </w:tc>
      </w:tr>
      <w:tr>
        <w:trPr>
          <w:trHeight w:val="291"/>
        </w:trPr>
        <w:tc>
          <w:tcPr>
            <w:tcW w:w="2980" w:type="dxa"/>
            <w:vAlign w:val="bottom"/>
            <w:tcBorders>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0"/>
              </w:rPr>
              <w:t>Flow Per Share</w:t>
            </w:r>
          </w:p>
        </w:tc>
        <w:tc>
          <w:tcPr>
            <w:tcW w:w="30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2"/>
              </w:rPr>
              <w:t>Target*</w:t>
            </w:r>
          </w:p>
        </w:tc>
      </w:tr>
      <w:tr>
        <w:trPr>
          <w:trHeight w:val="291"/>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$3.65 or above</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29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$3.34</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r>
      <w:tr>
        <w:trPr>
          <w:trHeight w:val="29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$3.04</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1"/>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Below $3.04</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0%</w:t>
            </w:r>
          </w:p>
        </w:tc>
      </w:tr>
    </w:tbl>
    <w:p>
      <w:pPr>
        <w:spacing w:after="0" w:line="91" w:lineRule="exact"/>
        <w:rPr>
          <w:sz w:val="20"/>
          <w:szCs w:val="20"/>
          <w:color w:val="auto"/>
        </w:rPr>
      </w:pPr>
    </w:p>
    <w:p>
      <w:pPr>
        <w:ind w:left="2092" w:hanging="148"/>
        <w:spacing w:after="0"/>
        <w:tabs>
          <w:tab w:leader="none" w:pos="2092" w:val="left"/>
        </w:tabs>
        <w:numPr>
          <w:ilvl w:val="1"/>
          <w:numId w:val="386"/>
        </w:numPr>
        <w:rPr>
          <w:rFonts w:ascii="Arial" w:cs="Arial" w:eastAsia="Arial" w:hAnsi="Arial"/>
          <w:sz w:val="20"/>
          <w:szCs w:val="20"/>
          <w:color w:val="auto"/>
        </w:rPr>
      </w:pPr>
      <w:r>
        <w:rPr>
          <w:rFonts w:ascii="Arial" w:cs="Arial" w:eastAsia="Arial" w:hAnsi="Arial"/>
          <w:sz w:val="20"/>
          <w:szCs w:val="20"/>
          <w:color w:val="auto"/>
        </w:rPr>
        <w:t>Linear interpolation shall be applied between each threshold.</w:t>
      </w:r>
    </w:p>
    <w:p>
      <w:pPr>
        <w:spacing w:after="0" w:line="251" w:lineRule="exact"/>
        <w:rPr>
          <w:rFonts w:ascii="Arial" w:cs="Arial" w:eastAsia="Arial" w:hAnsi="Arial"/>
          <w:sz w:val="20"/>
          <w:szCs w:val="20"/>
          <w:color w:val="auto"/>
        </w:rPr>
      </w:pPr>
    </w:p>
    <w:p>
      <w:pPr>
        <w:ind w:left="1692" w:hanging="234"/>
        <w:spacing w:after="0"/>
        <w:tabs>
          <w:tab w:leader="none" w:pos="1692" w:val="left"/>
        </w:tabs>
        <w:numPr>
          <w:ilvl w:val="0"/>
          <w:numId w:val="386"/>
        </w:numPr>
        <w:rPr>
          <w:rFonts w:ascii="Arial" w:cs="Arial" w:eastAsia="Arial" w:hAnsi="Arial"/>
          <w:sz w:val="22"/>
          <w:szCs w:val="22"/>
          <w:color w:val="auto"/>
        </w:rPr>
      </w:pPr>
      <w:r>
        <w:rPr>
          <w:rFonts w:ascii="Arial" w:cs="Arial" w:eastAsia="Arial" w:hAnsi="Arial"/>
          <w:sz w:val="22"/>
          <w:szCs w:val="22"/>
          <w:i w:val="1"/>
          <w:iCs w:val="1"/>
          <w:color w:val="auto"/>
        </w:rPr>
        <w:t>2021 Tranche</w:t>
      </w:r>
    </w:p>
    <w:p>
      <w:pPr>
        <w:spacing w:after="0" w:line="234" w:lineRule="exact"/>
        <w:rPr>
          <w:sz w:val="20"/>
          <w:szCs w:val="20"/>
          <w:color w:val="auto"/>
        </w:rPr>
      </w:pPr>
    </w:p>
    <w:tbl>
      <w:tblPr>
        <w:tblLayout w:type="fixed"/>
        <w:tblInd w:w="2122" w:type="dxa"/>
        <w:tblCellMar>
          <w:top w:w="0" w:type="dxa"/>
          <w:left w:w="0" w:type="dxa"/>
          <w:bottom w:w="0" w:type="dxa"/>
          <w:right w:w="0" w:type="dxa"/>
        </w:tblCellMar>
      </w:tblPr>
      <w:tr>
        <w:trPr>
          <w:trHeight w:val="256"/>
        </w:trPr>
        <w:tc>
          <w:tcPr>
            <w:tcW w:w="298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8"/>
              </w:rPr>
              <w:t>Company’s Adjusted Cash</w:t>
            </w:r>
          </w:p>
        </w:tc>
        <w:tc>
          <w:tcPr>
            <w:tcW w:w="310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7"/>
              </w:rPr>
              <w:t>Value Earned as Percentage of</w:t>
            </w:r>
          </w:p>
        </w:tc>
      </w:tr>
      <w:tr>
        <w:trPr>
          <w:trHeight w:val="291"/>
        </w:trPr>
        <w:tc>
          <w:tcPr>
            <w:tcW w:w="2980" w:type="dxa"/>
            <w:vAlign w:val="bottom"/>
            <w:tcBorders>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Flow Per Share</w:t>
            </w:r>
          </w:p>
        </w:tc>
        <w:tc>
          <w:tcPr>
            <w:tcW w:w="31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4"/>
              </w:rPr>
              <w:t>Target*</w:t>
            </w:r>
          </w:p>
        </w:tc>
      </w:tr>
      <w:tr>
        <w:trPr>
          <w:trHeight w:val="29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$7.24 or above</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29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$6.63</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r>
      <w:tr>
        <w:trPr>
          <w:trHeight w:val="29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$6.03</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1"/>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Below $6.03</w:t>
            </w:r>
          </w:p>
        </w:tc>
        <w:tc>
          <w:tcPr>
            <w:tcW w:w="3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bl>
    <w:p>
      <w:pPr>
        <w:spacing w:after="0" w:line="91" w:lineRule="exact"/>
        <w:rPr>
          <w:sz w:val="20"/>
          <w:szCs w:val="20"/>
          <w:color w:val="auto"/>
        </w:rPr>
      </w:pPr>
    </w:p>
    <w:p>
      <w:pPr>
        <w:ind w:left="2092" w:hanging="148"/>
        <w:spacing w:after="0"/>
        <w:tabs>
          <w:tab w:leader="none" w:pos="2092" w:val="left"/>
        </w:tabs>
        <w:numPr>
          <w:ilvl w:val="1"/>
          <w:numId w:val="387"/>
        </w:numPr>
        <w:rPr>
          <w:rFonts w:ascii="Arial" w:cs="Arial" w:eastAsia="Arial" w:hAnsi="Arial"/>
          <w:sz w:val="20"/>
          <w:szCs w:val="20"/>
          <w:color w:val="auto"/>
        </w:rPr>
      </w:pPr>
      <w:r>
        <w:rPr>
          <w:rFonts w:ascii="Arial" w:cs="Arial" w:eastAsia="Arial" w:hAnsi="Arial"/>
          <w:sz w:val="20"/>
          <w:szCs w:val="20"/>
          <w:color w:val="auto"/>
        </w:rPr>
        <w:t>Linear interpolation shall be applied between each threshold.</w:t>
      </w:r>
    </w:p>
    <w:p>
      <w:pPr>
        <w:spacing w:after="0" w:line="251" w:lineRule="exact"/>
        <w:rPr>
          <w:rFonts w:ascii="Arial" w:cs="Arial" w:eastAsia="Arial" w:hAnsi="Arial"/>
          <w:sz w:val="20"/>
          <w:szCs w:val="20"/>
          <w:color w:val="auto"/>
        </w:rPr>
      </w:pPr>
    </w:p>
    <w:p>
      <w:pPr>
        <w:ind w:left="1752" w:hanging="294"/>
        <w:spacing w:after="0"/>
        <w:tabs>
          <w:tab w:leader="none" w:pos="1752" w:val="left"/>
        </w:tabs>
        <w:numPr>
          <w:ilvl w:val="0"/>
          <w:numId w:val="387"/>
        </w:numPr>
        <w:rPr>
          <w:rFonts w:ascii="Arial" w:cs="Arial" w:eastAsia="Arial" w:hAnsi="Arial"/>
          <w:sz w:val="22"/>
          <w:szCs w:val="22"/>
          <w:color w:val="auto"/>
        </w:rPr>
      </w:pPr>
      <w:r>
        <w:rPr>
          <w:rFonts w:ascii="Arial" w:cs="Arial" w:eastAsia="Arial" w:hAnsi="Arial"/>
          <w:sz w:val="22"/>
          <w:szCs w:val="22"/>
          <w:i w:val="1"/>
          <w:iCs w:val="1"/>
          <w:color w:val="auto"/>
        </w:rPr>
        <w:t>2022 Tranche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212"/>
          </w:cols>
          <w:pgMar w:left="328" w:top="1300" w:right="359" w:bottom="1440" w:gutter="0" w:footer="0" w:header="0"/>
        </w:sectPr>
      </w:pPr>
    </w:p>
    <w:bookmarkStart w:id="437" w:name="page438"/>
    <w:bookmarkEnd w:id="437"/>
    <w:tbl>
      <w:tblPr>
        <w:tblLayout w:type="fixed"/>
        <w:tblInd w:w="1470" w:type="dxa"/>
        <w:tblCellMar>
          <w:top w:w="0" w:type="dxa"/>
          <w:left w:w="0" w:type="dxa"/>
          <w:bottom w:w="0" w:type="dxa"/>
          <w:right w:w="0" w:type="dxa"/>
        </w:tblCellMar>
      </w:tblPr>
      <w:tr>
        <w:trPr>
          <w:trHeight w:val="256"/>
        </w:trPr>
        <w:tc>
          <w:tcPr>
            <w:tcW w:w="298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8"/>
              </w:rPr>
              <w:t>Company’s Adjusted Cash</w:t>
            </w:r>
          </w:p>
        </w:tc>
        <w:tc>
          <w:tcPr>
            <w:tcW w:w="290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7"/>
              </w:rPr>
              <w:t>Value Earned as Percentage of</w:t>
            </w:r>
          </w:p>
        </w:tc>
      </w:tr>
      <w:tr>
        <w:trPr>
          <w:trHeight w:val="291"/>
        </w:trPr>
        <w:tc>
          <w:tcPr>
            <w:tcW w:w="2980" w:type="dxa"/>
            <w:vAlign w:val="bottom"/>
            <w:tcBorders>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0"/>
              </w:rPr>
              <w:t>Flow Per Share</w:t>
            </w:r>
          </w:p>
        </w:tc>
        <w:tc>
          <w:tcPr>
            <w:tcW w:w="29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4"/>
              </w:rPr>
              <w:t>Target*</w:t>
            </w:r>
          </w:p>
        </w:tc>
      </w:tr>
      <w:tr>
        <w:trPr>
          <w:trHeight w:val="29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$8.32 or above</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291"/>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$7.62</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r>
      <w:tr>
        <w:trPr>
          <w:trHeight w:val="29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$6.93</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1"/>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Below $6.93</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bl>
    <w:p>
      <w:pPr>
        <w:spacing w:after="0" w:line="91" w:lineRule="exact"/>
        <w:rPr>
          <w:sz w:val="20"/>
          <w:szCs w:val="20"/>
          <w:color w:val="auto"/>
        </w:rPr>
      </w:pPr>
    </w:p>
    <w:p>
      <w:pPr>
        <w:ind w:left="1440" w:hanging="148"/>
        <w:spacing w:after="0"/>
        <w:tabs>
          <w:tab w:leader="none" w:pos="1440" w:val="left"/>
        </w:tabs>
        <w:numPr>
          <w:ilvl w:val="1"/>
          <w:numId w:val="388"/>
        </w:numPr>
        <w:rPr>
          <w:rFonts w:ascii="Arial" w:cs="Arial" w:eastAsia="Arial" w:hAnsi="Arial"/>
          <w:sz w:val="20"/>
          <w:szCs w:val="20"/>
          <w:color w:val="auto"/>
        </w:rPr>
      </w:pPr>
      <w:r>
        <w:rPr>
          <w:rFonts w:ascii="Arial" w:cs="Arial" w:eastAsia="Arial" w:hAnsi="Arial"/>
          <w:sz w:val="20"/>
          <w:szCs w:val="20"/>
          <w:color w:val="auto"/>
        </w:rPr>
        <w:t>Linear interpolation shall be applied between each threshold.</w:t>
      </w:r>
    </w:p>
    <w:p>
      <w:pPr>
        <w:spacing w:after="0" w:line="251" w:lineRule="exact"/>
        <w:rPr>
          <w:rFonts w:ascii="Arial" w:cs="Arial" w:eastAsia="Arial" w:hAnsi="Arial"/>
          <w:sz w:val="20"/>
          <w:szCs w:val="20"/>
          <w:color w:val="auto"/>
        </w:rPr>
      </w:pPr>
    </w:p>
    <w:p>
      <w:pPr>
        <w:ind w:left="1060" w:hanging="254"/>
        <w:spacing w:after="0"/>
        <w:tabs>
          <w:tab w:leader="none" w:pos="1060" w:val="left"/>
        </w:tabs>
        <w:numPr>
          <w:ilvl w:val="0"/>
          <w:numId w:val="388"/>
        </w:numPr>
        <w:rPr>
          <w:rFonts w:ascii="Arial" w:cs="Arial" w:eastAsia="Arial" w:hAnsi="Arial"/>
          <w:sz w:val="22"/>
          <w:szCs w:val="22"/>
          <w:color w:val="auto"/>
        </w:rPr>
      </w:pPr>
      <w:r>
        <w:rPr>
          <w:rFonts w:ascii="Arial" w:cs="Arial" w:eastAsia="Arial" w:hAnsi="Arial"/>
          <w:sz w:val="22"/>
          <w:szCs w:val="22"/>
          <w:i w:val="1"/>
          <w:iCs w:val="1"/>
          <w:color w:val="auto"/>
        </w:rPr>
        <w:t>2023 Tranche</w:t>
      </w:r>
    </w:p>
    <w:p>
      <w:pPr>
        <w:spacing w:after="0" w:line="234" w:lineRule="exact"/>
        <w:rPr>
          <w:sz w:val="20"/>
          <w:szCs w:val="20"/>
          <w:color w:val="auto"/>
        </w:rPr>
      </w:pPr>
    </w:p>
    <w:tbl>
      <w:tblPr>
        <w:tblLayout w:type="fixed"/>
        <w:tblInd w:w="1470" w:type="dxa"/>
        <w:tblCellMar>
          <w:top w:w="0" w:type="dxa"/>
          <w:left w:w="0" w:type="dxa"/>
          <w:bottom w:w="0" w:type="dxa"/>
          <w:right w:w="0" w:type="dxa"/>
        </w:tblCellMar>
      </w:tblPr>
      <w:tr>
        <w:trPr>
          <w:trHeight w:val="256"/>
        </w:trPr>
        <w:tc>
          <w:tcPr>
            <w:tcW w:w="298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8"/>
              </w:rPr>
              <w:t>Company’s Adjusted Cash</w:t>
            </w:r>
          </w:p>
        </w:tc>
        <w:tc>
          <w:tcPr>
            <w:tcW w:w="290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7"/>
              </w:rPr>
              <w:t>Value Earned as Percentage of</w:t>
            </w:r>
          </w:p>
        </w:tc>
      </w:tr>
      <w:tr>
        <w:trPr>
          <w:trHeight w:val="291"/>
        </w:trPr>
        <w:tc>
          <w:tcPr>
            <w:tcW w:w="2980" w:type="dxa"/>
            <w:vAlign w:val="bottom"/>
            <w:tcBorders>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0"/>
              </w:rPr>
              <w:t>Flow Per Share</w:t>
            </w:r>
          </w:p>
        </w:tc>
        <w:tc>
          <w:tcPr>
            <w:tcW w:w="29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4"/>
              </w:rPr>
              <w:t>Target*</w:t>
            </w:r>
          </w:p>
        </w:tc>
      </w:tr>
      <w:tr>
        <w:trPr>
          <w:trHeight w:val="291"/>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$9.16 or above</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290"/>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$8.39</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r>
      <w:tr>
        <w:trPr>
          <w:trHeight w:val="291"/>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$7.63</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1"/>
        </w:trPr>
        <w:tc>
          <w:tcPr>
            <w:tcW w:w="2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Below $7.63</w:t>
            </w:r>
          </w:p>
        </w:tc>
        <w:tc>
          <w:tcPr>
            <w:tcW w:w="2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bl>
    <w:p>
      <w:pPr>
        <w:spacing w:after="0" w:line="91" w:lineRule="exact"/>
        <w:rPr>
          <w:sz w:val="20"/>
          <w:szCs w:val="20"/>
          <w:color w:val="auto"/>
        </w:rPr>
      </w:pPr>
    </w:p>
    <w:p>
      <w:pPr>
        <w:ind w:left="1440" w:hanging="148"/>
        <w:spacing w:after="0"/>
        <w:tabs>
          <w:tab w:leader="none" w:pos="1440" w:val="left"/>
        </w:tabs>
        <w:numPr>
          <w:ilvl w:val="1"/>
          <w:numId w:val="389"/>
        </w:numPr>
        <w:rPr>
          <w:rFonts w:ascii="Arial" w:cs="Arial" w:eastAsia="Arial" w:hAnsi="Arial"/>
          <w:sz w:val="20"/>
          <w:szCs w:val="20"/>
          <w:color w:val="auto"/>
        </w:rPr>
      </w:pPr>
      <w:r>
        <w:rPr>
          <w:rFonts w:ascii="Arial" w:cs="Arial" w:eastAsia="Arial" w:hAnsi="Arial"/>
          <w:sz w:val="20"/>
          <w:szCs w:val="20"/>
          <w:color w:val="auto"/>
        </w:rPr>
        <w:t>Linear interpolation shall be applied between each threshold.</w:t>
      </w:r>
    </w:p>
    <w:p>
      <w:pPr>
        <w:spacing w:after="0" w:line="251" w:lineRule="exact"/>
        <w:rPr>
          <w:rFonts w:ascii="Arial" w:cs="Arial" w:eastAsia="Arial" w:hAnsi="Arial"/>
          <w:sz w:val="20"/>
          <w:szCs w:val="20"/>
          <w:color w:val="auto"/>
        </w:rPr>
      </w:pPr>
    </w:p>
    <w:p>
      <w:pPr>
        <w:ind w:left="640" w:hanging="648"/>
        <w:spacing w:after="0" w:line="263" w:lineRule="auto"/>
        <w:rPr>
          <w:rFonts w:ascii="Arial" w:cs="Arial" w:eastAsia="Arial" w:hAnsi="Arial"/>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Relative Growth in Adjusted Cash Flow Per Share</w:t>
      </w:r>
      <w:r>
        <w:rPr>
          <w:rFonts w:ascii="Arial" w:cs="Arial" w:eastAsia="Arial" w:hAnsi="Arial"/>
          <w:sz w:val="22"/>
          <w:szCs w:val="22"/>
          <w:color w:val="auto"/>
        </w:rPr>
        <w:t>. The Performance Goal relating to the Company’s Relative Growth in Adjusted Cash Flow Per Share for each Tranche is as follows:</w:t>
      </w:r>
    </w:p>
    <w:p>
      <w:pPr>
        <w:spacing w:after="0" w:line="190" w:lineRule="exact"/>
        <w:rPr>
          <w:sz w:val="20"/>
          <w:szCs w:val="20"/>
          <w:color w:val="auto"/>
        </w:rPr>
      </w:pPr>
    </w:p>
    <w:tbl>
      <w:tblPr>
        <w:tblLayout w:type="fixed"/>
        <w:tblInd w:w="1310" w:type="dxa"/>
        <w:tblCellMar>
          <w:top w:w="0" w:type="dxa"/>
          <w:left w:w="0" w:type="dxa"/>
          <w:bottom w:w="0" w:type="dxa"/>
          <w:right w:w="0" w:type="dxa"/>
        </w:tblCellMar>
      </w:tblPr>
      <w:tr>
        <w:trPr>
          <w:trHeight w:val="256"/>
        </w:trPr>
        <w:tc>
          <w:tcPr>
            <w:tcW w:w="312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Company’s Relative Growth in</w:t>
            </w:r>
          </w:p>
        </w:tc>
        <w:tc>
          <w:tcPr>
            <w:tcW w:w="308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7"/>
              </w:rPr>
              <w:t>Value Earned as Percentage of</w:t>
            </w:r>
          </w:p>
        </w:tc>
      </w:tr>
      <w:tr>
        <w:trPr>
          <w:trHeight w:val="284"/>
        </w:trPr>
        <w:tc>
          <w:tcPr>
            <w:tcW w:w="3120" w:type="dxa"/>
            <w:vAlign w:val="bottom"/>
            <w:tcBorders>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8"/>
              </w:rPr>
              <w:t>Adjusted Cash Flow Per Share</w:t>
            </w:r>
          </w:p>
        </w:tc>
        <w:tc>
          <w:tcPr>
            <w:tcW w:w="30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4"/>
              </w:rPr>
              <w:t>Target*</w:t>
            </w:r>
          </w:p>
        </w:tc>
      </w:tr>
      <w:tr>
        <w:trPr>
          <w:trHeight w:val="291"/>
        </w:trPr>
        <w:tc>
          <w:tcPr>
            <w:tcW w:w="3120" w:type="dxa"/>
            <w:vAlign w:val="bottom"/>
            <w:tcBorders>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Percentile Rank</w:t>
            </w:r>
          </w:p>
        </w:tc>
        <w:tc>
          <w:tcPr>
            <w:tcW w:w="3080" w:type="dxa"/>
            <w:vAlign w:val="bottom"/>
            <w:tcBorders>
              <w:bottom w:val="single" w:sz="8" w:color="auto"/>
              <w:right w:val="single" w:sz="8" w:color="auto"/>
            </w:tcBorders>
            <w:shd w:val="clear" w:color="auto" w:fill="BFBFBF"/>
          </w:tcPr>
          <w:p>
            <w:pPr>
              <w:spacing w:after="0"/>
              <w:rPr>
                <w:sz w:val="24"/>
                <w:szCs w:val="24"/>
                <w:color w:val="auto"/>
              </w:rPr>
            </w:pPr>
          </w:p>
        </w:tc>
      </w:tr>
      <w:tr>
        <w:trPr>
          <w:trHeight w:val="249"/>
        </w:trPr>
        <w:tc>
          <w:tcPr>
            <w:tcW w:w="3120" w:type="dxa"/>
            <w:vAlign w:val="bottom"/>
            <w:tcBorders>
              <w:left w:val="single" w:sz="8" w:color="auto"/>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8"/>
              </w:rPr>
              <w:t>Greater than or equal to</w:t>
            </w:r>
          </w:p>
        </w:tc>
        <w:tc>
          <w:tcPr>
            <w:tcW w:w="30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8"/>
              </w:rPr>
              <w:t>200%</w:t>
            </w:r>
          </w:p>
        </w:tc>
      </w:tr>
      <w:tr>
        <w:trPr>
          <w:trHeight w:val="285"/>
        </w:trPr>
        <w:tc>
          <w:tcPr>
            <w:tcW w:w="3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75th percentile</w:t>
            </w:r>
          </w:p>
        </w:tc>
        <w:tc>
          <w:tcPr>
            <w:tcW w:w="3080" w:type="dxa"/>
            <w:vAlign w:val="bottom"/>
            <w:tcBorders>
              <w:bottom w:val="single" w:sz="8" w:color="auto"/>
              <w:right w:val="single" w:sz="8" w:color="auto"/>
            </w:tcBorders>
          </w:tcPr>
          <w:p>
            <w:pPr>
              <w:spacing w:after="0"/>
              <w:rPr>
                <w:sz w:val="24"/>
                <w:szCs w:val="24"/>
                <w:color w:val="auto"/>
              </w:rPr>
            </w:pPr>
          </w:p>
        </w:tc>
      </w:tr>
      <w:tr>
        <w:trPr>
          <w:trHeight w:val="290"/>
        </w:trPr>
        <w:tc>
          <w:tcPr>
            <w:tcW w:w="3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65th percentile</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r>
      <w:tr>
        <w:trPr>
          <w:trHeight w:val="290"/>
        </w:trPr>
        <w:tc>
          <w:tcPr>
            <w:tcW w:w="3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55th percentile</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0"/>
        </w:trPr>
        <w:tc>
          <w:tcPr>
            <w:tcW w:w="3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Below 55th percentile</w:t>
            </w:r>
          </w:p>
        </w:tc>
        <w:tc>
          <w:tcPr>
            <w:tcW w:w="3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bl>
    <w:p>
      <w:pPr>
        <w:spacing w:after="0" w:line="91" w:lineRule="exact"/>
        <w:rPr>
          <w:sz w:val="20"/>
          <w:szCs w:val="20"/>
          <w:color w:val="auto"/>
        </w:rPr>
      </w:pPr>
    </w:p>
    <w:p>
      <w:pPr>
        <w:ind w:left="1440" w:hanging="148"/>
        <w:spacing w:after="0"/>
        <w:tabs>
          <w:tab w:leader="none" w:pos="1440" w:val="left"/>
        </w:tabs>
        <w:numPr>
          <w:ilvl w:val="1"/>
          <w:numId w:val="390"/>
        </w:numPr>
        <w:rPr>
          <w:rFonts w:ascii="Arial" w:cs="Arial" w:eastAsia="Arial" w:hAnsi="Arial"/>
          <w:sz w:val="20"/>
          <w:szCs w:val="20"/>
          <w:color w:val="auto"/>
        </w:rPr>
      </w:pPr>
      <w:r>
        <w:rPr>
          <w:rFonts w:ascii="Arial" w:cs="Arial" w:eastAsia="Arial" w:hAnsi="Arial"/>
          <w:sz w:val="20"/>
          <w:szCs w:val="20"/>
          <w:color w:val="auto"/>
        </w:rPr>
        <w:t>Linear interpolation shall be applied between each threshold.</w:t>
      </w:r>
    </w:p>
    <w:p>
      <w:pPr>
        <w:spacing w:after="0" w:line="25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ESG Metrics Scorecard</w:t>
      </w:r>
      <w:r>
        <w:rPr>
          <w:rFonts w:ascii="Arial" w:cs="Arial" w:eastAsia="Arial" w:hAnsi="Arial"/>
          <w:sz w:val="19"/>
          <w:szCs w:val="19"/>
          <w:color w:val="auto"/>
        </w:rPr>
        <w:t>. The Performance Goal relating to the ESG Metrics Scorecard for each Tranche is as follows:</w:t>
      </w:r>
    </w:p>
    <w:p>
      <w:pPr>
        <w:spacing w:after="0" w:line="269" w:lineRule="exact"/>
        <w:rPr>
          <w:sz w:val="20"/>
          <w:szCs w:val="20"/>
          <w:color w:val="auto"/>
        </w:rPr>
      </w:pPr>
    </w:p>
    <w:tbl>
      <w:tblPr>
        <w:tblLayout w:type="fixed"/>
        <w:tblInd w:w="1310" w:type="dxa"/>
        <w:tblCellMar>
          <w:top w:w="0" w:type="dxa"/>
          <w:left w:w="0" w:type="dxa"/>
          <w:bottom w:w="0" w:type="dxa"/>
          <w:right w:w="0" w:type="dxa"/>
        </w:tblCellMar>
      </w:tblPr>
      <w:tr>
        <w:trPr>
          <w:trHeight w:val="256"/>
        </w:trPr>
        <w:tc>
          <w:tcPr>
            <w:tcW w:w="312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0"/>
              </w:rPr>
              <w:t>Company’s ESG Metrics</w:t>
            </w:r>
          </w:p>
        </w:tc>
        <w:tc>
          <w:tcPr>
            <w:tcW w:w="308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7"/>
              </w:rPr>
              <w:t>Value Earned as Percentage of</w:t>
            </w:r>
          </w:p>
        </w:tc>
      </w:tr>
      <w:tr>
        <w:trPr>
          <w:trHeight w:val="291"/>
        </w:trPr>
        <w:tc>
          <w:tcPr>
            <w:tcW w:w="3120" w:type="dxa"/>
            <w:vAlign w:val="bottom"/>
            <w:tcBorders>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Scorecard Grade</w:t>
            </w:r>
          </w:p>
        </w:tc>
        <w:tc>
          <w:tcPr>
            <w:tcW w:w="30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Target</w:t>
            </w:r>
          </w:p>
        </w:tc>
      </w:tr>
      <w:tr>
        <w:trPr>
          <w:trHeight w:val="249"/>
        </w:trPr>
        <w:tc>
          <w:tcPr>
            <w:tcW w:w="3120" w:type="dxa"/>
            <w:vAlign w:val="bottom"/>
            <w:tcBorders>
              <w:left w:val="single" w:sz="8" w:color="auto"/>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8"/>
              </w:rPr>
              <w:t>Equal to or greater than</w:t>
            </w:r>
          </w:p>
        </w:tc>
        <w:tc>
          <w:tcPr>
            <w:tcW w:w="30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8"/>
              </w:rPr>
              <w:t>200%</w:t>
            </w:r>
          </w:p>
        </w:tc>
      </w:tr>
      <w:tr>
        <w:trPr>
          <w:trHeight w:val="285"/>
        </w:trPr>
        <w:tc>
          <w:tcPr>
            <w:tcW w:w="3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90 points</w:t>
            </w:r>
          </w:p>
        </w:tc>
        <w:tc>
          <w:tcPr>
            <w:tcW w:w="3080" w:type="dxa"/>
            <w:vAlign w:val="bottom"/>
            <w:tcBorders>
              <w:bottom w:val="single" w:sz="8" w:color="auto"/>
              <w:right w:val="single" w:sz="8" w:color="auto"/>
            </w:tcBorders>
          </w:tcPr>
          <w:p>
            <w:pPr>
              <w:spacing w:after="0"/>
              <w:rPr>
                <w:sz w:val="24"/>
                <w:szCs w:val="24"/>
                <w:color w:val="auto"/>
              </w:rPr>
            </w:pPr>
          </w:p>
        </w:tc>
      </w:tr>
      <w:tr>
        <w:trPr>
          <w:trHeight w:val="249"/>
        </w:trPr>
        <w:tc>
          <w:tcPr>
            <w:tcW w:w="3120" w:type="dxa"/>
            <w:vAlign w:val="bottom"/>
            <w:tcBorders>
              <w:left w:val="single" w:sz="8" w:color="auto"/>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8"/>
              </w:rPr>
              <w:t>Equal to or greater than</w:t>
            </w:r>
          </w:p>
        </w:tc>
        <w:tc>
          <w:tcPr>
            <w:tcW w:w="3080" w:type="dxa"/>
            <w:vAlign w:val="bottom"/>
            <w:tcBorders>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8"/>
              </w:rPr>
              <w:t>150%</w:t>
            </w:r>
          </w:p>
        </w:tc>
      </w:tr>
      <w:tr>
        <w:trPr>
          <w:trHeight w:val="243"/>
        </w:trPr>
        <w:tc>
          <w:tcPr>
            <w:tcW w:w="3120" w:type="dxa"/>
            <w:vAlign w:val="bottom"/>
            <w:tcBorders>
              <w:left w:val="single" w:sz="8" w:color="auto"/>
              <w:right w:val="single" w:sz="8" w:color="auto"/>
            </w:tcBorders>
          </w:tcPr>
          <w:p>
            <w:pPr>
              <w:jc w:val="center"/>
              <w:spacing w:after="0" w:line="243" w:lineRule="exact"/>
              <w:rPr>
                <w:sz w:val="20"/>
                <w:szCs w:val="20"/>
                <w:color w:val="auto"/>
              </w:rPr>
            </w:pPr>
            <w:r>
              <w:rPr>
                <w:rFonts w:ascii="Arial" w:cs="Arial" w:eastAsia="Arial" w:hAnsi="Arial"/>
                <w:sz w:val="22"/>
                <w:szCs w:val="22"/>
                <w:color w:val="auto"/>
                <w:w w:val="89"/>
              </w:rPr>
              <w:t>85 points, but fewer</w:t>
            </w:r>
          </w:p>
        </w:tc>
        <w:tc>
          <w:tcPr>
            <w:tcW w:w="3080" w:type="dxa"/>
            <w:vAlign w:val="bottom"/>
            <w:tcBorders>
              <w:right w:val="single" w:sz="8" w:color="auto"/>
            </w:tcBorders>
          </w:tcPr>
          <w:p>
            <w:pPr>
              <w:spacing w:after="0"/>
              <w:rPr>
                <w:sz w:val="21"/>
                <w:szCs w:val="21"/>
                <w:color w:val="auto"/>
              </w:rPr>
            </w:pPr>
          </w:p>
        </w:tc>
      </w:tr>
      <w:tr>
        <w:trPr>
          <w:trHeight w:val="285"/>
        </w:trPr>
        <w:tc>
          <w:tcPr>
            <w:tcW w:w="31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than 90 points</w:t>
            </w:r>
          </w:p>
        </w:tc>
        <w:tc>
          <w:tcPr>
            <w:tcW w:w="30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420"/>
          </w:cols>
          <w:pgMar w:left="980" w:top="132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00"/>
        <w:spacing w:after="0"/>
        <w:rPr>
          <w:sz w:val="20"/>
          <w:szCs w:val="20"/>
          <w:color w:val="auto"/>
        </w:rPr>
      </w:pPr>
      <w:r>
        <w:rPr>
          <w:rFonts w:ascii="Arial" w:cs="Arial" w:eastAsia="Arial" w:hAnsi="Arial"/>
          <w:sz w:val="19"/>
          <w:szCs w:val="19"/>
          <w:color w:val="auto"/>
        </w:rPr>
        <w:t>B-2</w:t>
      </w:r>
    </w:p>
    <w:p>
      <w:pPr>
        <w:sectPr>
          <w:pgSz w:w="11900" w:h="16838" w:orient="portrait"/>
          <w:cols w:equalWidth="0" w:num="1">
            <w:col w:w="10420"/>
          </w:cols>
          <w:pgMar w:left="980" w:top="1321" w:right="499" w:bottom="1440" w:gutter="0" w:footer="0" w:header="0"/>
          <w:type w:val="continuous"/>
        </w:sectPr>
      </w:pPr>
    </w:p>
    <w:bookmarkStart w:id="438" w:name="page439"/>
    <w:bookmarkEnd w:id="438"/>
    <w:tbl>
      <w:tblPr>
        <w:tblLayout w:type="fixed"/>
        <w:tblInd w:w="1962" w:type="dxa"/>
        <w:tblCellMar>
          <w:top w:w="0" w:type="dxa"/>
          <w:left w:w="0" w:type="dxa"/>
          <w:bottom w:w="0" w:type="dxa"/>
          <w:right w:w="0" w:type="dxa"/>
        </w:tblCellMar>
      </w:tblPr>
      <w:tr>
        <w:trPr>
          <w:trHeight w:val="262"/>
        </w:trPr>
        <w:tc>
          <w:tcPr>
            <w:tcW w:w="3120" w:type="dxa"/>
            <w:vAlign w:val="bottom"/>
            <w:tcBorders>
              <w:top w:val="single" w:sz="8" w:color="auto"/>
              <w:left w:val="single" w:sz="8" w:color="auto"/>
              <w:right w:val="single" w:sz="8" w:color="auto"/>
            </w:tcBorders>
          </w:tcPr>
          <w:p>
            <w:pPr>
              <w:ind w:left="500"/>
              <w:spacing w:after="0"/>
              <w:rPr>
                <w:sz w:val="20"/>
                <w:szCs w:val="20"/>
                <w:color w:val="auto"/>
              </w:rPr>
            </w:pPr>
            <w:r>
              <w:rPr>
                <w:rFonts w:ascii="Arial" w:cs="Arial" w:eastAsia="Arial" w:hAnsi="Arial"/>
                <w:sz w:val="22"/>
                <w:szCs w:val="22"/>
                <w:color w:val="auto"/>
              </w:rPr>
              <w:t>Equal to or greater than</w:t>
            </w:r>
          </w:p>
        </w:tc>
        <w:tc>
          <w:tcPr>
            <w:tcW w:w="3080" w:type="dxa"/>
            <w:vAlign w:val="bottom"/>
            <w:tcBorders>
              <w:top w:val="single" w:sz="8" w:color="auto"/>
              <w:right w:val="single" w:sz="8" w:color="auto"/>
            </w:tcBorders>
          </w:tcPr>
          <w:p>
            <w:pPr>
              <w:jc w:val="right"/>
              <w:ind w:right="1192"/>
              <w:spacing w:after="0"/>
              <w:rPr>
                <w:sz w:val="20"/>
                <w:szCs w:val="20"/>
                <w:color w:val="auto"/>
              </w:rPr>
            </w:pPr>
            <w:r>
              <w:rPr>
                <w:rFonts w:ascii="Arial" w:cs="Arial" w:eastAsia="Arial" w:hAnsi="Arial"/>
                <w:sz w:val="22"/>
                <w:szCs w:val="22"/>
                <w:color w:val="auto"/>
              </w:rPr>
              <w:t>100%</w:t>
            </w:r>
          </w:p>
        </w:tc>
      </w:tr>
      <w:tr>
        <w:trPr>
          <w:trHeight w:val="243"/>
        </w:trPr>
        <w:tc>
          <w:tcPr>
            <w:tcW w:w="3120" w:type="dxa"/>
            <w:vAlign w:val="bottom"/>
            <w:tcBorders>
              <w:left w:val="single" w:sz="8" w:color="auto"/>
              <w:right w:val="single" w:sz="8" w:color="auto"/>
            </w:tcBorders>
          </w:tcPr>
          <w:p>
            <w:pPr>
              <w:ind w:left="660"/>
              <w:spacing w:after="0" w:line="243" w:lineRule="exact"/>
              <w:rPr>
                <w:sz w:val="20"/>
                <w:szCs w:val="20"/>
                <w:color w:val="auto"/>
              </w:rPr>
            </w:pPr>
            <w:r>
              <w:rPr>
                <w:rFonts w:ascii="Arial" w:cs="Arial" w:eastAsia="Arial" w:hAnsi="Arial"/>
                <w:sz w:val="22"/>
                <w:szCs w:val="22"/>
                <w:color w:val="auto"/>
              </w:rPr>
              <w:t>80 points, but fewer</w:t>
            </w:r>
          </w:p>
        </w:tc>
        <w:tc>
          <w:tcPr>
            <w:tcW w:w="3080" w:type="dxa"/>
            <w:vAlign w:val="bottom"/>
            <w:tcBorders>
              <w:right w:val="single" w:sz="8" w:color="auto"/>
            </w:tcBorders>
          </w:tcPr>
          <w:p>
            <w:pPr>
              <w:spacing w:after="0"/>
              <w:rPr>
                <w:sz w:val="21"/>
                <w:szCs w:val="21"/>
                <w:color w:val="auto"/>
              </w:rPr>
            </w:pPr>
          </w:p>
        </w:tc>
      </w:tr>
      <w:tr>
        <w:trPr>
          <w:trHeight w:val="285"/>
        </w:trPr>
        <w:tc>
          <w:tcPr>
            <w:tcW w:w="3120" w:type="dxa"/>
            <w:vAlign w:val="bottom"/>
            <w:tcBorders>
              <w:left w:val="single" w:sz="8" w:color="auto"/>
              <w:bottom w:val="single" w:sz="8" w:color="auto"/>
              <w:right w:val="single" w:sz="8" w:color="auto"/>
            </w:tcBorders>
          </w:tcPr>
          <w:p>
            <w:pPr>
              <w:ind w:left="940"/>
              <w:spacing w:after="0"/>
              <w:rPr>
                <w:sz w:val="20"/>
                <w:szCs w:val="20"/>
                <w:color w:val="auto"/>
              </w:rPr>
            </w:pPr>
            <w:r>
              <w:rPr>
                <w:rFonts w:ascii="Arial" w:cs="Arial" w:eastAsia="Arial" w:hAnsi="Arial"/>
                <w:sz w:val="22"/>
                <w:szCs w:val="22"/>
                <w:color w:val="auto"/>
              </w:rPr>
              <w:t>than 85 points</w:t>
            </w:r>
          </w:p>
        </w:tc>
        <w:tc>
          <w:tcPr>
            <w:tcW w:w="3080" w:type="dxa"/>
            <w:vAlign w:val="bottom"/>
            <w:tcBorders>
              <w:bottom w:val="single" w:sz="8" w:color="auto"/>
              <w:right w:val="single" w:sz="8" w:color="auto"/>
            </w:tcBorders>
          </w:tcPr>
          <w:p>
            <w:pPr>
              <w:spacing w:after="0"/>
              <w:rPr>
                <w:sz w:val="24"/>
                <w:szCs w:val="24"/>
                <w:color w:val="auto"/>
              </w:rPr>
            </w:pPr>
          </w:p>
        </w:tc>
      </w:tr>
      <w:tr>
        <w:trPr>
          <w:trHeight w:val="291"/>
        </w:trPr>
        <w:tc>
          <w:tcPr>
            <w:tcW w:w="3120" w:type="dxa"/>
            <w:vAlign w:val="bottom"/>
            <w:tcBorders>
              <w:left w:val="single" w:sz="8" w:color="auto"/>
              <w:bottom w:val="single" w:sz="8" w:color="auto"/>
              <w:right w:val="single" w:sz="8" w:color="auto"/>
            </w:tcBorders>
          </w:tcPr>
          <w:p>
            <w:pPr>
              <w:ind w:left="640"/>
              <w:spacing w:after="0"/>
              <w:rPr>
                <w:sz w:val="20"/>
                <w:szCs w:val="20"/>
                <w:color w:val="auto"/>
              </w:rPr>
            </w:pPr>
            <w:r>
              <w:rPr>
                <w:rFonts w:ascii="Arial" w:cs="Arial" w:eastAsia="Arial" w:hAnsi="Arial"/>
                <w:sz w:val="22"/>
                <w:szCs w:val="22"/>
                <w:color w:val="auto"/>
              </w:rPr>
              <w:t>Fewer than 80 points</w:t>
            </w:r>
          </w:p>
        </w:tc>
        <w:tc>
          <w:tcPr>
            <w:tcW w:w="3080" w:type="dxa"/>
            <w:vAlign w:val="bottom"/>
            <w:tcBorders>
              <w:bottom w:val="single" w:sz="8" w:color="auto"/>
              <w:right w:val="single" w:sz="8" w:color="auto"/>
            </w:tcBorders>
          </w:tcPr>
          <w:p>
            <w:pPr>
              <w:jc w:val="right"/>
              <w:ind w:right="1312"/>
              <w:spacing w:after="0"/>
              <w:rPr>
                <w:sz w:val="20"/>
                <w:szCs w:val="20"/>
                <w:color w:val="auto"/>
              </w:rPr>
            </w:pPr>
            <w:r>
              <w:rPr>
                <w:rFonts w:ascii="Arial" w:cs="Arial" w:eastAsia="Arial" w:hAnsi="Arial"/>
                <w:sz w:val="22"/>
                <w:szCs w:val="22"/>
                <w:color w:val="auto"/>
              </w:rPr>
              <w:t>0%</w:t>
            </w:r>
          </w:p>
        </w:tc>
      </w:tr>
    </w:tbl>
    <w:p>
      <w:pPr>
        <w:spacing w:after="0" w:line="343" w:lineRule="exact"/>
        <w:rPr>
          <w:sz w:val="20"/>
          <w:szCs w:val="20"/>
          <w:color w:val="auto"/>
        </w:rPr>
      </w:pPr>
    </w:p>
    <w:p>
      <w:pPr>
        <w:ind w:left="652" w:right="60" w:hanging="652"/>
        <w:spacing w:after="0" w:line="253" w:lineRule="auto"/>
        <w:tabs>
          <w:tab w:leader="none" w:pos="220" w:val="left"/>
        </w:tabs>
        <w:numPr>
          <w:ilvl w:val="0"/>
          <w:numId w:val="391"/>
        </w:numPr>
        <w:rPr>
          <w:rFonts w:ascii="Arial" w:cs="Arial" w:eastAsia="Arial" w:hAnsi="Arial"/>
          <w:sz w:val="22"/>
          <w:szCs w:val="22"/>
          <w:color w:val="auto"/>
        </w:rPr>
      </w:pPr>
      <w:r>
        <w:rPr>
          <w:rFonts w:ascii="Arial" w:cs="Arial" w:eastAsia="Arial" w:hAnsi="Arial"/>
          <w:sz w:val="22"/>
          <w:szCs w:val="22"/>
          <w:u w:val="single" w:color="auto"/>
          <w:color w:val="auto"/>
        </w:rPr>
        <w:t>Determination of Performance Goal Achievement</w:t>
      </w:r>
      <w:r>
        <w:rPr>
          <w:rFonts w:ascii="Arial" w:cs="Arial" w:eastAsia="Arial" w:hAnsi="Arial"/>
          <w:sz w:val="22"/>
          <w:szCs w:val="22"/>
          <w:color w:val="auto"/>
        </w:rPr>
        <w:t>. Promptly following, and in any event no later than the March 10 immediately after, the completion of each Performance Period, the Committee will certify the actual level of achievement of each Performance Goal applicable to such Performance Period.</w:t>
      </w:r>
    </w:p>
    <w:p>
      <w:pPr>
        <w:spacing w:after="0" w:line="185" w:lineRule="exact"/>
        <w:rPr>
          <w:rFonts w:ascii="Arial" w:cs="Arial" w:eastAsia="Arial" w:hAnsi="Arial"/>
          <w:sz w:val="22"/>
          <w:szCs w:val="22"/>
          <w:color w:val="auto"/>
        </w:rPr>
      </w:pPr>
    </w:p>
    <w:p>
      <w:pPr>
        <w:ind w:left="652" w:right="80" w:hanging="652"/>
        <w:spacing w:after="0" w:line="263" w:lineRule="auto"/>
        <w:tabs>
          <w:tab w:leader="none" w:pos="220" w:val="left"/>
        </w:tabs>
        <w:numPr>
          <w:ilvl w:val="0"/>
          <w:numId w:val="391"/>
        </w:numPr>
        <w:rPr>
          <w:rFonts w:ascii="Arial" w:cs="Arial" w:eastAsia="Arial" w:hAnsi="Arial"/>
          <w:sz w:val="22"/>
          <w:szCs w:val="22"/>
          <w:color w:val="auto"/>
        </w:rPr>
      </w:pPr>
      <w:r>
        <w:rPr>
          <w:rFonts w:ascii="Arial" w:cs="Arial" w:eastAsia="Arial" w:hAnsi="Arial"/>
          <w:sz w:val="22"/>
          <w:szCs w:val="22"/>
          <w:u w:val="single" w:color="auto"/>
          <w:color w:val="auto"/>
        </w:rPr>
        <w:t>Payout Formula</w:t>
      </w:r>
      <w:r>
        <w:rPr>
          <w:rFonts w:ascii="Arial" w:cs="Arial" w:eastAsia="Arial" w:hAnsi="Arial"/>
          <w:sz w:val="22"/>
          <w:szCs w:val="22"/>
          <w:color w:val="auto"/>
        </w:rPr>
        <w:t xml:space="preserve">. Except as otherwise expressly provided in </w:t>
      </w:r>
      <w:r>
        <w:rPr>
          <w:rFonts w:ascii="Arial" w:cs="Arial" w:eastAsia="Arial" w:hAnsi="Arial"/>
          <w:sz w:val="22"/>
          <w:szCs w:val="22"/>
          <w:u w:val="single" w:color="auto"/>
          <w:color w:val="auto"/>
        </w:rPr>
        <w:t>Section 2(c)</w:t>
      </w:r>
      <w:r>
        <w:rPr>
          <w:rFonts w:ascii="Arial" w:cs="Arial" w:eastAsia="Arial" w:hAnsi="Arial"/>
          <w:sz w:val="22"/>
          <w:szCs w:val="22"/>
          <w:color w:val="auto"/>
        </w:rPr>
        <w:t xml:space="preserve"> of the Award Agreement, the Earned Amount of each Tranche shall be equal to the sum of:</w:t>
      </w:r>
    </w:p>
    <w:p>
      <w:pPr>
        <w:spacing w:after="0" w:line="174" w:lineRule="exact"/>
        <w:rPr>
          <w:rFonts w:ascii="Arial" w:cs="Arial" w:eastAsia="Arial" w:hAnsi="Arial"/>
          <w:sz w:val="22"/>
          <w:szCs w:val="22"/>
          <w:color w:val="auto"/>
        </w:rPr>
      </w:pPr>
    </w:p>
    <w:p>
      <w:pPr>
        <w:ind w:left="1292" w:right="20" w:hanging="644"/>
        <w:spacing w:after="0" w:line="253" w:lineRule="auto"/>
        <w:tabs>
          <w:tab w:leader="none" w:pos="848" w:val="left"/>
        </w:tabs>
        <w:numPr>
          <w:ilvl w:val="1"/>
          <w:numId w:val="391"/>
        </w:numPr>
        <w:rPr>
          <w:rFonts w:ascii="Arial" w:cs="Arial" w:eastAsia="Arial" w:hAnsi="Arial"/>
          <w:sz w:val="22"/>
          <w:szCs w:val="22"/>
          <w:color w:val="auto"/>
        </w:rPr>
      </w:pPr>
      <w:r>
        <w:rPr>
          <w:rFonts w:ascii="Arial" w:cs="Arial" w:eastAsia="Arial" w:hAnsi="Arial"/>
          <w:sz w:val="22"/>
          <w:szCs w:val="22"/>
          <w:color w:val="auto"/>
        </w:rPr>
        <w:t xml:space="preserve">the product of (i) 50% of the Target Amount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(ii) the Value Earned as a Percentage of Target Amount based on achievement of the Performance Goal relating to the Company’s Adjusted Cash Flow Per Share, calculated as set forth in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above, </w:t>
      </w:r>
      <w:r>
        <w:rPr>
          <w:rFonts w:ascii="Arial" w:cs="Arial" w:eastAsia="Arial" w:hAnsi="Arial"/>
          <w:sz w:val="22"/>
          <w:szCs w:val="22"/>
          <w:u w:val="single" w:color="auto"/>
          <w:color w:val="auto"/>
        </w:rPr>
        <w:t>plus</w:t>
      </w:r>
    </w:p>
    <w:p>
      <w:pPr>
        <w:spacing w:after="0" w:line="185" w:lineRule="exact"/>
        <w:rPr>
          <w:rFonts w:ascii="Arial" w:cs="Arial" w:eastAsia="Arial" w:hAnsi="Arial"/>
          <w:sz w:val="22"/>
          <w:szCs w:val="22"/>
          <w:color w:val="auto"/>
        </w:rPr>
      </w:pPr>
    </w:p>
    <w:p>
      <w:pPr>
        <w:ind w:left="1292" w:right="420" w:hanging="644"/>
        <w:spacing w:after="0" w:line="312" w:lineRule="auto"/>
        <w:tabs>
          <w:tab w:leader="none" w:pos="860" w:val="left"/>
        </w:tabs>
        <w:numPr>
          <w:ilvl w:val="1"/>
          <w:numId w:val="391"/>
        </w:numPr>
        <w:rPr>
          <w:rFonts w:ascii="Arial" w:cs="Arial" w:eastAsia="Arial" w:hAnsi="Arial"/>
          <w:sz w:val="19"/>
          <w:szCs w:val="19"/>
          <w:color w:val="auto"/>
        </w:rPr>
      </w:pPr>
      <w:r>
        <w:rPr>
          <w:rFonts w:ascii="Arial" w:cs="Arial" w:eastAsia="Arial" w:hAnsi="Arial"/>
          <w:sz w:val="19"/>
          <w:szCs w:val="19"/>
          <w:color w:val="auto"/>
        </w:rPr>
        <w:t xml:space="preserve">the product of (i) 25% of the Target Amount (as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(ii) the Value Earned as a Percentage of Target Amount based on achievement of the Performance Goal relating to the Company’s Relative Growth in Adjusted Cash Flow Per Share, calculated as set forth in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above, </w:t>
      </w:r>
      <w:r>
        <w:rPr>
          <w:rFonts w:ascii="Arial" w:cs="Arial" w:eastAsia="Arial" w:hAnsi="Arial"/>
          <w:sz w:val="19"/>
          <w:szCs w:val="19"/>
          <w:u w:val="single" w:color="auto"/>
          <w:color w:val="auto"/>
        </w:rPr>
        <w:t>plus</w:t>
      </w:r>
    </w:p>
    <w:p>
      <w:pPr>
        <w:spacing w:after="0" w:line="133" w:lineRule="exact"/>
        <w:rPr>
          <w:rFonts w:ascii="Arial" w:cs="Arial" w:eastAsia="Arial" w:hAnsi="Arial"/>
          <w:sz w:val="19"/>
          <w:szCs w:val="19"/>
          <w:color w:val="auto"/>
        </w:rPr>
      </w:pPr>
    </w:p>
    <w:p>
      <w:pPr>
        <w:ind w:left="1292" w:right="140" w:hanging="644"/>
        <w:spacing w:after="0" w:line="253" w:lineRule="auto"/>
        <w:tabs>
          <w:tab w:leader="none" w:pos="848" w:val="left"/>
        </w:tabs>
        <w:numPr>
          <w:ilvl w:val="1"/>
          <w:numId w:val="391"/>
        </w:numPr>
        <w:rPr>
          <w:rFonts w:ascii="Arial" w:cs="Arial" w:eastAsia="Arial" w:hAnsi="Arial"/>
          <w:sz w:val="22"/>
          <w:szCs w:val="22"/>
          <w:color w:val="auto"/>
        </w:rPr>
      </w:pPr>
      <w:r>
        <w:rPr>
          <w:rFonts w:ascii="Arial" w:cs="Arial" w:eastAsia="Arial" w:hAnsi="Arial"/>
          <w:sz w:val="22"/>
          <w:szCs w:val="22"/>
          <w:color w:val="auto"/>
        </w:rPr>
        <w:t xml:space="preserve">the product of (i) 25% of the Target Amount (as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(ii) the Value Earned as a Percentage of Target Amount based on achievement of the Performance Goal relating to the ESG Metrics Scorecard, calculated as set forth in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above.</w:t>
      </w:r>
    </w:p>
    <w:p>
      <w:pPr>
        <w:spacing w:after="0" w:line="185" w:lineRule="exact"/>
        <w:rPr>
          <w:rFonts w:ascii="Arial" w:cs="Arial" w:eastAsia="Arial" w:hAnsi="Arial"/>
          <w:sz w:val="22"/>
          <w:szCs w:val="22"/>
          <w:color w:val="auto"/>
        </w:rPr>
      </w:pPr>
    </w:p>
    <w:p>
      <w:pPr>
        <w:ind w:left="212" w:hanging="212"/>
        <w:spacing w:after="0"/>
        <w:tabs>
          <w:tab w:leader="none" w:pos="212" w:val="left"/>
        </w:tabs>
        <w:numPr>
          <w:ilvl w:val="0"/>
          <w:numId w:val="391"/>
        </w:numPr>
        <w:rPr>
          <w:rFonts w:ascii="Arial" w:cs="Arial" w:eastAsia="Arial" w:hAnsi="Arial"/>
          <w:sz w:val="22"/>
          <w:szCs w:val="22"/>
          <w:color w:val="auto"/>
        </w:rPr>
      </w:pPr>
      <w:r>
        <w:rPr>
          <w:rFonts w:ascii="Arial" w:cs="Arial" w:eastAsia="Arial" w:hAnsi="Arial"/>
          <w:sz w:val="22"/>
          <w:szCs w:val="22"/>
          <w:u w:val="single" w:color="auto"/>
          <w:color w:val="auto"/>
        </w:rPr>
        <w:t>Certain Definitions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92" w:hanging="644"/>
        <w:spacing w:after="0" w:line="259" w:lineRule="auto"/>
        <w:tabs>
          <w:tab w:leader="none" w:pos="848" w:val="left"/>
        </w:tabs>
        <w:numPr>
          <w:ilvl w:val="1"/>
          <w:numId w:val="39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Comparator Group</w:t>
      </w:r>
      <w:r>
        <w:rPr>
          <w:rFonts w:ascii="Arial" w:cs="Arial" w:eastAsia="Arial" w:hAnsi="Arial"/>
          <w:sz w:val="21"/>
          <w:szCs w:val="21"/>
          <w:color w:val="auto"/>
        </w:rPr>
        <w:t>” means the group consisting of the following companies, it being understood that if any such company ceases to be an independent, publicly traded company for any reason (including without limitation an acquisition, merger, bankruptcy or liquidation) during any Performance Period, or sells certain assets or enters into a new line of business that changes the composition of its business profile during any Performance Period, then the Committee may either cause such company to cease to constitute a member of the Comparator Group for such Performance Period and each Performance Period commencing thereafter, or provide for adjustments that normalize for the impact of such changes on the Relative Growth in Adjusted Cash Flow Per Share metric, in each case, in its sole discretion:</w:t>
      </w:r>
    </w:p>
    <w:p>
      <w:pPr>
        <w:spacing w:after="0" w:line="183" w:lineRule="exact"/>
        <w:rPr>
          <w:rFonts w:ascii="Arial" w:cs="Arial" w:eastAsia="Arial" w:hAnsi="Arial"/>
          <w:sz w:val="21"/>
          <w:szCs w:val="21"/>
          <w:color w:val="auto"/>
        </w:rPr>
      </w:pPr>
    </w:p>
    <w:p>
      <w:pPr>
        <w:ind w:left="1632" w:hanging="174"/>
        <w:spacing w:after="0"/>
        <w:tabs>
          <w:tab w:leader="none" w:pos="1632" w:val="left"/>
        </w:tabs>
        <w:numPr>
          <w:ilvl w:val="2"/>
          <w:numId w:val="391"/>
        </w:numPr>
        <w:rPr>
          <w:rFonts w:ascii="Arial" w:cs="Arial" w:eastAsia="Arial" w:hAnsi="Arial"/>
          <w:sz w:val="22"/>
          <w:szCs w:val="22"/>
          <w:color w:val="auto"/>
        </w:rPr>
      </w:pPr>
      <w:r>
        <w:rPr>
          <w:rFonts w:ascii="Arial" w:cs="Arial" w:eastAsia="Arial" w:hAnsi="Arial"/>
          <w:sz w:val="22"/>
          <w:szCs w:val="22"/>
          <w:color w:val="auto"/>
        </w:rPr>
        <w:t>United Parcel Service, Inc. Class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212"/>
          </w:cols>
          <w:pgMar w:left="328" w:top="1321" w:right="359" w:bottom="1440" w:gutter="0" w:footer="0" w:header="0"/>
        </w:sectPr>
      </w:pPr>
    </w:p>
    <w:bookmarkStart w:id="439" w:name="page440"/>
    <w:bookmarkEnd w:id="439"/>
    <w:p>
      <w:pPr>
        <w:ind w:left="1044" w:hanging="234"/>
        <w:spacing w:after="0"/>
        <w:tabs>
          <w:tab w:leader="none" w:pos="1044" w:val="left"/>
        </w:tabs>
        <w:numPr>
          <w:ilvl w:val="1"/>
          <w:numId w:val="392"/>
        </w:numPr>
        <w:rPr>
          <w:rFonts w:ascii="Arial" w:cs="Arial" w:eastAsia="Arial" w:hAnsi="Arial"/>
          <w:sz w:val="22"/>
          <w:szCs w:val="22"/>
          <w:color w:val="auto"/>
        </w:rPr>
      </w:pPr>
      <w:r>
        <w:rPr>
          <w:rFonts w:ascii="Arial" w:cs="Arial" w:eastAsia="Arial" w:hAnsi="Arial"/>
          <w:sz w:val="22"/>
          <w:szCs w:val="22"/>
          <w:color w:val="auto"/>
        </w:rPr>
        <w:t>FedEx Corporation</w:t>
      </w:r>
    </w:p>
    <w:p>
      <w:pPr>
        <w:spacing w:after="0" w:line="21" w:lineRule="exact"/>
        <w:rPr>
          <w:rFonts w:ascii="Arial" w:cs="Arial" w:eastAsia="Arial" w:hAnsi="Arial"/>
          <w:sz w:val="22"/>
          <w:szCs w:val="22"/>
          <w:color w:val="auto"/>
        </w:rPr>
      </w:pPr>
    </w:p>
    <w:p>
      <w:pPr>
        <w:ind w:left="1104" w:hanging="294"/>
        <w:spacing w:after="0"/>
        <w:tabs>
          <w:tab w:leader="none" w:pos="1104" w:val="left"/>
        </w:tabs>
        <w:numPr>
          <w:ilvl w:val="1"/>
          <w:numId w:val="392"/>
        </w:numPr>
        <w:rPr>
          <w:rFonts w:ascii="Arial" w:cs="Arial" w:eastAsia="Arial" w:hAnsi="Arial"/>
          <w:sz w:val="22"/>
          <w:szCs w:val="22"/>
          <w:color w:val="auto"/>
        </w:rPr>
      </w:pPr>
      <w:r>
        <w:rPr>
          <w:rFonts w:ascii="Arial" w:cs="Arial" w:eastAsia="Arial" w:hAnsi="Arial"/>
          <w:sz w:val="22"/>
          <w:szCs w:val="22"/>
          <w:color w:val="auto"/>
        </w:rPr>
        <w:t>C.H. Robinson Worldwide, Inc.</w:t>
      </w:r>
    </w:p>
    <w:p>
      <w:pPr>
        <w:spacing w:after="0" w:line="3" w:lineRule="exact"/>
        <w:rPr>
          <w:rFonts w:ascii="Arial" w:cs="Arial" w:eastAsia="Arial" w:hAnsi="Arial"/>
          <w:sz w:val="22"/>
          <w:szCs w:val="22"/>
          <w:color w:val="auto"/>
        </w:rPr>
      </w:pPr>
    </w:p>
    <w:p>
      <w:pPr>
        <w:ind w:left="1064" w:hanging="254"/>
        <w:spacing w:after="0"/>
        <w:tabs>
          <w:tab w:leader="none" w:pos="1064" w:val="left"/>
        </w:tabs>
        <w:numPr>
          <w:ilvl w:val="1"/>
          <w:numId w:val="392"/>
        </w:numPr>
        <w:rPr>
          <w:rFonts w:ascii="Arial" w:cs="Arial" w:eastAsia="Arial" w:hAnsi="Arial"/>
          <w:sz w:val="22"/>
          <w:szCs w:val="22"/>
          <w:color w:val="auto"/>
        </w:rPr>
      </w:pPr>
      <w:r>
        <w:rPr>
          <w:rFonts w:ascii="Arial" w:cs="Arial" w:eastAsia="Arial" w:hAnsi="Arial"/>
          <w:sz w:val="22"/>
          <w:szCs w:val="22"/>
          <w:color w:val="auto"/>
        </w:rPr>
        <w:t>J.B. Hunt Transport Services, Inc.</w:t>
      </w:r>
    </w:p>
    <w:p>
      <w:pPr>
        <w:spacing w:after="0" w:line="3" w:lineRule="exact"/>
        <w:rPr>
          <w:rFonts w:ascii="Arial" w:cs="Arial" w:eastAsia="Arial" w:hAnsi="Arial"/>
          <w:sz w:val="22"/>
          <w:szCs w:val="22"/>
          <w:color w:val="auto"/>
        </w:rPr>
      </w:pPr>
    </w:p>
    <w:p>
      <w:pPr>
        <w:ind w:left="1004" w:hanging="194"/>
        <w:spacing w:after="0"/>
        <w:tabs>
          <w:tab w:leader="none" w:pos="1004" w:val="left"/>
        </w:tabs>
        <w:numPr>
          <w:ilvl w:val="1"/>
          <w:numId w:val="392"/>
        </w:numPr>
        <w:rPr>
          <w:rFonts w:ascii="Arial" w:cs="Arial" w:eastAsia="Arial" w:hAnsi="Arial"/>
          <w:sz w:val="22"/>
          <w:szCs w:val="22"/>
          <w:color w:val="auto"/>
        </w:rPr>
      </w:pPr>
      <w:r>
        <w:rPr>
          <w:rFonts w:ascii="Arial" w:cs="Arial" w:eastAsia="Arial" w:hAnsi="Arial"/>
          <w:sz w:val="22"/>
          <w:szCs w:val="22"/>
          <w:color w:val="auto"/>
        </w:rPr>
        <w:t>Ryder System, Inc.</w:t>
      </w:r>
    </w:p>
    <w:p>
      <w:pPr>
        <w:spacing w:after="0" w:line="3" w:lineRule="exact"/>
        <w:rPr>
          <w:rFonts w:ascii="Arial" w:cs="Arial" w:eastAsia="Arial" w:hAnsi="Arial"/>
          <w:sz w:val="22"/>
          <w:szCs w:val="22"/>
          <w:color w:val="auto"/>
        </w:rPr>
      </w:pPr>
    </w:p>
    <w:p>
      <w:pPr>
        <w:ind w:left="1084" w:hanging="274"/>
        <w:spacing w:after="0"/>
        <w:tabs>
          <w:tab w:leader="none" w:pos="1084" w:val="left"/>
        </w:tabs>
        <w:numPr>
          <w:ilvl w:val="1"/>
          <w:numId w:val="392"/>
        </w:numPr>
        <w:rPr>
          <w:rFonts w:ascii="Arial" w:cs="Arial" w:eastAsia="Arial" w:hAnsi="Arial"/>
          <w:sz w:val="22"/>
          <w:szCs w:val="22"/>
          <w:color w:val="auto"/>
        </w:rPr>
      </w:pPr>
      <w:r>
        <w:rPr>
          <w:rFonts w:ascii="Arial" w:cs="Arial" w:eastAsia="Arial" w:hAnsi="Arial"/>
          <w:sz w:val="22"/>
          <w:szCs w:val="22"/>
          <w:color w:val="auto"/>
        </w:rPr>
        <w:t>Expeditors International of Washington, Inc.</w:t>
      </w:r>
    </w:p>
    <w:p>
      <w:pPr>
        <w:spacing w:after="0" w:line="3" w:lineRule="exact"/>
        <w:rPr>
          <w:rFonts w:ascii="Arial" w:cs="Arial" w:eastAsia="Arial" w:hAnsi="Arial"/>
          <w:sz w:val="22"/>
          <w:szCs w:val="22"/>
          <w:color w:val="auto"/>
        </w:rPr>
      </w:pPr>
    </w:p>
    <w:p>
      <w:pPr>
        <w:ind w:left="1144" w:hanging="334"/>
        <w:spacing w:after="0"/>
        <w:tabs>
          <w:tab w:leader="none" w:pos="1144" w:val="left"/>
        </w:tabs>
        <w:numPr>
          <w:ilvl w:val="1"/>
          <w:numId w:val="392"/>
        </w:numPr>
        <w:rPr>
          <w:rFonts w:ascii="Arial" w:cs="Arial" w:eastAsia="Arial" w:hAnsi="Arial"/>
          <w:sz w:val="22"/>
          <w:szCs w:val="22"/>
          <w:color w:val="auto"/>
        </w:rPr>
      </w:pPr>
      <w:r>
        <w:rPr>
          <w:rFonts w:ascii="Arial" w:cs="Arial" w:eastAsia="Arial" w:hAnsi="Arial"/>
          <w:sz w:val="22"/>
          <w:szCs w:val="22"/>
          <w:color w:val="auto"/>
        </w:rPr>
        <w:t>YRC Worldwide Inc.</w:t>
      </w:r>
    </w:p>
    <w:p>
      <w:pPr>
        <w:spacing w:after="0" w:line="3" w:lineRule="exact"/>
        <w:rPr>
          <w:rFonts w:ascii="Arial" w:cs="Arial" w:eastAsia="Arial" w:hAnsi="Arial"/>
          <w:sz w:val="22"/>
          <w:szCs w:val="22"/>
          <w:color w:val="auto"/>
        </w:rPr>
      </w:pPr>
    </w:p>
    <w:p>
      <w:pPr>
        <w:ind w:left="1204" w:hanging="394"/>
        <w:spacing w:after="0"/>
        <w:tabs>
          <w:tab w:leader="none" w:pos="1204" w:val="left"/>
        </w:tabs>
        <w:numPr>
          <w:ilvl w:val="1"/>
          <w:numId w:val="392"/>
        </w:numPr>
        <w:rPr>
          <w:rFonts w:ascii="Arial" w:cs="Arial" w:eastAsia="Arial" w:hAnsi="Arial"/>
          <w:sz w:val="22"/>
          <w:szCs w:val="22"/>
          <w:color w:val="auto"/>
        </w:rPr>
      </w:pPr>
      <w:r>
        <w:rPr>
          <w:rFonts w:ascii="Arial" w:cs="Arial" w:eastAsia="Arial" w:hAnsi="Arial"/>
          <w:sz w:val="22"/>
          <w:szCs w:val="22"/>
          <w:color w:val="auto"/>
        </w:rPr>
        <w:t>Echo Global Logistics, Inc</w:t>
      </w:r>
    </w:p>
    <w:p>
      <w:pPr>
        <w:spacing w:after="0" w:line="3" w:lineRule="exact"/>
        <w:rPr>
          <w:rFonts w:ascii="Arial" w:cs="Arial" w:eastAsia="Arial" w:hAnsi="Arial"/>
          <w:sz w:val="22"/>
          <w:szCs w:val="22"/>
          <w:color w:val="auto"/>
        </w:rPr>
      </w:pPr>
    </w:p>
    <w:p>
      <w:pPr>
        <w:ind w:left="1084" w:hanging="274"/>
        <w:spacing w:after="0"/>
        <w:tabs>
          <w:tab w:leader="none" w:pos="1084" w:val="left"/>
        </w:tabs>
        <w:numPr>
          <w:ilvl w:val="1"/>
          <w:numId w:val="392"/>
        </w:numPr>
        <w:rPr>
          <w:rFonts w:ascii="Arial" w:cs="Arial" w:eastAsia="Arial" w:hAnsi="Arial"/>
          <w:sz w:val="22"/>
          <w:szCs w:val="22"/>
          <w:color w:val="auto"/>
        </w:rPr>
      </w:pPr>
      <w:r>
        <w:rPr>
          <w:rFonts w:ascii="Arial" w:cs="Arial" w:eastAsia="Arial" w:hAnsi="Arial"/>
          <w:sz w:val="22"/>
          <w:szCs w:val="22"/>
          <w:color w:val="auto"/>
        </w:rPr>
        <w:t>Hub Group, Inc. Class A</w:t>
      </w:r>
    </w:p>
    <w:p>
      <w:pPr>
        <w:spacing w:after="0" w:line="3" w:lineRule="exact"/>
        <w:rPr>
          <w:rFonts w:ascii="Arial" w:cs="Arial" w:eastAsia="Arial" w:hAnsi="Arial"/>
          <w:sz w:val="22"/>
          <w:szCs w:val="22"/>
          <w:color w:val="auto"/>
        </w:rPr>
      </w:pPr>
    </w:p>
    <w:p>
      <w:pPr>
        <w:ind w:left="1024" w:hanging="214"/>
        <w:spacing w:after="0"/>
        <w:tabs>
          <w:tab w:leader="none" w:pos="1024" w:val="left"/>
        </w:tabs>
        <w:numPr>
          <w:ilvl w:val="1"/>
          <w:numId w:val="392"/>
        </w:numPr>
        <w:rPr>
          <w:rFonts w:ascii="Arial" w:cs="Arial" w:eastAsia="Arial" w:hAnsi="Arial"/>
          <w:sz w:val="22"/>
          <w:szCs w:val="22"/>
          <w:color w:val="auto"/>
        </w:rPr>
      </w:pPr>
      <w:r>
        <w:rPr>
          <w:rFonts w:ascii="Arial" w:cs="Arial" w:eastAsia="Arial" w:hAnsi="Arial"/>
          <w:sz w:val="22"/>
          <w:szCs w:val="22"/>
          <w:color w:val="auto"/>
        </w:rPr>
        <w:t>Old Dominion Freight Line, Inc.</w:t>
      </w:r>
    </w:p>
    <w:p>
      <w:pPr>
        <w:spacing w:after="0" w:line="3" w:lineRule="exact"/>
        <w:rPr>
          <w:rFonts w:ascii="Arial" w:cs="Arial" w:eastAsia="Arial" w:hAnsi="Arial"/>
          <w:sz w:val="22"/>
          <w:szCs w:val="22"/>
          <w:color w:val="auto"/>
        </w:rPr>
      </w:pPr>
    </w:p>
    <w:p>
      <w:pPr>
        <w:ind w:left="1084" w:hanging="274"/>
        <w:spacing w:after="0"/>
        <w:tabs>
          <w:tab w:leader="none" w:pos="1084" w:val="left"/>
        </w:tabs>
        <w:numPr>
          <w:ilvl w:val="1"/>
          <w:numId w:val="392"/>
        </w:numPr>
        <w:rPr>
          <w:rFonts w:ascii="Arial" w:cs="Arial" w:eastAsia="Arial" w:hAnsi="Arial"/>
          <w:sz w:val="22"/>
          <w:szCs w:val="22"/>
          <w:color w:val="auto"/>
        </w:rPr>
      </w:pPr>
      <w:r>
        <w:rPr>
          <w:rFonts w:ascii="Arial" w:cs="Arial" w:eastAsia="Arial" w:hAnsi="Arial"/>
          <w:sz w:val="22"/>
          <w:szCs w:val="22"/>
          <w:color w:val="auto"/>
        </w:rPr>
        <w:t>ArcBest Corporation</w:t>
      </w:r>
    </w:p>
    <w:p>
      <w:pPr>
        <w:spacing w:after="0" w:line="3" w:lineRule="exact"/>
        <w:rPr>
          <w:rFonts w:ascii="Arial" w:cs="Arial" w:eastAsia="Arial" w:hAnsi="Arial"/>
          <w:sz w:val="22"/>
          <w:szCs w:val="22"/>
          <w:color w:val="auto"/>
        </w:rPr>
      </w:pPr>
    </w:p>
    <w:p>
      <w:pPr>
        <w:ind w:left="1144" w:hanging="334"/>
        <w:spacing w:after="0"/>
        <w:tabs>
          <w:tab w:leader="none" w:pos="1144" w:val="left"/>
        </w:tabs>
        <w:numPr>
          <w:ilvl w:val="1"/>
          <w:numId w:val="392"/>
        </w:numPr>
        <w:rPr>
          <w:rFonts w:ascii="Arial" w:cs="Arial" w:eastAsia="Arial" w:hAnsi="Arial"/>
          <w:sz w:val="22"/>
          <w:szCs w:val="22"/>
          <w:color w:val="auto"/>
        </w:rPr>
      </w:pPr>
      <w:r>
        <w:rPr>
          <w:rFonts w:ascii="Arial" w:cs="Arial" w:eastAsia="Arial" w:hAnsi="Arial"/>
          <w:sz w:val="22"/>
          <w:szCs w:val="22"/>
          <w:color w:val="auto"/>
        </w:rPr>
        <w:t>Saia, Inc.</w:t>
      </w:r>
    </w:p>
    <w:p>
      <w:pPr>
        <w:spacing w:after="0" w:line="3" w:lineRule="exact"/>
        <w:rPr>
          <w:rFonts w:ascii="Arial" w:cs="Arial" w:eastAsia="Arial" w:hAnsi="Arial"/>
          <w:sz w:val="22"/>
          <w:szCs w:val="22"/>
          <w:color w:val="auto"/>
        </w:rPr>
      </w:pPr>
    </w:p>
    <w:p>
      <w:pPr>
        <w:ind w:left="1204" w:hanging="394"/>
        <w:spacing w:after="0"/>
        <w:tabs>
          <w:tab w:leader="none" w:pos="1204" w:val="left"/>
        </w:tabs>
        <w:numPr>
          <w:ilvl w:val="1"/>
          <w:numId w:val="392"/>
        </w:numPr>
        <w:rPr>
          <w:rFonts w:ascii="Arial" w:cs="Arial" w:eastAsia="Arial" w:hAnsi="Arial"/>
          <w:sz w:val="22"/>
          <w:szCs w:val="22"/>
          <w:color w:val="auto"/>
        </w:rPr>
      </w:pPr>
      <w:r>
        <w:rPr>
          <w:rFonts w:ascii="Arial" w:cs="Arial" w:eastAsia="Arial" w:hAnsi="Arial"/>
          <w:sz w:val="22"/>
          <w:szCs w:val="22"/>
          <w:color w:val="auto"/>
        </w:rPr>
        <w:t>DSV Panalpina A/S</w:t>
      </w:r>
    </w:p>
    <w:p>
      <w:pPr>
        <w:spacing w:after="0" w:line="3" w:lineRule="exact"/>
        <w:rPr>
          <w:rFonts w:ascii="Arial" w:cs="Arial" w:eastAsia="Arial" w:hAnsi="Arial"/>
          <w:sz w:val="22"/>
          <w:szCs w:val="22"/>
          <w:color w:val="auto"/>
        </w:rPr>
      </w:pPr>
    </w:p>
    <w:p>
      <w:pPr>
        <w:ind w:left="1184" w:hanging="374"/>
        <w:spacing w:after="0"/>
        <w:tabs>
          <w:tab w:leader="none" w:pos="1184" w:val="left"/>
        </w:tabs>
        <w:numPr>
          <w:ilvl w:val="1"/>
          <w:numId w:val="392"/>
        </w:numPr>
        <w:rPr>
          <w:rFonts w:ascii="Arial" w:cs="Arial" w:eastAsia="Arial" w:hAnsi="Arial"/>
          <w:sz w:val="22"/>
          <w:szCs w:val="22"/>
          <w:color w:val="auto"/>
        </w:rPr>
      </w:pPr>
      <w:r>
        <w:rPr>
          <w:rFonts w:ascii="Arial" w:cs="Arial" w:eastAsia="Arial" w:hAnsi="Arial"/>
          <w:sz w:val="22"/>
          <w:szCs w:val="22"/>
          <w:color w:val="auto"/>
        </w:rPr>
        <w:t>Kuehne &amp; Nagel International AG</w:t>
      </w:r>
    </w:p>
    <w:p>
      <w:pPr>
        <w:spacing w:after="0" w:line="3" w:lineRule="exact"/>
        <w:rPr>
          <w:rFonts w:ascii="Arial" w:cs="Arial" w:eastAsia="Arial" w:hAnsi="Arial"/>
          <w:sz w:val="22"/>
          <w:szCs w:val="22"/>
          <w:color w:val="auto"/>
        </w:rPr>
      </w:pPr>
    </w:p>
    <w:p>
      <w:pPr>
        <w:ind w:left="1124" w:hanging="314"/>
        <w:spacing w:after="0"/>
        <w:tabs>
          <w:tab w:leader="none" w:pos="1124" w:val="left"/>
        </w:tabs>
        <w:numPr>
          <w:ilvl w:val="1"/>
          <w:numId w:val="392"/>
        </w:numPr>
        <w:rPr>
          <w:rFonts w:ascii="Arial" w:cs="Arial" w:eastAsia="Arial" w:hAnsi="Arial"/>
          <w:sz w:val="22"/>
          <w:szCs w:val="22"/>
          <w:color w:val="auto"/>
        </w:rPr>
      </w:pPr>
      <w:r>
        <w:rPr>
          <w:rFonts w:ascii="Arial" w:cs="Arial" w:eastAsia="Arial" w:hAnsi="Arial"/>
          <w:sz w:val="22"/>
          <w:szCs w:val="22"/>
          <w:color w:val="auto"/>
        </w:rPr>
        <w:t>Werner Enterprises, Inc.</w:t>
      </w:r>
    </w:p>
    <w:p>
      <w:pPr>
        <w:spacing w:after="0" w:line="3" w:lineRule="exact"/>
        <w:rPr>
          <w:rFonts w:ascii="Arial" w:cs="Arial" w:eastAsia="Arial" w:hAnsi="Arial"/>
          <w:sz w:val="22"/>
          <w:szCs w:val="22"/>
          <w:color w:val="auto"/>
        </w:rPr>
      </w:pPr>
    </w:p>
    <w:p>
      <w:pPr>
        <w:ind w:left="1204" w:hanging="394"/>
        <w:spacing w:after="0"/>
        <w:tabs>
          <w:tab w:leader="none" w:pos="1204" w:val="left"/>
        </w:tabs>
        <w:numPr>
          <w:ilvl w:val="1"/>
          <w:numId w:val="392"/>
        </w:numPr>
        <w:rPr>
          <w:rFonts w:ascii="Arial" w:cs="Arial" w:eastAsia="Arial" w:hAnsi="Arial"/>
          <w:sz w:val="22"/>
          <w:szCs w:val="22"/>
          <w:color w:val="auto"/>
        </w:rPr>
      </w:pPr>
      <w:r>
        <w:rPr>
          <w:rFonts w:ascii="Arial" w:cs="Arial" w:eastAsia="Arial" w:hAnsi="Arial"/>
          <w:sz w:val="22"/>
          <w:szCs w:val="22"/>
          <w:color w:val="auto"/>
        </w:rPr>
        <w:t>Landstar System, Inc.</w:t>
      </w:r>
    </w:p>
    <w:p>
      <w:pPr>
        <w:spacing w:after="0" w:line="161" w:lineRule="exact"/>
        <w:rPr>
          <w:rFonts w:ascii="Arial" w:cs="Arial" w:eastAsia="Arial" w:hAnsi="Arial"/>
          <w:sz w:val="22"/>
          <w:szCs w:val="22"/>
          <w:color w:val="auto"/>
        </w:rPr>
      </w:pPr>
    </w:p>
    <w:p>
      <w:pPr>
        <w:ind w:left="644" w:right="60" w:hanging="644"/>
        <w:spacing w:after="0" w:line="297" w:lineRule="auto"/>
        <w:tabs>
          <w:tab w:leader="none" w:pos="212" w:val="left"/>
        </w:tabs>
        <w:numPr>
          <w:ilvl w:val="0"/>
          <w:numId w:val="3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ESG Metrics Scorecard</w:t>
      </w:r>
      <w:r>
        <w:rPr>
          <w:rFonts w:ascii="Arial" w:cs="Arial" w:eastAsia="Arial" w:hAnsi="Arial"/>
          <w:sz w:val="19"/>
          <w:szCs w:val="19"/>
          <w:color w:val="auto"/>
        </w:rPr>
        <w:t>” means a scorecard approved by the Committee not later than September 30, 2020 that sets forth performance initiatives and metrics for each Performance Period in the categories of workforce/talent, employee and community safety, diversity and inclusion, data security, environment and sustainability, and/or governance. Such scorecard shall assign a number of points to each initiative or metric such that the total number of points for the initiatives and metrics relating to each Performance Period is equal to one hundred (100).</w:t>
      </w:r>
    </w:p>
    <w:p>
      <w:pPr>
        <w:spacing w:after="0" w:line="146" w:lineRule="exact"/>
        <w:rPr>
          <w:rFonts w:ascii="Arial" w:cs="Arial" w:eastAsia="Arial" w:hAnsi="Arial"/>
          <w:sz w:val="19"/>
          <w:szCs w:val="19"/>
          <w:color w:val="auto"/>
        </w:rPr>
      </w:pPr>
    </w:p>
    <w:p>
      <w:pPr>
        <w:ind w:left="644" w:right="20" w:hanging="644"/>
        <w:spacing w:after="0" w:line="297" w:lineRule="auto"/>
        <w:tabs>
          <w:tab w:leader="none" w:pos="200" w:val="left"/>
        </w:tabs>
        <w:numPr>
          <w:ilvl w:val="0"/>
          <w:numId w:val="3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Cash Flow Per Share</w:t>
      </w:r>
      <w:r>
        <w:rPr>
          <w:rFonts w:ascii="Arial" w:cs="Arial" w:eastAsia="Arial" w:hAnsi="Arial"/>
          <w:sz w:val="19"/>
          <w:szCs w:val="19"/>
          <w:color w:val="auto"/>
        </w:rPr>
        <w:t>” means (i) Adjusted EBITDA (determined in accordance with the company’s monthly operating reports and for external reporting purposes and adjusted for the impact of stock and long-term cash-based compensation) less gross capital expenditures and net interest divided by (ii) diluted shares outstanding (provided that the Committee may, in its discretion, adjust the number of diluted shares outstanding to neutralize the impact of changes in capital structure (including stock splits, reverse stock splits, or stock dividends)).</w:t>
      </w:r>
    </w:p>
    <w:p>
      <w:pPr>
        <w:spacing w:after="0" w:line="146" w:lineRule="exact"/>
        <w:rPr>
          <w:rFonts w:ascii="Arial" w:cs="Arial" w:eastAsia="Arial" w:hAnsi="Arial"/>
          <w:sz w:val="19"/>
          <w:szCs w:val="19"/>
          <w:color w:val="auto"/>
        </w:rPr>
      </w:pPr>
    </w:p>
    <w:p>
      <w:pPr>
        <w:ind w:left="644" w:hanging="644"/>
        <w:spacing w:after="0" w:line="259" w:lineRule="auto"/>
        <w:tabs>
          <w:tab w:leader="none" w:pos="212" w:val="left"/>
        </w:tabs>
        <w:numPr>
          <w:ilvl w:val="0"/>
          <w:numId w:val="39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Relative Growth in Adjusted Cash Flow Per Share Percentile Rank</w:t>
      </w:r>
      <w:r>
        <w:rPr>
          <w:rFonts w:ascii="Arial" w:cs="Arial" w:eastAsia="Arial" w:hAnsi="Arial"/>
          <w:sz w:val="21"/>
          <w:szCs w:val="21"/>
          <w:color w:val="auto"/>
        </w:rPr>
        <w:t>” means the percentile rank, calculated in accordance with the methodology approved by the Committee, of the Company’s Growth in Adjusted Cash Flow Per Share relative to the Growth in Adjusted Cash Flow Per Share of the companies in the Comparator Group. “</w:t>
      </w:r>
      <w:r>
        <w:rPr>
          <w:rFonts w:ascii="Arial" w:cs="Arial" w:eastAsia="Arial" w:hAnsi="Arial"/>
          <w:sz w:val="21"/>
          <w:szCs w:val="21"/>
          <w:u w:val="single" w:color="auto"/>
          <w:color w:val="auto"/>
        </w:rPr>
        <w:t>Growth</w:t>
      </w:r>
      <w:r>
        <w:rPr>
          <w:rFonts w:ascii="Arial" w:cs="Arial" w:eastAsia="Arial" w:hAnsi="Arial"/>
          <w:sz w:val="21"/>
          <w:szCs w:val="21"/>
          <w:color w:val="auto"/>
        </w:rPr>
        <w:t>”, for the Company and each member of the Comparator Group, shall refer to (i) with respect to the 2020 Tranche, the percent change in Adjusted Cash Flow Per Share between applicable Performance Period (i.e., second-half of calendar year 2020) and the second-half of calendar year 2019, and (ii) with respect to each subsequent Tranche, the percent change in Adjusted Cash Flow Per Share between the applicable Performance Period and calendar year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04"/>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0484"/>
          </w:cols>
          <w:pgMar w:left="976" w:top="1306" w:right="439" w:bottom="1440" w:gutter="0" w:footer="0" w:header="0"/>
        </w:sectPr>
      </w:pPr>
    </w:p>
    <w:bookmarkStart w:id="440" w:name="page441"/>
    <w:bookmarkEnd w:id="4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Bradley S. Jacobs, certify that:</w:t>
      </w:r>
    </w:p>
    <w:p>
      <w:pPr>
        <w:spacing w:after="0" w:line="117" w:lineRule="exact"/>
        <w:rPr>
          <w:sz w:val="20"/>
          <w:szCs w:val="20"/>
          <w:color w:val="auto"/>
        </w:rPr>
      </w:pPr>
    </w:p>
    <w:p>
      <w:pPr>
        <w:ind w:left="640" w:hanging="187"/>
        <w:spacing w:after="0"/>
        <w:tabs>
          <w:tab w:leader="none" w:pos="64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2020 of XPO Logistics, Inc.;</w:t>
      </w:r>
    </w:p>
    <w:p>
      <w:pPr>
        <w:spacing w:after="0" w:line="117"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39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453"/>
        <w:spacing w:after="0" w:line="263" w:lineRule="auto"/>
        <w:tabs>
          <w:tab w:leader="none" w:pos="62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80" w:firstLine="899"/>
        <w:spacing w:after="0" w:line="263" w:lineRule="auto"/>
        <w:tabs>
          <w:tab w:leader="none" w:pos="1136" w:val="left"/>
        </w:tabs>
        <w:numPr>
          <w:ilvl w:val="1"/>
          <w:numId w:val="3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899"/>
        <w:spacing w:after="0" w:line="263" w:lineRule="auto"/>
        <w:tabs>
          <w:tab w:leader="none" w:pos="1146" w:val="left"/>
        </w:tabs>
        <w:numPr>
          <w:ilvl w:val="1"/>
          <w:numId w:val="3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400" w:firstLine="899"/>
        <w:spacing w:after="0" w:line="342" w:lineRule="auto"/>
        <w:tabs>
          <w:tab w:leader="none" w:pos="1136" w:val="left"/>
        </w:tabs>
        <w:numPr>
          <w:ilvl w:val="1"/>
          <w:numId w:val="3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899"/>
        <w:spacing w:after="0" w:line="263" w:lineRule="auto"/>
        <w:tabs>
          <w:tab w:leader="none" w:pos="1146" w:val="left"/>
        </w:tabs>
        <w:numPr>
          <w:ilvl w:val="1"/>
          <w:numId w:val="3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00" w:firstLine="453"/>
        <w:spacing w:after="0" w:line="308" w:lineRule="auto"/>
        <w:tabs>
          <w:tab w:leader="none" w:pos="625"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20" w:firstLine="899"/>
        <w:spacing w:after="0" w:line="308" w:lineRule="auto"/>
        <w:tabs>
          <w:tab w:leader="none" w:pos="1136" w:val="left"/>
        </w:tabs>
        <w:numPr>
          <w:ilvl w:val="1"/>
          <w:numId w:val="39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00" w:firstLine="899"/>
        <w:spacing w:after="0" w:line="277" w:lineRule="auto"/>
        <w:tabs>
          <w:tab w:leader="none" w:pos="1146"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 Bradley S.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31750</wp:posOffset>
            </wp:positionV>
            <wp:extent cx="25374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7"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Bradley S. Jacobs</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2020</w:t>
      </w:r>
    </w:p>
    <w:p>
      <w:pPr>
        <w:sectPr>
          <w:pgSz w:w="11900" w:h="16838" w:orient="portrait"/>
          <w:cols w:equalWidth="0" w:num="1">
            <w:col w:w="11240"/>
          </w:cols>
          <w:pgMar w:left="320" w:top="1417" w:right="339" w:bottom="1440" w:gutter="0" w:footer="0" w:header="0"/>
        </w:sectPr>
      </w:pPr>
    </w:p>
    <w:bookmarkStart w:id="441" w:name="page442"/>
    <w:bookmarkEnd w:id="4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B. Wyshner, certify that:</w:t>
      </w:r>
    </w:p>
    <w:p>
      <w:pPr>
        <w:spacing w:after="0" w:line="117" w:lineRule="exact"/>
        <w:rPr>
          <w:sz w:val="20"/>
          <w:szCs w:val="20"/>
          <w:color w:val="auto"/>
        </w:rPr>
      </w:pPr>
    </w:p>
    <w:p>
      <w:pPr>
        <w:ind w:left="640" w:hanging="187"/>
        <w:spacing w:after="0"/>
        <w:tabs>
          <w:tab w:leader="none" w:pos="6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2020 of XPO Logistics, Inc.;</w:t>
      </w:r>
    </w:p>
    <w:p>
      <w:pPr>
        <w:spacing w:after="0" w:line="117"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39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453"/>
        <w:spacing w:after="0" w:line="263" w:lineRule="auto"/>
        <w:tabs>
          <w:tab w:leader="none" w:pos="62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80" w:firstLine="899"/>
        <w:spacing w:after="0" w:line="263" w:lineRule="auto"/>
        <w:tabs>
          <w:tab w:leader="none" w:pos="1136" w:val="left"/>
        </w:tabs>
        <w:numPr>
          <w:ilvl w:val="1"/>
          <w:numId w:val="3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899"/>
        <w:spacing w:after="0" w:line="263" w:lineRule="auto"/>
        <w:tabs>
          <w:tab w:leader="none" w:pos="1146" w:val="left"/>
        </w:tabs>
        <w:numPr>
          <w:ilvl w:val="1"/>
          <w:numId w:val="3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400" w:firstLine="899"/>
        <w:spacing w:after="0" w:line="342" w:lineRule="auto"/>
        <w:tabs>
          <w:tab w:leader="none" w:pos="1136" w:val="left"/>
        </w:tabs>
        <w:numPr>
          <w:ilvl w:val="1"/>
          <w:numId w:val="3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899"/>
        <w:spacing w:after="0" w:line="263" w:lineRule="auto"/>
        <w:tabs>
          <w:tab w:leader="none" w:pos="1146" w:val="left"/>
        </w:tabs>
        <w:numPr>
          <w:ilvl w:val="1"/>
          <w:numId w:val="3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00" w:firstLine="453"/>
        <w:spacing w:after="0" w:line="308" w:lineRule="auto"/>
        <w:tabs>
          <w:tab w:leader="none" w:pos="625" w:val="left"/>
        </w:tabs>
        <w:numPr>
          <w:ilvl w:val="0"/>
          <w:numId w:val="39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20" w:firstLine="899"/>
        <w:spacing w:after="0" w:line="308" w:lineRule="auto"/>
        <w:tabs>
          <w:tab w:leader="none" w:pos="1136" w:val="left"/>
        </w:tabs>
        <w:numPr>
          <w:ilvl w:val="1"/>
          <w:numId w:val="39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00" w:firstLine="899"/>
        <w:spacing w:after="0" w:line="277" w:lineRule="auto"/>
        <w:tabs>
          <w:tab w:leader="none" w:pos="1146" w:val="left"/>
        </w:tabs>
        <w:numPr>
          <w:ilvl w:val="1"/>
          <w:numId w:val="3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31750</wp:posOffset>
            </wp:positionV>
            <wp:extent cx="25374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7"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David B. Wyshner</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2020</w:t>
      </w:r>
    </w:p>
    <w:p>
      <w:pPr>
        <w:sectPr>
          <w:pgSz w:w="11900" w:h="16838" w:orient="portrait"/>
          <w:cols w:equalWidth="0" w:num="1">
            <w:col w:w="11240"/>
          </w:cols>
          <w:pgMar w:left="320" w:top="1417" w:right="339" w:bottom="1440" w:gutter="0" w:footer="0" w:header="0"/>
        </w:sectPr>
      </w:pPr>
    </w:p>
    <w:bookmarkStart w:id="442" w:name="page443"/>
    <w:bookmarkEnd w:id="4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Executive Officer of XPO Logistics, Inc. (the “Company”), hereby certify, based on my knowledge, that the Quarterly Report on Form 10-Q of the Company for the quarter ended June 30, 2020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 Bradley S.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31750</wp:posOffset>
            </wp:positionV>
            <wp:extent cx="25374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7"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Bradley S. Jacobs</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(Principal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2020</w:t>
      </w:r>
    </w:p>
    <w:p>
      <w:pPr>
        <w:sectPr>
          <w:pgSz w:w="11900" w:h="16838" w:orient="portrait"/>
          <w:cols w:equalWidth="0" w:num="1">
            <w:col w:w="11240"/>
          </w:cols>
          <w:pgMar w:left="320" w:top="1417" w:right="339" w:bottom="1440" w:gutter="0" w:footer="0" w:header="0"/>
        </w:sectPr>
      </w:pPr>
    </w:p>
    <w:bookmarkStart w:id="443" w:name="page444"/>
    <w:bookmarkEnd w:id="4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Financial Officer of XPO Logistics, Inc. (the “Company”), hereby certify, based on my knowledge, that the Quarterly Report on Form 10-Q of the Company for the quarter ended June 30, 2020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31750</wp:posOffset>
            </wp:positionV>
            <wp:extent cx="25374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57"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David B. Wyshner</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(Principal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3, 2020</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68AB2"/>
    <w:multiLevelType w:val="hybridMultilevel"/>
    <w:lvl w:ilvl="0">
      <w:lvlJc w:val="left"/>
      <w:lvlText w:val="☒"/>
      <w:numFmt w:val="bullet"/>
      <w:start w:val="1"/>
    </w:lvl>
  </w:abstractNum>
  <w:abstractNum w:abstractNumId="1">
    <w:nsid w:val="3A966CD0"/>
    <w:multiLevelType w:val="hybridMultilevel"/>
    <w:lvl w:ilvl="0">
      <w:lvlJc w:val="left"/>
      <w:lvlText w:val="☐"/>
      <w:numFmt w:val="bullet"/>
      <w:start w:val="1"/>
    </w:lvl>
  </w:abstractNum>
  <w:abstractNum w:abstractNumId="2">
    <w:nsid w:val="63F37E85"/>
    <w:multiLevelType w:val="hybridMultilevel"/>
    <w:lvl w:ilvl="0">
      <w:lvlJc w:val="left"/>
      <w:lvlText w:val="•"/>
      <w:numFmt w:val="bullet"/>
      <w:start w:val="1"/>
    </w:lvl>
  </w:abstractNum>
  <w:abstractNum w:abstractNumId="3">
    <w:nsid w:val="5895F5FA"/>
    <w:multiLevelType w:val="hybridMultilevel"/>
    <w:lvl w:ilvl="0">
      <w:lvlJc w:val="left"/>
      <w:lvlText w:val="(%1)"/>
      <w:numFmt w:val="decimal"/>
      <w:start w:val="1"/>
    </w:lvl>
  </w:abstractNum>
  <w:abstractNum w:abstractNumId="4">
    <w:nsid w:val="38A5D054"/>
    <w:multiLevelType w:val="hybridMultilevel"/>
    <w:lvl w:ilvl="0">
      <w:lvlJc w:val="left"/>
      <w:lvlText w:val="•"/>
      <w:numFmt w:val="bullet"/>
      <w:start w:val="1"/>
    </w:lvl>
  </w:abstractNum>
  <w:abstractNum w:abstractNumId="5">
    <w:nsid w:val="F3F09D8"/>
    <w:multiLevelType w:val="hybridMultilevel"/>
    <w:lvl w:ilvl="0">
      <w:lvlJc w:val="left"/>
      <w:lvlText w:val="(%1)"/>
      <w:numFmt w:val="decimal"/>
      <w:start w:val="1"/>
    </w:lvl>
  </w:abstractNum>
  <w:abstractNum w:abstractNumId="6">
    <w:nsid w:val="4B793735"/>
    <w:multiLevelType w:val="hybridMultilevel"/>
    <w:lvl w:ilvl="0">
      <w:lvlJc w:val="left"/>
      <w:lvlText w:val="(%1)"/>
      <w:numFmt w:val="decimal"/>
      <w:start w:val="1"/>
    </w:lvl>
  </w:abstractNum>
  <w:abstractNum w:abstractNumId="7">
    <w:nsid w:val="4A10B4E8"/>
    <w:multiLevelType w:val="hybridMultilevel"/>
    <w:lvl w:ilvl="0">
      <w:lvlJc w:val="left"/>
      <w:lvlText w:val="•"/>
      <w:numFmt w:val="bullet"/>
      <w:start w:val="1"/>
    </w:lvl>
  </w:abstractNum>
  <w:abstractNum w:abstractNumId="8">
    <w:nsid w:val="43D3BCD4"/>
    <w:multiLevelType w:val="hybridMultilevel"/>
    <w:lvl w:ilvl="0">
      <w:lvlJc w:val="left"/>
      <w:lvlText w:val="•"/>
      <w:numFmt w:val="bullet"/>
      <w:start w:val="1"/>
    </w:lvl>
  </w:abstractNum>
  <w:abstractNum w:abstractNumId="9">
    <w:nsid w:val="4C2A7166"/>
    <w:multiLevelType w:val="hybridMultilevel"/>
    <w:lvl w:ilvl="0">
      <w:lvlJc w:val="left"/>
      <w:lvlText w:val="(%1)"/>
      <w:numFmt w:val="decimal"/>
      <w:start w:val="25"/>
    </w:lvl>
  </w:abstractNum>
  <w:abstractNum w:abstractNumId="10">
    <w:nsid w:val="2E534A82"/>
    <w:multiLevelType w:val="hybridMultilevel"/>
    <w:lvl w:ilvl="0">
      <w:lvlJc w:val="left"/>
      <w:lvlText w:val="(%1)"/>
      <w:numFmt w:val="lowerLetter"/>
      <w:start w:val="1"/>
    </w:lvl>
  </w:abstractNum>
  <w:abstractNum w:abstractNumId="11">
    <w:nsid w:val="26F2D364"/>
    <w:multiLevelType w:val="hybridMultilevel"/>
    <w:lvl w:ilvl="0">
      <w:lvlJc w:val="left"/>
      <w:lvlText w:val="(%1)"/>
      <w:numFmt w:val="lowerLetter"/>
      <w:start w:val="1"/>
    </w:lvl>
  </w:abstractNum>
  <w:abstractNum w:abstractNumId="12">
    <w:nsid w:val="71C1AF98"/>
    <w:multiLevelType w:val="hybridMultilevel"/>
    <w:lvl w:ilvl="0">
      <w:lvlJc w:val="left"/>
      <w:lvlText w:val="%1."/>
      <w:numFmt w:val="decimal"/>
      <w:start w:val="1"/>
    </w:lvl>
  </w:abstractNum>
  <w:abstractNum w:abstractNumId="13">
    <w:nsid w:val="3D00B9D9"/>
    <w:multiLevelType w:val="hybridMultilevel"/>
    <w:lvl w:ilvl="0">
      <w:lvlJc w:val="left"/>
      <w:lvlText w:val="(%1)"/>
      <w:numFmt w:val="lowerRoman"/>
    </w:lvl>
    <w:lvl w:ilvl="1">
      <w:lvlJc w:val="left"/>
      <w:lvlText w:val="&lt;"/>
      <w:numFmt w:val="bullet"/>
      <w:start w:val="1"/>
    </w:lvl>
  </w:abstractNum>
  <w:abstractNum w:abstractNumId="14">
    <w:nsid w:val="15BCABA8"/>
    <w:multiLevelType w:val="hybridMultilevel"/>
    <w:lvl w:ilvl="0">
      <w:lvlJc w:val="left"/>
      <w:lvlText w:val="(%1)"/>
      <w:numFmt w:val="lowerLetter"/>
      <w:start w:val="2"/>
    </w:lvl>
  </w:abstractNum>
  <w:abstractNum w:abstractNumId="15">
    <w:nsid w:val="4E0B9A87"/>
    <w:multiLevelType w:val="hybridMultilevel"/>
    <w:lvl w:ilvl="0">
      <w:lvlJc w:val="left"/>
      <w:lvlText w:val="(%1)"/>
      <w:numFmt w:val="lowerRoman"/>
      <w:start w:val="1"/>
    </w:lvl>
  </w:abstractNum>
  <w:abstractNum w:abstractNumId="16">
    <w:nsid w:val="434BAE75"/>
    <w:multiLevelType w:val="hybridMultilevel"/>
    <w:lvl w:ilvl="0">
      <w:lvlJc w:val="left"/>
      <w:lvlText w:val="(%1)"/>
      <w:numFmt w:val="lowerRoman"/>
      <w:start w:val="2"/>
    </w:lvl>
  </w:abstractNum>
  <w:abstractNum w:abstractNumId="17">
    <w:nsid w:val="4F38F265"/>
    <w:multiLevelType w:val="hybridMultilevel"/>
    <w:lvl w:ilvl="0">
      <w:lvlJc w:val="left"/>
      <w:lvlText w:val="(%1)"/>
      <w:numFmt w:val="lowerLetter"/>
      <w:start w:val="1"/>
    </w:lvl>
    <w:lvl w:ilvl="1">
      <w:lvlJc w:val="left"/>
      <w:lvlText w:val="(%2)"/>
      <w:numFmt w:val="lowerLetter"/>
      <w:start w:val="9"/>
    </w:lvl>
  </w:abstractNum>
  <w:abstractNum w:abstractNumId="18">
    <w:nsid w:val="4C502870"/>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9">
    <w:nsid w:val="1DE8725A"/>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20">
    <w:nsid w:val="6A37288A"/>
    <w:multiLevelType w:val="hybridMultilevel"/>
    <w:lvl w:ilvl="0">
      <w:lvlJc w:val="left"/>
      <w:lvlText w:val="(%1)"/>
      <w:numFmt w:val="decimal"/>
      <w:start w:val="1"/>
    </w:lvl>
  </w:abstractNum>
  <w:abstractNum w:abstractNumId="21">
    <w:nsid w:val="8F8B73F"/>
    <w:multiLevelType w:val="hybridMultilevel"/>
    <w:lvl w:ilvl="0">
      <w:lvlJc w:val="left"/>
      <w:lvlText w:val="(%1)"/>
      <w:numFmt w:val="decimal"/>
      <w:start w:val="1"/>
    </w:lvl>
  </w:abstractNum>
  <w:abstractNum w:abstractNumId="22">
    <w:nsid w:val="CA6B462"/>
    <w:multiLevelType w:val="hybridMultilevel"/>
    <w:lvl w:ilvl="0">
      <w:lvlJc w:val="left"/>
      <w:lvlText w:val="(%1)"/>
      <w:numFmt w:val="decimal"/>
      <w:start w:val="8"/>
    </w:lvl>
  </w:abstractNum>
  <w:abstractNum w:abstractNumId="23">
    <w:nsid w:val="763CB680"/>
    <w:multiLevelType w:val="hybridMultilevel"/>
    <w:lvl w:ilvl="0">
      <w:lvlJc w:val="left"/>
      <w:lvlText w:val="(%1)"/>
      <w:numFmt w:val="decimal"/>
      <w:start w:val="1"/>
    </w:lvl>
  </w:abstractNum>
  <w:abstractNum w:abstractNumId="24">
    <w:nsid w:val="15B71329"/>
    <w:multiLevelType w:val="hybridMultilevel"/>
    <w:lvl w:ilvl="0">
      <w:lvlJc w:val="left"/>
      <w:lvlText w:val="(%1)"/>
      <w:numFmt w:val="decimal"/>
      <w:start w:val="3"/>
    </w:lvl>
  </w:abstractNum>
  <w:abstractNum w:abstractNumId="25">
    <w:nsid w:val="3DA97044"/>
    <w:multiLevelType w:val="hybridMultilevel"/>
    <w:lvl w:ilvl="0">
      <w:lvlJc w:val="left"/>
      <w:lvlText w:val="(%1)"/>
      <w:numFmt w:val="decimal"/>
      <w:start w:val="1"/>
    </w:lvl>
  </w:abstractNum>
  <w:abstractNum w:abstractNumId="26">
    <w:nsid w:val="1CDCE2DE"/>
    <w:multiLevelType w:val="hybridMultilevel"/>
    <w:lvl w:ilvl="0">
      <w:lvlJc w:val="left"/>
      <w:lvlText w:val="(%1)"/>
      <w:numFmt w:val="decimal"/>
      <w:start w:val="6"/>
    </w:lvl>
  </w:abstractNum>
  <w:abstractNum w:abstractNumId="27">
    <w:nsid w:val="69D3947C"/>
    <w:multiLevelType w:val="hybridMultilevel"/>
    <w:lvl w:ilvl="0">
      <w:lvlJc w:val="left"/>
      <w:lvlText w:val="(%1)"/>
      <w:numFmt w:val="decimal"/>
      <w:start w:val="15"/>
    </w:lvl>
  </w:abstractNum>
  <w:abstractNum w:abstractNumId="28">
    <w:nsid w:val="2539DFA5"/>
    <w:multiLevelType w:val="hybridMultilevel"/>
    <w:lvl w:ilvl="0">
      <w:lvlJc w:val="left"/>
      <w:lvlText w:val="(%1)"/>
      <w:numFmt w:val="decimal"/>
      <w:start w:val="1"/>
    </w:lvl>
    <w:lvl w:ilvl="1">
      <w:lvlJc w:val="left"/>
      <w:lvlText w:val="(%2)"/>
      <w:numFmt w:val="lowerLetter"/>
      <w:start w:val="1"/>
    </w:lvl>
  </w:abstractNum>
  <w:abstractNum w:abstractNumId="29">
    <w:nsid w:val="2DB88089"/>
    <w:multiLevelType w:val="hybridMultilevel"/>
    <w:lvl w:ilvl="0">
      <w:lvlJc w:val="left"/>
      <w:lvlText w:val="(%1)"/>
      <w:numFmt w:val="decimal"/>
      <w:start w:val="1"/>
    </w:lvl>
  </w:abstractNum>
  <w:abstractNum w:abstractNumId="30">
    <w:nsid w:val="706B674E"/>
    <w:multiLevelType w:val="hybridMultilevel"/>
    <w:lvl w:ilvl="0">
      <w:lvlJc w:val="left"/>
      <w:lvlText w:val="(%1)"/>
      <w:numFmt w:val="decimal"/>
      <w:start w:val="1"/>
    </w:lvl>
  </w:abstractNum>
  <w:abstractNum w:abstractNumId="31">
    <w:nsid w:val="2C106A57"/>
    <w:multiLevelType w:val="hybridMultilevel"/>
    <w:lvl w:ilvl="0">
      <w:lvlJc w:val="left"/>
      <w:lvlText w:val="(%1)"/>
      <w:numFmt w:val="decimal"/>
      <w:start w:val="6"/>
    </w:lvl>
  </w:abstractNum>
  <w:abstractNum w:abstractNumId="32">
    <w:nsid w:val="684EED59"/>
    <w:multiLevelType w:val="hybridMultilevel"/>
    <w:lvl w:ilvl="0">
      <w:lvlJc w:val="left"/>
      <w:lvlText w:val="(%1)"/>
      <w:numFmt w:val="decimal"/>
      <w:start w:val="10"/>
    </w:lvl>
  </w:abstractNum>
  <w:abstractNum w:abstractNumId="33">
    <w:nsid w:val="545EE5D3"/>
    <w:multiLevelType w:val="hybridMultilevel"/>
    <w:lvl w:ilvl="0">
      <w:lvlJc w:val="left"/>
      <w:lvlText w:val="(%1)"/>
      <w:numFmt w:val="lowerLetter"/>
      <w:start w:val="1"/>
    </w:lvl>
  </w:abstractNum>
  <w:abstractNum w:abstractNumId="34">
    <w:nsid w:val="4A66051"/>
    <w:multiLevelType w:val="hybridMultilevel"/>
    <w:lvl w:ilvl="0">
      <w:lvlJc w:val="left"/>
      <w:lvlText w:val="(%1)"/>
      <w:numFmt w:val="lowerLetter"/>
      <w:start w:val="4"/>
    </w:lvl>
  </w:abstractNum>
  <w:abstractNum w:abstractNumId="35">
    <w:nsid w:val="20F4BDAD"/>
    <w:multiLevelType w:val="hybridMultilevel"/>
    <w:lvl w:ilvl="0">
      <w:lvlJc w:val="left"/>
      <w:lvlText w:val="(%1)"/>
      <w:numFmt w:val="lowerLetter"/>
      <w:start w:val="12"/>
    </w:lvl>
  </w:abstractNum>
  <w:abstractNum w:abstractNumId="36">
    <w:nsid w:val="639DEFAC"/>
    <w:multiLevelType w:val="hybridMultilevel"/>
    <w:lvl w:ilvl="0">
      <w:lvlJc w:val="left"/>
      <w:lvlText w:val="(%1)"/>
      <w:numFmt w:val="lowerLetter"/>
      <w:start w:val="19"/>
    </w:lvl>
  </w:abstractNum>
  <w:abstractNum w:abstractNumId="37">
    <w:nsid w:val="501F9786"/>
    <w:multiLevelType w:val="hybridMultilevel"/>
    <w:lvl w:ilvl="0">
      <w:lvlJc w:val="left"/>
      <w:lvlText w:val="(%1)"/>
      <w:numFmt w:val="lowerRoman"/>
      <w:start w:val="1"/>
    </w:lvl>
  </w:abstractNum>
  <w:abstractNum w:abstractNumId="38">
    <w:nsid w:val="6B057295"/>
    <w:multiLevelType w:val="hybridMultilevel"/>
    <w:lvl w:ilvl="0">
      <w:lvlJc w:val="left"/>
      <w:lvlText w:val="(%1)"/>
      <w:numFmt w:val="lowerRoman"/>
      <w:start w:val="4"/>
    </w:lvl>
  </w:abstractNum>
  <w:abstractNum w:abstractNumId="39">
    <w:nsid w:val="2771AC80"/>
    <w:multiLevelType w:val="hybridMultilevel"/>
    <w:lvl w:ilvl="0">
      <w:lvlJc w:val="left"/>
      <w:lvlText w:val="(%1)"/>
      <w:numFmt w:val="lowerRoman"/>
      <w:start w:val="10"/>
    </w:lvl>
  </w:abstractNum>
  <w:abstractNum w:abstractNumId="40">
    <w:nsid w:val="1C4A08EC"/>
    <w:multiLevelType w:val="hybridMultilevel"/>
    <w:lvl w:ilvl="0">
      <w:lvlJc w:val="left"/>
      <w:lvlText w:val="(%1)"/>
      <w:numFmt w:val="lowerRoman"/>
      <w:start w:val="6"/>
    </w:lvl>
  </w:abstractNum>
  <w:abstractNum w:abstractNumId="41">
    <w:nsid w:val="1958BD17"/>
    <w:multiLevelType w:val="hybridMultilevel"/>
    <w:lvl w:ilvl="0">
      <w:lvlJc w:val="left"/>
      <w:lvlText w:val="(%1)"/>
      <w:numFmt w:val="lowerRoman"/>
      <w:start w:val="1"/>
    </w:lvl>
  </w:abstractNum>
  <w:abstractNum w:abstractNumId="42">
    <w:nsid w:val="4E647FE4"/>
    <w:multiLevelType w:val="hybridMultilevel"/>
    <w:lvl w:ilvl="0">
      <w:lvlJc w:val="left"/>
      <w:lvlText w:val="(%1)"/>
      <w:numFmt w:val="lowerRoman"/>
      <w:start w:val="4"/>
    </w:lvl>
  </w:abstractNum>
  <w:abstractNum w:abstractNumId="43">
    <w:nsid w:val="E0BB885"/>
    <w:multiLevelType w:val="hybridMultilevel"/>
    <w:lvl w:ilvl="0">
      <w:lvlJc w:val="left"/>
      <w:lvlText w:val="(%1)"/>
      <w:numFmt w:val="lowerLetter"/>
      <w:start w:val="8"/>
    </w:lvl>
  </w:abstractNum>
  <w:abstractNum w:abstractNumId="44">
    <w:nsid w:val="565976F1"/>
    <w:multiLevelType w:val="hybridMultilevel"/>
    <w:lvl w:ilvl="0">
      <w:lvlJc w:val="left"/>
      <w:lvlText w:val="(%1)"/>
      <w:numFmt w:val="decimal"/>
      <w:start w:val="1"/>
    </w:lvl>
  </w:abstractNum>
  <w:abstractNum w:abstractNumId="45">
    <w:nsid w:val="64212B8C"/>
    <w:multiLevelType w:val="hybridMultilevel"/>
    <w:lvl w:ilvl="0">
      <w:lvlJc w:val="left"/>
      <w:lvlText w:val="(%1)"/>
      <w:numFmt w:val="lowerLetter"/>
      <w:start w:val="1"/>
    </w:lvl>
  </w:abstractNum>
  <w:abstractNum w:abstractNumId="46">
    <w:nsid w:val="5C17530C"/>
    <w:multiLevelType w:val="hybridMultilevel"/>
    <w:lvl w:ilvl="0">
      <w:lvlJc w:val="left"/>
      <w:lvlText w:val="(%1)"/>
      <w:numFmt w:val="lowerLetter"/>
      <w:start w:val="6"/>
    </w:lvl>
  </w:abstractNum>
  <w:abstractNum w:abstractNumId="47">
    <w:nsid w:val="19A52566"/>
    <w:multiLevelType w:val="hybridMultilevel"/>
    <w:lvl w:ilvl="0">
      <w:lvlJc w:val="left"/>
      <w:lvlText w:val="(%1)"/>
      <w:numFmt w:val="lowerLetter"/>
      <w:start w:val="5"/>
    </w:lvl>
  </w:abstractNum>
  <w:abstractNum w:abstractNumId="48">
    <w:nsid w:val="335A1DF1"/>
    <w:multiLevelType w:val="hybridMultilevel"/>
    <w:lvl w:ilvl="0">
      <w:lvlJc w:val="left"/>
      <w:lvlText w:val="(%1)"/>
      <w:numFmt w:val="decimal"/>
      <w:start w:val="1"/>
    </w:lvl>
  </w:abstractNum>
  <w:abstractNum w:abstractNumId="49">
    <w:nsid w:val="28677B7C"/>
    <w:multiLevelType w:val="hybridMultilevel"/>
    <w:lvl w:ilvl="0">
      <w:lvlJc w:val="left"/>
      <w:lvlText w:val="%1"/>
      <w:numFmt w:val="lowerLetter"/>
      <w:start w:val="1"/>
    </w:lvl>
    <w:lvl w:ilvl="1">
      <w:lvlJc w:val="left"/>
      <w:lvlText w:val="(%2)"/>
      <w:numFmt w:val="decimal"/>
      <w:start w:val="1"/>
    </w:lvl>
  </w:abstractNum>
  <w:abstractNum w:abstractNumId="50">
    <w:nsid w:val="378D97C0"/>
    <w:multiLevelType w:val="hybridMultilevel"/>
    <w:lvl w:ilvl="0">
      <w:lvlJc w:val="left"/>
      <w:lvlText w:val="(%1)"/>
      <w:numFmt w:val="lowerLetter"/>
      <w:start w:val="2"/>
    </w:lvl>
    <w:lvl w:ilvl="1">
      <w:lvlJc w:val="left"/>
      <w:lvlText w:val="%2"/>
      <w:numFmt w:val="decimal"/>
      <w:start w:val="1"/>
    </w:lvl>
  </w:abstractNum>
  <w:abstractNum w:abstractNumId="51">
    <w:nsid w:val="1D91467C"/>
    <w:multiLevelType w:val="hybridMultilevel"/>
    <w:lvl w:ilvl="0">
      <w:lvlJc w:val="left"/>
      <w:lvlText w:val="(%1)"/>
      <w:numFmt w:val="lowerLetter"/>
      <w:start w:val="4"/>
    </w:lvl>
    <w:lvl w:ilvl="1">
      <w:lvlJc w:val="left"/>
      <w:lvlText w:val="(%2)"/>
      <w:numFmt w:val="decimal"/>
      <w:start w:val="2"/>
    </w:lvl>
  </w:abstractNum>
  <w:abstractNum w:abstractNumId="52">
    <w:nsid w:val="316032BB"/>
    <w:multiLevelType w:val="hybridMultilevel"/>
    <w:lvl w:ilvl="0">
      <w:lvlJc w:val="left"/>
      <w:lvlText w:val="(%1)"/>
      <w:numFmt w:val="lowerRoman"/>
      <w:start w:val="10"/>
    </w:lvl>
  </w:abstractNum>
  <w:abstractNum w:abstractNumId="53">
    <w:nsid w:val="44344C22"/>
    <w:multiLevelType w:val="hybridMultilevel"/>
    <w:lvl w:ilvl="0">
      <w:lvlJc w:val="left"/>
      <w:lvlText w:val="(%1)"/>
      <w:numFmt w:val="decimal"/>
      <w:start w:val="1"/>
    </w:lvl>
  </w:abstractNum>
  <w:abstractNum w:abstractNumId="54">
    <w:nsid w:val="13CDFCFC"/>
    <w:multiLevelType w:val="hybridMultilevel"/>
    <w:lvl w:ilvl="0">
      <w:lvlJc w:val="left"/>
      <w:lvlText w:val="(%1)"/>
      <w:numFmt w:val="decimal"/>
      <w:start w:val="3"/>
    </w:lvl>
  </w:abstractNum>
  <w:abstractNum w:abstractNumId="55">
    <w:nsid w:val="471745E4"/>
    <w:multiLevelType w:val="hybridMultilevel"/>
    <w:lvl w:ilvl="0">
      <w:lvlJc w:val="left"/>
      <w:lvlText w:val="(%1)"/>
      <w:numFmt w:val="decimal"/>
      <w:start w:val="1"/>
    </w:lvl>
    <w:lvl w:ilvl="1">
      <w:lvlJc w:val="left"/>
      <w:lvlText w:val="(%2)"/>
      <w:numFmt w:val="lowerLetter"/>
      <w:start w:val="1"/>
    </w:lvl>
  </w:abstractNum>
  <w:abstractNum w:abstractNumId="56">
    <w:nsid w:val="1DDBC66"/>
    <w:multiLevelType w:val="hybridMultilevel"/>
    <w:lvl w:ilvl="0">
      <w:lvlJc w:val="left"/>
      <w:lvlText w:val="(%1)"/>
      <w:numFmt w:val="lowerLetter"/>
      <w:start w:val="1"/>
    </w:lvl>
  </w:abstractNum>
  <w:abstractNum w:abstractNumId="57">
    <w:nsid w:val="30AADFDA"/>
    <w:multiLevelType w:val="hybridMultilevel"/>
    <w:lvl w:ilvl="0">
      <w:lvlJc w:val="left"/>
      <w:lvlText w:val="(%1)"/>
      <w:numFmt w:val="lowerLetter"/>
      <w:start w:val="2"/>
    </w:lvl>
  </w:abstractNum>
  <w:abstractNum w:abstractNumId="58">
    <w:nsid w:val="30EADA61"/>
    <w:multiLevelType w:val="hybridMultilevel"/>
    <w:lvl w:ilvl="0">
      <w:lvlJc w:val="left"/>
      <w:lvlText w:val="(%1)"/>
      <w:numFmt w:val="lowerLetter"/>
      <w:start w:val="1"/>
    </w:lvl>
  </w:abstractNum>
  <w:abstractNum w:abstractNumId="59">
    <w:nsid w:val="27179C0B"/>
    <w:multiLevelType w:val="hybridMultilevel"/>
    <w:lvl w:ilvl="0">
      <w:lvlJc w:val="left"/>
      <w:lvlText w:val="%1"/>
      <w:numFmt w:val="lowerRoman"/>
      <w:start w:val="1"/>
    </w:lvl>
    <w:lvl w:ilvl="1">
      <w:lvlJc w:val="left"/>
      <w:lvlText w:val="(%2)"/>
      <w:numFmt w:val="decimal"/>
      <w:start w:val="1"/>
    </w:lvl>
  </w:abstractNum>
  <w:abstractNum w:abstractNumId="60">
    <w:nsid w:val="5E636063"/>
    <w:multiLevelType w:val="hybridMultilevel"/>
    <w:lvl w:ilvl="0">
      <w:lvlJc w:val="left"/>
      <w:lvlText w:val="(%1)"/>
      <w:numFmt w:val="lowerRoman"/>
      <w:start w:val="2"/>
    </w:lvl>
    <w:lvl w:ilvl="1">
      <w:lvlJc w:val="left"/>
      <w:lvlText w:val="(%2)"/>
      <w:numFmt w:val="decimal"/>
      <w:start w:val="2"/>
    </w:lvl>
  </w:abstractNum>
  <w:abstractNum w:abstractNumId="61">
    <w:nsid w:val="215641AF"/>
    <w:multiLevelType w:val="hybridMultilevel"/>
    <w:lvl w:ilvl="0">
      <w:lvlJc w:val="left"/>
      <w:lvlText w:val="(%1)"/>
      <w:numFmt w:val="decimal"/>
      <w:start w:val="4"/>
    </w:lvl>
  </w:abstractNum>
  <w:abstractNum w:abstractNumId="62">
    <w:nsid w:val="53280662"/>
    <w:multiLevelType w:val="hybridMultilevel"/>
    <w:lvl w:ilvl="0">
      <w:lvlJc w:val="left"/>
      <w:lvlText w:val="%1"/>
      <w:numFmt w:val="decimal"/>
      <w:start w:val="1"/>
    </w:lvl>
    <w:lvl w:ilvl="1">
      <w:lvlJc w:val="left"/>
      <w:lvlText w:val="(%2)"/>
      <w:numFmt w:val="decimal"/>
      <w:start w:val="11"/>
    </w:lvl>
  </w:abstractNum>
  <w:abstractNum w:abstractNumId="63">
    <w:nsid w:val="46B24DBC"/>
    <w:multiLevelType w:val="hybridMultilevel"/>
    <w:lvl w:ilvl="0">
      <w:lvlJc w:val="left"/>
      <w:lvlText w:val="(%1)"/>
      <w:numFmt w:val="decimal"/>
      <w:start w:val="15"/>
    </w:lvl>
    <w:lvl w:ilvl="1">
      <w:lvlJc w:val="left"/>
      <w:lvlText w:val="(%2)"/>
      <w:numFmt w:val="decimal"/>
      <w:start w:val="16"/>
    </w:lvl>
  </w:abstractNum>
  <w:abstractNum w:abstractNumId="64">
    <w:nsid w:val="75B52783"/>
    <w:multiLevelType w:val="hybridMultilevel"/>
    <w:lvl w:ilvl="0">
      <w:lvlJc w:val="left"/>
      <w:lvlText w:val="(%1)"/>
      <w:numFmt w:val="decimal"/>
      <w:start w:val="17"/>
    </w:lvl>
  </w:abstractNum>
  <w:abstractNum w:abstractNumId="65">
    <w:nsid w:val="57CE66B4"/>
    <w:multiLevelType w:val="hybridMultilevel"/>
    <w:lvl w:ilvl="0">
      <w:lvlJc w:val="left"/>
      <w:lvlText w:val="(%1)"/>
      <w:numFmt w:val="decimal"/>
      <w:start w:val="22"/>
    </w:lvl>
  </w:abstractNum>
  <w:abstractNum w:abstractNumId="66">
    <w:nsid w:val="67A70B69"/>
    <w:multiLevelType w:val="hybridMultilevel"/>
    <w:lvl w:ilvl="0">
      <w:lvlJc w:val="left"/>
      <w:lvlText w:val="(%1)"/>
      <w:numFmt w:val="decimal"/>
      <w:start w:val="1"/>
    </w:lvl>
  </w:abstractNum>
  <w:abstractNum w:abstractNumId="67">
    <w:nsid w:val="5953172F"/>
    <w:multiLevelType w:val="hybridMultilevel"/>
    <w:lvl w:ilvl="0">
      <w:lvlJc w:val="left"/>
      <w:lvlText w:val="(%1)"/>
      <w:numFmt w:val="decimal"/>
      <w:start w:val="3"/>
    </w:lvl>
  </w:abstractNum>
  <w:abstractNum w:abstractNumId="68">
    <w:nsid w:val="27EDFE3A"/>
    <w:multiLevelType w:val="hybridMultilevel"/>
    <w:lvl w:ilvl="0">
      <w:lvlJc w:val="left"/>
      <w:lvlText w:val="(%1)"/>
      <w:numFmt w:val="upperLetter"/>
      <w:start w:val="2"/>
    </w:lvl>
  </w:abstractNum>
  <w:abstractNum w:abstractNumId="69">
    <w:nsid w:val="52AC7DFF"/>
    <w:multiLevelType w:val="hybridMultilevel"/>
    <w:lvl w:ilvl="0">
      <w:lvlJc w:val="left"/>
      <w:lvlText w:val="(%1)"/>
      <w:numFmt w:val="upperLetter"/>
      <w:start w:val="35"/>
    </w:lvl>
  </w:abstractNum>
  <w:abstractNum w:abstractNumId="70">
    <w:nsid w:val="C4C3AF"/>
    <w:multiLevelType w:val="hybridMultilevel"/>
    <w:lvl w:ilvl="0">
      <w:lvlJc w:val="left"/>
      <w:lvlText w:val="(%1)"/>
      <w:numFmt w:val="upperLetter"/>
      <w:start w:val="3"/>
    </w:lvl>
  </w:abstractNum>
  <w:abstractNum w:abstractNumId="71">
    <w:nsid w:val="44380727"/>
    <w:multiLevelType w:val="hybridMultilevel"/>
    <w:lvl w:ilvl="0">
      <w:lvlJc w:val="left"/>
      <w:lvlText w:val="(%1)"/>
      <w:numFmt w:val="decimal"/>
      <w:start w:val="7"/>
    </w:lvl>
  </w:abstractNum>
  <w:abstractNum w:abstractNumId="72">
    <w:nsid w:val="6C053B16"/>
    <w:multiLevelType w:val="hybridMultilevel"/>
    <w:lvl w:ilvl="0">
      <w:lvlJc w:val="left"/>
      <w:lvlText w:val="(%1)"/>
      <w:numFmt w:val="decimal"/>
      <w:start w:val="10"/>
    </w:lvl>
  </w:abstractNum>
  <w:abstractNum w:abstractNumId="73">
    <w:nsid w:val="4F294393"/>
    <w:multiLevelType w:val="hybridMultilevel"/>
    <w:lvl w:ilvl="0">
      <w:lvlJc w:val="left"/>
      <w:lvlText w:val="(%1)"/>
      <w:numFmt w:val="decimal"/>
      <w:start w:val="21"/>
    </w:lvl>
  </w:abstractNum>
  <w:abstractNum w:abstractNumId="74">
    <w:nsid w:val="5243BFAC"/>
    <w:multiLevelType w:val="hybridMultilevel"/>
    <w:lvl w:ilvl="0">
      <w:lvlJc w:val="left"/>
      <w:lvlText w:val="(%1)"/>
      <w:numFmt w:val="decimal"/>
      <w:start w:val="26"/>
    </w:lvl>
  </w:abstractNum>
  <w:abstractNum w:abstractNumId="75">
    <w:nsid w:val="425EB207"/>
    <w:multiLevelType w:val="hybridMultilevel"/>
    <w:lvl w:ilvl="0">
      <w:lvlJc w:val="left"/>
      <w:lvlText w:val="%1"/>
      <w:numFmt w:val="decimal"/>
      <w:start w:val="1"/>
    </w:lvl>
    <w:lvl w:ilvl="1">
      <w:lvlJc w:val="left"/>
      <w:lvlText w:val="(%2)"/>
      <w:numFmt w:val="decimal"/>
      <w:start w:val="33"/>
    </w:lvl>
  </w:abstractNum>
  <w:abstractNum w:abstractNumId="76">
    <w:nsid w:val="334A6F1F"/>
    <w:multiLevelType w:val="hybridMultilevel"/>
    <w:lvl w:ilvl="0">
      <w:lvlJc w:val="left"/>
      <w:lvlText w:val="(%1)"/>
      <w:numFmt w:val="decimal"/>
      <w:start w:val="4"/>
    </w:lvl>
    <w:lvl w:ilvl="1">
      <w:lvlJc w:val="left"/>
      <w:lvlText w:val="(%2)"/>
      <w:numFmt w:val="decimal"/>
      <w:start w:val="35"/>
    </w:lvl>
  </w:abstractNum>
  <w:abstractNum w:abstractNumId="77">
    <w:nsid w:val="2E5B12B8"/>
    <w:multiLevelType w:val="hybridMultilevel"/>
    <w:lvl w:ilvl="0">
      <w:lvlJc w:val="left"/>
      <w:lvlText w:val="(%1)"/>
      <w:numFmt w:val="decimal"/>
      <w:start w:val="1"/>
    </w:lvl>
  </w:abstractNum>
  <w:abstractNum w:abstractNumId="78">
    <w:nsid w:val="5C03D76D"/>
    <w:multiLevelType w:val="hybridMultilevel"/>
    <w:lvl w:ilvl="0">
      <w:lvlJc w:val="left"/>
      <w:lvlText w:val="(%1)"/>
      <w:numFmt w:val="lowerLetter"/>
      <w:start w:val="1"/>
    </w:lvl>
  </w:abstractNum>
  <w:abstractNum w:abstractNumId="79">
    <w:nsid w:val="66A48D11"/>
    <w:multiLevelType w:val="hybridMultilevel"/>
    <w:lvl w:ilvl="0">
      <w:lvlJc w:val="left"/>
      <w:lvlText w:val="(%1)"/>
      <w:numFmt w:val="lowerRoman"/>
      <w:start w:val="2"/>
    </w:lvl>
  </w:abstractNum>
  <w:abstractNum w:abstractNumId="80">
    <w:nsid w:val="56C28E34"/>
    <w:multiLevelType w:val="hybridMultilevel"/>
    <w:lvl w:ilvl="0">
      <w:lvlJc w:val="left"/>
      <w:lvlText w:val="(%1)"/>
      <w:numFmt w:val="lowerRoman"/>
      <w:start w:val="10"/>
    </w:lvl>
  </w:abstractNum>
  <w:abstractNum w:abstractNumId="81">
    <w:nsid w:val="13916F2D"/>
    <w:multiLevelType w:val="hybridMultilevel"/>
    <w:lvl w:ilvl="0">
      <w:lvlJc w:val="left"/>
      <w:lvlText w:val="(%1)"/>
      <w:numFmt w:val="decimal"/>
      <w:start w:val="1"/>
    </w:lvl>
  </w:abstractNum>
  <w:abstractNum w:abstractNumId="82">
    <w:nsid w:val="435D38D"/>
    <w:multiLevelType w:val="hybridMultilevel"/>
    <w:lvl w:ilvl="0">
      <w:lvlJc w:val="left"/>
      <w:lvlText w:val="(%1)"/>
      <w:numFmt w:val="lowerLetter"/>
      <w:start w:val="1"/>
    </w:lvl>
  </w:abstractNum>
  <w:abstractNum w:abstractNumId="83">
    <w:nsid w:val="822C0EF"/>
    <w:multiLevelType w:val="hybridMultilevel"/>
    <w:lvl w:ilvl="0">
      <w:lvlJc w:val="left"/>
      <w:lvlText w:val="(%1)"/>
      <w:numFmt w:val="lowerLetter"/>
      <w:start w:val="2"/>
    </w:lvl>
  </w:abstractNum>
  <w:abstractNum w:abstractNumId="84">
    <w:nsid w:val="57C5BB4F"/>
    <w:multiLevelType w:val="hybridMultilevel"/>
    <w:lvl w:ilvl="0">
      <w:lvlJc w:val="left"/>
      <w:lvlText w:val="(%1)"/>
      <w:numFmt w:val="lowerLetter"/>
      <w:start w:val="1"/>
    </w:lvl>
    <w:lvl w:ilvl="1">
      <w:lvlJc w:val="left"/>
      <w:lvlText w:val="(%2)"/>
      <w:numFmt w:val="lowerRoman"/>
      <w:start w:val="1"/>
    </w:lvl>
  </w:abstractNum>
  <w:abstractNum w:abstractNumId="85">
    <w:nsid w:val="1803D089"/>
    <w:multiLevelType w:val="hybridMultilevel"/>
    <w:lvl w:ilvl="0">
      <w:lvlJc w:val="left"/>
      <w:lvlText w:val="%1"/>
      <w:numFmt w:val="lowerLetter"/>
      <w:start w:val="1"/>
    </w:lvl>
    <w:lvl w:ilvl="1">
      <w:lvlJc w:val="left"/>
      <w:lvlText w:val="(%2)"/>
      <w:numFmt w:val="lowerRoman"/>
      <w:start w:val="1"/>
    </w:lvl>
  </w:abstractNum>
  <w:abstractNum w:abstractNumId="86">
    <w:nsid w:val="4F3A06D4"/>
    <w:multiLevelType w:val="hybridMultilevel"/>
    <w:lvl w:ilvl="0">
      <w:lvlJc w:val="left"/>
      <w:lvlText w:val="(%1)"/>
      <w:numFmt w:val="lowerLetter"/>
      <w:start w:val="6"/>
    </w:lvl>
    <w:lvl w:ilvl="1">
      <w:lvlJc w:val="left"/>
      <w:lvlText w:val="%2"/>
      <w:numFmt w:val="lowerRoman"/>
      <w:start w:val="1"/>
    </w:lvl>
  </w:abstractNum>
  <w:abstractNum w:abstractNumId="87">
    <w:nsid w:val="59A377B6"/>
    <w:multiLevelType w:val="hybridMultilevel"/>
    <w:lvl w:ilvl="0">
      <w:lvlJc w:val="left"/>
      <w:lvlText w:val="(%1)"/>
      <w:numFmt w:val="lowerLetter"/>
      <w:start w:val="1"/>
    </w:lvl>
  </w:abstractNum>
  <w:abstractNum w:abstractNumId="88">
    <w:nsid w:val="48AEB063"/>
    <w:multiLevelType w:val="hybridMultilevel"/>
    <w:lvl w:ilvl="0">
      <w:lvlJc w:val="left"/>
      <w:lvlText w:val="(%1)"/>
      <w:numFmt w:val="lowerLetter"/>
      <w:start w:val="1"/>
    </w:lvl>
  </w:abstractNum>
  <w:abstractNum w:abstractNumId="89">
    <w:nsid w:val="24E135"/>
    <w:multiLevelType w:val="hybridMultilevel"/>
    <w:lvl w:ilvl="0">
      <w:lvlJc w:val="left"/>
      <w:lvlText w:val="(%1)"/>
      <w:numFmt w:val="lowerLetter"/>
      <w:start w:val="6"/>
    </w:lvl>
  </w:abstractNum>
  <w:abstractNum w:abstractNumId="90">
    <w:nsid w:val="BB13C1"/>
    <w:multiLevelType w:val="hybridMultilevel"/>
    <w:lvl w:ilvl="0">
      <w:lvlJc w:val="left"/>
      <w:lvlText w:val="(%1)"/>
      <w:numFmt w:val="lowerLetter"/>
      <w:start w:val="1"/>
    </w:lvl>
  </w:abstractNum>
  <w:abstractNum w:abstractNumId="91">
    <w:nsid w:val="271210C7"/>
    <w:multiLevelType w:val="hybridMultilevel"/>
    <w:lvl w:ilvl="0">
      <w:lvlJc w:val="left"/>
      <w:lvlText w:val="%1."/>
      <w:numFmt w:val="decimal"/>
      <w:start w:val="2"/>
    </w:lvl>
    <w:lvl w:ilvl="1">
      <w:lvlJc w:val="left"/>
      <w:lvlText w:val="(%2)"/>
      <w:numFmt w:val="lowerLetter"/>
      <w:start w:val="1"/>
    </w:lvl>
  </w:abstractNum>
  <w:abstractNum w:abstractNumId="92">
    <w:nsid w:val="217B22E4"/>
    <w:multiLevelType w:val="hybridMultilevel"/>
    <w:lvl w:ilvl="0">
      <w:lvlJc w:val="left"/>
      <w:lvlText w:val="%1"/>
      <w:numFmt w:val="lowerLetter"/>
      <w:start w:val="1"/>
    </w:lvl>
    <w:lvl w:ilvl="1">
      <w:lvlJc w:val="left"/>
      <w:lvlText w:val="(%2)"/>
      <w:numFmt w:val="lowerRoman"/>
      <w:start w:val="1"/>
    </w:lvl>
  </w:abstractNum>
  <w:abstractNum w:abstractNumId="93">
    <w:nsid w:val="53E31A24"/>
    <w:multiLevelType w:val="hybridMultilevel"/>
    <w:lvl w:ilvl="0">
      <w:lvlJc w:val="left"/>
      <w:lvlText w:val="(%1)"/>
      <w:numFmt w:val="lowerLetter"/>
      <w:start w:val="2"/>
    </w:lvl>
    <w:lvl w:ilvl="1">
      <w:lvlJc w:val="left"/>
      <w:lvlText w:val="%2"/>
      <w:numFmt w:val="lowerRoman"/>
      <w:start w:val="1"/>
    </w:lvl>
  </w:abstractNum>
  <w:abstractNum w:abstractNumId="94">
    <w:nsid w:val="6DC45E83"/>
    <w:multiLevelType w:val="hybridMultilevel"/>
    <w:lvl w:ilvl="0">
      <w:lvlJc w:val="left"/>
      <w:lvlText w:val="(%1)"/>
      <w:numFmt w:val="lowerRoman"/>
      <w:start w:val="1"/>
    </w:lvl>
  </w:abstractNum>
  <w:abstractNum w:abstractNumId="95">
    <w:nsid w:val="17304A67"/>
    <w:multiLevelType w:val="hybridMultilevel"/>
    <w:lvl w:ilvl="0">
      <w:lvlJc w:val="left"/>
      <w:lvlText w:val="%1"/>
      <w:numFmt w:val="lowerRoman"/>
      <w:start w:val="1"/>
    </w:lvl>
    <w:lvl w:ilvl="1">
      <w:lvlJc w:val="left"/>
      <w:lvlText w:val="(%2)"/>
      <w:numFmt w:val="lowerRoman"/>
      <w:start w:val="4"/>
    </w:lvl>
  </w:abstractNum>
  <w:abstractNum w:abstractNumId="96">
    <w:nsid w:val="2BB180D8"/>
    <w:multiLevelType w:val="hybridMultilevel"/>
    <w:lvl w:ilvl="0">
      <w:lvlJc w:val="left"/>
      <w:lvlText w:val="(%1)"/>
      <w:numFmt w:val="lowerRoman"/>
      <w:start w:val="3"/>
    </w:lvl>
    <w:lvl w:ilvl="1">
      <w:lvlJc w:val="left"/>
      <w:lvlText w:val="%2"/>
      <w:numFmt w:val="lowerRoman"/>
      <w:start w:val="1"/>
    </w:lvl>
  </w:abstractNum>
  <w:abstractNum w:abstractNumId="97">
    <w:nsid w:val="556B69ED"/>
    <w:multiLevelType w:val="hybridMultilevel"/>
    <w:lvl w:ilvl="0">
      <w:lvlJc w:val="left"/>
      <w:lvlText w:val="(%1)"/>
      <w:numFmt w:val="lowerLetter"/>
      <w:start w:val="3"/>
    </w:lvl>
  </w:abstractNum>
  <w:abstractNum w:abstractNumId="98">
    <w:nsid w:val="70836196"/>
    <w:multiLevelType w:val="hybridMultilevel"/>
    <w:lvl w:ilvl="0">
      <w:lvlJc w:val="left"/>
      <w:lvlText w:val="(%1)"/>
      <w:numFmt w:val="lowerLetter"/>
      <w:start w:val="1"/>
    </w:lvl>
  </w:abstractNum>
  <w:abstractNum w:abstractNumId="99">
    <w:nsid w:val="539F7F12"/>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100">
    <w:nsid w:val="2817E7EC"/>
    <w:multiLevelType w:val="hybridMultilevel"/>
    <w:lvl w:ilvl="0">
      <w:lvlJc w:val="left"/>
      <w:lvlText w:val="(%1)"/>
      <w:numFmt w:val="lowerRoman"/>
      <w:start w:val="2"/>
    </w:lvl>
  </w:abstractNum>
  <w:abstractNum w:abstractNumId="101">
    <w:nsid w:val="71482545"/>
    <w:multiLevelType w:val="hybridMultilevel"/>
    <w:lvl w:ilvl="0">
      <w:lvlJc w:val="left"/>
      <w:lvlText w:val="(%1)"/>
      <w:numFmt w:val="lowerLetter"/>
      <w:start w:val="3"/>
    </w:lvl>
    <w:lvl w:ilvl="1">
      <w:lvlJc w:val="left"/>
      <w:lvlText w:val="(%2)"/>
      <w:numFmt w:val="lowerRoman"/>
      <w:start w:val="1"/>
    </w:lvl>
  </w:abstractNum>
  <w:abstractNum w:abstractNumId="102">
    <w:nsid w:val="17D78639"/>
    <w:multiLevelType w:val="hybridMultilevel"/>
    <w:lvl w:ilvl="0">
      <w:lvlJc w:val="left"/>
      <w:lvlText w:val="%1"/>
      <w:numFmt w:val="lowerLetter"/>
      <w:start w:val="1"/>
    </w:lvl>
    <w:lvl w:ilvl="1">
      <w:lvlJc w:val="left"/>
      <w:lvlText w:val="(%2)"/>
      <w:numFmt w:val="lowerRoman"/>
      <w:start w:val="4"/>
    </w:lvl>
  </w:abstractNum>
  <w:abstractNum w:abstractNumId="103">
    <w:nsid w:val="141D2302"/>
    <w:multiLevelType w:val="hybridMultilevel"/>
    <w:lvl w:ilvl="0">
      <w:lvlJc w:val="left"/>
      <w:lvlText w:val="(%1)"/>
      <w:numFmt w:val="lowerLetter"/>
      <w:start w:val="4"/>
    </w:lvl>
    <w:lvl w:ilvl="1">
      <w:lvlJc w:val="left"/>
      <w:lvlText w:val="%2"/>
      <w:numFmt w:val="lowerRoman"/>
      <w:start w:val="1"/>
    </w:lvl>
  </w:abstractNum>
  <w:abstractNum w:abstractNumId="104">
    <w:nsid w:val="407168D8"/>
    <w:multiLevelType w:val="hybridMultilevel"/>
    <w:lvl w:ilvl="0">
      <w:lvlJc w:val="left"/>
      <w:lvlText w:val="(%1)"/>
      <w:numFmt w:val="lowerLetter"/>
      <w:start w:val="6"/>
    </w:lvl>
    <w:lvl w:ilvl="1">
      <w:lvlJc w:val="left"/>
      <w:lvlText w:val="(%2)"/>
      <w:numFmt w:val="lowerRoman"/>
      <w:start w:val="1"/>
    </w:lvl>
  </w:abstractNum>
  <w:abstractNum w:abstractNumId="105">
    <w:nsid w:val="6A1B45E5"/>
    <w:multiLevelType w:val="hybridMultilevel"/>
    <w:lvl w:ilvl="0">
      <w:lvlJc w:val="left"/>
      <w:lvlText w:val="(%1)"/>
      <w:numFmt w:val="lowerLetter"/>
      <w:start w:val="7"/>
    </w:lvl>
    <w:lvl w:ilvl="1">
      <w:lvlJc w:val="left"/>
      <w:lvlText w:val="(%2)"/>
      <w:numFmt w:val="lowerLetter"/>
      <w:start w:val="9"/>
    </w:lvl>
  </w:abstractNum>
  <w:abstractNum w:abstractNumId="106">
    <w:nsid w:val="567BD50A"/>
    <w:multiLevelType w:val="hybridMultilevel"/>
    <w:lvl w:ilvl="0">
      <w:lvlJc w:val="left"/>
      <w:lvlText w:val="%1"/>
      <w:numFmt w:val="lowerLetter"/>
      <w:start w:val="1"/>
    </w:lvl>
    <w:lvl w:ilvl="1">
      <w:lvlJc w:val="left"/>
      <w:lvlText w:val="(%2)"/>
      <w:numFmt w:val="lowerRoman"/>
      <w:start w:val="2"/>
    </w:lvl>
  </w:abstractNum>
  <w:abstractNum w:abstractNumId="107">
    <w:nsid w:val="73BBD7F8"/>
    <w:multiLevelType w:val="hybridMultilevel"/>
    <w:lvl w:ilvl="0">
      <w:lvlJc w:val="left"/>
      <w:lvlText w:val="(%1)"/>
      <w:numFmt w:val="lowerLetter"/>
      <w:start w:val="8"/>
    </w:lvl>
    <w:lvl w:ilvl="1">
      <w:lvlJc w:val="left"/>
      <w:lvlText w:val="%2"/>
      <w:numFmt w:val="lowerRoman"/>
      <w:start w:val="1"/>
    </w:lvl>
  </w:abstractNum>
  <w:abstractNum w:abstractNumId="108">
    <w:nsid w:val="1876589D"/>
    <w:multiLevelType w:val="hybridMultilevel"/>
    <w:lvl w:ilvl="0">
      <w:lvlJc w:val="left"/>
      <w:lvlText w:val="%1"/>
      <w:numFmt w:val="lowerLetter"/>
      <w:start w:val="1"/>
    </w:lvl>
    <w:lvl w:ilvl="1">
      <w:lvlJc w:val="left"/>
      <w:lvlText w:val="(%2)"/>
      <w:numFmt w:val="lowerLetter"/>
      <w:start w:val="9"/>
    </w:lvl>
  </w:abstractNum>
  <w:abstractNum w:abstractNumId="109">
    <w:nsid w:val="327FAC77"/>
    <w:multiLevelType w:val="hybridMultilevel"/>
    <w:lvl w:ilvl="0">
      <w:lvlJc w:val="left"/>
      <w:lvlText w:val="(%1)"/>
      <w:numFmt w:val="lowerLetter"/>
      <w:start w:val="10"/>
    </w:lvl>
    <w:lvl w:ilvl="1">
      <w:lvlJc w:val="left"/>
      <w:lvlText w:val="%2"/>
      <w:numFmt w:val="lowerLetter"/>
      <w:start w:val="1"/>
    </w:lvl>
  </w:abstractNum>
  <w:abstractNum w:abstractNumId="110">
    <w:nsid w:val="5A606509"/>
    <w:multiLevelType w:val="hybridMultilevel"/>
    <w:lvl w:ilvl="0">
      <w:lvlJc w:val="left"/>
      <w:lvlText w:val="(%1)"/>
      <w:numFmt w:val="lowerLetter"/>
      <w:start w:val="1"/>
    </w:lvl>
  </w:abstractNum>
  <w:abstractNum w:abstractNumId="111">
    <w:nsid w:val="6F38E6D1"/>
    <w:multiLevelType w:val="hybridMultilevel"/>
    <w:lvl w:ilvl="0">
      <w:lvlJc w:val="left"/>
      <w:lvlText w:val="(%1)"/>
      <w:numFmt w:val="lowerLetter"/>
      <w:start w:val="2"/>
    </w:lvl>
    <w:lvl w:ilvl="1">
      <w:lvlJc w:val="left"/>
      <w:lvlText w:val="(%2)"/>
      <w:numFmt w:val="lowerRoman"/>
      <w:start w:val="1"/>
    </w:lvl>
  </w:abstractNum>
  <w:abstractNum w:abstractNumId="112">
    <w:nsid w:val="46111BA5"/>
    <w:multiLevelType w:val="hybridMultilevel"/>
    <w:lvl w:ilvl="0">
      <w:lvlJc w:val="left"/>
      <w:lvlText w:val="(%1)"/>
      <w:numFmt w:val="lowerLetter"/>
      <w:start w:val="3"/>
    </w:lvl>
  </w:abstractNum>
  <w:abstractNum w:abstractNumId="113">
    <w:nsid w:val="5E963896"/>
    <w:multiLevelType w:val="hybridMultilevel"/>
    <w:lvl w:ilvl="0">
      <w:lvlJc w:val="left"/>
      <w:lvlText w:val="(%1)"/>
      <w:numFmt w:val="lowerLetter"/>
      <w:start w:val="1"/>
    </w:lvl>
    <w:lvl w:ilvl="1">
      <w:lvlJc w:val="left"/>
      <w:lvlText w:val="(%2)"/>
      <w:numFmt w:val="lowerRoman"/>
      <w:start w:val="1"/>
    </w:lvl>
  </w:abstractNum>
  <w:abstractNum w:abstractNumId="114">
    <w:nsid w:val="775BA7C1"/>
    <w:multiLevelType w:val="hybridMultilevel"/>
    <w:lvl w:ilvl="0">
      <w:lvlJc w:val="left"/>
      <w:lvlText w:val="(%1)"/>
      <w:numFmt w:val="lowerLetter"/>
      <w:start w:val="5"/>
    </w:lvl>
  </w:abstractNum>
  <w:abstractNum w:abstractNumId="115">
    <w:nsid w:val="1DD6D6F4"/>
    <w:multiLevelType w:val="hybridMultilevel"/>
    <w:lvl w:ilvl="0">
      <w:lvlJc w:val="left"/>
      <w:lvlText w:val="(%1)"/>
      <w:numFmt w:val="lowerLetter"/>
      <w:start w:val="1"/>
    </w:lvl>
  </w:abstractNum>
  <w:abstractNum w:abstractNumId="116">
    <w:nsid w:val="769A091F"/>
    <w:multiLevelType w:val="hybridMultilevel"/>
    <w:lvl w:ilvl="0">
      <w:lvlJc w:val="left"/>
      <w:lvlText w:val="(%1)"/>
      <w:numFmt w:val="lowerLetter"/>
      <w:start w:val="1"/>
    </w:lvl>
  </w:abstractNum>
  <w:abstractNum w:abstractNumId="117">
    <w:nsid w:val="4695AE95"/>
    <w:multiLevelType w:val="hybridMultilevel"/>
    <w:lvl w:ilvl="0">
      <w:lvlJc w:val="left"/>
      <w:lvlText w:val="(%1)"/>
      <w:numFmt w:val="lowerLetter"/>
      <w:start w:val="1"/>
    </w:lvl>
  </w:abstractNum>
  <w:abstractNum w:abstractNumId="118">
    <w:nsid w:val="777A4EAA"/>
    <w:multiLevelType w:val="hybridMultilevel"/>
    <w:lvl w:ilvl="0">
      <w:lvlJc w:val="left"/>
      <w:lvlText w:val="(%1)"/>
      <w:numFmt w:val="lowerLetter"/>
      <w:start w:val="2"/>
    </w:lvl>
  </w:abstractNum>
  <w:abstractNum w:abstractNumId="119">
    <w:nsid w:val="3F48B982"/>
    <w:multiLevelType w:val="hybridMultilevel"/>
    <w:lvl w:ilvl="0">
      <w:lvlJc w:val="left"/>
      <w:lvlText w:val="(%1)"/>
      <w:numFmt w:val="lowerLetter"/>
      <w:start w:val="1"/>
    </w:lvl>
  </w:abstractNum>
  <w:abstractNum w:abstractNumId="120">
    <w:nsid w:val="46BA8FCA"/>
    <w:multiLevelType w:val="hybridMultilevel"/>
    <w:lvl w:ilvl="0">
      <w:lvlJc w:val="left"/>
      <w:lvlText w:val="(%1)"/>
      <w:numFmt w:val="lowerLetter"/>
      <w:start w:val="5"/>
    </w:lvl>
  </w:abstractNum>
  <w:abstractNum w:abstractNumId="121">
    <w:nsid w:val="7835626C"/>
    <w:multiLevelType w:val="hybridMultilevel"/>
    <w:lvl w:ilvl="0">
      <w:lvlJc w:val="left"/>
      <w:lvlText w:val="(%1)"/>
      <w:numFmt w:val="lowerLetter"/>
      <w:start w:val="6"/>
    </w:lvl>
  </w:abstractNum>
  <w:abstractNum w:abstractNumId="122">
    <w:nsid w:val="665ACA49"/>
    <w:multiLevelType w:val="hybridMultilevel"/>
    <w:lvl w:ilvl="0">
      <w:lvlJc w:val="left"/>
      <w:lvlText w:val="(%1)"/>
      <w:numFmt w:val="lowerLetter"/>
      <w:start w:val="1"/>
    </w:lvl>
  </w:abstractNum>
  <w:abstractNum w:abstractNumId="123">
    <w:nsid w:val="6835B2AE"/>
    <w:multiLevelType w:val="hybridMultilevel"/>
    <w:lvl w:ilvl="0">
      <w:lvlJc w:val="left"/>
      <w:lvlText w:val="(%1)"/>
      <w:numFmt w:val="lowerLetter"/>
      <w:start w:val="2"/>
    </w:lvl>
  </w:abstractNum>
  <w:abstractNum w:abstractNumId="124">
    <w:nsid w:val="4C187C90"/>
    <w:multiLevelType w:val="hybridMultilevel"/>
    <w:lvl w:ilvl="0">
      <w:lvlJc w:val="left"/>
      <w:lvlText w:val="(%1)"/>
      <w:numFmt w:val="lowerLetter"/>
      <w:start w:val="4"/>
    </w:lvl>
  </w:abstractNum>
  <w:abstractNum w:abstractNumId="125">
    <w:nsid w:val="541F28CD"/>
    <w:multiLevelType w:val="hybridMultilevel"/>
    <w:lvl w:ilvl="0">
      <w:lvlJc w:val="left"/>
      <w:lvlText w:val="(%1)"/>
      <w:numFmt w:val="lowerLetter"/>
      <w:start w:val="6"/>
    </w:lvl>
  </w:abstractNum>
  <w:abstractNum w:abstractNumId="126">
    <w:nsid w:val="7F65FD16"/>
    <w:multiLevelType w:val="hybridMultilevel"/>
    <w:lvl w:ilvl="0">
      <w:lvlJc w:val="left"/>
      <w:lvlText w:val="(%1)"/>
      <w:numFmt w:val="lowerLetter"/>
      <w:start w:val="1"/>
    </w:lvl>
    <w:lvl w:ilvl="1">
      <w:lvlJc w:val="left"/>
      <w:lvlText w:val="(%2)"/>
      <w:numFmt w:val="lowerRoman"/>
      <w:start w:val="1"/>
    </w:lvl>
  </w:abstractNum>
  <w:abstractNum w:abstractNumId="127">
    <w:nsid w:val="77C9FD68"/>
    <w:multiLevelType w:val="hybridMultilevel"/>
    <w:lvl w:ilvl="0">
      <w:lvlJc w:val="left"/>
      <w:lvlText w:val="(%1)"/>
      <w:numFmt w:val="lowerRoman"/>
      <w:start w:val="3"/>
    </w:lvl>
  </w:abstractNum>
  <w:abstractNum w:abstractNumId="128">
    <w:nsid w:val="298A92BA"/>
    <w:multiLevelType w:val="hybridMultilevel"/>
    <w:lvl w:ilvl="0">
      <w:lvlJc w:val="left"/>
      <w:lvlText w:val="(%1)"/>
      <w:numFmt w:val="lowerLetter"/>
      <w:start w:val="2"/>
    </w:lvl>
  </w:abstractNum>
  <w:abstractNum w:abstractNumId="129">
    <w:nsid w:val="6FE95EAC"/>
    <w:multiLevelType w:val="hybridMultilevel"/>
    <w:lvl w:ilvl="0">
      <w:lvlJc w:val="left"/>
      <w:lvlText w:val="%1"/>
      <w:numFmt w:val="lowerLetter"/>
      <w:start w:val="1"/>
    </w:lvl>
    <w:lvl w:ilvl="1">
      <w:lvlJc w:val="left"/>
      <w:lvlText w:val="(%2)"/>
      <w:numFmt w:val="lowerLetter"/>
      <w:start w:val="1"/>
    </w:lvl>
  </w:abstractNum>
  <w:abstractNum w:abstractNumId="130">
    <w:nsid w:val="4B697C7A"/>
    <w:multiLevelType w:val="hybridMultilevel"/>
    <w:lvl w:ilvl="0">
      <w:lvlJc w:val="left"/>
      <w:lvlText w:val="(%1)"/>
      <w:numFmt w:val="lowerLetter"/>
      <w:start w:val="24"/>
    </w:lvl>
    <w:lvl w:ilvl="1">
      <w:lvlJc w:val="left"/>
      <w:lvlText w:val="%2"/>
      <w:numFmt w:val="lowerLetter"/>
      <w:start w:val="1"/>
    </w:lvl>
  </w:abstractNum>
  <w:abstractNum w:abstractNumId="131">
    <w:nsid w:val="51A27AA6"/>
    <w:multiLevelType w:val="hybridMultilevel"/>
    <w:lvl w:ilvl="0">
      <w:lvlJc w:val="left"/>
      <w:lvlText w:val="(%1)"/>
      <w:numFmt w:val="lowerLetter"/>
      <w:start w:val="2"/>
    </w:lvl>
  </w:abstractNum>
  <w:abstractNum w:abstractNumId="132">
    <w:nsid w:val="613183F2"/>
    <w:multiLevelType w:val="hybridMultilevel"/>
    <w:lvl w:ilvl="0">
      <w:lvlJc w:val="left"/>
      <w:lvlText w:val="(%1)"/>
      <w:numFmt w:val="lowerLetter"/>
      <w:start w:val="3"/>
    </w:lvl>
  </w:abstractNum>
  <w:abstractNum w:abstractNumId="133">
    <w:nsid w:val="634102B4"/>
    <w:multiLevelType w:val="hybridMultilevel"/>
    <w:lvl w:ilvl="0">
      <w:lvlJc w:val="left"/>
      <w:lvlText w:val="(%1)"/>
      <w:numFmt w:val="lowerLetter"/>
      <w:start w:val="5"/>
    </w:lvl>
  </w:abstractNum>
  <w:abstractNum w:abstractNumId="134">
    <w:nsid w:val="65BF9DA8"/>
    <w:multiLevelType w:val="hybridMultilevel"/>
    <w:lvl w:ilvl="0">
      <w:lvlJc w:val="left"/>
      <w:lvlText w:val="(%1)"/>
      <w:numFmt w:val="lowerLetter"/>
      <w:start w:val="1"/>
    </w:lvl>
    <w:lvl w:ilvl="1">
      <w:lvlJc w:val="left"/>
      <w:lvlText w:val="(%2)"/>
      <w:numFmt w:val="lowerRoman"/>
      <w:start w:val="1"/>
    </w:lvl>
  </w:abstractNum>
  <w:abstractNum w:abstractNumId="135">
    <w:nsid w:val="21A2ECCA"/>
    <w:multiLevelType w:val="hybridMultilevel"/>
    <w:lvl w:ilvl="0">
      <w:lvlJc w:val="left"/>
      <w:lvlText w:val="(%1)"/>
      <w:numFmt w:val="lowerRoman"/>
      <w:start w:val="10"/>
    </w:lvl>
  </w:abstractNum>
  <w:abstractNum w:abstractNumId="136">
    <w:nsid w:val="4D5C4899"/>
    <w:multiLevelType w:val="hybridMultilevel"/>
    <w:lvl w:ilvl="0">
      <w:lvlJc w:val="left"/>
      <w:lvlText w:val="(%1)"/>
      <w:numFmt w:val="lowerRoman"/>
      <w:start w:val="16"/>
    </w:lvl>
  </w:abstractNum>
  <w:abstractNum w:abstractNumId="137">
    <w:nsid w:val="3C3B72B2"/>
    <w:multiLevelType w:val="hybridMultilevel"/>
    <w:lvl w:ilvl="0">
      <w:lvlJc w:val="left"/>
      <w:lvlText w:val="%1"/>
      <w:numFmt w:val="lowerRoman"/>
      <w:start w:val="1"/>
    </w:lvl>
    <w:lvl w:ilvl="1">
      <w:lvlJc w:val="left"/>
      <w:lvlText w:val="(%2)"/>
      <w:numFmt w:val="upperLetter"/>
      <w:start w:val="1"/>
    </w:lvl>
  </w:abstractNum>
  <w:abstractNum w:abstractNumId="138">
    <w:nsid w:val="155EC4C2"/>
    <w:multiLevelType w:val="hybridMultilevel"/>
    <w:lvl w:ilvl="0">
      <w:lvlJc w:val="left"/>
      <w:lvlText w:val="(%1)"/>
      <w:numFmt w:val="lowerRoman"/>
      <w:start w:val="17"/>
    </w:lvl>
    <w:lvl w:ilvl="1">
      <w:lvlJc w:val="left"/>
      <w:lvlText w:val="%2"/>
      <w:numFmt w:val="upperLetter"/>
      <w:start w:val="1"/>
    </w:lvl>
  </w:abstractNum>
  <w:abstractNum w:abstractNumId="139">
    <w:nsid w:val="65D2A137"/>
    <w:multiLevelType w:val="hybridMultilevel"/>
    <w:lvl w:ilvl="0">
      <w:lvlJc w:val="left"/>
      <w:lvlText w:val="(%1)"/>
      <w:numFmt w:val="lowerLetter"/>
      <w:start w:val="2"/>
    </w:lvl>
  </w:abstractNum>
  <w:abstractNum w:abstractNumId="140">
    <w:nsid w:val="6EBB1F2A"/>
    <w:multiLevelType w:val="hybridMultilevel"/>
    <w:lvl w:ilvl="0">
      <w:lvlJc w:val="left"/>
      <w:lvlText w:val="(%1)"/>
      <w:numFmt w:val="lowerLetter"/>
      <w:start w:val="1"/>
    </w:lvl>
  </w:abstractNum>
  <w:abstractNum w:abstractNumId="141">
    <w:nsid w:val="6FBF29CB"/>
    <w:multiLevelType w:val="hybridMultilevel"/>
    <w:lvl w:ilvl="0">
      <w:lvlJc w:val="left"/>
      <w:lvlText w:val="%1"/>
      <w:numFmt w:val="lowerLetter"/>
      <w:start w:val="1"/>
    </w:lvl>
    <w:lvl w:ilvl="1">
      <w:lvlJc w:val="left"/>
      <w:lvlText w:val="(%2)"/>
      <w:numFmt w:val="lowerLetter"/>
      <w:start w:val="1"/>
    </w:lvl>
  </w:abstractNum>
  <w:abstractNum w:abstractNumId="142">
    <w:nsid w:val="550B8808"/>
    <w:multiLevelType w:val="hybridMultilevel"/>
    <w:lvl w:ilvl="0">
      <w:lvlJc w:val="left"/>
      <w:lvlText w:val="(%1)"/>
      <w:numFmt w:val="lowerLetter"/>
      <w:start w:val="2"/>
    </w:lvl>
    <w:lvl w:ilvl="1">
      <w:lvlJc w:val="left"/>
      <w:lvlText w:val="%2"/>
      <w:numFmt w:val="lowerLetter"/>
      <w:start w:val="1"/>
    </w:lvl>
  </w:abstractNum>
  <w:abstractNum w:abstractNumId="143">
    <w:nsid w:val="34CC3ACF"/>
    <w:multiLevelType w:val="hybridMultilevel"/>
    <w:lvl w:ilvl="0">
      <w:lvlJc w:val="left"/>
      <w:lvlText w:val="%1"/>
      <w:numFmt w:val="lowerLetter"/>
      <w:start w:val="1"/>
    </w:lvl>
    <w:lvl w:ilvl="1">
      <w:lvlJc w:val="left"/>
      <w:lvlText w:val="(%2)"/>
      <w:numFmt w:val="lowerLetter"/>
      <w:start w:val="1"/>
    </w:lvl>
  </w:abstractNum>
  <w:abstractNum w:abstractNumId="144">
    <w:nsid w:val="4E556261"/>
    <w:multiLevelType w:val="hybridMultilevel"/>
    <w:lvl w:ilvl="0">
      <w:lvlJc w:val="left"/>
      <w:lvlText w:val="(%1)"/>
      <w:numFmt w:val="lowerLetter"/>
      <w:start w:val="3"/>
    </w:lvl>
    <w:lvl w:ilvl="1">
      <w:lvlJc w:val="left"/>
      <w:lvlText w:val="%2"/>
      <w:numFmt w:val="lowerLetter"/>
      <w:start w:val="1"/>
    </w:lvl>
  </w:abstractNum>
  <w:abstractNum w:abstractNumId="145">
    <w:nsid w:val="4C672FC9"/>
    <w:multiLevelType w:val="hybridMultilevel"/>
    <w:lvl w:ilvl="0">
      <w:lvlJc w:val="left"/>
      <w:lvlText w:val="(%1)"/>
      <w:numFmt w:val="lowerLetter"/>
      <w:start w:val="1"/>
    </w:lvl>
  </w:abstractNum>
  <w:abstractNum w:abstractNumId="146">
    <w:nsid w:val="52A311C3"/>
    <w:multiLevelType w:val="hybridMultilevel"/>
    <w:lvl w:ilvl="0">
      <w:lvlJc w:val="left"/>
      <w:lvlText w:val="(%1)"/>
      <w:numFmt w:val="lowerLetter"/>
      <w:start w:val="1"/>
    </w:lvl>
  </w:abstractNum>
  <w:abstractNum w:abstractNumId="147">
    <w:nsid w:val="44EF6B8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8">
    <w:nsid w:val="12FCDE5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49">
    <w:nsid w:val="4A1D606E"/>
    <w:multiLevelType w:val="hybridMultilevel"/>
    <w:lvl w:ilvl="0">
      <w:lvlJc w:val="left"/>
      <w:lvlText w:val="(%1)"/>
      <w:numFmt w:val="lowerLetter"/>
      <w:start w:val="1"/>
    </w:lvl>
  </w:abstractNum>
  <w:abstractNum w:abstractNumId="150">
    <w:nsid w:val="4382503"/>
    <w:multiLevelType w:val="hybridMultilevel"/>
    <w:lvl w:ilvl="0">
      <w:lvlJc w:val="left"/>
      <w:lvlText w:val="(%1)"/>
      <w:numFmt w:val="lowerLetter"/>
      <w:start w:val="2"/>
    </w:lvl>
  </w:abstractNum>
  <w:abstractNum w:abstractNumId="151">
    <w:nsid w:val="59B76E28"/>
    <w:multiLevelType w:val="hybridMultilevel"/>
    <w:lvl w:ilvl="0">
      <w:lvlJc w:val="left"/>
      <w:lvlText w:val="(%1)"/>
      <w:numFmt w:val="lowerLetter"/>
      <w:start w:val="4"/>
    </w:lvl>
  </w:abstractNum>
  <w:abstractNum w:abstractNumId="152">
    <w:nsid w:val="4252C2DA"/>
    <w:multiLevelType w:val="hybridMultilevel"/>
    <w:lvl w:ilvl="0">
      <w:lvlJc w:val="left"/>
      <w:lvlText w:val="(%1)"/>
      <w:numFmt w:val="lowerLetter"/>
      <w:start w:val="9"/>
    </w:lvl>
  </w:abstractNum>
  <w:abstractNum w:abstractNumId="153">
    <w:nsid w:val="6A92EF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4">
    <w:nsid w:val="41ED20D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5">
    <w:nsid w:val="E6B3F6A"/>
    <w:multiLevelType w:val="hybridMultilevel"/>
    <w:lvl w:ilvl="0">
      <w:lvlJc w:val="left"/>
      <w:lvlText w:val="%1"/>
      <w:numFmt w:val="decimal"/>
      <w:start w:val="1"/>
    </w:lvl>
    <w:lvl w:ilvl="1">
      <w:lvlJc w:val="left"/>
      <w:lvlText w:val="(%2)"/>
      <w:numFmt w:val="lowerLetter"/>
      <w:start w:val="6"/>
    </w:lvl>
  </w:abstractNum>
  <w:abstractNum w:abstractNumId="156">
    <w:nsid w:val="3EB21819"/>
    <w:multiLevelType w:val="hybridMultilevel"/>
    <w:lvl w:ilvl="0">
      <w:lvlJc w:val="left"/>
      <w:lvlText w:val="%1."/>
      <w:numFmt w:val="decimal"/>
      <w:start w:val="6"/>
    </w:lvl>
    <w:lvl w:ilvl="1">
      <w:lvlJc w:val="left"/>
      <w:lvlText w:val="%2"/>
      <w:numFmt w:val="lowerLetter"/>
      <w:start w:val="1"/>
    </w:lvl>
  </w:abstractNum>
  <w:abstractNum w:abstractNumId="157">
    <w:nsid w:val="41531DED"/>
    <w:multiLevelType w:val="hybridMultilevel"/>
    <w:lvl w:ilvl="0">
      <w:lvlJc w:val="left"/>
      <w:lvlText w:val="(%1)"/>
      <w:numFmt w:val="lowerLetter"/>
      <w:start w:val="1"/>
    </w:lvl>
  </w:abstractNum>
  <w:abstractNum w:abstractNumId="158">
    <w:nsid w:val="6353CD2"/>
    <w:multiLevelType w:val="hybridMultilevel"/>
    <w:lvl w:ilvl="0">
      <w:lvlJc w:val="left"/>
      <w:lvlText w:val="(%1)"/>
      <w:numFmt w:val="lowerLetter"/>
      <w:start w:val="2"/>
    </w:lvl>
  </w:abstractNum>
  <w:abstractNum w:abstractNumId="159">
    <w:nsid w:val="683CAAD3"/>
    <w:multiLevelType w:val="hybridMultilevel"/>
    <w:lvl w:ilvl="0">
      <w:lvlJc w:val="left"/>
      <w:lvlText w:val="(%1)"/>
      <w:numFmt w:val="lowerLetter"/>
      <w:start w:val="1"/>
    </w:lvl>
  </w:abstractNum>
  <w:abstractNum w:abstractNumId="160">
    <w:nsid w:val="313C7C99"/>
    <w:multiLevelType w:val="hybridMultilevel"/>
    <w:lvl w:ilvl="0">
      <w:lvlJc w:val="left"/>
      <w:lvlText w:val="(%1)"/>
      <w:numFmt w:val="lowerLetter"/>
      <w:start w:val="4"/>
    </w:lvl>
  </w:abstractNum>
  <w:abstractNum w:abstractNumId="161">
    <w:nsid w:val="519EB94C"/>
    <w:multiLevelType w:val="hybridMultilevel"/>
    <w:lvl w:ilvl="0">
      <w:lvlJc w:val="left"/>
      <w:lvlText w:val="(%1)"/>
      <w:numFmt w:val="lowerLetter"/>
      <w:start w:val="1"/>
    </w:lvl>
  </w:abstractNum>
  <w:abstractNum w:abstractNumId="162">
    <w:nsid w:val="39DF2579"/>
    <w:multiLevelType w:val="hybridMultilevel"/>
    <w:lvl w:ilvl="0">
      <w:lvlJc w:val="left"/>
      <w:lvlText w:val="(%1)"/>
      <w:numFmt w:val="lowerLetter"/>
      <w:start w:val="1"/>
    </w:lvl>
  </w:abstractNum>
  <w:abstractNum w:abstractNumId="163">
    <w:nsid w:val="126E008B"/>
    <w:multiLevelType w:val="hybridMultilevel"/>
    <w:lvl w:ilvl="0">
      <w:lvlJc w:val="left"/>
      <w:lvlText w:val="(%1)"/>
      <w:numFmt w:val="lowerLetter"/>
      <w:start w:val="2"/>
    </w:lvl>
    <w:lvl w:ilvl="1">
      <w:lvlJc w:val="left"/>
      <w:lvlText w:val="(%2)"/>
      <w:numFmt w:val="lowerLetter"/>
      <w:start w:val="9"/>
    </w:lvl>
  </w:abstractNum>
  <w:abstractNum w:abstractNumId="164">
    <w:nsid w:val="34DFBC00"/>
    <w:multiLevelType w:val="hybridMultilevel"/>
    <w:lvl w:ilvl="0">
      <w:lvlJc w:val="left"/>
      <w:lvlText w:val="(%1)"/>
      <w:numFmt w:val="lowerRoman"/>
      <w:start w:val="2"/>
    </w:lvl>
  </w:abstractNum>
  <w:abstractNum w:abstractNumId="165">
    <w:nsid w:val="1F9EC322"/>
    <w:multiLevelType w:val="hybridMultilevel"/>
    <w:lvl w:ilvl="0">
      <w:lvlJc w:val="left"/>
      <w:lvlText w:val="(%1)"/>
      <w:numFmt w:val="lowerLetter"/>
      <w:start w:val="3"/>
    </w:lvl>
    <w:lvl w:ilvl="1">
      <w:lvlJc w:val="left"/>
      <w:lvlText w:val="(%2)"/>
      <w:numFmt w:val="lowerLetter"/>
      <w:start w:val="5"/>
    </w:lvl>
  </w:abstractNum>
  <w:abstractNum w:abstractNumId="166">
    <w:nsid w:val="3410ED56"/>
    <w:multiLevelType w:val="hybridMultilevel"/>
    <w:lvl w:ilvl="0">
      <w:lvlJc w:val="left"/>
      <w:lvlText w:val="(%1)"/>
      <w:numFmt w:val="lowerLetter"/>
      <w:start w:val="1"/>
    </w:lvl>
  </w:abstractNum>
  <w:abstractNum w:abstractNumId="167">
    <w:nsid w:val="23C049A"/>
    <w:multiLevelType w:val="hybridMultilevel"/>
    <w:lvl w:ilvl="0">
      <w:lvlJc w:val="left"/>
      <w:lvlText w:val="%1"/>
      <w:numFmt w:val="upperLetter"/>
      <w:start w:val="1"/>
    </w:lvl>
    <w:lvl w:ilvl="1">
      <w:lvlJc w:val="left"/>
      <w:lvlText w:val="(%2)"/>
      <w:numFmt w:val="lowerLetter"/>
      <w:start w:val="2"/>
    </w:lvl>
  </w:abstractNum>
  <w:abstractNum w:abstractNumId="168">
    <w:nsid w:val="5BDA35D4"/>
    <w:multiLevelType w:val="hybridMultilevel"/>
    <w:lvl w:ilvl="0">
      <w:lvlJc w:val="left"/>
      <w:lvlText w:val="(%1)"/>
      <w:numFmt w:val="upperLetter"/>
      <w:start w:val="3"/>
    </w:lvl>
    <w:lvl w:ilvl="1">
      <w:lvlJc w:val="left"/>
      <w:lvlText w:val="%2"/>
      <w:numFmt w:val="lowerLetter"/>
      <w:start w:val="1"/>
    </w:lvl>
  </w:abstractNum>
  <w:abstractNum w:abstractNumId="169">
    <w:nsid w:val="496FB218"/>
    <w:multiLevelType w:val="hybridMultilevel"/>
    <w:lvl w:ilvl="0">
      <w:lvlJc w:val="left"/>
      <w:lvlText w:val="(%1)"/>
      <w:numFmt w:val="lowerLetter"/>
      <w:start w:val="1"/>
    </w:lvl>
  </w:abstractNum>
  <w:abstractNum w:abstractNumId="170">
    <w:nsid w:val="680EA5D1"/>
    <w:multiLevelType w:val="hybridMultilevel"/>
    <w:lvl w:ilvl="0">
      <w:lvlJc w:val="left"/>
      <w:lvlText w:val="(%1)"/>
      <w:numFmt w:val="lowerLetter"/>
      <w:start w:val="1"/>
    </w:lvl>
  </w:abstractNum>
  <w:abstractNum w:abstractNumId="171">
    <w:nsid w:val="4A9554FE"/>
    <w:multiLevelType w:val="hybridMultilevel"/>
    <w:lvl w:ilvl="0">
      <w:lvlJc w:val="left"/>
      <w:lvlText w:val="%1"/>
      <w:numFmt w:val="decimal"/>
      <w:start w:val="1"/>
    </w:lvl>
    <w:lvl w:ilvl="1">
      <w:lvlJc w:val="left"/>
      <w:lvlText w:val="(%2)"/>
      <w:numFmt w:val="lowerLetter"/>
      <w:start w:val="4"/>
    </w:lvl>
  </w:abstractNum>
  <w:abstractNum w:abstractNumId="172">
    <w:nsid w:val="392EDBE4"/>
    <w:multiLevelType w:val="hybridMultilevel"/>
    <w:lvl w:ilvl="0">
      <w:lvlJc w:val="left"/>
      <w:lvlText w:val="%1."/>
      <w:numFmt w:val="decimal"/>
      <w:start w:val="7"/>
    </w:lvl>
    <w:lvl w:ilvl="1">
      <w:lvlJc w:val="left"/>
      <w:lvlText w:val="%2"/>
      <w:numFmt w:val="lowerLetter"/>
      <w:start w:val="1"/>
    </w:lvl>
  </w:abstractNum>
  <w:abstractNum w:abstractNumId="173">
    <w:nsid w:val="3D1A2DD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74">
    <w:nsid w:val="7F618FCD"/>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175">
    <w:nsid w:val="7843E45"/>
    <w:multiLevelType w:val="hybridMultilevel"/>
    <w:lvl w:ilvl="0">
      <w:lvlJc w:val="left"/>
      <w:lvlText w:val="(%1)"/>
      <w:numFmt w:val="lowerRoman"/>
      <w:start w:val="2"/>
    </w:lvl>
  </w:abstractNum>
  <w:abstractNum w:abstractNumId="176">
    <w:nsid w:val="9815DA3"/>
    <w:multiLevelType w:val="hybridMultilevel"/>
    <w:lvl w:ilvl="0">
      <w:lvlJc w:val="left"/>
      <w:lvlText w:val="%1"/>
      <w:numFmt w:val="upperLetter"/>
      <w:start w:val="1"/>
    </w:lvl>
    <w:lvl w:ilvl="1">
      <w:lvlJc w:val="left"/>
      <w:lvlText w:val="(%2)"/>
      <w:numFmt w:val="lowerRoman"/>
      <w:start w:val="8"/>
    </w:lvl>
  </w:abstractNum>
  <w:abstractNum w:abstractNumId="177">
    <w:nsid w:val="5204A191"/>
    <w:multiLevelType w:val="hybridMultilevel"/>
    <w:lvl w:ilvl="0">
      <w:lvlJc w:val="left"/>
      <w:lvlText w:val="(%1)"/>
      <w:numFmt w:val="upperLetter"/>
      <w:start w:val="3"/>
    </w:lvl>
    <w:lvl w:ilvl="1">
      <w:lvlJc w:val="left"/>
      <w:lvlText w:val="(%2)"/>
      <w:numFmt w:val="lowerRoman"/>
      <w:start w:val="11"/>
    </w:lvl>
  </w:abstractNum>
  <w:abstractNum w:abstractNumId="178">
    <w:nsid w:val="4C73A9C6"/>
    <w:multiLevelType w:val="hybridMultilevel"/>
    <w:lvl w:ilvl="0">
      <w:lvlJc w:val="left"/>
      <w:lvlText w:val="(%1)"/>
      <w:numFmt w:val="lowerRoman"/>
      <w:start w:val="13"/>
    </w:lvl>
  </w:abstractNum>
  <w:abstractNum w:abstractNumId="179">
    <w:nsid w:val="1C7E3C01"/>
    <w:multiLevelType w:val="hybridMultilevel"/>
    <w:lvl w:ilvl="0">
      <w:lvlJc w:val="left"/>
      <w:lvlText w:val="%1"/>
      <w:numFmt w:val="lowerLetter"/>
      <w:start w:val="1"/>
    </w:lvl>
    <w:lvl w:ilvl="1">
      <w:lvlJc w:val="left"/>
      <w:lvlText w:val="(%2)"/>
      <w:numFmt w:val="lowerRoman"/>
      <w:start w:val="16"/>
    </w:lvl>
  </w:abstractNum>
  <w:abstractNum w:abstractNumId="180">
    <w:nsid w:val="1C2201FF"/>
    <w:multiLevelType w:val="hybridMultilevel"/>
    <w:lvl w:ilvl="0">
      <w:lvlJc w:val="left"/>
      <w:lvlText w:val="(%1)"/>
      <w:numFmt w:val="lowerLetter"/>
      <w:start w:val="25"/>
    </w:lvl>
    <w:lvl w:ilvl="1">
      <w:lvlJc w:val="left"/>
      <w:lvlText w:val="(%2)"/>
      <w:numFmt w:val="lowerRoman"/>
      <w:start w:val="17"/>
    </w:lvl>
  </w:abstractNum>
  <w:abstractNum w:abstractNumId="181">
    <w:nsid w:val="50ABCEC9"/>
    <w:multiLevelType w:val="hybridMultilevel"/>
    <w:lvl w:ilvl="0">
      <w:lvlJc w:val="left"/>
      <w:lvlText w:val="%1"/>
      <w:numFmt w:val="lowerRoman"/>
      <w:start w:val="1"/>
    </w:lvl>
    <w:lvl w:ilvl="1">
      <w:lvlJc w:val="left"/>
      <w:lvlText w:val="(%2)"/>
      <w:numFmt w:val="lowerRoman"/>
      <w:start w:val="18"/>
    </w:lvl>
  </w:abstractNum>
  <w:abstractNum w:abstractNumId="182">
    <w:nsid w:val="7635AA2A"/>
    <w:multiLevelType w:val="hybridMultilevel"/>
    <w:lvl w:ilvl="0">
      <w:lvlJc w:val="left"/>
      <w:lvlText w:val="(%1)"/>
      <w:numFmt w:val="lowerRoman"/>
      <w:start w:val="15"/>
    </w:lvl>
    <w:lvl w:ilvl="1">
      <w:lvlJc w:val="left"/>
      <w:lvlText w:val="(%2)"/>
      <w:numFmt w:val="lowerRoman"/>
      <w:start w:val="25"/>
    </w:lvl>
  </w:abstractNum>
  <w:abstractNum w:abstractNumId="183">
    <w:nsid w:val="5E74C4D9"/>
    <w:multiLevelType w:val="hybridMultilevel"/>
    <w:lvl w:ilvl="0">
      <w:lvlJc w:val="left"/>
      <w:lvlText w:val="(%1)"/>
      <w:numFmt w:val="lowerRoman"/>
      <w:start w:val="28"/>
    </w:lvl>
    <w:lvl w:ilvl="1">
      <w:lvlJc w:val="left"/>
      <w:lvlText w:val="(%2)"/>
      <w:numFmt w:val="lowerLetter"/>
      <w:start w:val="3"/>
    </w:lvl>
  </w:abstractNum>
  <w:abstractNum w:abstractNumId="184">
    <w:nsid w:val="3B3EBE1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85">
    <w:nsid w:val="3822CB01"/>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4"/>
    </w:lvl>
  </w:abstractNum>
  <w:abstractNum w:abstractNumId="186">
    <w:nsid w:val="6CE00443"/>
    <w:multiLevelType w:val="hybridMultilevel"/>
    <w:lvl w:ilvl="0">
      <w:lvlJc w:val="left"/>
      <w:lvlText w:val="(%1)"/>
      <w:numFmt w:val="lowerLetter"/>
      <w:start w:val="2"/>
    </w:lvl>
    <w:lvl w:ilvl="1">
      <w:lvlJc w:val="left"/>
      <w:lvlText w:val="(%2)"/>
      <w:numFmt w:val="lowerRoman"/>
      <w:start w:val="1"/>
    </w:lvl>
  </w:abstractNum>
  <w:abstractNum w:abstractNumId="187">
    <w:nsid w:val="79F0D62F"/>
    <w:multiLevelType w:val="hybridMultilevel"/>
    <w:lvl w:ilvl="0">
      <w:lvlJc w:val="left"/>
      <w:lvlText w:val="(%1)"/>
      <w:numFmt w:val="lowerRoman"/>
      <w:start w:val="3"/>
    </w:lvl>
  </w:abstractNum>
  <w:abstractNum w:abstractNumId="188">
    <w:nsid w:val="7975E8EE"/>
    <w:multiLevelType w:val="hybridMultilevel"/>
    <w:lvl w:ilvl="0">
      <w:lvlJc w:val="left"/>
      <w:lvlText w:val="(%1)"/>
      <w:numFmt w:val="lowerRoman"/>
      <w:start w:val="4"/>
    </w:lvl>
  </w:abstractNum>
  <w:abstractNum w:abstractNumId="189">
    <w:nsid w:val="73154115"/>
    <w:multiLevelType w:val="hybridMultilevel"/>
    <w:lvl w:ilvl="0">
      <w:lvlJc w:val="left"/>
      <w:lvlText w:val="(%1)"/>
      <w:numFmt w:val="upperLetter"/>
      <w:start w:val="2"/>
    </w:lvl>
    <w:lvl w:ilvl="1">
      <w:lvlJc w:val="left"/>
      <w:lvlText w:val="(%2)"/>
      <w:numFmt w:val="lowerRoman"/>
      <w:start w:val="5"/>
    </w:lvl>
  </w:abstractNum>
  <w:abstractNum w:abstractNumId="190">
    <w:nsid w:val="622D8102"/>
    <w:multiLevelType w:val="hybridMultilevel"/>
    <w:lvl w:ilvl="0">
      <w:lvlJc w:val="left"/>
      <w:lvlText w:val="(%1)"/>
      <w:numFmt w:val="lowerRoman"/>
      <w:start w:val="7"/>
    </w:lvl>
  </w:abstractNum>
  <w:abstractNum w:abstractNumId="191">
    <w:nsid w:val="2AB26587"/>
    <w:multiLevelType w:val="hybridMultilevel"/>
    <w:lvl w:ilvl="0">
      <w:lvlJc w:val="left"/>
      <w:lvlText w:val="(%1)"/>
      <w:numFmt w:val="lowerRoman"/>
      <w:start w:val="13"/>
    </w:lvl>
  </w:abstractNum>
  <w:abstractNum w:abstractNumId="192">
    <w:nsid w:val="44B3FA61"/>
    <w:multiLevelType w:val="hybridMultilevel"/>
    <w:lvl w:ilvl="0">
      <w:lvlJc w:val="left"/>
      <w:lvlText w:val="(%1)"/>
      <w:numFmt w:val="lowerLetter"/>
      <w:start w:val="3"/>
    </w:lvl>
  </w:abstractNum>
  <w:abstractNum w:abstractNumId="193">
    <w:nsid w:val="1C0CA67C"/>
    <w:multiLevelType w:val="hybridMultilevel"/>
    <w:lvl w:ilvl="0">
      <w:lvlJc w:val="left"/>
      <w:lvlText w:val="(%1)"/>
      <w:numFmt w:val="lowerLetter"/>
      <w:start w:val="1"/>
    </w:lvl>
  </w:abstractNum>
  <w:abstractNum w:abstractNumId="194">
    <w:nsid w:val="3D206613"/>
    <w:multiLevelType w:val="hybridMultilevel"/>
    <w:lvl w:ilvl="0">
      <w:lvlJc w:val="left"/>
      <w:lvlText w:val="(%1)"/>
      <w:numFmt w:val="lowerRoman"/>
      <w:start w:val="1"/>
    </w:lvl>
  </w:abstractNum>
  <w:abstractNum w:abstractNumId="195">
    <w:nsid w:val="7993B662"/>
    <w:multiLevelType w:val="hybridMultilevel"/>
    <w:lvl w:ilvl="0">
      <w:lvlJc w:val="left"/>
      <w:lvlText w:val="(%1)"/>
      <w:numFmt w:val="lowerRoman"/>
      <w:start w:val="6"/>
    </w:lvl>
  </w:abstractNum>
  <w:abstractNum w:abstractNumId="196">
    <w:nsid w:val="3BAB699E"/>
    <w:multiLevelType w:val="hybridMultilevel"/>
    <w:lvl w:ilvl="0">
      <w:lvlJc w:val="left"/>
      <w:lvlText w:val="%1"/>
      <w:numFmt w:val="lowerLetter"/>
      <w:start w:val="1"/>
    </w:lvl>
    <w:lvl w:ilvl="1">
      <w:lvlJc w:val="left"/>
      <w:lvlText w:val="(%2)"/>
      <w:numFmt w:val="lowerLetter"/>
      <w:start w:val="1"/>
    </w:lvl>
  </w:abstractNum>
  <w:abstractNum w:abstractNumId="197">
    <w:nsid w:val="71315369"/>
    <w:multiLevelType w:val="hybridMultilevel"/>
    <w:lvl w:ilvl="0">
      <w:lvlJc w:val="left"/>
      <w:lvlText w:val="(%1)"/>
      <w:numFmt w:val="lowerLetter"/>
      <w:start w:val="61"/>
    </w:lvl>
    <w:lvl w:ilvl="1">
      <w:lvlJc w:val="left"/>
      <w:lvlText w:val="%2"/>
      <w:numFmt w:val="lowerLetter"/>
      <w:start w:val="1"/>
    </w:lvl>
  </w:abstractNum>
  <w:abstractNum w:abstractNumId="198">
    <w:nsid w:val="7BCFBAFC"/>
    <w:multiLevelType w:val="hybridMultilevel"/>
    <w:lvl w:ilvl="0">
      <w:lvlJc w:val="left"/>
      <w:lvlText w:val="(%1)"/>
      <w:numFmt w:val="lowerLetter"/>
      <w:start w:val="6"/>
    </w:lvl>
  </w:abstractNum>
  <w:abstractNum w:abstractNumId="199">
    <w:nsid w:val="17859F72"/>
    <w:multiLevelType w:val="hybridMultilevel"/>
    <w:lvl w:ilvl="0">
      <w:lvlJc w:val="left"/>
      <w:lvlText w:val="(%1)"/>
      <w:numFmt w:val="upperLetter"/>
      <w:start w:val="1"/>
    </w:lvl>
    <w:lvl w:ilvl="1">
      <w:lvlJc w:val="left"/>
      <w:lvlText w:val="(%2)"/>
      <w:numFmt w:val="lowerLetter"/>
      <w:start w:val="14"/>
    </w:lvl>
  </w:abstractNum>
  <w:abstractNum w:abstractNumId="200">
    <w:nsid w:val="3AA10581"/>
    <w:multiLevelType w:val="hybridMultilevel"/>
    <w:lvl w:ilvl="0">
      <w:lvlJc w:val="left"/>
      <w:lvlText w:val="(%1)"/>
      <w:numFmt w:val="lowerLetter"/>
      <w:start w:val="19"/>
    </w:lvl>
  </w:abstractNum>
  <w:abstractNum w:abstractNumId="201">
    <w:nsid w:val="63DE60CD"/>
    <w:multiLevelType w:val="hybridMultilevel"/>
    <w:lvl w:ilvl="0">
      <w:lvlJc w:val="left"/>
      <w:lvlText w:val="(%1)"/>
      <w:numFmt w:val="lowerLetter"/>
      <w:start w:val="24"/>
    </w:lvl>
  </w:abstractNum>
  <w:abstractNum w:abstractNumId="202">
    <w:nsid w:val="621AF471"/>
    <w:multiLevelType w:val="hybridMultilevel"/>
    <w:lvl w:ilvl="0">
      <w:lvlJc w:val="left"/>
      <w:lvlText w:val="(%1)"/>
      <w:numFmt w:val="lowerLetter"/>
      <w:start w:val="26"/>
    </w:lvl>
  </w:abstractNum>
  <w:abstractNum w:abstractNumId="203">
    <w:nsid w:val="73CFE165"/>
    <w:multiLevelType w:val="hybridMultilevel"/>
    <w:lvl w:ilvl="0">
      <w:lvlJc w:val="left"/>
      <w:lvlText w:val="(%1)"/>
      <w:numFmt w:val="lowerLetter"/>
      <w:start w:val="1"/>
    </w:lvl>
    <w:lvl w:ilvl="1">
      <w:lvlJc w:val="left"/>
      <w:lvlText w:val="(%2)"/>
      <w:numFmt w:val="lowerRoman"/>
      <w:start w:val="1"/>
    </w:lvl>
  </w:abstractNum>
  <w:abstractNum w:abstractNumId="204">
    <w:nsid w:val="20F88EA6"/>
    <w:multiLevelType w:val="hybridMultilevel"/>
    <w:lvl w:ilvl="0">
      <w:lvlJc w:val="left"/>
      <w:lvlText w:val="(%1)"/>
      <w:numFmt w:val="lowerRoman"/>
      <w:start w:val="4"/>
    </w:lvl>
  </w:abstractNum>
  <w:abstractNum w:abstractNumId="205">
    <w:nsid w:val="617C843E"/>
    <w:multiLevelType w:val="hybridMultilevel"/>
    <w:lvl w:ilvl="0">
      <w:lvlJc w:val="left"/>
      <w:lvlText w:val="(%1)"/>
      <w:numFmt w:val="lowerRoman"/>
      <w:start w:val="10"/>
    </w:lvl>
  </w:abstractNum>
  <w:abstractNum w:abstractNumId="206">
    <w:nsid w:val="7B541FAB"/>
    <w:multiLevelType w:val="hybridMultilevel"/>
    <w:lvl w:ilvl="0">
      <w:lvlJc w:val="left"/>
      <w:lvlText w:val="(%1)"/>
      <w:numFmt w:val="lowerRoman"/>
      <w:start w:val="11"/>
    </w:lvl>
  </w:abstractNum>
  <w:abstractNum w:abstractNumId="207">
    <w:nsid w:val="2A79EC49"/>
    <w:multiLevelType w:val="hybridMultilevel"/>
    <w:lvl w:ilvl="0">
      <w:lvlJc w:val="left"/>
      <w:lvlText w:val="%1"/>
      <w:numFmt w:val="lowerLetter"/>
      <w:start w:val="1"/>
    </w:lvl>
    <w:lvl w:ilvl="1">
      <w:lvlJc w:val="left"/>
      <w:lvlText w:val="(%2)"/>
      <w:numFmt w:val="lowerLetter"/>
      <w:start w:val="1"/>
    </w:lvl>
  </w:abstractNum>
  <w:abstractNum w:abstractNumId="208">
    <w:nsid w:val="338125CF"/>
    <w:multiLevelType w:val="hybridMultilevel"/>
    <w:lvl w:ilvl="0">
      <w:lvlJc w:val="left"/>
      <w:lvlText w:val="(%1)"/>
      <w:numFmt w:val="lowerLetter"/>
      <w:start w:val="35"/>
    </w:lvl>
    <w:lvl w:ilvl="1">
      <w:lvlJc w:val="left"/>
      <w:lvlText w:val="(%2)"/>
      <w:numFmt w:val="lowerLetter"/>
      <w:start w:val="2"/>
    </w:lvl>
  </w:abstractNum>
  <w:abstractNum w:abstractNumId="209">
    <w:nsid w:val="47C7C971"/>
    <w:multiLevelType w:val="hybridMultilevel"/>
    <w:lvl w:ilvl="0">
      <w:lvlJc w:val="left"/>
      <w:lvlText w:val="(%1)"/>
      <w:numFmt w:val="lowerLetter"/>
      <w:start w:val="1"/>
    </w:lvl>
  </w:abstractNum>
  <w:abstractNum w:abstractNumId="210">
    <w:nsid w:val="46F8284B"/>
    <w:multiLevelType w:val="hybridMultilevel"/>
    <w:lvl w:ilvl="0">
      <w:lvlJc w:val="left"/>
      <w:lvlText w:val="%1"/>
      <w:numFmt w:val="lowerLetter"/>
      <w:start w:val="1"/>
    </w:lvl>
    <w:lvl w:ilvl="1">
      <w:lvlJc w:val="left"/>
      <w:lvlText w:val="(%2)"/>
      <w:numFmt w:val="lowerLetter"/>
      <w:start w:val="1"/>
    </w:lvl>
  </w:abstractNum>
  <w:abstractNum w:abstractNumId="211">
    <w:nsid w:val="4FA327CE"/>
    <w:multiLevelType w:val="hybridMultilevel"/>
    <w:lvl w:ilvl="0">
      <w:lvlJc w:val="left"/>
      <w:lvlText w:val="(%1)"/>
      <w:numFmt w:val="lowerLetter"/>
      <w:start w:val="35"/>
    </w:lvl>
    <w:lvl w:ilvl="1">
      <w:lvlJc w:val="left"/>
      <w:lvlText w:val="(%2)"/>
      <w:numFmt w:val="lowerLetter"/>
      <w:start w:val="2"/>
    </w:lvl>
  </w:abstractNum>
  <w:abstractNum w:abstractNumId="212">
    <w:nsid w:val="1873983A"/>
    <w:multiLevelType w:val="hybridMultilevel"/>
    <w:lvl w:ilvl="0">
      <w:lvlJc w:val="left"/>
      <w:lvlText w:val="(%1)"/>
      <w:numFmt w:val="lowerLetter"/>
      <w:start w:val="9"/>
    </w:lvl>
    <w:lvl w:ilvl="1">
      <w:lvlJc w:val="left"/>
      <w:lvlText w:val="%2"/>
      <w:numFmt w:val="lowerLetter"/>
      <w:start w:val="1"/>
    </w:lvl>
  </w:abstractNum>
  <w:abstractNum w:abstractNumId="213">
    <w:nsid w:val="3D2DD275"/>
    <w:multiLevelType w:val="hybridMultilevel"/>
    <w:lvl w:ilvl="0">
      <w:lvlJc w:val="left"/>
      <w:lvlText w:val="(%1)"/>
      <w:numFmt w:val="lowerLetter"/>
      <w:start w:val="6"/>
    </w:lvl>
  </w:abstractNum>
  <w:abstractNum w:abstractNumId="214">
    <w:nsid w:val="2E17ECA7"/>
    <w:multiLevelType w:val="hybridMultilevel"/>
    <w:lvl w:ilvl="0">
      <w:lvlJc w:val="left"/>
      <w:lvlText w:val="(%1)"/>
      <w:numFmt w:val="lowerLetter"/>
      <w:start w:val="10"/>
    </w:lvl>
  </w:abstractNum>
  <w:abstractNum w:abstractNumId="215">
    <w:nsid w:val="53B2564F"/>
    <w:multiLevelType w:val="hybridMultilevel"/>
    <w:lvl w:ilvl="0">
      <w:lvlJc w:val="left"/>
      <w:lvlText w:val="(%1)"/>
      <w:numFmt w:val="lowerLetter"/>
      <w:start w:val="1"/>
    </w:lvl>
  </w:abstractNum>
  <w:abstractNum w:abstractNumId="216">
    <w:nsid w:val="75509D76"/>
    <w:multiLevelType w:val="hybridMultilevel"/>
    <w:lvl w:ilvl="0">
      <w:lvlJc w:val="left"/>
      <w:lvlText w:val="(%1)"/>
      <w:numFmt w:val="lowerLetter"/>
      <w:start w:val="2"/>
    </w:lvl>
  </w:abstractNum>
  <w:abstractNum w:abstractNumId="217">
    <w:nsid w:val="1AF7F0EA"/>
    <w:multiLevelType w:val="hybridMultilevel"/>
    <w:lvl w:ilvl="0">
      <w:lvlJc w:val="left"/>
      <w:lvlText w:val="(%1)"/>
      <w:numFmt w:val="lowerRoman"/>
      <w:start w:val="1"/>
    </w:lvl>
  </w:abstractNum>
  <w:abstractNum w:abstractNumId="218">
    <w:nsid w:val="4DA32C7E"/>
    <w:multiLevelType w:val="hybridMultilevel"/>
    <w:lvl w:ilvl="0">
      <w:lvlJc w:val="left"/>
      <w:lvlText w:val="(%1)"/>
      <w:numFmt w:val="lowerLetter"/>
      <w:start w:val="1"/>
    </w:lvl>
  </w:abstractNum>
  <w:abstractNum w:abstractNumId="219">
    <w:nsid w:val="6EC68664"/>
    <w:multiLevelType w:val="hybridMultilevel"/>
    <w:lvl w:ilvl="0">
      <w:lvlJc w:val="left"/>
      <w:lvlText w:val="(%1)"/>
      <w:numFmt w:val="lowerLetter"/>
      <w:start w:val="1"/>
    </w:lvl>
  </w:abstractNum>
  <w:abstractNum w:abstractNumId="220">
    <w:nsid w:val="E0D31FF"/>
    <w:multiLevelType w:val="hybridMultilevel"/>
    <w:lvl w:ilvl="0">
      <w:lvlJc w:val="left"/>
      <w:lvlText w:val="(%1)"/>
      <w:numFmt w:val="lowerLetter"/>
      <w:start w:val="1"/>
    </w:lvl>
    <w:lvl w:ilvl="1">
      <w:lvlJc w:val="left"/>
      <w:lvlText w:val="(%2)"/>
      <w:numFmt w:val="lowerRoman"/>
      <w:start w:val="1"/>
    </w:lvl>
  </w:abstractNum>
  <w:abstractNum w:abstractNumId="221">
    <w:nsid w:val="2FD0AD81"/>
    <w:multiLevelType w:val="hybridMultilevel"/>
    <w:lvl w:ilvl="0">
      <w:lvlJc w:val="left"/>
      <w:lvlText w:val="(%1)"/>
      <w:numFmt w:val="lowerLetter"/>
      <w:start w:val="2"/>
    </w:lvl>
    <w:lvl w:ilvl="1">
      <w:lvlJc w:val="left"/>
      <w:lvlText w:val="(%2)"/>
      <w:numFmt w:val="lowerRoman"/>
      <w:start w:val="1"/>
    </w:lvl>
  </w:abstractNum>
  <w:abstractNum w:abstractNumId="222">
    <w:nsid w:val="1978EBEB"/>
    <w:multiLevelType w:val="hybridMultilevel"/>
    <w:lvl w:ilvl="0">
      <w:lvlJc w:val="left"/>
      <w:lvlText w:val="%1"/>
      <w:numFmt w:val="lowerLetter"/>
      <w:start w:val="1"/>
    </w:lvl>
    <w:lvl w:ilvl="1">
      <w:lvlJc w:val="left"/>
      <w:lvlText w:val="(%2)"/>
      <w:numFmt w:val="lowerLetter"/>
      <w:start w:val="5"/>
    </w:lvl>
  </w:abstractNum>
  <w:abstractNum w:abstractNumId="223">
    <w:nsid w:val="52C12C61"/>
    <w:multiLevelType w:val="hybridMultilevel"/>
    <w:lvl w:ilvl="0">
      <w:lvlJc w:val="left"/>
      <w:lvlText w:val="(%1)"/>
      <w:numFmt w:val="lowerLetter"/>
      <w:start w:val="9"/>
    </w:lvl>
    <w:lvl w:ilvl="1">
      <w:lvlJc w:val="left"/>
      <w:lvlText w:val="%2"/>
      <w:numFmt w:val="lowerLetter"/>
      <w:start w:val="1"/>
    </w:lvl>
  </w:abstractNum>
  <w:abstractNum w:abstractNumId="224">
    <w:nsid w:val="4BDD53FD"/>
    <w:multiLevelType w:val="hybridMultilevel"/>
    <w:lvl w:ilvl="0">
      <w:lvlJc w:val="left"/>
      <w:lvlText w:val="%1"/>
      <w:numFmt w:val="lowerLetter"/>
      <w:start w:val="1"/>
    </w:lvl>
    <w:lvl w:ilvl="1">
      <w:lvlJc w:val="left"/>
      <w:lvlText w:val="(%2)"/>
      <w:numFmt w:val="lowerLetter"/>
      <w:start w:val="1"/>
    </w:lvl>
  </w:abstractNum>
  <w:abstractNum w:abstractNumId="225">
    <w:nsid w:val="569951FE"/>
    <w:multiLevelType w:val="hybridMultilevel"/>
    <w:lvl w:ilvl="0">
      <w:lvlJc w:val="left"/>
      <w:lvlText w:val="(%1)"/>
      <w:numFmt w:val="lowerLetter"/>
      <w:start w:val="35"/>
    </w:lvl>
    <w:lvl w:ilvl="1">
      <w:lvlJc w:val="left"/>
      <w:lvlText w:val="%2"/>
      <w:numFmt w:val="lowerLetter"/>
      <w:start w:val="1"/>
    </w:lvl>
  </w:abstractNum>
  <w:abstractNum w:abstractNumId="226">
    <w:nsid w:val="4C54E2C3"/>
    <w:multiLevelType w:val="hybridMultilevel"/>
    <w:lvl w:ilvl="0">
      <w:lvlJc w:val="left"/>
      <w:lvlText w:val="(%1)"/>
      <w:numFmt w:val="lowerLetter"/>
      <w:start w:val="2"/>
    </w:lvl>
  </w:abstractNum>
  <w:abstractNum w:abstractNumId="227">
    <w:nsid w:val="788BD9B"/>
    <w:multiLevelType w:val="hybridMultilevel"/>
    <w:lvl w:ilvl="0">
      <w:lvlJc w:val="left"/>
      <w:lvlText w:val="(%1)"/>
      <w:numFmt w:val="lowerLetter"/>
      <w:start w:val="1"/>
    </w:lvl>
  </w:abstractNum>
  <w:abstractNum w:abstractNumId="228">
    <w:nsid w:val="47CAA567"/>
    <w:multiLevelType w:val="hybridMultilevel"/>
    <w:lvl w:ilvl="0">
      <w:lvlJc w:val="left"/>
      <w:lvlText w:val="(%1)"/>
      <w:numFmt w:val="lowerLetter"/>
      <w:start w:val="2"/>
    </w:lvl>
  </w:abstractNum>
  <w:abstractNum w:abstractNumId="229">
    <w:nsid w:val="48249DBF"/>
    <w:multiLevelType w:val="hybridMultilevel"/>
    <w:lvl w:ilvl="0">
      <w:lvlJc w:val="left"/>
      <w:lvlText w:val="(%1)"/>
      <w:numFmt w:val="lowerRoman"/>
      <w:start w:val="2"/>
    </w:lvl>
  </w:abstractNum>
  <w:abstractNum w:abstractNumId="230">
    <w:nsid w:val="1F0E5D0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31">
    <w:nsid w:val="26BAAE9"/>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232">
    <w:nsid w:val="2C02FE8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33">
    <w:nsid w:val="129517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34">
    <w:nsid w:val="763B8C4E"/>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35">
    <w:nsid w:val="4CFB8D32"/>
    <w:multiLevelType w:val="hybridMultilevel"/>
    <w:lvl w:ilvl="0">
      <w:lvlJc w:val="left"/>
      <w:lvlText w:val="(%1)"/>
      <w:numFmt w:val="lowerRoman"/>
      <w:start w:val="2"/>
    </w:lvl>
  </w:abstractNum>
  <w:abstractNum w:abstractNumId="236">
    <w:nsid w:val="62A5D5BD"/>
    <w:multiLevelType w:val="hybridMultilevel"/>
    <w:lvl w:ilvl="0">
      <w:lvlJc w:val="left"/>
      <w:lvlText w:val="(%1)"/>
      <w:numFmt w:val="lowerRoman"/>
      <w:start w:val="3"/>
    </w:lvl>
  </w:abstractNum>
  <w:abstractNum w:abstractNumId="237">
    <w:nsid w:val="718FABF9"/>
    <w:multiLevelType w:val="hybridMultilevel"/>
    <w:lvl w:ilvl="0">
      <w:lvlJc w:val="left"/>
      <w:lvlText w:val="(%1)"/>
      <w:numFmt w:val="lowerLetter"/>
      <w:start w:val="2"/>
    </w:lvl>
  </w:abstractNum>
  <w:abstractNum w:abstractNumId="238">
    <w:nsid w:val="7775797C"/>
    <w:multiLevelType w:val="hybridMultilevel"/>
    <w:lvl w:ilvl="0">
      <w:lvlJc w:val="left"/>
      <w:lvlText w:val="(%1)"/>
      <w:numFmt w:val="lowerLetter"/>
      <w:start w:val="4"/>
    </w:lvl>
  </w:abstractNum>
  <w:abstractNum w:abstractNumId="239">
    <w:nsid w:val="1626FB8C"/>
    <w:multiLevelType w:val="hybridMultilevel"/>
    <w:lvl w:ilvl="0">
      <w:lvlJc w:val="left"/>
      <w:lvlText w:val="(%1)"/>
      <w:numFmt w:val="lowerLetter"/>
      <w:start w:val="6"/>
    </w:lvl>
  </w:abstractNum>
  <w:abstractNum w:abstractNumId="240">
    <w:nsid w:val="3957756A"/>
    <w:multiLevelType w:val="hybridMultilevel"/>
    <w:lvl w:ilvl="0">
      <w:lvlJc w:val="left"/>
      <w:lvlText w:val="(%1)"/>
      <w:numFmt w:val="lowerLetter"/>
      <w:start w:val="1"/>
    </w:lvl>
  </w:abstractNum>
  <w:abstractNum w:abstractNumId="241">
    <w:nsid w:val="3E6DA1C7"/>
    <w:multiLevelType w:val="hybridMultilevel"/>
    <w:lvl w:ilvl="0">
      <w:lvlJc w:val="left"/>
      <w:lvlText w:val="(%1)"/>
      <w:numFmt w:val="lowerLetter"/>
      <w:start w:val="3"/>
    </w:lvl>
  </w:abstractNum>
  <w:abstractNum w:abstractNumId="242">
    <w:nsid w:val="65CA235B"/>
    <w:multiLevelType w:val="hybridMultilevel"/>
    <w:lvl w:ilvl="0">
      <w:lvlJc w:val="left"/>
      <w:lvlText w:val="(%1)"/>
      <w:numFmt w:val="lowerLetter"/>
      <w:start w:val="4"/>
    </w:lvl>
  </w:abstractNum>
  <w:abstractNum w:abstractNumId="243">
    <w:nsid w:val="51CB0DA4"/>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5"/>
    </w:lvl>
  </w:abstractNum>
  <w:abstractNum w:abstractNumId="244">
    <w:nsid w:val="7B9B743C"/>
    <w:multiLevelType w:val="hybridMultilevel"/>
    <w:lvl w:ilvl="0">
      <w:lvlJc w:val="left"/>
      <w:lvlText w:val="(%1)"/>
      <w:numFmt w:val="lowerRoman"/>
      <w:start w:val="4"/>
    </w:lvl>
    <w:lvl w:ilvl="1">
      <w:lvlJc w:val="left"/>
      <w:lvlText w:val="(%2)"/>
      <w:numFmt w:val="lowerLetter"/>
      <w:start w:val="7"/>
    </w:lvl>
    <w:lvl w:ilvl="2">
      <w:lvlJc w:val="left"/>
      <w:lvlText w:val="%3"/>
      <w:numFmt w:val="lowerLetter"/>
      <w:start w:val="1"/>
    </w:lvl>
  </w:abstractNum>
  <w:abstractNum w:abstractNumId="245">
    <w:nsid w:val="13E21002"/>
    <w:multiLevelType w:val="hybridMultilevel"/>
    <w:lvl w:ilvl="0">
      <w:lvlJc w:val="left"/>
      <w:lvlText w:val="(%1)"/>
      <w:numFmt w:val="lowerLetter"/>
      <w:start w:val="8"/>
    </w:lvl>
  </w:abstractNum>
  <w:abstractNum w:abstractNumId="246">
    <w:nsid w:val="257D63F4"/>
    <w:multiLevelType w:val="hybridMultilevel"/>
    <w:lvl w:ilvl="0">
      <w:lvlJc w:val="left"/>
      <w:lvlText w:val="(%1)"/>
      <w:numFmt w:val="lowerLetter"/>
      <w:start w:val="1"/>
    </w:lvl>
  </w:abstractNum>
  <w:abstractNum w:abstractNumId="247">
    <w:nsid w:val="70EC11B2"/>
    <w:multiLevelType w:val="hybridMultilevel"/>
    <w:lvl w:ilvl="0">
      <w:lvlJc w:val="left"/>
      <w:lvlText w:val="(%1)"/>
      <w:numFmt w:val="lowerLetter"/>
      <w:start w:val="3"/>
    </w:lvl>
  </w:abstractNum>
  <w:abstractNum w:abstractNumId="248">
    <w:nsid w:val="2EDA00ED"/>
    <w:multiLevelType w:val="hybridMultilevel"/>
    <w:lvl w:ilvl="0">
      <w:lvlJc w:val="left"/>
      <w:lvlText w:val="(%1)"/>
      <w:numFmt w:val="lowerLetter"/>
      <w:start w:val="1"/>
    </w:lvl>
    <w:lvl w:ilvl="1">
      <w:lvlJc w:val="left"/>
      <w:lvlText w:val="(%2)"/>
      <w:numFmt w:val="lowerRoman"/>
      <w:start w:val="1"/>
    </w:lvl>
  </w:abstractNum>
  <w:abstractNum w:abstractNumId="249">
    <w:nsid w:val="73209072"/>
    <w:multiLevelType w:val="hybridMultilevel"/>
    <w:lvl w:ilvl="0">
      <w:lvlJc w:val="left"/>
      <w:lvlText w:val="(%1)"/>
      <w:numFmt w:val="lowerRoman"/>
      <w:start w:val="2"/>
    </w:lvl>
  </w:abstractNum>
  <w:abstractNum w:abstractNumId="250">
    <w:nsid w:val="5FB29816"/>
    <w:multiLevelType w:val="hybridMultilevel"/>
    <w:lvl w:ilvl="0">
      <w:lvlJc w:val="left"/>
      <w:lvlText w:val="%1"/>
      <w:numFmt w:val="lowerLetter"/>
      <w:start w:val="1"/>
    </w:lvl>
    <w:lvl w:ilvl="1">
      <w:lvlJc w:val="left"/>
      <w:lvlText w:val="(%2)"/>
      <w:numFmt w:val="lowerRoman"/>
      <w:start w:val="4"/>
    </w:lvl>
  </w:abstractNum>
  <w:abstractNum w:abstractNumId="251">
    <w:nsid w:val="3CE732EC"/>
    <w:multiLevelType w:val="hybridMultilevel"/>
    <w:lvl w:ilvl="0">
      <w:lvlJc w:val="left"/>
      <w:lvlText w:val="(%1)"/>
      <w:numFmt w:val="lowerLetter"/>
      <w:start w:val="2"/>
    </w:lvl>
    <w:lvl w:ilvl="1">
      <w:lvlJc w:val="left"/>
      <w:lvlText w:val="(%2)"/>
      <w:numFmt w:val="lowerRoman"/>
      <w:start w:val="1"/>
    </w:lvl>
  </w:abstractNum>
  <w:abstractNum w:abstractNumId="252">
    <w:nsid w:val="22F13DF3"/>
    <w:multiLevelType w:val="hybridMultilevel"/>
    <w:lvl w:ilvl="0">
      <w:lvlJc w:val="left"/>
      <w:lvlText w:val="(%1)"/>
      <w:numFmt w:val="lowerLetter"/>
      <w:start w:val="3"/>
    </w:lvl>
  </w:abstractNum>
  <w:abstractNum w:abstractNumId="253">
    <w:nsid w:val="792B8401"/>
    <w:multiLevelType w:val="hybridMultilevel"/>
    <w:lvl w:ilvl="0">
      <w:lvlJc w:val="left"/>
      <w:lvlText w:val="%1"/>
      <w:numFmt w:val="lowerLetter"/>
      <w:start w:val="1"/>
    </w:lvl>
    <w:lvl w:ilvl="1">
      <w:lvlJc w:val="left"/>
      <w:lvlText w:val="(%2)"/>
      <w:numFmt w:val="lowerLetter"/>
      <w:start w:val="1"/>
    </w:lvl>
  </w:abstractNum>
  <w:abstractNum w:abstractNumId="254">
    <w:nsid w:val="FA85F4D"/>
    <w:multiLevelType w:val="hybridMultilevel"/>
    <w:lvl w:ilvl="0">
      <w:lvlJc w:val="left"/>
      <w:lvlText w:val="(%1)"/>
      <w:numFmt w:val="lowerLetter"/>
      <w:start w:val="2"/>
    </w:lvl>
    <w:lvl w:ilvl="1">
      <w:lvlJc w:val="left"/>
      <w:lvlText w:val="%2"/>
      <w:numFmt w:val="lowerLetter"/>
      <w:start w:val="1"/>
    </w:lvl>
  </w:abstractNum>
  <w:abstractNum w:abstractNumId="255">
    <w:nsid w:val="6ECE91F0"/>
    <w:multiLevelType w:val="hybridMultilevel"/>
    <w:lvl w:ilvl="0">
      <w:lvlJc w:val="left"/>
      <w:lvlText w:val="(%1)"/>
      <w:numFmt w:val="lowerLetter"/>
      <w:start w:val="1"/>
    </w:lvl>
  </w:abstractNum>
  <w:abstractNum w:abstractNumId="256">
    <w:nsid w:val="4FC4D600"/>
    <w:multiLevelType w:val="hybridMultilevel"/>
    <w:lvl w:ilvl="0">
      <w:lvlJc w:val="left"/>
      <w:lvlText w:val="(%1)"/>
      <w:numFmt w:val="lowerLetter"/>
      <w:start w:val="2"/>
    </w:lvl>
  </w:abstractNum>
  <w:abstractNum w:abstractNumId="257">
    <w:nsid w:val="5BFD4210"/>
    <w:multiLevelType w:val="hybridMultilevel"/>
    <w:lvl w:ilvl="0">
      <w:lvlJc w:val="left"/>
      <w:lvlText w:val="(%1)"/>
      <w:numFmt w:val="lowerLetter"/>
      <w:start w:val="1"/>
    </w:lvl>
  </w:abstractNum>
  <w:abstractNum w:abstractNumId="258">
    <w:nsid w:val="76574F8B"/>
    <w:multiLevelType w:val="hybridMultilevel"/>
    <w:lvl w:ilvl="0">
      <w:lvlJc w:val="left"/>
      <w:lvlText w:val="(%1)"/>
      <w:numFmt w:val="lowerRoman"/>
      <w:start w:val="4"/>
    </w:lvl>
    <w:lvl w:ilvl="1">
      <w:lvlJc w:val="left"/>
      <w:lvlText w:val="(%2)"/>
      <w:numFmt w:val="lowerLetter"/>
      <w:start w:val="3"/>
    </w:lvl>
  </w:abstractNum>
  <w:abstractNum w:abstractNumId="259">
    <w:nsid w:val="178F7B67"/>
    <w:multiLevelType w:val="hybridMultilevel"/>
    <w:lvl w:ilvl="0">
      <w:lvlJc w:val="left"/>
      <w:lvlText w:val="%1."/>
      <w:numFmt w:val="decimal"/>
      <w:start w:val="13"/>
    </w:lvl>
    <w:lvl w:ilvl="1">
      <w:lvlJc w:val="left"/>
      <w:lvlText w:val="(%2)"/>
      <w:numFmt w:val="lowerLetter"/>
      <w:start w:val="1"/>
    </w:lvl>
  </w:abstractNum>
  <w:abstractNum w:abstractNumId="260">
    <w:nsid w:val="2421DFCF"/>
    <w:multiLevelType w:val="hybridMultilevel"/>
    <w:lvl w:ilvl="0">
      <w:lvlJc w:val="left"/>
      <w:lvlText w:val="(%1)"/>
      <w:numFmt w:val="lowerRoman"/>
      <w:start w:val="1"/>
    </w:lvl>
  </w:abstractNum>
  <w:abstractNum w:abstractNumId="261">
    <w:nsid w:val="1565AC99"/>
    <w:multiLevelType w:val="hybridMultilevel"/>
    <w:lvl w:ilvl="0">
      <w:lvlJc w:val="left"/>
      <w:lvlText w:val="(%1)"/>
      <w:numFmt w:val="lowerLetter"/>
      <w:start w:val="2"/>
    </w:lvl>
  </w:abstractNum>
  <w:abstractNum w:abstractNumId="262">
    <w:nsid w:val="19FB2650"/>
    <w:multiLevelType w:val="hybridMultilevel"/>
    <w:lvl w:ilvl="0">
      <w:lvlJc w:val="left"/>
      <w:lvlText w:val="(%1)"/>
      <w:numFmt w:val="lowerLetter"/>
      <w:start w:val="2"/>
    </w:lvl>
  </w:abstractNum>
  <w:abstractNum w:abstractNumId="263">
    <w:nsid w:val="5024DE5B"/>
    <w:multiLevelType w:val="hybridMultilevel"/>
    <w:lvl w:ilvl="0">
      <w:lvlJc w:val="left"/>
      <w:lvlText w:val="(%1)"/>
      <w:numFmt w:val="lowerLetter"/>
      <w:start w:val="1"/>
    </w:lvl>
  </w:abstractNum>
  <w:abstractNum w:abstractNumId="264">
    <w:nsid w:val="168EFE17"/>
    <w:multiLevelType w:val="hybridMultilevel"/>
    <w:lvl w:ilvl="0">
      <w:lvlJc w:val="left"/>
      <w:lvlText w:val="(%1)"/>
      <w:numFmt w:val="lowerLetter"/>
      <w:start w:val="3"/>
    </w:lvl>
  </w:abstractNum>
  <w:abstractNum w:abstractNumId="265">
    <w:nsid w:val="1036B29F"/>
    <w:multiLevelType w:val="hybridMultilevel"/>
    <w:lvl w:ilvl="0">
      <w:lvlJc w:val="left"/>
      <w:lvlText w:val="(%1)"/>
      <w:numFmt w:val="lowerLetter"/>
      <w:start w:val="2"/>
    </w:lvl>
  </w:abstractNum>
  <w:abstractNum w:abstractNumId="266">
    <w:nsid w:val="1D206B8E"/>
    <w:multiLevelType w:val="hybridMultilevel"/>
    <w:lvl w:ilvl="0">
      <w:lvlJc w:val="left"/>
      <w:lvlText w:val="(%1)"/>
      <w:numFmt w:val="lowerLetter"/>
      <w:start w:val="1"/>
    </w:lvl>
  </w:abstractNum>
  <w:abstractNum w:abstractNumId="267">
    <w:nsid w:val="7934D3D4"/>
    <w:multiLevelType w:val="hybridMultilevel"/>
    <w:lvl w:ilvl="0">
      <w:lvlJc w:val="left"/>
      <w:lvlText w:val="(%1)"/>
      <w:numFmt w:val="lowerLetter"/>
      <w:start w:val="1"/>
    </w:lvl>
    <w:lvl w:ilvl="1">
      <w:lvlJc w:val="left"/>
      <w:lvlText w:val="(%2)"/>
      <w:numFmt w:val="lowerRoman"/>
      <w:start w:val="1"/>
    </w:lvl>
  </w:abstractNum>
  <w:abstractNum w:abstractNumId="268">
    <w:nsid w:val="1C65E98"/>
    <w:multiLevelType w:val="hybridMultilevel"/>
    <w:lvl w:ilvl="0">
      <w:lvlJc w:val="left"/>
      <w:lvlText w:val="(%1)"/>
      <w:numFmt w:val="lowerLetter"/>
      <w:start w:val="1"/>
    </w:lvl>
  </w:abstractNum>
  <w:abstractNum w:abstractNumId="269">
    <w:nsid w:val="1495E50A"/>
    <w:multiLevelType w:val="hybridMultilevel"/>
    <w:lvl w:ilvl="0">
      <w:lvlJc w:val="left"/>
      <w:lvlText w:val="(%1)"/>
      <w:numFmt w:val="lowerRoman"/>
      <w:start w:val="1"/>
    </w:lvl>
  </w:abstractNum>
  <w:abstractNum w:abstractNumId="270">
    <w:nsid w:val="F5BCF61"/>
    <w:multiLevelType w:val="hybridMultilevel"/>
    <w:lvl w:ilvl="0">
      <w:lvlJc w:val="left"/>
      <w:lvlText w:val="(%1)"/>
      <w:numFmt w:val="lowerLetter"/>
      <w:start w:val="1"/>
    </w:lvl>
  </w:abstractNum>
  <w:abstractNum w:abstractNumId="271">
    <w:nsid w:val="3B1DD403"/>
    <w:multiLevelType w:val="hybridMultilevel"/>
    <w:lvl w:ilvl="0">
      <w:lvlJc w:val="left"/>
      <w:lvlText w:val="(%1)"/>
      <w:numFmt w:val="lowerLetter"/>
      <w:start w:val="4"/>
    </w:lvl>
  </w:abstractNum>
  <w:abstractNum w:abstractNumId="272">
    <w:nsid w:val="530386D1"/>
    <w:multiLevelType w:val="hybridMultilevel"/>
    <w:lvl w:ilvl="0">
      <w:lvlJc w:val="left"/>
      <w:lvlText w:val="%1"/>
      <w:numFmt w:val="lowerLetter"/>
      <w:start w:val="1"/>
    </w:lvl>
    <w:lvl w:ilvl="1">
      <w:lvlJc w:val="left"/>
      <w:lvlText w:val="(%2)"/>
      <w:numFmt w:val="lowerLetter"/>
      <w:start w:val="7"/>
    </w:lvl>
  </w:abstractNum>
  <w:abstractNum w:abstractNumId="273">
    <w:nsid w:val="7525F2BC"/>
    <w:multiLevelType w:val="hybridMultilevel"/>
    <w:lvl w:ilvl="0">
      <w:lvlJc w:val="left"/>
      <w:lvlText w:val="(%1)"/>
      <w:numFmt w:val="lowerLetter"/>
      <w:start w:val="35"/>
    </w:lvl>
    <w:lvl w:ilvl="1">
      <w:lvlJc w:val="left"/>
      <w:lvlText w:val="%2"/>
      <w:numFmt w:val="lowerLetter"/>
      <w:start w:val="1"/>
    </w:lvl>
  </w:abstractNum>
  <w:abstractNum w:abstractNumId="274">
    <w:nsid w:val="CE8E1A7"/>
    <w:multiLevelType w:val="hybridMultilevel"/>
    <w:lvl w:ilvl="0">
      <w:lvlJc w:val="left"/>
      <w:lvlText w:val="%1."/>
      <w:numFmt w:val="decimal"/>
      <w:start w:val="1"/>
    </w:lvl>
  </w:abstractNum>
  <w:abstractNum w:abstractNumId="275">
    <w:nsid w:val="4E9EFB0D"/>
    <w:multiLevelType w:val="hybridMultilevel"/>
    <w:lvl w:ilvl="0">
      <w:lvlJc w:val="left"/>
      <w:lvlText w:val="%1."/>
      <w:numFmt w:val="decimal"/>
      <w:start w:val="2"/>
    </w:lvl>
  </w:abstractNum>
  <w:abstractNum w:abstractNumId="276">
    <w:nsid w:val="90802BE"/>
    <w:multiLevelType w:val="hybridMultilevel"/>
    <w:lvl w:ilvl="0">
      <w:lvlJc w:val="left"/>
      <w:lvlText w:val="1"/>
      <w:numFmt w:val="bullet"/>
      <w:start w:val="1"/>
    </w:lvl>
  </w:abstractNum>
  <w:abstractNum w:abstractNumId="277">
    <w:nsid w:val="3266459B"/>
    <w:multiLevelType w:val="hybridMultilevel"/>
    <w:lvl w:ilvl="0">
      <w:lvlJc w:val="left"/>
      <w:lvlText w:val="%1."/>
      <w:numFmt w:val="decimal"/>
      <w:start w:val="1"/>
    </w:lvl>
  </w:abstractNum>
  <w:abstractNum w:abstractNumId="278">
    <w:nsid w:val="3F8B0CBF"/>
    <w:multiLevelType w:val="hybridMultilevel"/>
    <w:lvl w:ilvl="0">
      <w:lvlJc w:val="left"/>
      <w:lvlText w:val="1"/>
      <w:numFmt w:val="bullet"/>
      <w:start w:val="1"/>
    </w:lvl>
  </w:abstractNum>
  <w:abstractNum w:abstractNumId="279">
    <w:nsid w:val="37E203AB"/>
    <w:multiLevelType w:val="hybridMultilevel"/>
    <w:lvl w:ilvl="0">
      <w:lvlJc w:val="left"/>
      <w:lvlText w:val="1"/>
      <w:numFmt w:val="bullet"/>
      <w:start w:val="1"/>
    </w:lvl>
  </w:abstractNum>
  <w:abstractNum w:abstractNumId="280">
    <w:nsid w:val="2586D60E"/>
    <w:multiLevelType w:val="hybridMultilevel"/>
    <w:lvl w:ilvl="0">
      <w:lvlJc w:val="left"/>
      <w:lvlText w:val="(%1)"/>
      <w:numFmt w:val="lowerLetter"/>
      <w:start w:val="1"/>
    </w:lvl>
  </w:abstractNum>
  <w:abstractNum w:abstractNumId="281">
    <w:nsid w:val="1F3DA4D5"/>
    <w:multiLevelType w:val="hybridMultilevel"/>
    <w:lvl w:ilvl="0">
      <w:lvlJc w:val="left"/>
      <w:lvlText w:val="(%1)"/>
      <w:numFmt w:val="lowerRoman"/>
      <w:start w:val="1"/>
    </w:lvl>
  </w:abstractNum>
  <w:abstractNum w:abstractNumId="282">
    <w:nsid w:val="74C93698"/>
    <w:multiLevelType w:val="hybridMultilevel"/>
    <w:lvl w:ilvl="0">
      <w:lvlJc w:val="left"/>
      <w:lvlText w:val="(%1)"/>
      <w:numFmt w:val="lowerRoman"/>
      <w:start w:val="3"/>
    </w:lvl>
  </w:abstractNum>
  <w:abstractNum w:abstractNumId="283">
    <w:nsid w:val="48781401"/>
    <w:multiLevelType w:val="hybridMultilevel"/>
    <w:lvl w:ilvl="0">
      <w:lvlJc w:val="left"/>
      <w:lvlText w:val="%1."/>
      <w:numFmt w:val="decimal"/>
      <w:start w:val="1"/>
    </w:lvl>
  </w:abstractNum>
  <w:abstractNum w:abstractNumId="284">
    <w:nsid w:val="186928D6"/>
    <w:multiLevelType w:val="hybridMultilevel"/>
    <w:lvl w:ilvl="0">
      <w:lvlJc w:val="left"/>
      <w:lvlText w:val="%1."/>
      <w:numFmt w:val="decimal"/>
      <w:start w:val="4"/>
    </w:lvl>
  </w:abstractNum>
  <w:abstractNum w:abstractNumId="285">
    <w:nsid w:val="47195E5"/>
    <w:multiLevelType w:val="hybridMultilevel"/>
    <w:lvl w:ilvl="0">
      <w:lvlJc w:val="left"/>
      <w:lvlText w:val="1"/>
      <w:numFmt w:val="bullet"/>
      <w:start w:val="1"/>
    </w:lvl>
  </w:abstractNum>
  <w:abstractNum w:abstractNumId="286">
    <w:nsid w:val="3746A5F2"/>
    <w:multiLevelType w:val="hybridMultilevel"/>
    <w:lvl w:ilvl="0">
      <w:lvlJc w:val="left"/>
      <w:lvlText w:val="%1."/>
      <w:numFmt w:val="decimal"/>
      <w:start w:val="6"/>
    </w:lvl>
  </w:abstractNum>
  <w:abstractNum w:abstractNumId="287">
    <w:nsid w:val="682DFED6"/>
    <w:multiLevelType w:val="hybridMultilevel"/>
    <w:lvl w:ilvl="0">
      <w:lvlJc w:val="left"/>
      <w:lvlText w:val="1"/>
      <w:numFmt w:val="bullet"/>
      <w:start w:val="1"/>
    </w:lvl>
  </w:abstractNum>
  <w:abstractNum w:abstractNumId="288">
    <w:nsid w:val="606ED7F6"/>
    <w:multiLevelType w:val="hybridMultilevel"/>
    <w:lvl w:ilvl="0">
      <w:lvlJc w:val="left"/>
      <w:lvlText w:val="2"/>
      <w:numFmt w:val="bullet"/>
      <w:start w:val="1"/>
    </w:lvl>
  </w:abstractNum>
  <w:abstractNum w:abstractNumId="289">
    <w:nsid w:val="2D9DF57D"/>
    <w:multiLevelType w:val="hybridMultilevel"/>
    <w:lvl w:ilvl="0">
      <w:lvlJc w:val="left"/>
      <w:lvlText w:val="3"/>
      <w:numFmt w:val="bullet"/>
      <w:start w:val="1"/>
    </w:lvl>
  </w:abstractNum>
  <w:abstractNum w:abstractNumId="290">
    <w:nsid w:val="7FBD7A3E"/>
    <w:multiLevelType w:val="hybridMultilevel"/>
    <w:lvl w:ilvl="0">
      <w:lvlJc w:val="left"/>
      <w:lvlText w:val="4"/>
      <w:numFmt w:val="bullet"/>
      <w:start w:val="1"/>
    </w:lvl>
  </w:abstractNum>
  <w:abstractNum w:abstractNumId="291">
    <w:nsid w:val="490B7C5"/>
    <w:multiLevelType w:val="hybridMultilevel"/>
    <w:lvl w:ilvl="0">
      <w:lvlJc w:val="left"/>
      <w:lvlText w:val="%1."/>
      <w:numFmt w:val="decimal"/>
      <w:start w:val="1"/>
    </w:lvl>
  </w:abstractNum>
  <w:abstractNum w:abstractNumId="292">
    <w:nsid w:val="4303A216"/>
    <w:multiLevelType w:val="hybridMultilevel"/>
    <w:lvl w:ilvl="0">
      <w:lvlJc w:val="left"/>
      <w:lvlText w:val="%1."/>
      <w:numFmt w:val="decimal"/>
      <w:start w:val="2"/>
    </w:lvl>
  </w:abstractNum>
  <w:abstractNum w:abstractNumId="293">
    <w:nsid w:val="19B8A08E"/>
    <w:multiLevelType w:val="hybridMultilevel"/>
    <w:lvl w:ilvl="0">
      <w:lvlJc w:val="left"/>
      <w:lvlText w:val="%1."/>
      <w:numFmt w:val="decimal"/>
      <w:start w:val="1"/>
    </w:lvl>
    <w:lvl w:ilvl="1">
      <w:lvlJc w:val="left"/>
      <w:lvlText w:val="(%2)"/>
      <w:numFmt w:val="lowerLetter"/>
      <w:start w:val="2"/>
    </w:lvl>
  </w:abstractNum>
  <w:abstractNum w:abstractNumId="294">
    <w:nsid w:val="54B59621"/>
    <w:multiLevelType w:val="hybridMultilevel"/>
    <w:lvl w:ilvl="0">
      <w:lvlJc w:val="left"/>
      <w:lvlText w:val="%1"/>
      <w:numFmt w:val="decimal"/>
      <w:start w:val="1"/>
    </w:lvl>
    <w:lvl w:ilvl="1">
      <w:lvlJc w:val="left"/>
      <w:lvlText w:val="(%2)"/>
      <w:numFmt w:val="lowerLetter"/>
      <w:start w:val="3"/>
    </w:lvl>
  </w:abstractNum>
  <w:abstractNum w:abstractNumId="295">
    <w:nsid w:val="5992A02E"/>
    <w:multiLevelType w:val="hybridMultilevel"/>
    <w:lvl w:ilvl="0">
      <w:lvlJc w:val="left"/>
      <w:lvlText w:val="%1."/>
      <w:numFmt w:val="decimal"/>
      <w:start w:val="4"/>
    </w:lvl>
    <w:lvl w:ilvl="1">
      <w:lvlJc w:val="left"/>
      <w:lvlText w:val="(%2)"/>
      <w:numFmt w:val="lowerLetter"/>
      <w:start w:val="1"/>
    </w:lvl>
  </w:abstractNum>
  <w:abstractNum w:abstractNumId="296">
    <w:nsid w:val="29EF532D"/>
    <w:multiLevelType w:val="hybridMultilevel"/>
    <w:lvl w:ilvl="0">
      <w:lvlJc w:val="left"/>
      <w:lvlText w:val="(%1)"/>
      <w:numFmt w:val="lowerLetter"/>
      <w:start w:val="2"/>
    </w:lvl>
  </w:abstractNum>
  <w:abstractNum w:abstractNumId="297">
    <w:nsid w:val="71D601AF"/>
    <w:multiLevelType w:val="hybridMultilevel"/>
    <w:lvl w:ilvl="0">
      <w:lvlJc w:val="left"/>
      <w:lvlText w:val="%1"/>
      <w:numFmt w:val="decimal"/>
      <w:start w:val="1"/>
    </w:lvl>
    <w:lvl w:ilvl="1">
      <w:lvlJc w:val="left"/>
      <w:lvlText w:val="(%2)"/>
      <w:numFmt w:val="lowerLetter"/>
      <w:start w:val="6"/>
    </w:lvl>
  </w:abstractNum>
  <w:abstractNum w:abstractNumId="298">
    <w:nsid w:val="52C77402"/>
    <w:multiLevelType w:val="hybridMultilevel"/>
    <w:lvl w:ilvl="0">
      <w:lvlJc w:val="left"/>
      <w:lvlText w:val="%1."/>
      <w:numFmt w:val="decimal"/>
      <w:start w:val="6"/>
    </w:lvl>
    <w:lvl w:ilvl="1">
      <w:lvlJc w:val="left"/>
      <w:lvlText w:val="%2"/>
      <w:numFmt w:val="lowerLetter"/>
      <w:start w:val="1"/>
    </w:lvl>
  </w:abstractNum>
  <w:abstractNum w:abstractNumId="299">
    <w:nsid w:val="2BB5B1C6"/>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00">
    <w:nsid w:val="66BE6B9"/>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3"/>
    </w:lvl>
  </w:abstractNum>
  <w:abstractNum w:abstractNumId="301">
    <w:nsid w:val="6223436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02">
    <w:nsid w:val="66D385C9"/>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3"/>
    </w:lvl>
  </w:abstractNum>
  <w:abstractNum w:abstractNumId="303">
    <w:nsid w:val="596F6D8A"/>
    <w:multiLevelType w:val="hybridMultilevel"/>
    <w:lvl w:ilvl="0">
      <w:lvlJc w:val="left"/>
      <w:lvlText w:val="(%1)"/>
      <w:numFmt w:val="lowerLetter"/>
      <w:start w:val="7"/>
    </w:lvl>
  </w:abstractNum>
  <w:abstractNum w:abstractNumId="304">
    <w:nsid w:val="5749361F"/>
    <w:multiLevelType w:val="hybridMultilevel"/>
    <w:lvl w:ilvl="0">
      <w:lvlJc w:val="left"/>
      <w:lvlText w:val="%1"/>
      <w:numFmt w:val="decimal"/>
      <w:start w:val="1"/>
    </w:lvl>
    <w:lvl w:ilvl="1">
      <w:lvlJc w:val="left"/>
      <w:lvlText w:val="(%2)"/>
      <w:numFmt w:val="lowerLetter"/>
      <w:start w:val="8"/>
    </w:lvl>
  </w:abstractNum>
  <w:abstractNum w:abstractNumId="305">
    <w:nsid w:val="73BC6770"/>
    <w:multiLevelType w:val="hybridMultilevel"/>
    <w:lvl w:ilvl="0">
      <w:lvlJc w:val="left"/>
      <w:lvlText w:val="%1."/>
      <w:numFmt w:val="decimal"/>
      <w:start w:val="7"/>
    </w:lvl>
    <w:lvl w:ilvl="1">
      <w:lvlJc w:val="left"/>
      <w:lvlText w:val="(%2)"/>
      <w:numFmt w:val="lowerLetter"/>
      <w:start w:val="2"/>
    </w:lvl>
  </w:abstractNum>
  <w:abstractNum w:abstractNumId="306">
    <w:nsid w:val="280E6897"/>
    <w:multiLevelType w:val="hybridMultilevel"/>
    <w:lvl w:ilvl="0">
      <w:lvlJc w:val="left"/>
      <w:lvlText w:val="(%1)"/>
      <w:numFmt w:val="lowerRoman"/>
      <w:start w:val="2"/>
    </w:lvl>
  </w:abstractNum>
  <w:abstractNum w:abstractNumId="307">
    <w:nsid w:val="605138DE"/>
    <w:multiLevelType w:val="hybridMultilevel"/>
    <w:lvl w:ilvl="0">
      <w:lvlJc w:val="left"/>
      <w:lvlText w:val="(%1)"/>
      <w:numFmt w:val="lowerLetter"/>
      <w:start w:val="2"/>
    </w:lvl>
  </w:abstractNum>
  <w:abstractNum w:abstractNumId="308">
    <w:nsid w:val="2622AD0C"/>
    <w:multiLevelType w:val="hybridMultilevel"/>
    <w:lvl w:ilvl="0">
      <w:lvlJc w:val="left"/>
      <w:lvlText w:val="(%1)"/>
      <w:numFmt w:val="lowerLetter"/>
      <w:start w:val="4"/>
    </w:lvl>
  </w:abstractNum>
  <w:abstractNum w:abstractNumId="309">
    <w:nsid w:val="67997556"/>
    <w:multiLevelType w:val="hybridMultilevel"/>
    <w:lvl w:ilvl="0">
      <w:lvlJc w:val="left"/>
      <w:lvlText w:val="%1"/>
      <w:numFmt w:val="decimal"/>
      <w:start w:val="1"/>
    </w:lvl>
    <w:lvl w:ilvl="1">
      <w:lvlJc w:val="left"/>
      <w:lvlText w:val="(%2)"/>
      <w:numFmt w:val="lowerLetter"/>
      <w:start w:val="7"/>
    </w:lvl>
  </w:abstractNum>
  <w:abstractNum w:abstractNumId="310">
    <w:nsid w:val="18333C89"/>
    <w:multiLevelType w:val="hybridMultilevel"/>
    <w:lvl w:ilvl="0">
      <w:lvlJc w:val="left"/>
      <w:lvlText w:val="%1."/>
      <w:numFmt w:val="decimal"/>
      <w:start w:val="9"/>
    </w:lvl>
    <w:lvl w:ilvl="1">
      <w:lvlJc w:val="left"/>
      <w:lvlText w:val="%2"/>
      <w:numFmt w:val="lowerLetter"/>
      <w:start w:val="1"/>
    </w:lvl>
  </w:abstractNum>
  <w:abstractNum w:abstractNumId="311">
    <w:nsid w:val="4BA9831A"/>
    <w:multiLevelType w:val="hybridMultilevel"/>
    <w:lvl w:ilvl="0">
      <w:lvlJc w:val="left"/>
      <w:lvlText w:val="%1."/>
      <w:numFmt w:val="decimal"/>
      <w:start w:val="11"/>
    </w:lvl>
  </w:abstractNum>
  <w:abstractNum w:abstractNumId="312">
    <w:nsid w:val="6D71A2B"/>
    <w:multiLevelType w:val="hybridMultilevel"/>
    <w:lvl w:ilvl="0">
      <w:lvlJc w:val="left"/>
      <w:lvlText w:val="(%1)"/>
      <w:numFmt w:val="lowerLetter"/>
      <w:start w:val="2"/>
    </w:lvl>
  </w:abstractNum>
  <w:abstractNum w:abstractNumId="313">
    <w:nsid w:val="CFC7321"/>
    <w:multiLevelType w:val="hybridMultilevel"/>
    <w:lvl w:ilvl="0">
      <w:lvlJc w:val="left"/>
      <w:lvlText w:val="(%1)"/>
      <w:numFmt w:val="lowerLetter"/>
      <w:start w:val="4"/>
    </w:lvl>
  </w:abstractNum>
  <w:abstractNum w:abstractNumId="314">
    <w:nsid w:val="1421971B"/>
    <w:multiLevelType w:val="hybridMultilevel"/>
    <w:lvl w:ilvl="0">
      <w:lvlJc w:val="left"/>
      <w:lvlText w:val="(%1)"/>
      <w:numFmt w:val="lowerLetter"/>
      <w:start w:val="7"/>
    </w:lvl>
  </w:abstractNum>
  <w:abstractNum w:abstractNumId="315">
    <w:nsid w:val="1F404301"/>
    <w:multiLevelType w:val="hybridMultilevel"/>
    <w:lvl w:ilvl="0">
      <w:lvlJc w:val="left"/>
      <w:lvlText w:val="%1"/>
      <w:numFmt w:val="lowerRoman"/>
      <w:start w:val="1"/>
    </w:lvl>
    <w:lvl w:ilvl="1">
      <w:lvlJc w:val="left"/>
      <w:lvlText w:val="(%2)"/>
      <w:numFmt w:val="lowerLetter"/>
      <w:start w:val="12"/>
    </w:lvl>
    <w:lvl w:ilvl="2">
      <w:lvlJc w:val="left"/>
      <w:lvlText w:val="(%3)"/>
      <w:numFmt w:val="lowerRoman"/>
      <w:start w:val="2"/>
    </w:lvl>
  </w:abstractNum>
  <w:abstractNum w:abstractNumId="316">
    <w:nsid w:val="116E0907"/>
    <w:multiLevelType w:val="hybridMultilevel"/>
    <w:lvl w:ilvl="0">
      <w:lvlJc w:val="left"/>
      <w:lvlText w:val="(%1)"/>
      <w:numFmt w:val="lowerRoman"/>
      <w:start w:val="4"/>
    </w:lvl>
    <w:lvl w:ilvl="1">
      <w:lvlJc w:val="left"/>
      <w:lvlText w:val="(%2)"/>
      <w:numFmt w:val="lowerLetter"/>
      <w:start w:val="12"/>
    </w:lvl>
    <w:lvl w:ilvl="2">
      <w:lvlJc w:val="left"/>
      <w:lvlText w:val="(%3)"/>
      <w:numFmt w:val="lowerRoman"/>
      <w:start w:val="4"/>
    </w:lvl>
  </w:abstractNum>
  <w:abstractNum w:abstractNumId="317">
    <w:nsid w:val="4B683D0D"/>
    <w:multiLevelType w:val="hybridMultilevel"/>
    <w:lvl w:ilvl="0">
      <w:lvlJc w:val="left"/>
      <w:lvlText w:val="(%1)"/>
      <w:numFmt w:val="lowerRoman"/>
      <w:start w:val="2"/>
    </w:lvl>
  </w:abstractNum>
  <w:abstractNum w:abstractNumId="318">
    <w:nsid w:val="76E41D8"/>
    <w:multiLevelType w:val="hybridMultilevel"/>
    <w:lvl w:ilvl="0">
      <w:lvlJc w:val="left"/>
      <w:lvlText w:val="(%1)"/>
      <w:numFmt w:val="lowerLetter"/>
      <w:start w:val="14"/>
    </w:lvl>
  </w:abstractNum>
  <w:abstractNum w:abstractNumId="319">
    <w:nsid w:val="71DCE0FD"/>
    <w:multiLevelType w:val="hybridMultilevel"/>
    <w:lvl w:ilvl="0">
      <w:lvlJc w:val="left"/>
      <w:lvlText w:val="%1."/>
      <w:numFmt w:val="decimal"/>
      <w:start w:val="1"/>
    </w:lvl>
  </w:abstractNum>
  <w:abstractNum w:abstractNumId="320">
    <w:nsid w:val="7906328B"/>
    <w:multiLevelType w:val="hybridMultilevel"/>
    <w:lvl w:ilvl="0">
      <w:lvlJc w:val="left"/>
      <w:lvlText w:val="%1"/>
      <w:numFmt w:val="decimal"/>
      <w:start w:val="1"/>
    </w:lvl>
    <w:lvl w:ilvl="1">
      <w:lvlJc w:val="left"/>
      <w:lvlText w:val="(%2)"/>
      <w:numFmt w:val="lowerLetter"/>
      <w:start w:val="2"/>
    </w:lvl>
  </w:abstractNum>
  <w:abstractNum w:abstractNumId="321">
    <w:nsid w:val="72BBC16"/>
    <w:multiLevelType w:val="hybridMultilevel"/>
    <w:lvl w:ilvl="0">
      <w:lvlJc w:val="left"/>
      <w:lvlText w:val="%1."/>
      <w:numFmt w:val="decimal"/>
      <w:start w:val="4"/>
    </w:lvl>
    <w:lvl w:ilvl="1">
      <w:lvlJc w:val="left"/>
      <w:lvlText w:val="(%2)"/>
      <w:numFmt w:val="lowerLetter"/>
      <w:start w:val="1"/>
    </w:lvl>
  </w:abstractNum>
  <w:abstractNum w:abstractNumId="322">
    <w:nsid w:val="766D98C2"/>
    <w:multiLevelType w:val="hybridMultilevel"/>
    <w:lvl w:ilvl="0">
      <w:lvlJc w:val="left"/>
      <w:lvlText w:val="(%1)"/>
      <w:numFmt w:val="lowerLetter"/>
      <w:start w:val="2"/>
    </w:lvl>
  </w:abstractNum>
  <w:abstractNum w:abstractNumId="323">
    <w:nsid w:val="3C09D4A1"/>
    <w:multiLevelType w:val="hybridMultilevel"/>
    <w:lvl w:ilvl="0">
      <w:lvlJc w:val="left"/>
      <w:lvlText w:val="%1"/>
      <w:numFmt w:val="decimal"/>
      <w:start w:val="1"/>
    </w:lvl>
    <w:lvl w:ilvl="1">
      <w:lvlJc w:val="left"/>
      <w:lvlText w:val="(%2)"/>
      <w:numFmt w:val="lowerLetter"/>
      <w:start w:val="6"/>
    </w:lvl>
  </w:abstractNum>
  <w:abstractNum w:abstractNumId="324">
    <w:nsid w:val="20E45CA4"/>
    <w:multiLevelType w:val="hybridMultilevel"/>
    <w:lvl w:ilvl="0">
      <w:lvlJc w:val="left"/>
      <w:lvlText w:val="%1."/>
      <w:numFmt w:val="decimal"/>
      <w:start w:val="6"/>
    </w:lvl>
    <w:lvl w:ilvl="1">
      <w:lvlJc w:val="left"/>
      <w:lvlText w:val="%2"/>
      <w:numFmt w:val="lowerLetter"/>
      <w:start w:val="1"/>
    </w:lvl>
  </w:abstractNum>
  <w:abstractNum w:abstractNumId="325">
    <w:nsid w:val="4B232EE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26">
    <w:nsid w:val="159C74CF"/>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3"/>
    </w:lvl>
  </w:abstractNum>
  <w:abstractNum w:abstractNumId="327">
    <w:nsid w:val="4AD3AFD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28">
    <w:nsid w:val="3CF93092"/>
    <w:multiLevelType w:val="hybridMultilevel"/>
    <w:lvl w:ilvl="0">
      <w:lvlJc w:val="left"/>
      <w:lvlText w:val="%1"/>
      <w:numFmt w:val="lowerLetter"/>
      <w:start w:val="1"/>
    </w:lvl>
    <w:lvl w:ilvl="1">
      <w:lvlJc w:val="left"/>
      <w:lvlText w:val="(%2)"/>
      <w:numFmt w:val="lowerRoman"/>
      <w:start w:val="2"/>
    </w:lvl>
  </w:abstractNum>
  <w:abstractNum w:abstractNumId="329">
    <w:nsid w:val="6863E8D2"/>
    <w:multiLevelType w:val="hybridMultilevel"/>
    <w:lvl w:ilvl="0">
      <w:lvlJc w:val="left"/>
      <w:lvlText w:val="(%1)"/>
      <w:numFmt w:val="lowerLetter"/>
      <w:start w:val="5"/>
    </w:lvl>
    <w:lvl w:ilvl="1">
      <w:lvlJc w:val="left"/>
      <w:lvlText w:val="%2"/>
      <w:numFmt w:val="lowerRoman"/>
      <w:start w:val="1"/>
    </w:lvl>
  </w:abstractNum>
  <w:abstractNum w:abstractNumId="330">
    <w:nsid w:val="76896198"/>
    <w:multiLevelType w:val="hybridMultilevel"/>
    <w:lvl w:ilvl="0">
      <w:lvlJc w:val="left"/>
      <w:lvlText w:val="(%1)"/>
      <w:numFmt w:val="lowerLetter"/>
      <w:start w:val="6"/>
    </w:lvl>
  </w:abstractNum>
  <w:abstractNum w:abstractNumId="331">
    <w:nsid w:val="4365174B"/>
    <w:multiLevelType w:val="hybridMultilevel"/>
    <w:lvl w:ilvl="0">
      <w:lvlJc w:val="left"/>
      <w:lvlText w:val="%1"/>
      <w:numFmt w:val="decimal"/>
      <w:start w:val="1"/>
    </w:lvl>
    <w:lvl w:ilvl="1">
      <w:lvlJc w:val="left"/>
      <w:lvlText w:val="(%2)"/>
      <w:numFmt w:val="lowerLetter"/>
      <w:start w:val="8"/>
    </w:lvl>
  </w:abstractNum>
  <w:abstractNum w:abstractNumId="332">
    <w:nsid w:val="4A872C35"/>
    <w:multiLevelType w:val="hybridMultilevel"/>
    <w:lvl w:ilvl="0">
      <w:lvlJc w:val="left"/>
      <w:lvlText w:val="%1."/>
      <w:numFmt w:val="decimal"/>
      <w:start w:val="7"/>
    </w:lvl>
    <w:lvl w:ilvl="1">
      <w:lvlJc w:val="left"/>
      <w:lvlText w:val="(%2)"/>
      <w:numFmt w:val="lowerLetter"/>
      <w:start w:val="2"/>
    </w:lvl>
  </w:abstractNum>
  <w:abstractNum w:abstractNumId="333">
    <w:nsid w:val="5D5CE761"/>
    <w:multiLevelType w:val="hybridMultilevel"/>
    <w:lvl w:ilvl="0">
      <w:lvlJc w:val="left"/>
      <w:lvlText w:val="(%1)"/>
      <w:numFmt w:val="lowerRoman"/>
      <w:start w:val="2"/>
    </w:lvl>
  </w:abstractNum>
  <w:abstractNum w:abstractNumId="334">
    <w:nsid w:val="1CD484D5"/>
    <w:multiLevelType w:val="hybridMultilevel"/>
    <w:lvl w:ilvl="0">
      <w:lvlJc w:val="left"/>
      <w:lvlText w:val="(%1)"/>
      <w:numFmt w:val="lowerLetter"/>
      <w:start w:val="2"/>
    </w:lvl>
  </w:abstractNum>
  <w:abstractNum w:abstractNumId="335">
    <w:nsid w:val="21D06255"/>
    <w:multiLevelType w:val="hybridMultilevel"/>
    <w:lvl w:ilvl="0">
      <w:lvlJc w:val="left"/>
      <w:lvlText w:val="(%1)"/>
      <w:numFmt w:val="lowerLetter"/>
      <w:start w:val="4"/>
    </w:lvl>
  </w:abstractNum>
  <w:abstractNum w:abstractNumId="336">
    <w:nsid w:val="51194ED1"/>
    <w:multiLevelType w:val="hybridMultilevel"/>
    <w:lvl w:ilvl="0">
      <w:lvlJc w:val="left"/>
      <w:lvlText w:val="%1"/>
      <w:numFmt w:val="decimal"/>
      <w:start w:val="1"/>
    </w:lvl>
    <w:lvl w:ilvl="1">
      <w:lvlJc w:val="left"/>
      <w:lvlText w:val="(%2)"/>
      <w:numFmt w:val="lowerLetter"/>
      <w:start w:val="7"/>
    </w:lvl>
  </w:abstractNum>
  <w:abstractNum w:abstractNumId="337">
    <w:nsid w:val="44E2ED6C"/>
    <w:multiLevelType w:val="hybridMultilevel"/>
    <w:lvl w:ilvl="0">
      <w:lvlJc w:val="left"/>
      <w:lvlText w:val="%1."/>
      <w:numFmt w:val="decimal"/>
      <w:start w:val="9"/>
    </w:lvl>
    <w:lvl w:ilvl="1">
      <w:lvlJc w:val="left"/>
      <w:lvlText w:val="%2"/>
      <w:numFmt w:val="lowerLetter"/>
      <w:start w:val="1"/>
    </w:lvl>
  </w:abstractNum>
  <w:abstractNum w:abstractNumId="338">
    <w:nsid w:val="2219B33"/>
    <w:multiLevelType w:val="hybridMultilevel"/>
    <w:lvl w:ilvl="0">
      <w:lvlJc w:val="left"/>
      <w:lvlText w:val="%1."/>
      <w:numFmt w:val="decimal"/>
      <w:start w:val="11"/>
    </w:lvl>
  </w:abstractNum>
  <w:abstractNum w:abstractNumId="339">
    <w:nsid w:val="773BFBDD"/>
    <w:multiLevelType w:val="hybridMultilevel"/>
    <w:lvl w:ilvl="0">
      <w:lvlJc w:val="left"/>
      <w:lvlText w:val="(%1)"/>
      <w:numFmt w:val="lowerLetter"/>
      <w:start w:val="2"/>
    </w:lvl>
  </w:abstractNum>
  <w:abstractNum w:abstractNumId="340">
    <w:nsid w:val="2C7C62C2"/>
    <w:multiLevelType w:val="hybridMultilevel"/>
    <w:lvl w:ilvl="0">
      <w:lvlJc w:val="left"/>
      <w:lvlText w:val="(%1)"/>
      <w:numFmt w:val="lowerLetter"/>
      <w:start w:val="4"/>
    </w:lvl>
  </w:abstractNum>
  <w:abstractNum w:abstractNumId="341">
    <w:nsid w:val="1A54D7BC"/>
    <w:multiLevelType w:val="hybridMultilevel"/>
    <w:lvl w:ilvl="0">
      <w:lvlJc w:val="left"/>
      <w:lvlText w:val="(%1)"/>
      <w:numFmt w:val="lowerLetter"/>
      <w:start w:val="7"/>
    </w:lvl>
  </w:abstractNum>
  <w:abstractNum w:abstractNumId="342">
    <w:nsid w:val="42E57EF7"/>
    <w:multiLevelType w:val="hybridMultilevel"/>
    <w:lvl w:ilvl="0">
      <w:lvlJc w:val="left"/>
      <w:lvlText w:val="%1"/>
      <w:numFmt w:val="lowerRoman"/>
      <w:start w:val="1"/>
    </w:lvl>
    <w:lvl w:ilvl="1">
      <w:lvlJc w:val="left"/>
      <w:lvlText w:val="(%2)"/>
      <w:numFmt w:val="lowerLetter"/>
      <w:start w:val="11"/>
    </w:lvl>
    <w:lvl w:ilvl="2">
      <w:lvlJc w:val="left"/>
      <w:lvlText w:val="(%3)"/>
      <w:numFmt w:val="lowerRoman"/>
      <w:start w:val="2"/>
    </w:lvl>
  </w:abstractNum>
  <w:abstractNum w:abstractNumId="343">
    <w:nsid w:val="33537CED"/>
    <w:multiLevelType w:val="hybridMultilevel"/>
    <w:lvl w:ilvl="0">
      <w:lvlJc w:val="left"/>
      <w:lvlText w:val="(%1)"/>
      <w:numFmt w:val="lowerRoman"/>
      <w:start w:val="4"/>
    </w:lvl>
    <w:lvl w:ilvl="1">
      <w:lvlJc w:val="left"/>
      <w:lvlText w:val="(%2)"/>
      <w:numFmt w:val="lowerLetter"/>
      <w:start w:val="12"/>
    </w:lvl>
    <w:lvl w:ilvl="2">
      <w:lvlJc w:val="left"/>
      <w:lvlText w:val="(%3)"/>
      <w:numFmt w:val="lowerRoman"/>
      <w:start w:val="4"/>
    </w:lvl>
  </w:abstractNum>
  <w:abstractNum w:abstractNumId="344">
    <w:nsid w:val="27514ADE"/>
    <w:multiLevelType w:val="hybridMultilevel"/>
    <w:lvl w:ilvl="0">
      <w:lvlJc w:val="left"/>
      <w:lvlText w:val="(%1)"/>
      <w:numFmt w:val="lowerRoman"/>
      <w:start w:val="2"/>
    </w:lvl>
  </w:abstractNum>
  <w:abstractNum w:abstractNumId="345">
    <w:nsid w:val="57071613"/>
    <w:multiLevelType w:val="hybridMultilevel"/>
    <w:lvl w:ilvl="0">
      <w:lvlJc w:val="left"/>
      <w:lvlText w:val="(%1)"/>
      <w:numFmt w:val="lowerLetter"/>
      <w:start w:val="14"/>
    </w:lvl>
  </w:abstractNum>
  <w:abstractNum w:abstractNumId="346">
    <w:nsid w:val="5293BFEF"/>
    <w:multiLevelType w:val="hybridMultilevel"/>
    <w:lvl w:ilvl="0">
      <w:lvlJc w:val="left"/>
      <w:lvlText w:val="%1."/>
      <w:numFmt w:val="decimal"/>
      <w:start w:val="1"/>
    </w:lvl>
  </w:abstractNum>
  <w:abstractNum w:abstractNumId="347">
    <w:nsid w:val="38BF53E5"/>
    <w:multiLevelType w:val="hybridMultilevel"/>
    <w:lvl w:ilvl="0">
      <w:lvlJc w:val="left"/>
      <w:lvlText w:val="%1"/>
      <w:numFmt w:val="decimal"/>
      <w:start w:val="1"/>
    </w:lvl>
    <w:lvl w:ilvl="1">
      <w:lvlJc w:val="left"/>
      <w:lvlText w:val="(%2)"/>
      <w:numFmt w:val="lowerLetter"/>
      <w:start w:val="2"/>
    </w:lvl>
  </w:abstractNum>
  <w:abstractNum w:abstractNumId="348">
    <w:nsid w:val="226F5320"/>
    <w:multiLevelType w:val="hybridMultilevel"/>
    <w:lvl w:ilvl="0">
      <w:lvlJc w:val="left"/>
      <w:lvlText w:val="%1."/>
      <w:numFmt w:val="decimal"/>
      <w:start w:val="4"/>
    </w:lvl>
    <w:lvl w:ilvl="1">
      <w:lvlJc w:val="left"/>
      <w:lvlText w:val="(%2)"/>
      <w:numFmt w:val="lowerLetter"/>
      <w:start w:val="1"/>
    </w:lvl>
  </w:abstractNum>
  <w:abstractNum w:abstractNumId="349">
    <w:nsid w:val="5A0201C7"/>
    <w:multiLevelType w:val="hybridMultilevel"/>
    <w:lvl w:ilvl="0">
      <w:lvlJc w:val="left"/>
      <w:lvlText w:val="(%1)"/>
      <w:numFmt w:val="lowerLetter"/>
      <w:start w:val="2"/>
    </w:lvl>
  </w:abstractNum>
  <w:abstractNum w:abstractNumId="350">
    <w:nsid w:val="2A9C34E2"/>
    <w:multiLevelType w:val="hybridMultilevel"/>
    <w:lvl w:ilvl="0">
      <w:lvlJc w:val="left"/>
      <w:lvlText w:val="%1"/>
      <w:numFmt w:val="decimal"/>
      <w:start w:val="1"/>
    </w:lvl>
    <w:lvl w:ilvl="1">
      <w:lvlJc w:val="left"/>
      <w:lvlText w:val="(%2)"/>
      <w:numFmt w:val="lowerLetter"/>
      <w:start w:val="6"/>
    </w:lvl>
  </w:abstractNum>
  <w:abstractNum w:abstractNumId="351">
    <w:nsid w:val="1B7585AB"/>
    <w:multiLevelType w:val="hybridMultilevel"/>
    <w:lvl w:ilvl="0">
      <w:lvlJc w:val="left"/>
      <w:lvlText w:val="%1."/>
      <w:numFmt w:val="decimal"/>
      <w:start w:val="6"/>
    </w:lvl>
    <w:lvl w:ilvl="1">
      <w:lvlJc w:val="left"/>
      <w:lvlText w:val="%2"/>
      <w:numFmt w:val="lowerLetter"/>
      <w:start w:val="1"/>
    </w:lvl>
  </w:abstractNum>
  <w:abstractNum w:abstractNumId="352">
    <w:nsid w:val="612DBDDD"/>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53">
    <w:nsid w:val="2109CDA4"/>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3"/>
    </w:lvl>
  </w:abstractNum>
  <w:abstractNum w:abstractNumId="354">
    <w:nsid w:val="577F5A4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55">
    <w:nsid w:val="2121A81"/>
    <w:multiLevelType w:val="hybridMultilevel"/>
    <w:lvl w:ilvl="0">
      <w:lvlJc w:val="left"/>
      <w:lvlText w:val="%1"/>
      <w:numFmt w:val="lowerLetter"/>
      <w:start w:val="1"/>
    </w:lvl>
    <w:lvl w:ilvl="1">
      <w:lvlJc w:val="left"/>
      <w:lvlText w:val="(%2)"/>
      <w:numFmt w:val="lowerRoman"/>
      <w:start w:val="2"/>
    </w:lvl>
  </w:abstractNum>
  <w:abstractNum w:abstractNumId="356">
    <w:nsid w:val="6C2CFC88"/>
    <w:multiLevelType w:val="hybridMultilevel"/>
    <w:lvl w:ilvl="0">
      <w:lvlJc w:val="left"/>
      <w:lvlText w:val="(%1)"/>
      <w:numFmt w:val="lowerLetter"/>
      <w:start w:val="5"/>
    </w:lvl>
    <w:lvl w:ilvl="1">
      <w:lvlJc w:val="left"/>
      <w:lvlText w:val="%2"/>
      <w:numFmt w:val="lowerRoman"/>
      <w:start w:val="1"/>
    </w:lvl>
  </w:abstractNum>
  <w:abstractNum w:abstractNumId="357">
    <w:nsid w:val="6D1BCF1C"/>
    <w:multiLevelType w:val="hybridMultilevel"/>
    <w:lvl w:ilvl="0">
      <w:lvlJc w:val="left"/>
      <w:lvlText w:val="(%1)"/>
      <w:numFmt w:val="lowerLetter"/>
      <w:start w:val="6"/>
    </w:lvl>
  </w:abstractNum>
  <w:abstractNum w:abstractNumId="358">
    <w:nsid w:val="4CE5CA53"/>
    <w:multiLevelType w:val="hybridMultilevel"/>
    <w:lvl w:ilvl="0">
      <w:lvlJc w:val="left"/>
      <w:lvlText w:val="%1"/>
      <w:numFmt w:val="decimal"/>
      <w:start w:val="1"/>
    </w:lvl>
    <w:lvl w:ilvl="1">
      <w:lvlJc w:val="left"/>
      <w:lvlText w:val="(%2)"/>
      <w:numFmt w:val="lowerLetter"/>
      <w:start w:val="8"/>
    </w:lvl>
  </w:abstractNum>
  <w:abstractNum w:abstractNumId="359">
    <w:nsid w:val="29262D1A"/>
    <w:multiLevelType w:val="hybridMultilevel"/>
    <w:lvl w:ilvl="0">
      <w:lvlJc w:val="left"/>
      <w:lvlText w:val="%1."/>
      <w:numFmt w:val="decimal"/>
      <w:start w:val="7"/>
    </w:lvl>
    <w:lvl w:ilvl="1">
      <w:lvlJc w:val="left"/>
      <w:lvlText w:val="(%2)"/>
      <w:numFmt w:val="lowerLetter"/>
      <w:start w:val="2"/>
    </w:lvl>
  </w:abstractNum>
  <w:abstractNum w:abstractNumId="360">
    <w:nsid w:val="557FB7EE"/>
    <w:multiLevelType w:val="hybridMultilevel"/>
    <w:lvl w:ilvl="0">
      <w:lvlJc w:val="left"/>
      <w:lvlText w:val="(%1)"/>
      <w:numFmt w:val="lowerRoman"/>
      <w:start w:val="2"/>
    </w:lvl>
  </w:abstractNum>
  <w:abstractNum w:abstractNumId="361">
    <w:nsid w:val="436F2BEB"/>
    <w:multiLevelType w:val="hybridMultilevel"/>
    <w:lvl w:ilvl="0">
      <w:lvlJc w:val="left"/>
      <w:lvlText w:val="(%1)"/>
      <w:numFmt w:val="lowerLetter"/>
      <w:start w:val="2"/>
    </w:lvl>
  </w:abstractNum>
  <w:abstractNum w:abstractNumId="362">
    <w:nsid w:val="6C8B4466"/>
    <w:multiLevelType w:val="hybridMultilevel"/>
    <w:lvl w:ilvl="0">
      <w:lvlJc w:val="left"/>
      <w:lvlText w:val="(%1)"/>
      <w:numFmt w:val="lowerLetter"/>
      <w:start w:val="4"/>
    </w:lvl>
  </w:abstractNum>
  <w:abstractNum w:abstractNumId="363">
    <w:nsid w:val="2006E424"/>
    <w:multiLevelType w:val="hybridMultilevel"/>
    <w:lvl w:ilvl="0">
      <w:lvlJc w:val="left"/>
      <w:lvlText w:val="%1"/>
      <w:numFmt w:val="decimal"/>
      <w:start w:val="1"/>
    </w:lvl>
    <w:lvl w:ilvl="1">
      <w:lvlJc w:val="left"/>
      <w:lvlText w:val="(%2)"/>
      <w:numFmt w:val="lowerLetter"/>
      <w:start w:val="7"/>
    </w:lvl>
  </w:abstractNum>
  <w:abstractNum w:abstractNumId="364">
    <w:nsid w:val="20CC134C"/>
    <w:multiLevelType w:val="hybridMultilevel"/>
    <w:lvl w:ilvl="0">
      <w:lvlJc w:val="left"/>
      <w:lvlText w:val="%1."/>
      <w:numFmt w:val="decimal"/>
      <w:start w:val="9"/>
    </w:lvl>
    <w:lvl w:ilvl="1">
      <w:lvlJc w:val="left"/>
      <w:lvlText w:val="%2"/>
      <w:numFmt w:val="lowerLetter"/>
      <w:start w:val="1"/>
    </w:lvl>
  </w:abstractNum>
  <w:abstractNum w:abstractNumId="365">
    <w:nsid w:val="95FC93B"/>
    <w:multiLevelType w:val="hybridMultilevel"/>
    <w:lvl w:ilvl="0">
      <w:lvlJc w:val="left"/>
      <w:lvlText w:val="%1."/>
      <w:numFmt w:val="decimal"/>
      <w:start w:val="11"/>
    </w:lvl>
  </w:abstractNum>
  <w:abstractNum w:abstractNumId="366">
    <w:nsid w:val="41D74679"/>
    <w:multiLevelType w:val="hybridMultilevel"/>
    <w:lvl w:ilvl="0">
      <w:lvlJc w:val="left"/>
      <w:lvlText w:val="(%1)"/>
      <w:numFmt w:val="lowerLetter"/>
      <w:start w:val="2"/>
    </w:lvl>
  </w:abstractNum>
  <w:abstractNum w:abstractNumId="367">
    <w:nsid w:val="71E5621E"/>
    <w:multiLevelType w:val="hybridMultilevel"/>
    <w:lvl w:ilvl="0">
      <w:lvlJc w:val="left"/>
      <w:lvlText w:val="(%1)"/>
      <w:numFmt w:val="lowerLetter"/>
      <w:start w:val="4"/>
    </w:lvl>
  </w:abstractNum>
  <w:abstractNum w:abstractNumId="368">
    <w:nsid w:val="4E42B6A8"/>
    <w:multiLevelType w:val="hybridMultilevel"/>
    <w:lvl w:ilvl="0">
      <w:lvlJc w:val="left"/>
      <w:lvlText w:val="(%1)"/>
      <w:numFmt w:val="lowerLetter"/>
      <w:start w:val="7"/>
    </w:lvl>
  </w:abstractNum>
  <w:abstractNum w:abstractNumId="369">
    <w:nsid w:val="43F8E1AC"/>
    <w:multiLevelType w:val="hybridMultilevel"/>
    <w:lvl w:ilvl="0">
      <w:lvlJc w:val="left"/>
      <w:lvlText w:val="%1"/>
      <w:numFmt w:val="lowerRoman"/>
      <w:start w:val="1"/>
    </w:lvl>
    <w:lvl w:ilvl="1">
      <w:lvlJc w:val="left"/>
      <w:lvlText w:val="(%2)"/>
      <w:numFmt w:val="lowerLetter"/>
      <w:start w:val="11"/>
    </w:lvl>
    <w:lvl w:ilvl="2">
      <w:lvlJc w:val="left"/>
      <w:lvlText w:val="(%3)"/>
      <w:numFmt w:val="lowerRoman"/>
      <w:start w:val="2"/>
    </w:lvl>
  </w:abstractNum>
  <w:abstractNum w:abstractNumId="370">
    <w:nsid w:val="69215DFB"/>
    <w:multiLevelType w:val="hybridMultilevel"/>
    <w:lvl w:ilvl="0">
      <w:lvlJc w:val="left"/>
      <w:lvlText w:val="(%1)"/>
      <w:numFmt w:val="lowerRoman"/>
      <w:start w:val="4"/>
    </w:lvl>
    <w:lvl w:ilvl="1">
      <w:lvlJc w:val="left"/>
      <w:lvlText w:val="(%2)"/>
      <w:numFmt w:val="lowerLetter"/>
      <w:start w:val="12"/>
    </w:lvl>
    <w:lvl w:ilvl="2">
      <w:lvlJc w:val="left"/>
      <w:lvlText w:val="(%3)"/>
      <w:numFmt w:val="lowerRoman"/>
      <w:start w:val="4"/>
    </w:lvl>
  </w:abstractNum>
  <w:abstractNum w:abstractNumId="371">
    <w:nsid w:val="7ABF196A"/>
    <w:multiLevelType w:val="hybridMultilevel"/>
    <w:lvl w:ilvl="0">
      <w:lvlJc w:val="left"/>
      <w:lvlText w:val="(%1)"/>
      <w:numFmt w:val="lowerRoman"/>
      <w:start w:val="2"/>
    </w:lvl>
  </w:abstractNum>
  <w:abstractNum w:abstractNumId="372">
    <w:nsid w:val="5E4DB968"/>
    <w:multiLevelType w:val="hybridMultilevel"/>
    <w:lvl w:ilvl="0">
      <w:lvlJc w:val="left"/>
      <w:lvlText w:val="(%1)"/>
      <w:numFmt w:val="lowerLetter"/>
      <w:start w:val="14"/>
    </w:lvl>
  </w:abstractNum>
  <w:abstractNum w:abstractNumId="373">
    <w:nsid w:val="2C06DCF3"/>
    <w:multiLevelType w:val="hybridMultilevel"/>
    <w:lvl w:ilvl="0">
      <w:lvlJc w:val="left"/>
      <w:lvlText w:val="(%1)"/>
      <w:numFmt w:val="lowerLetter"/>
      <w:start w:val="1"/>
    </w:lvl>
    <w:lvl w:ilvl="1">
      <w:lvlJc w:val="left"/>
      <w:lvlText w:val="(%2)"/>
      <w:numFmt w:val="lowerLetter"/>
      <w:start w:val="9"/>
    </w:lvl>
  </w:abstractNum>
  <w:abstractNum w:abstractNumId="374">
    <w:nsid w:val="2E129658"/>
    <w:multiLevelType w:val="hybridMultilevel"/>
    <w:lvl w:ilvl="0">
      <w:lvlJc w:val="left"/>
      <w:lvlText w:val="%1"/>
      <w:numFmt w:val="lowerLetter"/>
      <w:start w:val="1"/>
    </w:lvl>
    <w:lvl w:ilvl="1">
      <w:lvlJc w:val="left"/>
      <w:lvlText w:val="(%2)"/>
      <w:numFmt w:val="lowerRoman"/>
      <w:start w:val="2"/>
    </w:lvl>
  </w:abstractNum>
  <w:abstractNum w:abstractNumId="375">
    <w:nsid w:val="59F0446"/>
    <w:multiLevelType w:val="hybridMultilevel"/>
    <w:lvl w:ilvl="0">
      <w:lvlJc w:val="left"/>
      <w:lvlText w:val="(%1)"/>
      <w:numFmt w:val="lowerLetter"/>
      <w:start w:val="3"/>
    </w:lvl>
    <w:lvl w:ilvl="1">
      <w:lvlJc w:val="left"/>
      <w:lvlText w:val="(%2)"/>
      <w:numFmt w:val="lowerRoman"/>
      <w:start w:val="1"/>
    </w:lvl>
  </w:abstractNum>
  <w:abstractNum w:abstractNumId="376">
    <w:nsid w:val="30DF306"/>
    <w:multiLevelType w:val="hybridMultilevel"/>
    <w:lvl w:ilvl="0">
      <w:lvlJc w:val="left"/>
      <w:lvlText w:val="%1"/>
      <w:numFmt w:val="lowerLetter"/>
      <w:start w:val="1"/>
    </w:lvl>
    <w:lvl w:ilvl="1">
      <w:lvlJc w:val="left"/>
      <w:lvlText w:val="(%2)"/>
      <w:numFmt w:val="lowerLetter"/>
      <w:start w:val="61"/>
    </w:lvl>
  </w:abstractNum>
  <w:abstractNum w:abstractNumId="377">
    <w:nsid w:val="A65647"/>
    <w:multiLevelType w:val="hybridMultilevel"/>
    <w:lvl w:ilvl="0">
      <w:lvlJc w:val="left"/>
      <w:lvlText w:val="(%1)"/>
      <w:numFmt w:val="lowerLetter"/>
      <w:start w:val="4"/>
    </w:lvl>
    <w:lvl w:ilvl="1">
      <w:lvlJc w:val="left"/>
      <w:lvlText w:val="%2"/>
      <w:numFmt w:val="lowerLetter"/>
      <w:start w:val="1"/>
    </w:lvl>
  </w:abstractNum>
  <w:abstractNum w:abstractNumId="378">
    <w:nsid w:val="3E5E582B"/>
    <w:multiLevelType w:val="hybridMultilevel"/>
    <w:lvl w:ilvl="0">
      <w:lvlJc w:val="left"/>
      <w:lvlText w:val="(%1)"/>
      <w:numFmt w:val="lowerLetter"/>
      <w:start w:val="1"/>
    </w:lvl>
  </w:abstractNum>
  <w:abstractNum w:abstractNumId="379">
    <w:nsid w:val="257D4626"/>
    <w:multiLevelType w:val="hybridMultilevel"/>
    <w:lvl w:ilvl="0">
      <w:lvlJc w:val="left"/>
      <w:lvlText w:val="(%1)"/>
      <w:numFmt w:val="lowerLetter"/>
      <w:start w:val="2"/>
    </w:lvl>
  </w:abstractNum>
  <w:abstractNum w:abstractNumId="380">
    <w:nsid w:val="5AA8580E"/>
    <w:multiLevelType w:val="hybridMultilevel"/>
    <w:lvl w:ilvl="0">
      <w:lvlJc w:val="left"/>
      <w:lvlText w:val="%1"/>
      <w:numFmt w:val="lowerLetter"/>
      <w:start w:val="1"/>
    </w:lvl>
    <w:lvl w:ilvl="1">
      <w:lvlJc w:val="left"/>
      <w:lvlText w:val="(%2)"/>
      <w:numFmt w:val="lowerLetter"/>
      <w:start w:val="1"/>
    </w:lvl>
  </w:abstractNum>
  <w:abstractNum w:abstractNumId="381">
    <w:nsid w:val="68FA8D0D"/>
    <w:multiLevelType w:val="hybridMultilevel"/>
    <w:lvl w:ilvl="0">
      <w:lvlJc w:val="left"/>
      <w:lvlText w:val="(%1)"/>
      <w:numFmt w:val="lowerLetter"/>
      <w:start w:val="35"/>
    </w:lvl>
    <w:lvl w:ilvl="1">
      <w:lvlJc w:val="left"/>
      <w:lvlText w:val="(%2)"/>
      <w:numFmt w:val="lowerLetter"/>
      <w:start w:val="2"/>
    </w:lvl>
  </w:abstractNum>
  <w:abstractNum w:abstractNumId="382">
    <w:nsid w:val="40F2CBD2"/>
    <w:multiLevelType w:val="hybridMultilevel"/>
    <w:lvl w:ilvl="0">
      <w:lvlJc w:val="left"/>
      <w:lvlText w:val="(%1)"/>
      <w:numFmt w:val="lowerLetter"/>
      <w:start w:val="1"/>
    </w:lvl>
  </w:abstractNum>
  <w:abstractNum w:abstractNumId="383">
    <w:nsid w:val="3BD615EB"/>
    <w:multiLevelType w:val="hybridMultilevel"/>
    <w:lvl w:ilvl="0">
      <w:lvlJc w:val="left"/>
      <w:lvlText w:val="(%1)"/>
      <w:numFmt w:val="lowerRoman"/>
      <w:start w:val="2"/>
    </w:lvl>
  </w:abstractNum>
  <w:abstractNum w:abstractNumId="384">
    <w:nsid w:val="A045A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85">
    <w:nsid w:val="1872261F"/>
    <w:multiLevelType w:val="hybridMultilevel"/>
    <w:lvl w:ilvl="0">
      <w:lvlJc w:val="left"/>
      <w:lvlText w:val="%1."/>
      <w:numFmt w:val="lowerRoman"/>
      <w:start w:val="1"/>
    </w:lvl>
    <w:lvl w:ilvl="1">
      <w:lvlJc w:val="left"/>
      <w:lvlText w:val="*"/>
      <w:numFmt w:val="bullet"/>
      <w:start w:val="1"/>
    </w:lvl>
  </w:abstractNum>
  <w:abstractNum w:abstractNumId="386">
    <w:nsid w:val="3DE8306C"/>
    <w:multiLevelType w:val="hybridMultilevel"/>
    <w:lvl w:ilvl="0">
      <w:lvlJc w:val="left"/>
      <w:lvlText w:val="%1."/>
      <w:numFmt w:val="lowerRoman"/>
      <w:start w:val="2"/>
    </w:lvl>
    <w:lvl w:ilvl="1">
      <w:lvlJc w:val="left"/>
      <w:lvlText w:val="*"/>
      <w:numFmt w:val="bullet"/>
      <w:start w:val="1"/>
    </w:lvl>
  </w:abstractNum>
  <w:abstractNum w:abstractNumId="387">
    <w:nsid w:val="7631573A"/>
    <w:multiLevelType w:val="hybridMultilevel"/>
    <w:lvl w:ilvl="0">
      <w:lvlJc w:val="left"/>
      <w:lvlText w:val="%1."/>
      <w:numFmt w:val="lowerRoman"/>
      <w:start w:val="3"/>
    </w:lvl>
    <w:lvl w:ilvl="1">
      <w:lvlJc w:val="left"/>
      <w:lvlText w:val="*"/>
      <w:numFmt w:val="bullet"/>
      <w:start w:val="1"/>
    </w:lvl>
  </w:abstractNum>
  <w:abstractNum w:abstractNumId="388">
    <w:nsid w:val="58DF53B"/>
    <w:multiLevelType w:val="hybridMultilevel"/>
    <w:lvl w:ilvl="0">
      <w:lvlJc w:val="left"/>
      <w:lvlText w:val="%1"/>
      <w:numFmt w:val="lowerLetter"/>
      <w:start w:val="1"/>
    </w:lvl>
    <w:lvl w:ilvl="1">
      <w:lvlJc w:val="left"/>
      <w:lvlText w:val="*"/>
      <w:numFmt w:val="bullet"/>
      <w:start w:val="1"/>
    </w:lvl>
  </w:abstractNum>
  <w:abstractNum w:abstractNumId="389">
    <w:nsid w:val="ACDFAC0"/>
    <w:multiLevelType w:val="hybridMultilevel"/>
    <w:lvl w:ilvl="0">
      <w:lvlJc w:val="left"/>
      <w:lvlText w:val="%1"/>
      <w:numFmt w:val="lowerLetter"/>
      <w:start w:val="1"/>
    </w:lvl>
    <w:lvl w:ilvl="1">
      <w:lvlJc w:val="left"/>
      <w:lvlText w:val="*"/>
      <w:numFmt w:val="bullet"/>
      <w:start w:val="1"/>
    </w:lvl>
  </w:abstractNum>
  <w:abstractNum w:abstractNumId="390">
    <w:nsid w:val="1F57845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91">
    <w:nsid w:val="5B0DAD2A"/>
    <w:multiLevelType w:val="hybridMultilevel"/>
    <w:lvl w:ilvl="0">
      <w:lvlJc w:val="left"/>
      <w:lvlText w:val="%1"/>
      <w:numFmt w:val="lowerLetter"/>
      <w:start w:val="1"/>
    </w:lvl>
    <w:lvl w:ilvl="1">
      <w:lvlJc w:val="left"/>
      <w:lvlText w:val="%2."/>
      <w:numFmt w:val="lowerRoman"/>
      <w:start w:val="2"/>
    </w:lvl>
  </w:abstractNum>
  <w:abstractNum w:abstractNumId="392">
    <w:nsid w:val="4E3D26AB"/>
    <w:multiLevelType w:val="hybridMultilevel"/>
    <w:lvl w:ilvl="0">
      <w:lvlJc w:val="left"/>
      <w:lvlText w:val="%1."/>
      <w:numFmt w:val="lowerLetter"/>
      <w:start w:val="2"/>
    </w:lvl>
    <w:lvl w:ilvl="1">
      <w:lvlJc w:val="left"/>
      <w:lvlText w:val="%2"/>
      <w:numFmt w:val="lowerRoman"/>
      <w:start w:val="1"/>
    </w:lvl>
  </w:abstractNum>
  <w:abstractNum w:abstractNumId="393">
    <w:nsid w:val="BE2C8BA"/>
    <w:multiLevelType w:val="hybridMultilevel"/>
    <w:lvl w:ilvl="0">
      <w:lvlJc w:val="left"/>
      <w:lvlText w:val="%1."/>
      <w:numFmt w:val="decimal"/>
      <w:start w:val="1"/>
    </w:lvl>
    <w:lvl w:ilvl="1">
      <w:lvlJc w:val="left"/>
      <w:lvlText w:val="(%2)"/>
      <w:numFmt w:val="lowerLetter"/>
      <w:start w:val="1"/>
    </w:lvl>
  </w:abstractNum>
  <w:abstractNum w:abstractNumId="394">
    <w:nsid w:val="7B14914E"/>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50" Type="http://schemas.openxmlformats.org/officeDocument/2006/relationships/hyperlink" Target="http://www.sec.gov/Archives/edgar/data/1166003/000110465920052459/tm2016461d5_ex4-1.htm" TargetMode="External"/><Relationship Id="rId51" Type="http://schemas.openxmlformats.org/officeDocument/2006/relationships/hyperlink" Target="http://www.sec.gov/Archives/edgar/data/1166003/000104746920002482/a2241399zdef14a.htm" TargetMode="External"/><Relationship Id="rId52" Type="http://schemas.openxmlformats.org/officeDocument/2006/relationships/hyperlink" Target="http://www.sec.gov/Archives/edgar/data/1166003/000110465920058377/tm2016461d9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2020-08-03T06:04:50Z</dcterms:created>
  <dcterms:modified xsi:type="dcterms:W3CDTF">2020-08-03T06:04:50Z</dcterms:modified>
</cp:coreProperties>
</file>