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3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ark One)</w:t>
      </w:r>
    </w:p>
    <w:p>
      <w:pPr>
        <w:spacing w:after="0" w:line="107" w:lineRule="exact"/>
        <w:rPr>
          <w:sz w:val="24"/>
          <w:szCs w:val="24"/>
          <w:color w:val="auto"/>
        </w:rPr>
      </w:pPr>
    </w:p>
    <w:p>
      <w:pPr>
        <w:ind w:left="540" w:hanging="4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40" w:hanging="41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5" w:lineRule="exact"/>
        <w:rPr>
          <w:sz w:val="24"/>
          <w:szCs w:val="24"/>
          <w:color w:val="auto"/>
        </w:rPr>
      </w:pPr>
    </w:p>
    <w:p>
      <w:pPr>
        <w:ind w:left="35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2383155</wp:posOffset>
            </wp:positionH>
            <wp:positionV relativeFrom="paragraph">
              <wp:posOffset>39370</wp:posOffset>
            </wp:positionV>
            <wp:extent cx="251142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XPO Logistics, Inc.</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24" w:lineRule="exact"/>
        <w:rPr>
          <w:sz w:val="24"/>
          <w:szCs w:val="24"/>
          <w:color w:val="auto"/>
        </w:rPr>
      </w:pPr>
    </w:p>
    <w:tbl>
      <w:tblPr>
        <w:tblLayout w:type="fixed"/>
        <w:tblInd w:w="100" w:type="dxa"/>
        <w:tblCellMar>
          <w:top w:w="0" w:type="dxa"/>
          <w:left w:w="0" w:type="dxa"/>
          <w:bottom w:w="0" w:type="dxa"/>
          <w:right w:w="0" w:type="dxa"/>
        </w:tblCellMar>
      </w:tblPr>
      <w:tr>
        <w:trPr>
          <w:trHeight w:val="225"/>
        </w:trPr>
        <w:tc>
          <w:tcPr>
            <w:tcW w:w="4480" w:type="dxa"/>
            <w:vAlign w:val="bottom"/>
            <w:gridSpan w:val="3"/>
          </w:tcPr>
          <w:p>
            <w:pPr>
              <w:jc w:val="center"/>
              <w:ind w:left="902"/>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223"/>
              <w:spacing w:after="0"/>
              <w:rPr>
                <w:sz w:val="20"/>
                <w:szCs w:val="20"/>
                <w:color w:val="auto"/>
              </w:rPr>
            </w:pPr>
            <w:r>
              <w:rPr>
                <w:rFonts w:ascii="Arial" w:cs="Arial" w:eastAsia="Arial" w:hAnsi="Arial"/>
                <w:sz w:val="18"/>
                <w:szCs w:val="18"/>
                <w:b w:val="1"/>
                <w:bCs w:val="1"/>
                <w:color w:val="auto"/>
              </w:rPr>
              <w:t>03-0450326</w:t>
            </w:r>
          </w:p>
        </w:tc>
      </w:tr>
      <w:tr>
        <w:trPr>
          <w:trHeight w:val="144"/>
        </w:trPr>
        <w:tc>
          <w:tcPr>
            <w:tcW w:w="4480" w:type="dxa"/>
            <w:vAlign w:val="bottom"/>
            <w:gridSpan w:val="3"/>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983"/>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448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83"/>
              <w:spacing w:after="0"/>
              <w:rPr>
                <w:sz w:val="20"/>
                <w:szCs w:val="20"/>
                <w:color w:val="auto"/>
              </w:rPr>
            </w:pPr>
            <w:r>
              <w:rPr>
                <w:rFonts w:ascii="Arial" w:cs="Arial" w:eastAsia="Arial" w:hAnsi="Arial"/>
                <w:sz w:val="14"/>
                <w:szCs w:val="14"/>
                <w:b w:val="1"/>
                <w:bCs w:val="1"/>
                <w:color w:val="auto"/>
                <w:w w:val="94"/>
              </w:rPr>
              <w:t>Identification No.)</w:t>
            </w:r>
          </w:p>
        </w:tc>
      </w:tr>
      <w:tr>
        <w:trPr>
          <w:trHeight w:val="230"/>
        </w:trPr>
        <w:tc>
          <w:tcPr>
            <w:tcW w:w="4480" w:type="dxa"/>
            <w:vAlign w:val="bottom"/>
            <w:gridSpan w:val="3"/>
          </w:tcPr>
          <w:p>
            <w:pPr>
              <w:jc w:val="center"/>
              <w:ind w:left="902"/>
              <w:spacing w:after="0"/>
              <w:rPr>
                <w:sz w:val="20"/>
                <w:szCs w:val="20"/>
                <w:color w:val="auto"/>
              </w:rPr>
            </w:pPr>
            <w:r>
              <w:rPr>
                <w:rFonts w:ascii="Arial" w:cs="Arial" w:eastAsia="Arial" w:hAnsi="Arial"/>
                <w:sz w:val="18"/>
                <w:szCs w:val="18"/>
                <w:b w:val="1"/>
                <w:bCs w:val="1"/>
                <w:color w:val="auto"/>
                <w:w w:val="92"/>
              </w:rPr>
              <w:t>Five American Lane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25"/>
        </w:trPr>
        <w:tc>
          <w:tcPr>
            <w:tcW w:w="4480" w:type="dxa"/>
            <w:vAlign w:val="bottom"/>
            <w:gridSpan w:val="3"/>
          </w:tcPr>
          <w:p>
            <w:pPr>
              <w:ind w:left="2220"/>
              <w:spacing w:after="0"/>
              <w:rPr>
                <w:sz w:val="20"/>
                <w:szCs w:val="20"/>
                <w:color w:val="auto"/>
              </w:rPr>
            </w:pPr>
            <w:r>
              <w:rPr>
                <w:rFonts w:ascii="Arial" w:cs="Arial" w:eastAsia="Arial" w:hAnsi="Arial"/>
                <w:sz w:val="18"/>
                <w:szCs w:val="18"/>
                <w:b w:val="1"/>
                <w:bCs w:val="1"/>
                <w:color w:val="auto"/>
              </w:rPr>
              <w:t>Greenwich, CT</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423"/>
              <w:spacing w:after="0"/>
              <w:rPr>
                <w:sz w:val="20"/>
                <w:szCs w:val="20"/>
                <w:color w:val="auto"/>
              </w:rPr>
            </w:pPr>
            <w:r>
              <w:rPr>
                <w:rFonts w:ascii="Arial" w:cs="Arial" w:eastAsia="Arial" w:hAnsi="Arial"/>
                <w:sz w:val="18"/>
                <w:szCs w:val="18"/>
                <w:b w:val="1"/>
                <w:bCs w:val="1"/>
                <w:color w:val="auto"/>
              </w:rPr>
              <w:t>06831</w:t>
            </w:r>
          </w:p>
        </w:tc>
      </w:tr>
      <w:tr>
        <w:trPr>
          <w:trHeight w:val="186"/>
        </w:trPr>
        <w:tc>
          <w:tcPr>
            <w:tcW w:w="4480" w:type="dxa"/>
            <w:vAlign w:val="bottom"/>
            <w:gridSpan w:val="3"/>
          </w:tcPr>
          <w:p>
            <w:pPr>
              <w:jc w:val="center"/>
              <w:ind w:left="9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63"/>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 xml:space="preserve">Registrant’s telephone number, including area code </w:t>
            </w:r>
            <w:r>
              <w:rPr>
                <w:rFonts w:ascii="Arial" w:cs="Arial" w:eastAsia="Arial" w:hAnsi="Arial"/>
                <w:sz w:val="17"/>
                <w:szCs w:val="17"/>
                <w:b w:val="1"/>
                <w:bCs w:val="1"/>
                <w:color w:val="auto"/>
                <w:w w:val="92"/>
              </w:rPr>
              <w:t>(855) 976-6951</w:t>
            </w:r>
          </w:p>
        </w:tc>
        <w:tc>
          <w:tcPr>
            <w:tcW w:w="3420" w:type="dxa"/>
            <w:vAlign w:val="bottom"/>
          </w:tcPr>
          <w:p>
            <w:pPr>
              <w:spacing w:after="0"/>
              <w:rPr>
                <w:sz w:val="24"/>
                <w:szCs w:val="24"/>
                <w:color w:val="auto"/>
              </w:rPr>
            </w:pPr>
          </w:p>
        </w:tc>
      </w:tr>
      <w:tr>
        <w:trPr>
          <w:trHeight w:val="186"/>
        </w:trPr>
        <w:tc>
          <w:tcPr>
            <w:tcW w:w="7820" w:type="dxa"/>
            <w:vAlign w:val="bottom"/>
            <w:gridSpan w:val="5"/>
          </w:tcPr>
          <w:p>
            <w:pPr>
              <w:jc w:val="center"/>
              <w:ind w:left="3342"/>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3420" w:type="dxa"/>
            <w:vAlign w:val="bottom"/>
          </w:tcPr>
          <w:p>
            <w:pPr>
              <w:spacing w:after="0"/>
              <w:rPr>
                <w:sz w:val="16"/>
                <w:szCs w:val="16"/>
                <w:color w:val="auto"/>
              </w:rPr>
            </w:pPr>
          </w:p>
        </w:tc>
      </w:tr>
      <w:tr>
        <w:trPr>
          <w:trHeight w:val="268"/>
        </w:trPr>
        <w:tc>
          <w:tcPr>
            <w:tcW w:w="3400" w:type="dxa"/>
            <w:vAlign w:val="bottom"/>
          </w:tcPr>
          <w:p>
            <w:pPr>
              <w:spacing w:after="0"/>
              <w:rPr>
                <w:sz w:val="23"/>
                <w:szCs w:val="23"/>
                <w:color w:val="auto"/>
              </w:rPr>
            </w:pPr>
          </w:p>
        </w:tc>
        <w:tc>
          <w:tcPr>
            <w:tcW w:w="4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20" w:type="dxa"/>
            <w:vAlign w:val="bottom"/>
          </w:tcPr>
          <w:p>
            <w:pPr>
              <w:spacing w:after="0"/>
              <w:rPr>
                <w:sz w:val="23"/>
                <w:szCs w:val="23"/>
                <w:color w:val="auto"/>
              </w:rPr>
            </w:pPr>
          </w:p>
        </w:tc>
      </w:tr>
      <w:tr>
        <w:trPr>
          <w:trHeight w:val="291"/>
        </w:trPr>
        <w:tc>
          <w:tcPr>
            <w:tcW w:w="44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5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488"/>
              <w:spacing w:after="0"/>
              <w:rPr>
                <w:sz w:val="20"/>
                <w:szCs w:val="20"/>
                <w:color w:val="auto"/>
              </w:rPr>
            </w:pPr>
            <w:r>
              <w:rPr>
                <w:rFonts w:ascii="Arial" w:cs="Arial" w:eastAsia="Arial" w:hAnsi="Arial"/>
                <w:sz w:val="14"/>
                <w:szCs w:val="14"/>
                <w:color w:val="auto"/>
                <w:w w:val="94"/>
              </w:rPr>
              <w:t>XPO</w:t>
            </w:r>
          </w:p>
        </w:tc>
        <w:tc>
          <w:tcPr>
            <w:tcW w:w="500" w:type="dxa"/>
            <w:vAlign w:val="bottom"/>
          </w:tcPr>
          <w:p>
            <w:pPr>
              <w:spacing w:after="0"/>
              <w:rPr>
                <w:sz w:val="15"/>
                <w:szCs w:val="15"/>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w:t>
      </w:r>
    </w:p>
    <w:p>
      <w:pPr>
        <w:spacing w:after="0" w:line="69" w:lineRule="exact"/>
        <w:rPr>
          <w:sz w:val="24"/>
          <w:szCs w:val="24"/>
          <w:color w:val="auto"/>
        </w:rPr>
      </w:pPr>
    </w:p>
    <w:p>
      <w:pPr>
        <w:ind w:left="600" w:right="116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00"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68580</wp:posOffset>
            </wp:positionH>
            <wp:positionV relativeFrom="paragraph">
              <wp:posOffset>828675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435" w:right="339" w:bottom="1440" w:gutter="0" w:footer="0" w:header="0"/>
        </w:sectPr>
      </w:pPr>
    </w:p>
    <w:bookmarkStart w:id="1" w:name="page2"/>
    <w:bookmarkEnd w:id="1"/>
    <w:p>
      <w:pPr>
        <w:spacing w:after="0" w:line="117" w:lineRule="exact"/>
        <w:rPr>
          <w:sz w:val="20"/>
          <w:szCs w:val="20"/>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940" w:type="dxa"/>
        <w:tblCellMar>
          <w:top w:w="0" w:type="dxa"/>
          <w:left w:w="0" w:type="dxa"/>
          <w:bottom w:w="0" w:type="dxa"/>
          <w:right w:w="0" w:type="dxa"/>
        </w:tblCellMar>
      </w:tblPr>
      <w:tr>
        <w:trPr>
          <w:trHeight w:val="283"/>
        </w:trPr>
        <w:tc>
          <w:tcPr>
            <w:tcW w:w="2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00" w:type="dxa"/>
            <w:vAlign w:val="bottom"/>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Emerging growth company</w:t>
            </w:r>
          </w:p>
        </w:tc>
        <w:tc>
          <w:tcPr>
            <w:tcW w:w="1260" w:type="dxa"/>
            <w:vAlign w:val="bottom"/>
          </w:tcPr>
          <w:p>
            <w:pPr>
              <w:ind w:left="1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$7.0 billion as of June 30, 2020, based upon the closing price of the common stock on that date.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February 5, 2021, there were 102,203,908 shares of the registrant’s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Specified portions of the registrant’s proxy statement, which will be filed with the Securities and Exchange Commission pursuant to Regulation 14A in connection with the registrant’s 2021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vMerge w:val="restart"/>
          </w:tcPr>
          <w:p>
            <w:pPr>
              <w:ind w:left="20"/>
              <w:spacing w:after="0"/>
              <w:rPr>
                <w:sz w:val="20"/>
                <w:szCs w:val="20"/>
                <w:color w:val="auto"/>
              </w:rPr>
            </w:pPr>
            <w:r>
              <w:rPr>
                <w:rFonts w:ascii="Arial" w:cs="Arial" w:eastAsia="Arial" w:hAnsi="Arial"/>
                <w:sz w:val="18"/>
                <w:szCs w:val="18"/>
                <w:color w:val="auto"/>
              </w:rPr>
              <w:t>Item 1</w:t>
            </w: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98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8"/>
              </w:rPr>
              <w:t>PART I</w:t>
            </w: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2"/>
        </w:trPr>
        <w:tc>
          <w:tcPr>
            <w:tcW w:w="960" w:type="dxa"/>
            <w:vAlign w:val="bottom"/>
            <w:gridSpan w:val="2"/>
            <w:vMerge w:val="continue"/>
          </w:tcPr>
          <w:p>
            <w:pPr>
              <w:spacing w:after="0"/>
              <w:rPr>
                <w:sz w:val="19"/>
                <w:szCs w:val="19"/>
                <w:color w:val="auto"/>
              </w:rPr>
            </w:pPr>
          </w:p>
        </w:tc>
        <w:tc>
          <w:tcPr>
            <w:tcW w:w="9280" w:type="dxa"/>
            <w:vAlign w:val="bottom"/>
            <w:gridSpan w:val="6"/>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580" w:type="dxa"/>
            <w:vAlign w:val="bottom"/>
          </w:tcPr>
          <w:p>
            <w:pPr>
              <w:jc w:val="center"/>
              <w:ind w:left="331"/>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80" w:type="dxa"/>
            <w:vAlign w:val="bottom"/>
            <w:gridSpan w:val="6"/>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17</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1B</w:t>
            </w:r>
          </w:p>
        </w:tc>
        <w:tc>
          <w:tcPr>
            <w:tcW w:w="928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Unresolved Staff Comments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28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Properties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928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32</w:t>
              </w:r>
            </w:hyperlink>
          </w:p>
        </w:tc>
        <w:tc>
          <w:tcPr>
            <w:tcW w:w="0" w:type="dxa"/>
            <w:vAlign w:val="bottom"/>
          </w:tcPr>
          <w:p>
            <w:pPr>
              <w:spacing w:after="0"/>
              <w:rPr>
                <w:sz w:val="1"/>
                <w:szCs w:val="1"/>
                <w:color w:val="auto"/>
              </w:rPr>
            </w:pPr>
          </w:p>
        </w:tc>
      </w:tr>
      <w:tr>
        <w:trPr>
          <w:trHeight w:val="22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280" w:type="dxa"/>
            <w:vAlign w:val="bottom"/>
            <w:gridSpan w:val="6"/>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98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9280" w:type="dxa"/>
            <w:vAlign w:val="bottom"/>
            <w:gridSpan w:val="6"/>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9280" w:type="dxa"/>
            <w:vAlign w:val="bottom"/>
            <w:gridSpan w:val="6"/>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Selected Financial Data</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7</w:t>
            </w:r>
          </w:p>
        </w:tc>
        <w:tc>
          <w:tcPr>
            <w:tcW w:w="9280" w:type="dxa"/>
            <w:vAlign w:val="bottom"/>
            <w:gridSpan w:val="6"/>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Management’s Discussion and Analysis of Financial Condition and Results of Operations</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38</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7A</w:t>
            </w:r>
          </w:p>
        </w:tc>
        <w:tc>
          <w:tcPr>
            <w:tcW w:w="928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Quantitative and Qualitative Disclosures About Market Risk</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9280" w:type="dxa"/>
            <w:vAlign w:val="bottom"/>
            <w:gridSpan w:val="6"/>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Financial Statements and Supplementary Data</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52</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9</w:t>
            </w:r>
          </w:p>
        </w:tc>
        <w:tc>
          <w:tcPr>
            <w:tcW w:w="9280" w:type="dxa"/>
            <w:vAlign w:val="bottom"/>
            <w:gridSpan w:val="6"/>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Changes in and Disagreements with Accountants on Accounting and Financial Disclosure</w:t>
              </w:r>
            </w:hyperlink>
          </w:p>
        </w:tc>
        <w:tc>
          <w:tcPr>
            <w:tcW w:w="1000" w:type="dxa"/>
            <w:vAlign w:val="bottom"/>
            <w:gridSpan w:val="2"/>
          </w:tcPr>
          <w:p>
            <w:pPr>
              <w:jc w:val="center"/>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9A</w:t>
            </w:r>
          </w:p>
        </w:tc>
        <w:tc>
          <w:tcPr>
            <w:tcW w:w="9280" w:type="dxa"/>
            <w:vAlign w:val="bottom"/>
            <w:gridSpan w:val="6"/>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Controls and Procedures</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0">
              <w:r>
                <w:rPr>
                  <w:rFonts w:ascii="Arial" w:cs="Arial" w:eastAsia="Arial" w:hAnsi="Arial"/>
                  <w:sz w:val="18"/>
                  <w:szCs w:val="18"/>
                  <w:u w:val="single" w:color="auto"/>
                  <w:color w:val="0000FF"/>
                  <w:w w:val="93"/>
                </w:rPr>
                <w:t>100</w:t>
              </w:r>
            </w:hyperlink>
          </w:p>
        </w:tc>
        <w:tc>
          <w:tcPr>
            <w:tcW w:w="0" w:type="dxa"/>
            <w:vAlign w:val="bottom"/>
          </w:tcPr>
          <w:p>
            <w:pPr>
              <w:spacing w:after="0"/>
              <w:rPr>
                <w:sz w:val="1"/>
                <w:szCs w:val="1"/>
                <w:color w:val="auto"/>
              </w:rPr>
            </w:pP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9B</w:t>
            </w:r>
          </w:p>
        </w:tc>
        <w:tc>
          <w:tcPr>
            <w:tcW w:w="9280" w:type="dxa"/>
            <w:vAlign w:val="bottom"/>
            <w:gridSpan w:val="6"/>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Other Information</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0">
              <w:r>
                <w:rPr>
                  <w:rFonts w:ascii="Arial" w:cs="Arial" w:eastAsia="Arial" w:hAnsi="Arial"/>
                  <w:sz w:val="18"/>
                  <w:szCs w:val="18"/>
                  <w:u w:val="single" w:color="auto"/>
                  <w:color w:val="0000FF"/>
                  <w:w w:val="93"/>
                </w:rPr>
                <w:t>100</w:t>
              </w:r>
            </w:hyperlink>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12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rPr>
              <w:t>PART III</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10</w:t>
            </w:r>
          </w:p>
        </w:tc>
        <w:tc>
          <w:tcPr>
            <w:tcW w:w="9280" w:type="dxa"/>
            <w:vAlign w:val="bottom"/>
            <w:gridSpan w:val="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Directors, Executive Officers and Corporate Governance</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101</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9280" w:type="dxa"/>
            <w:vAlign w:val="bottom"/>
            <w:gridSpan w:val="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Executive Compensation</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101</w:t>
              </w:r>
            </w:hyperlink>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9280" w:type="dxa"/>
            <w:vAlign w:val="bottom"/>
            <w:gridSpan w:val="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Security Ownership of Certain Beneficial Owners and Management and Related Stockholder Matters</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101</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9280" w:type="dxa"/>
            <w:vAlign w:val="bottom"/>
            <w:gridSpan w:val="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Certain Relationships and Related Transactions, and Director Independence</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101</w:t>
              </w:r>
            </w:hyperlink>
          </w:p>
        </w:tc>
        <w:tc>
          <w:tcPr>
            <w:tcW w:w="0" w:type="dxa"/>
            <w:vAlign w:val="bottom"/>
          </w:tcPr>
          <w:p>
            <w:pPr>
              <w:spacing w:after="0"/>
              <w:rPr>
                <w:sz w:val="1"/>
                <w:szCs w:val="1"/>
                <w:color w:val="auto"/>
              </w:rPr>
            </w:pPr>
          </w:p>
        </w:tc>
      </w:tr>
      <w:tr>
        <w:trPr>
          <w:trHeight w:val="22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9280" w:type="dxa"/>
            <w:vAlign w:val="bottom"/>
            <w:gridSpan w:val="6"/>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Principal Accounting Fees and Services</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101</w:t>
              </w:r>
            </w:hyperlink>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12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8"/>
              </w:rPr>
              <w:t>PART IV</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tcPr>
          <w:p>
            <w:pPr>
              <w:spacing w:after="0" w:line="190"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Exhibits and Financial Statement Schedules</w:t>
              </w:r>
            </w:hyperlink>
          </w:p>
        </w:tc>
        <w:tc>
          <w:tcPr>
            <w:tcW w:w="6120" w:type="dxa"/>
            <w:vAlign w:val="bottom"/>
            <w:gridSpan w:val="5"/>
          </w:tcPr>
          <w:p>
            <w:pPr>
              <w:spacing w:after="0"/>
              <w:rPr>
                <w:sz w:val="16"/>
                <w:szCs w:val="16"/>
                <w:color w:val="auto"/>
              </w:rPr>
            </w:pPr>
          </w:p>
        </w:tc>
        <w:tc>
          <w:tcPr>
            <w:tcW w:w="1000" w:type="dxa"/>
            <w:vAlign w:val="bottom"/>
            <w:gridSpan w:val="2"/>
          </w:tcPr>
          <w:p>
            <w:pPr>
              <w:jc w:val="center"/>
              <w:spacing w:after="0" w:line="190" w:lineRule="exact"/>
              <w:rPr>
                <w:rFonts w:ascii="Arial" w:cs="Arial" w:eastAsia="Arial" w:hAnsi="Arial"/>
                <w:sz w:val="18"/>
                <w:szCs w:val="18"/>
                <w:u w:val="single" w:color="auto"/>
                <w:color w:val="0000FF"/>
                <w:w w:val="93"/>
              </w:rPr>
            </w:pPr>
            <w:hyperlink w:anchor="page102">
              <w:r>
                <w:rPr>
                  <w:rFonts w:ascii="Arial" w:cs="Arial" w:eastAsia="Arial" w:hAnsi="Arial"/>
                  <w:sz w:val="18"/>
                  <w:szCs w:val="18"/>
                  <w:u w:val="single" w:color="auto"/>
                  <w:color w:val="0000FF"/>
                  <w:w w:val="93"/>
                </w:rPr>
                <w:t>102</w:t>
              </w:r>
            </w:hyperlink>
          </w:p>
        </w:tc>
        <w:tc>
          <w:tcPr>
            <w:tcW w:w="0" w:type="dxa"/>
            <w:vAlign w:val="bottom"/>
          </w:tcPr>
          <w:p>
            <w:pPr>
              <w:spacing w:after="0"/>
              <w:rPr>
                <w:sz w:val="1"/>
                <w:szCs w:val="1"/>
                <w:color w:val="auto"/>
              </w:rPr>
            </w:pPr>
          </w:p>
        </w:tc>
      </w:tr>
      <w:tr>
        <w:trPr>
          <w:trHeight w:val="249"/>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16</w:t>
            </w:r>
          </w:p>
        </w:tc>
        <w:tc>
          <w:tcPr>
            <w:tcW w:w="9280" w:type="dxa"/>
            <w:vAlign w:val="bottom"/>
            <w:gridSpan w:val="6"/>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Form 10-K Summary</w:t>
              </w:r>
            </w:hyperlink>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6">
              <w:r>
                <w:rPr>
                  <w:rFonts w:ascii="Arial" w:cs="Arial" w:eastAsia="Arial" w:hAnsi="Arial"/>
                  <w:sz w:val="18"/>
                  <w:szCs w:val="18"/>
                  <w:u w:val="single" w:color="auto"/>
                  <w:color w:val="0000FF"/>
                  <w:w w:val="93"/>
                </w:rPr>
                <w:t>106</w:t>
              </w:r>
            </w:hyperlink>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Signatures</w:t>
              </w:r>
            </w:hyperlink>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0" w:type="dxa"/>
            <w:vAlign w:val="bottom"/>
            <w:gridSpan w:val="2"/>
          </w:tcPr>
          <w:p>
            <w:pPr>
              <w:jc w:val="center"/>
              <w:spacing w:after="0"/>
              <w:rPr>
                <w:rFonts w:ascii="Arial" w:cs="Arial" w:eastAsia="Arial" w:hAnsi="Arial"/>
                <w:sz w:val="18"/>
                <w:szCs w:val="18"/>
                <w:u w:val="single" w:color="auto"/>
                <w:color w:val="0000FF"/>
                <w:w w:val="93"/>
              </w:rPr>
            </w:pPr>
            <w:hyperlink w:anchor="page106">
              <w:r>
                <w:rPr>
                  <w:rFonts w:ascii="Arial" w:cs="Arial" w:eastAsia="Arial" w:hAnsi="Arial"/>
                  <w:sz w:val="18"/>
                  <w:szCs w:val="18"/>
                  <w:u w:val="single" w:color="auto"/>
                  <w:color w:val="0000FF"/>
                  <w:w w:val="93"/>
                </w:rPr>
                <w:t>107</w:t>
              </w:r>
            </w:hyperlink>
          </w:p>
        </w:tc>
        <w:tc>
          <w:tcPr>
            <w:tcW w:w="0" w:type="dxa"/>
            <w:vAlign w:val="bottom"/>
          </w:tcPr>
          <w:p>
            <w:pPr>
              <w:spacing w:after="0"/>
              <w:rPr>
                <w:sz w:val="1"/>
                <w:szCs w:val="1"/>
                <w:color w:val="auto"/>
              </w:rPr>
            </w:pPr>
          </w:p>
        </w:tc>
      </w:tr>
      <w:tr>
        <w:trPr>
          <w:trHeight w:val="621"/>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130"/>
              <w:spacing w:after="0"/>
              <w:rPr>
                <w:sz w:val="20"/>
                <w:szCs w:val="20"/>
                <w:color w:val="auto"/>
              </w:rPr>
            </w:pPr>
            <w:r>
              <w:rPr>
                <w:rFonts w:ascii="Arial" w:cs="Arial" w:eastAsia="Arial" w:hAnsi="Arial"/>
                <w:sz w:val="18"/>
                <w:szCs w:val="18"/>
                <w:color w:val="FFFFFF"/>
              </w:rPr>
              <w:t>3</w:t>
            </w:r>
          </w:p>
        </w:tc>
        <w:tc>
          <w:tcPr>
            <w:tcW w:w="10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Annual Report on Form 10-K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0" w:lineRule="exact"/>
        <w:rPr>
          <w:sz w:val="20"/>
          <w:szCs w:val="20"/>
          <w:color w:val="auto"/>
        </w:rPr>
      </w:pP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XPO Logistics, Inc., together with its subsidiaries (“XPO” or “we”), provides cutting-edge supply chain solutions to the most successful companies in the world. The company is the second largest contract logistics provider and the second largest freight broker globally, and a top three less-than-truckload provider in North America. XPO was incorporated as a Delaware corporation in May 2000.</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2020, we had approximately 102,000 employees and 1,523 locations in 30 countries, with substantially all of our services operating under the single brand of XPO Logistics. In January 2021, we acquired the majority of the logistics operations of Kuehne + Nagel in the U.K. and Ireland, which increased our location count to 1,629 and our number of employees to approximately 108,000. We use our highly integrated network to help more than 50,000 customers operate their supply chains most efficiently.</w:t>
      </w:r>
    </w:p>
    <w:p>
      <w:pPr>
        <w:spacing w:after="0" w:line="133"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have two reporting segments, Transportation and Logistics, each with robust service offerings, leadership positions and growth prospects. In 2020, approximately 62% of our revenue came from Transportation, and the remaining 38% came from Logistics. Within each segment, we are positioned to capitalize on fast-growing areas of demand.</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continue to closely monitor the impact of the COVID-19 pandemic on all aspects of our business, including how it affects our employees, customers and business partners. See “Impacts of COVID-19” in Part II,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Spin-off of the Logistics Segment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2020, we announced that our Board of Directors unanimously approved a plan to pursue a spin-off of 100% of our Logistics segment as a separate publicly traded company. The spin-off, which we intend to qualify as a transaction that is generally tax-free for U.S. federal income tax purposes to XPO shareholders, would result in XPO shareholders owning stock in both companies. If completed, the spin-off will result in separate public companies with clearly delineated service offerings. XPO will be a global provider of primarily less-than-truckload (“LTL”) transportation and truck brokerage services, and the spun-off company will be the second largest contract logistics provider in the world. Both companies’ stocks are expected to trade on the New York Stock Exchange, and we plan to consider a dual listing on the London Stock Exchange for the spun-off company in due course.</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transaction is currently expected to be completed in the second half of 2021, subject to various conditions. There can be no assurance that the spin-off will occur or, if it does occur, of its terms or timing. See “Risk Factors” in Item 1A below for further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 Overview</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Transportation segment primarily provides LTL and truck brokerage services in North America and Europe. Our largest service offering within the Transportation segment is LTL, which contributed 43% of 2020 segment revenue. We are a top three provider of LTL services in North America, and we have one of the largest LTL networks in Western Europe.</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other primary service offering within the Transportation segment is truck brokerage. We are the second largest brokerage provider globally and the third largest brokerage provider in North America. As of December 31, 2020, we had truck brokerage relationships with approximately 75,000 independent carriers representing over 1,000,000 trucks. The results of our truck brokerage operations are included as part of our freight brokerage services, which include additional, asset-light services for expedite, intermodal and drayage.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our Transportation segment offerings, refer to the “Transportation Services” section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 Overview</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Logistics segment, which we sometimes refer to as supply chain, provides order fulfillment and other distribution services differentiated by our ability to deliver technology-enabled, customized solutions. Our logistics customers include many preeminent companies that benefit from our scale, digital capabilities, expertise and range of solutions. Many of these customers have long-tenured relationships with us, and frequently expand the scope and scale of the services we provide to them.</w:t>
      </w:r>
    </w:p>
    <w:p>
      <w:pPr>
        <w:spacing w:after="0" w:line="133"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XPO is the second largest provider of contract logistics globally, with the largest outsourced e-commerce fulfillment platform in Europe, and a major platform for e-fulfillment in North America. As of December 31, 2020, we operated 205 million square feet (19 million square meters) of logistics warehouse space worldwide. Approximately 101 million square feet (9 million square meters) was located in North America; 96 million square feet (9 million square meters) was located in Europe; and 8 million square feet (1 million square meters) was located in Asia. Our January 2021 acquisition of Kuehne + Nagel logistics sites in the U.K. and Ireland increased our global facility space to 212 million square feet (20 million square meters).</w:t>
      </w:r>
    </w:p>
    <w:p>
      <w:pPr>
        <w:spacing w:after="0" w:line="10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Logistics segment benefits from deep roots in the e-commerce sector, which continues to show strong, secular growth. Many of our e-commerce facilities also manage merchandise returns, also known as reverse logistics. Before COVID-19, e-commerce was already growing globally at a double-digit rate, and that growth has accelerated as more consumers opt to purchase goods online. This level of growth makes it difficult for many companies to handle fulfillment and returns in-house while providing high levels of service. We provide solutions for pure-play e-commerce companies, omnichannel retailers and manufacturers with aftermarket distribution channels, including the merchandise returns that have become a significant byproduct of order fulfillment.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our Logistics segment offering, refer to the “Logistics Services”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believe that our rapid pace of innovation differentiates our services, enables us to better utilize our assets and makes the most of the talent within our organization. Our proprietary technology strengthens our relationships with customers by addressing their immediate supply chain needs and anticipating future needs. Technology allows us to be a true partner to our customers by helping them meet their objectives for efficiency, safety, customer service and growth.</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developing our technology, we concentrate our efforts in four areas that can create value for our shareholders by serving our customers most efficiently: our digital freight marketplace, automation and intelligent machines, dynamic data science, and visibility and customer service, specifically in the e-commerce supply chain. See the “Transportation Services,” “Logistics Services” and “Technology and Intellectual Property” sections below for more information about our technology.</w:t>
      </w:r>
    </w:p>
    <w:p>
      <w:pPr>
        <w:spacing w:after="0" w:line="13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Environmental sustainability is a significant priority for us. In the U.S., XPO has been named a Top 75 Green Supply Chain Partner by Inbound Logistics for five consecutive years. In France, we have renewed our commitment to the CO2 Charter for another three years. In Spain, all of our sites meet Leadership in Energy and Environmental Design (“LEED”) energy certification standards for 100% consumption of renewable energy. In the U.K., the Digital Distribution Warehouse of the Future we created with Nestlé became a reality in 2020, operating with environmentally friendly ammonia refrigeration systems, energy-saving lighting, air-source heat pumps for administration areas and rainwater harvesting.</w:t>
      </w:r>
    </w:p>
    <w:p>
      <w:pPr>
        <w:spacing w:after="0" w:line="12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our Logistics segment, a number of our warehouse facilities are ISO 14001-certified, which ensures environmental and other regulatory compliances. We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our Transportation segment, we have made substantial investments in fuel-efficient Freightliner Cascadia tractors in North America; these use Environmental Protection Agency (“EPA”) 2013-compliant and Greenhouse Gas 2014-compliant Selective Catalytic Reduction technology. Our North American LTL locations have energy-saving policies in place and are implementing a phased upgrade to LED lighting.</w:t>
      </w:r>
    </w:p>
    <w:p>
      <w:pPr>
        <w:spacing w:after="0" w:line="1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modern road fleet in Europe is 98% compliant with Euro V, EEV and Euro VI standards. We also own a large fleet of natural gas trucks operating in France, the U.K., Spain and Portugal, and in 2020 we invested in 80 new tractors that use liquified natural gas (“LNG”). This increased our alternative-fuel road fleet in France to more than 250 LNG vehicles. In Spain, we own government-approved mega-trucks to transport freight with fewer trips, and our last mile operations in Europe use electric vehicles for deliveries in certain urban areas, reducing those emissions to zero.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Less-Than-Truckload (LTL)</w:t>
      </w:r>
    </w:p>
    <w:p>
      <w:pPr>
        <w:spacing w:after="0" w:line="17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Our LTL operations in North America are asset-based. We provide customers with geographic density and day-definite regional, inter-regional and transcontinental LTL freight services with one of the industry’s largest national networks of tractors, trailers, professional drivers and terminals. This includes cross-border U.S. service to and from Mexico and Canada, as well as intra-Canada service.</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2020, our LTL operations in North America offered more than 75,000 next-day and two-day lanes and had over 20,000 customers. Our customers value our scale and capacity and our network of 290 LTL terminals in the U.S. and Canada. We also have one of the largest, most modern and most safety-equipped LTL fleets in our industry. Our North American fleet contains approximately 7,800 tractors and 25,000 trailers, operated by approximately 12,000 employee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Europe, our LTL offering utilizes a blend of operations that includes asset-based (XPO fleet) and asset-light (contracted carriers), supported by a network of terminals. We provide LTL services domestically in France, the U.K., Spain and Portugal, and we offer multinational LTL distribution throughout Europe.</w:t>
      </w:r>
    </w:p>
    <w:p>
      <w:pPr>
        <w:spacing w:after="0" w:line="13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linehaul network is how we move LTL freight across the country. We use intelligent route-building to increase fleet utilization, optimize load factor and limit cargo damage. To improve pickup-and-delivery performance, we developed routing and visualization tools that help our dispatchers leverage route density and reduce cost per stop. To optimize pricing, we use elasticity models to adjust for current lane conditions. In addition, we use our XPO Smart™ labor management technology in our yard and dock operations to enhance productivity. For more information, see the “Technology and Intellectual Property” section below.</w:t>
      </w:r>
    </w:p>
    <w:p>
      <w:pPr>
        <w:spacing w:after="0" w:line="13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While each application of our technology delivers its own benefits, we also expect a strong synergistic effect on our LTL business as a whole. For example, when we optimize truck routes, this benefits asset utilization, driver utilization, customer service and yield, and should reduce our carbon footprint.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Truck Brokerage</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Our truck brokerage operations are non-asset-based — we place shippers’ freight with qualified carriers, primarily trucking companies. Truck brokerage services are priced on either a spot market or contract basis for shippers. Customers offer loads to us via electronic data interchange (“EDI”), email, telephone and our XPO Connect™ platform on a daily basis; we collect payments from our customers and pay carriers for transporting the loads.</w:t>
      </w:r>
    </w:p>
    <w:p>
      <w:pPr>
        <w:spacing w:after="0" w:line="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truck brokerage capabilities are differentiated by scale, expertise and the critical advantages of our propriety technology. As of December 31, 2020, we had approximately 75,000 independent carriers in our global brokerage network, giving us access to more than a million trucks. Our operating model enables us to reduce our costs when demand is soft and flex our resources to find trucks as demand returns.</w:t>
      </w:r>
    </w:p>
    <w:p>
      <w:pPr>
        <w:spacing w:after="0" w:line="1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U.S., truck brokers have steadily penetrated the broader for-hire trucking industry over time, in part because of the reliable access to capacity brokers can provide and, more recently, digital access to truck capacity. Our platform has become one of the most rapidly adopted technologies in the brokerage industry. The marketplace dynamics, together with the vast potential of future applications, establish XPO Connect™ as a significant differentiator of our brokerage offering. For more information, see the “Technology and Intellectual Property” section below.</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truck brokerage, our freight brokerage services include intermodal and drayage operations that provide customers with container capacity, long-haul transportation brokered with railroads, road transportation of containers performed by independent contractors, and on-site operational services. We utilize containers and chassis we lease or own, together with access to supplemental equipment capacity, to meet our customers’ intermodal requirements.</w:t>
      </w:r>
    </w:p>
    <w:p>
      <w:pPr>
        <w:spacing w:after="0" w:line="13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Transportation segment also includes an asset-light last mile logistics service for the home delivery of heavy goods — a sector that benefits from the rapid growth of e-commerce and omnichannel retail. XPO is the largest provider of last mile logistics for heavy goods in North America, with a growing last mile presence in Europe.</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Additionally, we may assist customers with ancillary services, such as urgent shipping, or freight forwarding, or customers may outsource the management of their freight transportation to us. As of December 31, 2020, we had approximately 10,000 independent contractors under contract to provide ancillary services to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Services</w:t>
      </w:r>
    </w:p>
    <w:p>
      <w:pPr>
        <w:spacing w:after="0" w:line="17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Our Logistics segment provides a wide range of services differentiated by our technology, including high-value-add warehousing and distribution, order fulfillment and personalization, cold-chain logistics, packaging and labeling, aftermarket support, inventory management and supply chain optimization.</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logistics customers primarily operate in industries with high-growth outsourcing opportunities, including e-commerce and retail, food and beverage, consumer packaged goods, technology, aerospace, telecommunications, industrial and manufacturing, chemicals, agribusiness, life sciences and healthcare. These are all verticals where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have significant expertise and we understand the specific requirements, such as special handling, complex stock-keeping, time-assured deliveries and surge management.</w:t>
      </w:r>
    </w:p>
    <w:p>
      <w:pPr>
        <w:spacing w:after="0" w:line="1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One of the most highly valued services across multiple customer verticals is reverse logistics. Depending on the merchandise being returned, this fast-growing area of logistics can include inspection, testing, repackaging, refurbishment, resale or product disposal, as well as refunding and warranty management. Reverse logistics services are mission-critical for companies with consumer end-markets, as shoppers are increasingly “test-driving” the merchandise they buy online.</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Logistics processes are ripe for transformation through technology. Order fulfillment times are compressing, most notably in the direct-to-consumer space. The most cost-effective way to meet the majority of customer expectations is through advanced automation and intelligent machines — robots and cobots (collaborative robots), automated sortation systems, automated guided vehicles (“AGVs”) and goods-to-person systems. In 2019, we integrated collaborative robotics and goods-to-person systems in a number of our warehouses to support our employees and improve efficiency; this integration substantially increased throughput in 2020.</w:t>
      </w:r>
    </w:p>
    <w:p>
      <w:pPr>
        <w:spacing w:after="0" w:line="13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Additionally, we have developed analytics that predict future surges in demand based on data histories and forecasted customer spend. About 15% to 35% of consumer goods bought online are returned, based on the product category, and this creates reverse peaks at certain times of year. We have been able to shave several days off the reverse process through automation, which accelerates a customer’s ability to return goods to retail for sale.</w:t>
      </w:r>
    </w:p>
    <w:p>
      <w:pPr>
        <w:spacing w:after="0" w:line="9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In addition to our investments in automation and analytics, we have differentiated XPO from other logistics providers through our ability to create a synchronized warehouse environment across automation solutions. Our proprietary warehouse management platform integrates robotics and other advanced automation into our operations with rigorous control, even when complex, third-party software is involved.</w:t>
      </w:r>
    </w:p>
    <w:p>
      <w:pPr>
        <w:spacing w:after="0" w:line="1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XPO Smart™ labor management tools help us offset the higher cost of labor in our facilities by making the optimal use of workforce hours. As logistics volumes pick up, our site managers are able make rapid adjustments to labor levels in real time. XPO Smart™ self-adjusts site by site to drive productivity across our logistics network. For more information, see the “Technology and Intellectual Property” section below.</w:t>
      </w:r>
    </w:p>
    <w:p>
      <w:pPr>
        <w:spacing w:after="0" w:line="11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Other technologies that differentiate our logistics offering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most benefit from our technology in areas such as visibility, demand planning and continuous improvement.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Direct™</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XPO Direct™ is our shared-space distribution network for B2C and B2B customers in North America. This unique solution gives retailers and manufacturers a way to manage fulfillment using our scale, capacity and innovation without the need to add high-fixed-cost distribution centers. XPO Direct™ gives customers the flexibility to reposition inventory within one-day and two-day ground delivery range of approximately 99% of the U.S. population as demand patterns change, and in close proximity to retail stores for inventory replenishment. This responds directly to increasing demand for shorter fulfillment times.</w:t>
      </w:r>
    </w:p>
    <w:p>
      <w:pPr>
        <w:spacing w:after="0" w:line="13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XPO Direct™ capitalizes on the strengths of our Transportation and Logistics segments in combination. Our technology links our facilities, which serve as strategically located stockholding sites and cross-docks that can be utilized by multiple customers at the same time. Transportation needs are supported by our brokered, contracted and owned capacity.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strategy is to help customers manage their goods most efficiently throughout their supply chains, using our network of people, technology and physical assets. We deliver value to customers in the form of technological innovations, process efficiencies, cost efficiencies and reliable outcomes. Our services are both highly responsive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customer goals, such as mitigating environmental impacts over time, and proactive in identifying potential improvements. Most important, we have instilled a culture that focuses our efforts on delivering mutually beneficial results for our customers and our company.</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part of our strategy, we have positioned XPO to capitalize on secular trends in demand, such as the rapid growth of e-commerce and the heightened customer interest in outsourcing.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Management’s growth and optimization strategy for the Transportation segment is to:</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our solutions and vertical expertise to new and existing customers of all sizes;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the advantages of our proprietary XPO Connect™ digital marketplace, which synthesizes the shipper, carrier and consumer experiences using automation and real-time visibility;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Recruit and retain quality drivers for our fleets, and best utilize our driver and equipment capacities;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quality independent contracted carriers and independent brokered carriers for our transportation network;</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Recruit and retain talented sales and customer service representatives and continuously improve their productivity with state-of-the-art training and technology; and</w:t>
      </w:r>
    </w:p>
    <w:p>
      <w:pPr>
        <w:spacing w:after="0" w:line="116" w:lineRule="exact"/>
        <w:rPr>
          <w:rFonts w:ascii="Arial" w:cs="Arial" w:eastAsia="Arial" w:hAnsi="Arial"/>
          <w:sz w:val="18"/>
          <w:szCs w:val="18"/>
          <w:color w:val="auto"/>
        </w:rPr>
      </w:pPr>
    </w:p>
    <w:p>
      <w:pPr>
        <w:ind w:right="900" w:firstLine="332"/>
        <w:spacing w:after="0" w:line="438"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with a focus on automation and analytics that drive productivity and share gains. Management’s growth and optimization strategy for the Logistics segment is to:</w:t>
      </w: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business in verticals where we already have deep expertise, enduring customer relationships and a strong track record of successful performance;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Capture more share of wallet with existing customers who could use our logistics solutions for more of their supply chain needs;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the advantages of our proprietary technology for warehouse operations, which we use to manage advanced automation, robotics, labor productivity, safety and changes in demand in complex logistics environments;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with our customers in meeting their goals for supply chain performance, growth management and stakeholder satisfaction, and help them overcome challenges specific to their business;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Integrate industry best practices into our operations, with a focus on automation and analytics that drive productivity and share gains.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One of the ways in which we strengthen our relationships with customers is by empowering our employees to deliver superior service through our technology. Our industry is evolving, and customers want to de-risk their supply chains through robust visibility and digitization. We are already well-positioned to provide this value to customers, because we prioritized visibility, control and automation early in the development of our proprietary technology.</w:t>
      </w:r>
    </w:p>
    <w:p>
      <w:pPr>
        <w:spacing w:after="0" w:line="13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have built a highly scalable platform on the cloud that speeds the deployment of new ways to increase efficiency, control costs and leverage our footprint. We can deploy innovations across multiple geographies in a relatively short time, and also take an innovation developed for one of our services and apply it to other services to differentiate the value we offer. This agility gives our larger accounts an added incentive to use us for multiple solutions.</w:t>
      </w:r>
    </w:p>
    <w:p>
      <w:pPr>
        <w:spacing w:after="0" w:line="9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believe that our investment in technology is among the highest in our industry at an annual average of approximately $500 million. The most significant impacts of our technology to date are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XPO Smart</w:t>
      </w:r>
      <w:r>
        <w:rPr>
          <w:rFonts w:ascii="Arial" w:cs="Arial" w:eastAsia="Arial" w:hAnsi="Arial"/>
          <w:sz w:val="18"/>
          <w:szCs w:val="18"/>
          <w:color w:val="auto"/>
        </w:rPr>
        <w:t>™ is our proprietary suite of intelligent tools and analytics that self-adjusts site by site to drive productivity across our operations.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incorporates dynamic data science, predictive analytics and machine learning to aid our managers in decision-making. We use XPO Smart™ to improve our labor and inventory management in a safe, disciplined and cost-effective manner.</w:t>
      </w:r>
    </w:p>
    <w:p>
      <w:pPr>
        <w:spacing w:after="0" w:line="1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XPO Smart™ was implemented in 85% of our warehouses in North America and 50% of our warehouses in Europe as of December 31, 2020. Additional roll-outs are underway and we expect to see a significant increase in productivity as we fully utilize the tools in our operations going forward.</w:t>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Intelligent warehouse automation </w:t>
      </w:r>
      <w:r>
        <w:rPr>
          <w:rFonts w:ascii="Arial" w:cs="Arial" w:eastAsia="Arial" w:hAnsi="Arial"/>
          <w:sz w:val="18"/>
          <w:szCs w:val="18"/>
          <w:color w:val="auto"/>
        </w:rPr>
        <w:t>is a priority for our Logistics segment. This includes autonomous robots and collaborative robots, automated sortation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automated guided vehicles, goods-to-person systems and wearable smart devices. We integrate these technologies into our operations and control them in-house with our proprietary warehouse management system. Advanced automation, robotics and autonomous goods-to-person systems are particularly effective in delivering critical improvements in speed, accuracy and productivity. Importantly, automation also enhances worker safety and the overall quality of employment.</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Nestlé, the world’s largest food and beverage company, we co-developed a fully automated Digital Distribution Warehouse of the Future in the U.K., which we opened in mid-2020. This distribution center has the capacity to process more than a million pallets per year — the highest throughput of any facility in Nestlé’s global network. Our European innovation lab is based on the premises, where it functions as both a think tank and a launch pad with the ability to test new technologies under real-life operating conditions.</w:t>
      </w:r>
    </w:p>
    <w:p>
      <w:pPr>
        <w:spacing w:after="0" w:line="13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XPO Connect</w:t>
      </w:r>
      <w:r>
        <w:rPr>
          <w:rFonts w:ascii="Arial" w:cs="Arial" w:eastAsia="Arial" w:hAnsi="Arial"/>
          <w:sz w:val="18"/>
          <w:szCs w:val="18"/>
          <w:color w:val="auto"/>
        </w:rPr>
        <w:t>™ is our proprietary digital freight marketplace; it encompasses our core Freight Optimizer system, shipper interface, pricing engine,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and our carrier mobile app, called Drive XPO™. This fully automated, self-learning digital platform gives us a scalable framework to continually improve our service, capture share and reduce costs.</w:t>
      </w:r>
    </w:p>
    <w:p>
      <w:pPr>
        <w:spacing w:after="0" w:line="1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XPO Connect™ connects shippers with freight carriers, both virtually and through our transportation operations. We give shippers access to our transportation network and market data, while carriers transact to secure loads through the mobile app. As of December 31, 2020, globally, we had more than 70,000 truck carriers registered for XPO Connect™ and over 300,000 truck driver downloads of the app.</w:t>
      </w:r>
    </w:p>
    <w:p>
      <w:pPr>
        <w:spacing w:after="0" w:line="13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i w:val="1"/>
          <w:iCs w:val="1"/>
          <w:color w:val="auto"/>
        </w:rPr>
        <w:t>In LTL</w:t>
      </w:r>
      <w:r>
        <w:rPr>
          <w:rFonts w:ascii="Arial" w:cs="Arial" w:eastAsia="Arial" w:hAnsi="Arial"/>
          <w:sz w:val="18"/>
          <w:szCs w:val="18"/>
          <w:color w:val="auto"/>
        </w:rPr>
        <w:t>, our technology focuses on optimizing the main components of the service we provide: linehaul, pickup-and-delivery and pricing. Our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LTL linehaul network moved freight approximately 2.3 million miles a day on average in 2020, with approximately 15% of that volume traveling direct.</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intelligent route-building, we can reduce empty miles in our linehaul network, improve load factor and mitigate cargo damage. Our proprietary bypass models assimilate massive amounts of data to arrive at recommendations based on volume and density, taking freight dimensions into account to identify gaps in trailer utilization. Other areas of LTL that are ripe for optimization through our technology include pickup-and-delivery routing, pricing management, trailer utilization, exception management and dock productivity.</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September 2020, we extended our partnership with the Massachusetts Institute of Technology (“MIT”) Industrial Liaison Program. We are the first global logistics company to collaborate with MIT’s world-class research capabilities to advance supply chain innovation. This is an opportunity to realize new levels of productivity for our customers, and at the same time, we have the opportunity to provide input into future applications of robotics, machine learning and systems engineering.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provide services to more than 50,000 customers, ranging in size from small, entrepreneurial organizations to Fortune 500 companies and global leaders. The diversification of our customer base minimizes concentration risk: in 2020, our top five customers combined accounted for approximately 8% of our revenue, with our largest customer accounting for approximately 2%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markets are also highly diversified. The customers we serve span every major industry and touch every part of the economy. Our revenue derives from a mix of key verticals, such as retail and e-commerce, food and beverage, consumer packaged goods, technology and industrial.</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Transportation and Logistics segments market to domestic and international customers and primarily perform their services in North America and Europe. For the full year 2020, approximately 58% of our total revenue was generated in the U.S., 15% in Europe (excluding France and the U.K.), 13% in the U.K. and 11% in France.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Transportation and logistics are highly fragmented marketplaces with thousands of companies competing domestically and internationally. XPO competes on quality of service, reliability, scope and scale of operations, technological capabilities, expertise and price.</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competitors include local, regional, national and international companies that offer the same services we provide; some have larger customer bases, significantly more resources and more experience than we have. In logistics, some of our competitors include Clipper Logistics, Kuehne + Nagel and DSV. In transportation, some of our competitors include Old Dominion Freight Line, Saia, FedEx and C.H. Robinson. Additionally, some of our customers have sufficient internal resources to perform the services we offer. Due to the competitive nature of our marketplaces, we strive daily to strengthen existing business relationships and forge new relationships.</w:t>
      </w:r>
    </w:p>
    <w:p>
      <w:pPr>
        <w:spacing w:after="0" w:line="13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health of the transportation and logistics industries will continue to be a function of domestic and global economic growth. However, we believe that we have positioned XPO in fast-growing sectors to benefit from secular trends, such as the demand for e-commerce, omnichannel retail and supply chain outsourcing.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in the U.S. and in other countries where we conduct business. These regulations impact us directly and also indirectly when they regulate third-party providers we arrange and/or contract with to transport freight for our customers.</w:t>
      </w:r>
    </w:p>
    <w:p>
      <w:pPr>
        <w:spacing w:after="0" w:line="13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i w:val="1"/>
          <w:iCs w:val="1"/>
          <w:color w:val="auto"/>
        </w:rPr>
        <w:t xml:space="preserve">Regulations Affecting Motor Carriers, Owner-Operators and Transportation Brokers. </w:t>
      </w:r>
      <w:r>
        <w:rPr>
          <w:rFonts w:ascii="Arial" w:cs="Arial" w:eastAsia="Arial" w:hAnsi="Arial"/>
          <w:sz w:val="17"/>
          <w:szCs w:val="17"/>
          <w:color w:val="auto"/>
        </w:rPr>
        <w:t>In the U.S., our subsidiaries that operate as motor carriers, freight</w:t>
      </w:r>
      <w:r>
        <w:rPr>
          <w:rFonts w:ascii="Arial" w:cs="Arial" w:eastAsia="Arial" w:hAnsi="Arial"/>
          <w:sz w:val="17"/>
          <w:szCs w:val="17"/>
          <w:i w:val="1"/>
          <w:iCs w:val="1"/>
          <w:color w:val="auto"/>
        </w:rPr>
        <w:t xml:space="preserve"> </w:t>
      </w:r>
      <w:r>
        <w:rPr>
          <w:rFonts w:ascii="Arial" w:cs="Arial" w:eastAsia="Arial" w:hAnsi="Arial"/>
          <w:sz w:val="17"/>
          <w:szCs w:val="17"/>
          <w:color w:val="auto"/>
        </w:rPr>
        <w:t>forwarders, and freight transportation brokers are licensed by the Federal Motor Carrier Safety Administration (“FMCSA”) of the U.S. Department of Transportation (“DOT”). Our motor carrier subsidiaries and the third-party motor carriers we contract with in the U.S. must comply with the safety and fitness regulations of the DOT, including those related to, without limitation, controlled substances and alcohol, hours-of-service compliance, vehicle maintenance, hazardous materials compliance, driver fitness, unsafe driving, and minimum insurance requirements, as well as the Compliance Safety Accountability (“CSA”) program, which uses a Safety Measurement System (“SMS”) to rank motor carriers on seven categories of safety-related data, known as Behavioral Analysis and Safety Improvement Categories (“BASICs”).</w:t>
      </w:r>
    </w:p>
    <w:p>
      <w:pPr>
        <w:spacing w:after="0" w:line="1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federal agencies, such as the U.S. EPA, the U.S. Food and Drug Administration (“FDA”), the California Air Resources Board (“CARB”) and the U.S. Department of Homeland Security (“DHS”), also regulate our equipment, operations, cargo and independent contractor drivers. We are also subject to a variety of vehicle registration and licensing requirements in certain states and local jurisdictions where we operate, as are the third-party carriers with which we contract. In foreign jurisdictions where we operate, our operations are regulated by the appropriate governmental authorities. We may become subject to new or more restrictive regulations relating to emissions, drivers’ hours-of-service, independent contractor eligibility requirements, onboard reporting of operations, air cargo security and other matters affecting safety or operating methods.</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Regulations Affecting our Subsidiaries Providing Ocean and Air Transportation. </w:t>
      </w:r>
      <w:r>
        <w:rPr>
          <w:rFonts w:ascii="Arial" w:cs="Arial" w:eastAsia="Arial" w:hAnsi="Arial"/>
          <w:sz w:val="16"/>
          <w:szCs w:val="16"/>
          <w:color w:val="auto"/>
        </w:rPr>
        <w:t>One of our subsidiaries, XPO Customs Clearance Solutions, LLC</w:t>
      </w:r>
      <w:r>
        <w:rPr>
          <w:rFonts w:ascii="Arial" w:cs="Arial" w:eastAsia="Arial" w:hAnsi="Arial"/>
          <w:sz w:val="16"/>
          <w:szCs w:val="16"/>
          <w:i w:val="1"/>
          <w:iCs w:val="1"/>
          <w:color w:val="auto"/>
        </w:rPr>
        <w:t xml:space="preserve"> </w:t>
      </w:r>
      <w:r>
        <w:rPr>
          <w:rFonts w:ascii="Arial" w:cs="Arial" w:eastAsia="Arial" w:hAnsi="Arial"/>
          <w:sz w:val="16"/>
          <w:szCs w:val="16"/>
          <w:color w:val="auto"/>
        </w:rPr>
        <w:t>(“XCCS”), is licensed as a U.S. Customs broker by the U.S. Customs and Border Protection (the “CBP”) of the DHS in each U.S. district where it performs services. All U.S. Customs brokers are required to maintain prescribed records and are subject to periodic audits by the CBP. In non-U.S. jurisdictions where we perform customs brokerage services, our operations are licensed, where necessary, by the appropriate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306070</wp:posOffset>
            </wp:positionV>
            <wp:extent cx="32575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subsidiaries that offer expedited air charter transportation are subject to regulation by the Transportation Security Administration (“TSA”) of the DHS governing air cargo security for all loads, regardless of origin or destination. Some of our subsidiaries are regulated as “indirect air carriers” by the TSA. The CBP, TSA and relevant non-U.S. governmental agencies provide requirements and guidance and, in some cases, administer licensing requirements and processes applicable to the freight forwarding industry.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Regarding our international operations, XPO is a member of the International Air Transportation Association (“IATA”), a voluntary association of airlines and freight forwarders that outlines operating procedures for forwarders acting as agents or third-party intermediaries for IATA members. A substantial portion of our international air freight business is transacted with other IATA members.</w:t>
      </w:r>
    </w:p>
    <w:p>
      <w:pPr>
        <w:spacing w:after="0" w:line="13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Additionally, some of our subsidiaries are licensed as an Ocean Transportation Intermediary (“OTI”), since they operate as a non-vessel-operating common carrier, or NVOCC, and/or as an Ocean Freight Forwarder (“OFF”) licensed by the U.S. Federal Maritime Commission (“FMC”), which establishes the qualifications, regulations, licensing and bonding requirements for arranging international transportation to or from the U.S. as an OTI.</w:t>
      </w:r>
    </w:p>
    <w:p>
      <w:pPr>
        <w:spacing w:after="0" w:line="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OTI operations, which include operating as both an NVOCC and an OFF, are subject to regulations of the U.S. Department of State, the U.S. Department of Commerce, the U.S. Department of Treasury, the U.S. Department of Justice, and the Securities and Exchange Commission and to various laws and regulations of the other countries where we operate. These laws and regulations govern what commodities may be shipped to certain destinations and end-users, unfair international trade practices, limitations on entities with which we may conduct business and related matters.</w:t>
      </w:r>
    </w:p>
    <w:p>
      <w:pPr>
        <w:spacing w:after="0" w:line="10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Other Regulations. </w:t>
      </w:r>
      <w:r>
        <w:rPr>
          <w:rFonts w:ascii="Arial" w:cs="Arial" w:eastAsia="Arial" w:hAnsi="Arial"/>
          <w:sz w:val="16"/>
          <w:szCs w:val="16"/>
          <w:color w:val="auto"/>
        </w:rPr>
        <w:t>We are subject to a variety of other U.S. and foreign laws and regulations, including, but not limited to, the Foreign Corrupt Practices</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other anti-bribery and anti-corruption statutes, and export sanction laws. We are also subject to state and U.S. federal laws and regulations addressing some types of cargo transported or stored by our subsidiaries, or transported pursuant to a government contract or subcontract.</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Classification of Independent Contractors. </w:t>
      </w:r>
      <w:r>
        <w:rPr>
          <w:rFonts w:ascii="Arial" w:cs="Arial" w:eastAsia="Arial" w:hAnsi="Arial"/>
          <w:sz w:val="17"/>
          <w:szCs w:val="17"/>
          <w:color w:val="auto"/>
        </w:rPr>
        <w:t>U.S. tax and other federal and state regulatory authorities, as well as private litigants, continue to assert that</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contractor drivers in the trucking industry are employees rather than independent contractors, while applying a variety of standards in their determinations of independent contractor status. Federal legislators have introduced legislation in the past to make it easier for tax and other authorities to reclassify independent contractors as employees, including legislation to increase the recordkeeping requirements and heighten the penalties for companies that misclassify workers and are found to have violated overtime or wage requirements. Additionally, federal legislators have sought to abolish the current safe harbor, which allows taxpayers that meet certain criteria to treat individuals as independent contractors if they are following a longstanding, recognized practice. Federal legislators also sought to expand the Fair Labor Standards Act to cover “non-employees” who perform labor or services for businesses, even if said non-employees are properly classified as independent contractors; require taxpayers to provide written notice to workers based upon their classification as either an employee or a non-employee; and impose penalties and fines for violations of the notice requirement or for misclassifications. Some states have launched initiatives to increase tax revenues from items such as unemployment, workers’ compensation and income taxes, and the reclassification of independent contractors as employees could help states increase these revenues. If the independent contractor drivers that provide services to XPO are determined to be our employees, we would incur additional exposure under some or all of the following: federal and state tax, workers’ compensation, unemployment benefits, and labor, employment and tort laws, including for prior periods, as well as potential liability for employee benefits and tax withholdings.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Environmental Regulations. </w:t>
      </w:r>
      <w:r>
        <w:rPr>
          <w:rFonts w:ascii="Arial" w:cs="Arial" w:eastAsia="Arial" w:hAnsi="Arial"/>
          <w:sz w:val="18"/>
          <w:szCs w:val="18"/>
          <w:color w:val="auto"/>
        </w:rPr>
        <w:t>Our transportation and logistics operations and our independent contractors are subject to various environmental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 the jurisdictions where we operate. In the U.S., these laws and regulations deal with the hauling, handling and disposal of hazardous materials, emissions from vehicles, engine-idling, fuel tanks and related fuel spillage and seepage, discharge and retention of storm water, and other environmental matters that involve inherent environmental risks. We may be responsible for the cleanup of any spill or other incident involving hazardous materials caused by our business. In the past, we have been responsible for the cost to clean up diesel fuel spills caused by traffic accidents or other events, and none of these incidents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328295</wp:posOffset>
            </wp:positionV>
            <wp:extent cx="32575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affected our business or operations. We generally transport only hazardous materials rated as low-to-medium-risk, and only a small percentage of our total loads contain hazardous materials.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number of our logistics sites are ISO 14001-certified to high standards for environmental management, and we have implemented numerous programs to manage environmental risks and maintain compliance.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higher costs for new tractors and trailers, reduced productivity and efficiency, and increased operating expenses, all of which could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insurance for commercial automobile liability, truckers’ commercial automobile liability, commercial general liability, cargo/warehouse legal liability, workers’ compensation and employers’ liability, and umbrella and excess umbrella liability, with coverage limits, deductibles and self-insured retention levels that we believe are reasonable given the varying historical frequency, severity and timing of claims. Certain actuarial assumptions and managerial judgments are made for insurance reserves and are subject to a degree of variability.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revenue and profitability are typically lower for the first quarter of the calendar year relative to other quarters. We believe this is due in part to the post-holiday reduction in demand experienced by many of our customers, which leads to less use of transportation and logistics services.</w:t>
      </w:r>
    </w:p>
    <w:p>
      <w:pPr>
        <w:spacing w:after="0" w:line="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our Logistics segment, which benefits from strong positioning in the e-commerce sector, demand is characterized by strong seasonal surges in activity, with the fourth quarter holiday peak typically being the most dramatic. In our Transportation segment, the productivity of our tractors and trailers, independent contractors and other transportation providers generally decreases during the winter season because inclement weather impedes operations. It is not possible to reliably predict whether our historical revenue and profitability trends will continue to occur in future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success relies in large part on our strong governance structure and Code of Business Ethics, our good corporate citizenship and, importantly, engaged employees who embrace our values.</w:t>
      </w:r>
    </w:p>
    <w:p>
      <w:pPr>
        <w:spacing w:after="0" w:line="11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a customer-centric company with a strong service culture, we constantly work to maintain our position as an employer of choice. This requires an unwavering commitment to workplace inclusion and safety, as well as competitive total compensation that meets the needs of our employees and their families.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Profile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had approximately 102,000 employees worldwide as of December 31, 2020, with over 39,000 employees in Transportation and more than 61,000 employees in Logistics. In North America, 79% of our employees occupy hourly roles and 21% are in salaried positions. With locations spanning 30 countries, 45% of our employees are based in North America, 53% in Europe and 2% in Latin America and Asia, combined. Across our operations, 27% of our employees work as drivers and dockworkers, 46% as warehouse workers and 24% in field supervisory and management positions. In addition, our workforce is supplemented with approximately 18,000 temporary workers at our logistics sites in North America and an average of 17,500 temporary workers in our logistics network in Europe. As of December 31, 2020, 75.8% of our employees in Europe were represented by unions or other employee representative bodies, while almost all of our employees in the United States have chosen to remain union-free.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311785</wp:posOffset>
            </wp:positionV>
            <wp:extent cx="32575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Throughout 2020, we made significant investments in the safety, well-being and satisfaction of our employees in these and other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take pride in having an inclusive workplace that encourages a diversity of talents and perspectives. We welcome employees of every gender identity, sexual orientation, race, ethnicity, national origin, religion, life experience and disability. In 2020, we created the position of chief diversity officer and linked ESG performance targets and initiatives, including deliverables and targets for diversity and inclusion, to 25% of our top executives’ long-term incentive compensation, to further strengthen this aspect of our culture. In addition, we celebrated the values of Black history, women’s history, LBGTQ+ pride, Hispanic heritage and military veterans, and launched inclusivity courses through our XPO University e-learning portal. We also formed academic partnerships that advance diversity in higher education, and we supported eight inclusion programs that highlight women, veterans, the LGBTQ+ community, people with disabilities and other groups.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frontline employees provide essential services to keep goods flowing to the people who need them. Their protection is always our foremost priority, and with the onset of COVID-19 in 2020, we began using a combination of protective measures, technology and virtual communications to maintain a safe workplace environment. There are many preventative measures and risk-mitigating actions we have taken to protect employees, including offering 100% paid pandemic sick leave for eligible employees, providing frontline employee appreciation pay to approximately 40,000 workers in the U.S. and Canada, procuring ample supplies of personal protective equipment for employees in all of our workplaces, instituting a contactless delivery policy for our customers, and providing expanded access to mental health counseling services for employees and their dependents.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our COVID-19 response, we have numerous protocols in place to ensure a safe workplace environment. We aim to maintain an Occupational Safety and Health Administration (“OSHA”) total recordable incident rate (“TRIR”) that is less than half the published rate for the Warehousing and Storage sector, based on the “Industry Injury and Illness Data” of the U.S. Bureau of Labor Statistics (“BLS”). In 2020, we exceeded our target expectation with a TRIR that was 74.5% lower than the BLS national benchmark.</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Another way we work to decrease occupational injuries and illnesses is with our global Road to Zero program. Road to Zero instills safety and compliance awareness through education, mentoring, communication and on-the-job reinforcement. In addition to physical well-being, we also consider emotional well-being to be an important part of workplace safety — our Code of Business Ethics mandates zero tolerance of discrimination, harassment, retaliation, bullying and other unacceptable behaviors.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Across our universe of customers, our employees are foundational to providing a best-in-class level of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emphasize career development and the identification of top industry talent in all aspects of the recruitment, training and talent development process. Our talent development infrastructure includes these activities and programs, among others:</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We tailor our recruitment efforts by geography and job function using an array of channels to ensure a diverse candidate pool. We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untapped opportunities in the recruitment of military veterans, and we have partnered with WorkFit, the Down’s Syndrome Association’s employment program.</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Grow at XPO. </w:t>
      </w:r>
      <w:r>
        <w:rPr>
          <w:rFonts w:ascii="Arial" w:cs="Arial" w:eastAsia="Arial" w:hAnsi="Arial"/>
          <w:sz w:val="18"/>
          <w:szCs w:val="18"/>
          <w:color w:val="auto"/>
        </w:rPr>
        <w:t>This supportive program offers tailored skills development, training and mentoring for employees who aspire to grow into higher-paying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 more responsibility. Grow at XPO is intended primarily to create opportunities for employees from minority populations or underrepresented communities.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XPO Graduate Program (LTL) and Site Operations Manager Academy (Logistics). </w:t>
      </w:r>
      <w:r>
        <w:rPr>
          <w:rFonts w:ascii="Arial" w:cs="Arial" w:eastAsia="Arial" w:hAnsi="Arial"/>
          <w:sz w:val="18"/>
          <w:szCs w:val="18"/>
          <w:color w:val="auto"/>
        </w:rPr>
        <w:t>We maintain a robust “ready now” pipeline of future operations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by using structured sponsorships and incidental learning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These programs are designed to develop internal candidates who demonstrate high potential in supervisory roles, preparing them to become site leaders.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programs also serve to retain top talent by defining personalized development paths, and they attract new talent by differentiating XPO as an employer.</w:t>
      </w:r>
    </w:p>
    <w:p>
      <w:pPr>
        <w:spacing w:after="0" w:line="12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XPO University. </w:t>
      </w:r>
      <w:r>
        <w:rPr>
          <w:rFonts w:ascii="Arial" w:cs="Arial" w:eastAsia="Arial" w:hAnsi="Arial"/>
          <w:sz w:val="17"/>
          <w:szCs w:val="17"/>
          <w:color w:val="auto"/>
        </w:rPr>
        <w:t>Our learning and development platform encompasses online and in-person programs, including JumpStart onboarding,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skills development. In 2020, approximately 2.8 million training hours were completed by our employees worldwide.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appreciate that our employees choose to work for XPO from among the many different options available to them inside and outside our industry. We offer a total compensation package that is both competitive and progressive to help attract and retain outstanding talent.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Competitive Wages</w:t>
      </w:r>
      <w:r>
        <w:rPr>
          <w:rFonts w:ascii="Arial" w:cs="Arial" w:eastAsia="Arial" w:hAnsi="Arial"/>
          <w:sz w:val="18"/>
          <w:szCs w:val="18"/>
          <w:color w:val="auto"/>
        </w:rPr>
        <w:t>: In 2020, we continued to provide regular wage increases to almost 22,000 hourly field-based employees in North America across our</w:t>
      </w:r>
      <w:r>
        <w:rPr>
          <w:rFonts w:ascii="Arial" w:cs="Arial" w:eastAsia="Arial" w:hAnsi="Arial"/>
          <w:sz w:val="18"/>
          <w:szCs w:val="18"/>
          <w:i w:val="1"/>
          <w:iCs w:val="1"/>
          <w:color w:val="auto"/>
        </w:rPr>
        <w:t xml:space="preserve"> </w:t>
      </w:r>
      <w:r>
        <w:rPr>
          <w:rFonts w:ascii="Arial" w:cs="Arial" w:eastAsia="Arial" w:hAnsi="Arial"/>
          <w:sz w:val="18"/>
          <w:szCs w:val="18"/>
          <w:color w:val="auto"/>
        </w:rPr>
        <w:t>LTL and logistics businesses, maintaining our strong competitive positioning in the market.</w:t>
      </w:r>
    </w:p>
    <w:p>
      <w:pPr>
        <w:spacing w:after="0" w:line="6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i w:val="1"/>
          <w:iCs w:val="1"/>
          <w:color w:val="auto"/>
        </w:rPr>
        <w:t>Comprehensive Benefits</w:t>
      </w:r>
      <w:r>
        <w:rPr>
          <w:rFonts w:ascii="Arial" w:cs="Arial" w:eastAsia="Arial" w:hAnsi="Arial"/>
          <w:sz w:val="16"/>
          <w:szCs w:val="16"/>
          <w:color w:val="auto"/>
        </w:rPr>
        <w:t>: We offer a comprehensive suite of benefits to all our employees, many of which reflect employee feedback. In the U.S., examples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our pregnancy care policy, family bonding policy, tuition reimbursement program for continuing education, tuition-free commercial driver training and additional benefits such as diabetes management, supplemental insurance and short-term loans. In Europe, the benefits offered vary by country, tailored to the needs of the local markets. Examples include comprehensive healthcare and risk insurances, employee assistance programs covering mental, physical and financial wellbeing, commercial driver training, vocational coaching and training and a full flexible benefits program in the U.K.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7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 2020, there were hundreds of examples of our company and employees giving back, including our support of the Susan G. Komen Foundation, Soles4Souls, Girls With Impact, the Make-A-Wish Foundation, United in Giving (UK), and the FESBAL (Spain) and FareShare (UK) food charities.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each of our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Troy Cooper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Mario Harik</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Information Officer</w:t>
            </w: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David Wyshner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43"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Brad Jacobs </w:t>
      </w:r>
      <w:r>
        <w:rPr>
          <w:rFonts w:ascii="Arial" w:cs="Arial" w:eastAsia="Arial" w:hAnsi="Arial"/>
          <w:sz w:val="16"/>
          <w:szCs w:val="16"/>
          <w:color w:val="auto"/>
        </w:rPr>
        <w:t>has served as XPO’s chairman of the Board of Directors and chief executive officer since September 2011. He is also the managing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Jacobs Private Equity, LLC, which is XPO’s largest stockholder. Mr. Jacobs led two other public companies prior to XPO: United Rentals, Inc., which he founded in 1997, and United Waste Systems, Inc., which he founded in 1989. Mr. Jacobs served as chairman of United Rentals from 1997 to 2007, and as chief executive officer from 1997 to 2003. He served as chairman and chief executive officer of United Waste Systems from 1989 to 1997.</w:t>
      </w:r>
    </w:p>
    <w:p>
      <w:pPr>
        <w:spacing w:after="0" w:line="9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Troy Cooper </w:t>
      </w:r>
      <w:r>
        <w:rPr>
          <w:rFonts w:ascii="Arial" w:cs="Arial" w:eastAsia="Arial" w:hAnsi="Arial"/>
          <w:sz w:val="17"/>
          <w:szCs w:val="17"/>
          <w:color w:val="auto"/>
        </w:rPr>
        <w:t>has served as XPO’s president since April 2018, after formerly serving as XPO’s chief operating officer from 2014 to 2018. From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2015 to September 2017, he also served as chief executive officer and chairman of XPO Logistics Europe. Mr. Cooper joined XPO in September 2011 as vice president of finance. Prior to XPO, he served as vice president and group controller with United Rentals, Inc., where he was responsible for field finance functions and helped to integrate over 200 acquisitions in the U.S., Canada and Mexico. Earlier, he held controller positions with United Waste Systems, Inc. and OSI Specialties, Inc. (formerly a division of Union Carbide, Inc.). Mr. Cooper began his career in public accounting with Arthur Andersen and Co. and holds a degree in accounting from Marietta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Mario Harik </w:t>
      </w:r>
      <w:r>
        <w:rPr>
          <w:rFonts w:ascii="Arial" w:cs="Arial" w:eastAsia="Arial" w:hAnsi="Arial"/>
          <w:sz w:val="18"/>
          <w:szCs w:val="18"/>
          <w:color w:val="auto"/>
        </w:rPr>
        <w:t>has served as XPO’s chief information officer since November 2011. Mr. Harik has built comprehensive technology organizations, overseen</w:t>
      </w:r>
      <w:r>
        <w:rPr>
          <w:rFonts w:ascii="Arial" w:cs="Arial" w:eastAsia="Arial" w:hAnsi="Arial"/>
          <w:sz w:val="18"/>
          <w:szCs w:val="18"/>
          <w:b w:val="1"/>
          <w:bCs w:val="1"/>
          <w:color w:val="auto"/>
        </w:rPr>
        <w:t xml:space="preserve"> </w:t>
      </w:r>
      <w:r>
        <w:rPr>
          <w:rFonts w:ascii="Arial" w:cs="Arial" w:eastAsia="Arial" w:hAnsi="Arial"/>
          <w:sz w:val="18"/>
          <w:szCs w:val="18"/>
          <w:color w:val="auto"/>
        </w:rPr>
        <w:t>the implementation of extensive proprietary platforms, and consulted to 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architect and consultant with Adea Solutions. Mr. Harik holds a master’s degree in engineering, information technology from Massachusetts Institute of Technology, and a degree in engineering - computer and communications from the American University of Beirut, Lebanon.</w:t>
      </w:r>
    </w:p>
    <w:p>
      <w:pPr>
        <w:spacing w:after="0" w:line="13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David Wyshner </w:t>
      </w:r>
      <w:r>
        <w:rPr>
          <w:rFonts w:ascii="Arial" w:cs="Arial" w:eastAsia="Arial" w:hAnsi="Arial"/>
          <w:sz w:val="18"/>
          <w:szCs w:val="18"/>
          <w:color w:val="auto"/>
        </w:rPr>
        <w:t>has served as XPO’s chief financial officer since March 2020. Prior to XPO, Mr. Wyshner served as chief financial officer of Wyndham</w:t>
      </w:r>
      <w:r>
        <w:rPr>
          <w:rFonts w:ascii="Arial" w:cs="Arial" w:eastAsia="Arial" w:hAnsi="Arial"/>
          <w:sz w:val="18"/>
          <w:szCs w:val="18"/>
          <w:b w:val="1"/>
          <w:bCs w:val="1"/>
          <w:color w:val="auto"/>
        </w:rPr>
        <w:t xml:space="preserve"> </w:t>
      </w:r>
      <w:r>
        <w:rPr>
          <w:rFonts w:ascii="Arial" w:cs="Arial" w:eastAsia="Arial" w:hAnsi="Arial"/>
          <w:sz w:val="18"/>
          <w:szCs w:val="18"/>
          <w:color w:val="auto"/>
        </w:rPr>
        <w:t>Hotels &amp; Resorts, Inc. from May 2018 to December 2019, and as its senior advisor from December 2019 to March 2020. He served as executive vice president and chief financial officer of Wyndham Worldwide Corporation, from which Wyndham Hotels was spun-off, from August 2017 to May 2018. Earlier, Mr. Wyshner served as chief financial officer of Avis Budget Group from August 2006 to June 2017 and as Avis Budget Group’s president from January 2016 to June 2017. Mr. Wyshner received his bachelor’s degree from Yale University and his M.B.A. degree from the Wharton School of the University of Pennsylvania.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u w:val="single" w:color="auto"/>
          <w:color w:val="auto"/>
        </w:rPr>
        <w:t>www.xpo.com</w:t>
      </w:r>
      <w:r>
        <w:rPr>
          <w:rFonts w:ascii="Arial" w:cs="Arial" w:eastAsia="Arial" w:hAnsi="Arial"/>
          <w:sz w:val="18"/>
          <w:szCs w:val="18"/>
          <w:color w:val="auto"/>
        </w:rPr>
        <w:t>. On this website, you can access, free of charge, our reports on Forms 10-K, 10-Q and 8-K, as well as specialized disclosure reports on Form SD, Proxy Statements on Schedule 14A and amendments to these materials. Materials are available online as soon as reasonably practicable after we electronically submit them to the SEC. You can also access materials regarding our corporate governance policies and practices, including our Corporate Governance Guidelines, Code of Business Ethics and the charters relating to the committees of our Board of Directors. You also may request a printed copy of these materials without charge by writing to: Investor Relations, XPO Logistics, Inc., Five American Lane, Greenwich, Connecticut 06831.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328295</wp:posOffset>
            </wp:positionV>
            <wp:extent cx="32575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on Form 10-K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the COVID-19 pandemic</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freight volumes, both in North America and Europe, could have a material adverse impact on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transportation industry in North America and Europe historically has experienced cyclical fluctuations in financial results due to economic recessions, downturns in the business cycles of our customers, increases in the prices charged by third-party carriers, interest rate fluctuations, changes in international trade policies and other U.S. and global economic factors beyond our control.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Additional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24" w:lineRule="exact"/>
        <w:rPr>
          <w:sz w:val="20"/>
          <w:szCs w:val="20"/>
          <w:color w:val="auto"/>
        </w:rPr>
      </w:pPr>
    </w:p>
    <w:p>
      <w:pPr>
        <w:ind w:left="660" w:right="68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 reduction in overall freight volume reduces our opportunities for growth. In addition, if a downturn in our customers’ business causes a reduction in the volume of freight shipped by those customers, our operating results could be adversely affected;</w:t>
      </w:r>
    </w:p>
    <w:p>
      <w:pPr>
        <w:spacing w:after="0" w:line="92"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129"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government has made significant changes in U.S. trade policy and has taken certain actions that have negatively impacted U.S. trade, including imposing tariffs on certain goods imported into the U.S. To date, several governments, including the European Union (“EU”) have imposed tariffs on certain goods imported from the U.S. These actions may contribute to weakness in the global economy that could adversely affect our results of operations. Any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 Such conditions could have an adverse effect on our business, results of operations and financial condition, as well as on the price of our common stock;</w:t>
      </w:r>
    </w:p>
    <w:p>
      <w:pPr>
        <w:spacing w:after="0" w:line="13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number of our transportation providers may go out of business and we may be unable to secure sufficient equipment capacity or services to meet our commitments to our customers; and</w:t>
      </w:r>
    </w:p>
    <w:p>
      <w:pPr>
        <w:spacing w:after="0" w:line="116" w:lineRule="exact"/>
        <w:rPr>
          <w:rFonts w:ascii="Arial" w:cs="Arial" w:eastAsia="Arial" w:hAnsi="Arial"/>
          <w:sz w:val="18"/>
          <w:szCs w:val="18"/>
          <w:color w:val="auto"/>
        </w:rPr>
      </w:pPr>
    </w:p>
    <w:p>
      <w:pPr>
        <w:ind w:left="660" w:right="16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appropriately adjust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 we may be unable to adequately adjust these expenses to match a rapid change in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306070</wp:posOffset>
            </wp:positionV>
            <wp:extent cx="32575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9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our employees, customers and business partners. The COVID-19 pandemic has created significant volatility, uncertainty and economic disruption, which will adversely affect our business operations and may materially and adversely affect our results of operations, cash flows and financial position.</w:t>
      </w:r>
    </w:p>
    <w:p>
      <w:pPr>
        <w:spacing w:after="0" w:line="9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 We also incurred additional costs to meet the needs of our customers and employees. We expect to continue to incur additional costs, which may be significant, as we implement operational changes in response to the pandemic. An extended period of remote work arrangements could strain our business continuity plans, introduce operational risk, including but not limited to cybersecurity risks, and impair our ability to manage our business.</w:t>
      </w:r>
    </w:p>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impacts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As a result, the pandemic could have a material impact on our results of operations and heighten many of our other known risks described in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Operations, Legal and Compliance and Finance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profitability may be materially adversely impacted if our investments in equipment, service centers and warehouses do not match customer demand for these resources or if there is a decline in the availability of funding sources for these investments.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 manufactured tractors. If our anticipated requirements for service centers or fleet differ materially from actual usage, our capital-intensive operations, specifically LTL and full truckload, may have more or less capacity than is optimal.</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logistics operations can require a significant commitment of capital in the form of shelving, racking and other warehousing systems that may be required to deliver warehouse-management services to our customers. To the extent that a customer defaults on its obligations under its agreement with us, we could be forced to take a significant loss on the unrecovered portion of this capital cost.</w:t>
      </w:r>
    </w:p>
    <w:p>
      <w:pPr>
        <w:spacing w:after="0" w:line="1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successfully implement our cost and revenue initiatives could cause our future financial results to suffer.</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implementing various cost and revenue initiatives to further increase our profitability, including advanced pricing analytics and revenue management tools, our digital freight platform, our shared distribution network, cross-selling to strategic accounts, LTL process improvements, logistics automation, workforce productivity, European margin expansion, global procurement and further back-office optimization. If we are not able to successfully implement these cost and revenue initiatives, our future financial results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While we intend for our acquisitions to enhance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if the performance of our reporting segments or an acquired business varies from our projections or assumptions, or if estimates about the future profitability of our reporting segments or an acquired business change, our revenues, earnings or other aspects of our financial condition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grown rapidly and substantially over prior years, including by expanding our internal resources, making acquisitions and entering into new markets, and we intend to continue to focus on growth in our transportation and logistics businesses, including organic growth through new customer wins and increased business with existing customers, as well as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 from multiple customer project implementations.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growth may place a significant strain on our management, operational, financial and information technology resources. We seek to continually improve existing procedures and controls, as well as implement new transaction processing, operational and financial systems, and procedures and controls to expand, train and manage our employee base. Our working capital needs may continue to increase as our operations grow. Failure to manage our growth effectively, or obtain necessary working capital, could have a material adverse effect on our business, results of operations, cash flows and financial condition.</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sell or spin-off one or more of our business units, which may have an adverse effect on our remaining businesses and the market price of our common stock, including because we may become a smaller, less diversified company than we are today.</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sell or spin-off one or more of our business units and any such transaction or transactions may have an adverse effect on our remaining businesses and the market price of our common stock. For example, a sale or spin-off of one or more of our business units will result in us being a smaller, less diversified company with a more concentrated area of focus. Following a potential sale or spin-off, we will be reliant on our remaining business units. As a result, we may become more vulnerable to changing market conditions, which could have a material adverse effect on our business, financial condition and results of operations. The diversification of our revenues, costs and cash flows will diminish as a result of a sale or spin-off, such that our results of operations, cash flows, working capital, effective tax rate and financing requirements may be subject to increased volatility and our ability to fund capital expenditures, investments and service our debt may be diminished. We may also incur ongoing costs and retain certain liabilities that were previously allocated to entities that were sold or spun off. Those costs may exceed our estimates or could diminish the benefits we expect to realize.</w:t>
      </w:r>
    </w:p>
    <w:p>
      <w:pPr>
        <w:spacing w:after="0" w:line="111"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4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our resources, and ultimately be unsuccessful. Moreover, should we fail to develop and properly manage future intellectual property, this could adversely affect our market positions and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in Item 7A, “Quantitative and Qualitative Disclosures about Market Risk.”</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do not own, and may not acquire, all of the outstanding shares of XPO Logistics Europe SA, the majority-owned subsidiary through which we conduct our European operations.</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December 31, 2020, we owned approximately 97% of the outstanding shares of XPO Logistics Europe SA, the majority-owned subsidiary through which we conduct our European operations. We may or may not acquire the remaining shares of XPO Logistics Europe, or we may choose to enact a “squeeze out” merger, which is permitted under French law when a holder owns more than 95% of outstanding shares. As long as we do not wholly own XPO Logistics Europe, we do not have access to all of its cash flow to service our debt, as we will receive a prorated portion of any dividend based on our ownership percentage. In addition, we will be subject to limitations on our ability to enter into transactions with XPO Logistics Europe that are not on arms-length terms, which could limit synergies that we could otherwise achieve between our North American and European operations. Moreover, so long as XPO Logistics Europe continues to be a listed public company in France, we will incur certain recurring costs associated with that public listing.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fuel prices impacts our fuel surcharge revenue and may impact our profitability.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risks associated with the availability and price of fuel, all of which are subject to political, economic and market factors that are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Fuel expense constitutes one of the greatest costs to our LTL and full truckload carrier operations, as well as to the independent contractor drivers and third-party transportation providers who transport freight arranged by our other operations.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11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Extreme or unusual weather conditions whether due to climate change or otherwise, can disrupt our operations, impact freight volumes, and increase our costs, all of which could have a material adverse effect on our business results.</w:t>
      </w:r>
    </w:p>
    <w:p>
      <w:pPr>
        <w:spacing w:after="0" w:line="1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business depends, in part, on predictable temperate weather patterns. Certain seasonal weather conditions and isolated weather events can disrupt our operations. We frequently incur costs related to snow and ice removal, towing and other maintenance activities during winter months. At least some of our operations are constantly at risk of extreme adverse weather conditions. Any unusual or prolonged adverse weather patterns in our areas of operations or markets, whether due to climate change or otherwise, can temporarily impact freight volumes and increase our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Spin-Off of Our Logistics Segment</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proposed spin-off of our logistics segment into a stand-alone, publicly-traded company is subject to the final approval of our Board of Directors, contingent upon the satisfaction of a number of conditions, may not be completed on the currently contemplated timeline, or at all, and may not achieve the intended benefits.</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December 2020, we announced our intention to separate our logistics segment into a stand-alone, publicly-traded company (“SpinCo”). The proposed separation is currently expected to be effected through a pro-rata distribution to our shareholders of all of the issued and outstanding shares of common stock of SpinCo. Completion of the proposed spin-off is subject to the final approval of our Board of Directors and the satisfaction of various customary conditions, including, among others, the receipt and the continuing validity of an opinion from outside counsel regarding the qualification of the spin-off (together with certain related transactions) as a “reorganization” within the meaning of Sections 355 and 368(a)(1)(D) of the Internal Revenue Code, the effectiveness of a Form 10 registration statement that we intend to file with the SEC, the receipt by us of certain proceeds from financing arrangements that SpinCo intends to enter into in connection with the spin-off, the refinancing, if necessary, of our debt on terms satisfactory to our Board of Directors, the New York Stock Exchange having approved for listing (subject to official notice of distribution) the shares of common stock of SpinCo that we intend to distribute to our shareholders, and no other event or development existing or having occurred that, in the judgment of our Board of Directors, in its sole and absolute discretion, makes it inadvisable to effect the spin-off or related transactions. The proposed spin-off is complex in nature, and unanticipated developments or changes, including changes in the law, the macroeconomic environment, competitive conditions of our markets, regulatory approvals or clearances, the uncertainty of the financial markets, and challenges in executing the separation, could delay or prevent the completion of the proposed spin-off, or cause the spin-off to occur on terms or conditions that are different or less favorable than expected, including, without limitation, the failure of the spin-off to qualify as a transaction that is generally tax-free for U.S. federal income tax purposes to our shareholders.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Whether or not we complete the spin-off, our ongoing businesses may face material challenges in connection with the proposed spin-off, including, without limitation:</w:t>
      </w:r>
    </w:p>
    <w:p>
      <w:pPr>
        <w:spacing w:after="0" w:line="116" w:lineRule="exact"/>
        <w:rPr>
          <w:sz w:val="20"/>
          <w:szCs w:val="20"/>
          <w:color w:val="auto"/>
        </w:rPr>
      </w:pPr>
    </w:p>
    <w:p>
      <w:pPr>
        <w:ind w:left="660" w:right="2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operating and growing our business as a result of the significant amount of our management’s time and effort required to execute the proposed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8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foreseen and unforeseen costs and expenses that will be incurred in connection with the proposed spin-off, including accounting, tax, legal and other professional services costs as well as recruiting costs associated with hiring key senior management and personnel new to SpinCo;</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with customers, suppliers and employees, as well as cultivating new business relationships;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negative reactions from the financial markets if we fail to complete the spin-off as currently expected, within the anticipated time frame or at all.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products or in the solvency of our customers or suppliers or if there are other significantly unfavorable changes in economic conditions. These conditions may adversely affect our anticipated timeline to complete the spin-off and the expected benefits of the spin-off, including by increasing the time and expense involved in the spin-off. Other challenges associated with effectively executing the spin-off include attracting, retaining and motivating key management and employees during the pendency of the spin-off and following its completion; addressing any disruptions to our supply chain, manufacturing, sales and distribution, and other operations resulting from separating XPO into two independent companies; and separating XPO’s information systems.</w:t>
      </w:r>
    </w:p>
    <w:p>
      <w:pPr>
        <w:spacing w:after="0" w:line="11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Any of these factors could have a material adverse effect on our business, financial condition, results of operations, cash flows and/or the price of our common stock. Furthermore, if the spin-off is completed, we cannot provide assurance that the spin-off will achieve the full strategic and financial benefits expected to result from the separation, nor can we provide assurance that each stand-alone company will be successful in meeting its objectives.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spin-off occurs, our financial and operational profile will change, and we will be a smaller, less diversified company than we are today.</w:t>
      </w:r>
    </w:p>
    <w:p>
      <w:pPr>
        <w:spacing w:after="0" w:line="1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 spin-off of our Logistics segment will result in us being a smaller, less diversified company with a more concentrated area of focus. Following the proposed spin-off, we will be reliant on our remaining business units. As a result, we may become more vulnerable to changing market conditions and competitive pressures, which could have a material adverse effect on our business, financial condition and results of operations. The diversification of our revenues, costs and cash flows will diminish as a result of a spin-off, such that our results of operations, cash flows, working capital, effective tax rate and financing requirements may be subject to increased volatility and our ability to fund capital expenditures, investments and service our debt may be diminished. We may also incur ongoing costs and retain certain liabilities that were previously allocated to entities that were spun off. Those costs may exceed our estimates or could diminish the benefits we expect to realize. There can be no assurance that the combined value of the common stock of the two publicly traded companies following the completion of the proposed spin-off will be equal to or greater than what the value of our common stock would have been had the spin-off not occurred.</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XPO and XPO stockholders could be subject to significant tax liabilities. In addition, if certain internal restructuring transactions were to fail to qualify as transactions that are generally tax-free for U.S. federal or non-U.S. income tax purposes, we could be subject to significant tax liabilities.</w:t>
      </w:r>
    </w:p>
    <w:p>
      <w:pPr>
        <w:spacing w:after="0" w:line="1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It is a condition to the spin-off that we receive an opinion of outside counsel regarding the qualification of the spin-off, together with certain related transactions, as a “reorganization” within the meaning of Sections 355 and 368(a)(1)(D) of the Internal Revenue Code. The opinion of counsel will be based upon and rely on, among other things, various facts and assumptions, as well as certain representations, statements and undertakings of XPO and SpinCo, including those relating to the past and future conduct of XPO and SpinCo. If any of these facts, assumptions, representations, statements or undertakings is, or becomes, inaccurate or incomplete, or if XPO or SpinCo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Notwithstanding receipt of the opinion of counsel, the U.S. Internal Revenue Service (the “IRS”) could determine that the spin-off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Accordingly, notwithstanding receipt of the opinion of counsel, there can be no assurance that the IRS will not assert that the spin-off and/or certain related transactions do not qualify for tax-free treatment for U.S. federal income tax purposes or that a court would not sustain such a challenge. In the event the IRS were to prevail with such challenge, XPO and XPO stockholders could be subject to significant U.S. federal income tax liability.</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the spin-off,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SpinCo common stock in a taxable sale for its fair market value (unless XPO and SpinCo jointly make an election under Section 336(e) of the Code with respect to the spin-off, in which case, in general, (a) XPO would recognize taxable gain as if SpinCo had sold all of its assets in a taxable sale in exchange for an amount equal to the fair market value of SpinCo common stock and the assumption of all its liabilities and (b) SpinCo would obtain a related step-up in the basis of its assets), and XPO stockholders who receive such SpinCo shares in the spin-off would be subject to tax as if they had received a taxable distribution equal to the fair market value of such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Use of Technology</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transportation and logistics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transportation and logistics industries,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 This could result in a loss of customers or a decline in the volume of freight we receive from customers.</w:t>
      </w:r>
    </w:p>
    <w:p>
      <w:pPr>
        <w:spacing w:after="0" w:line="12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are developing proprietary information technology for both of our business segments. 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security systems, networks or processes may materially adversely affect our business.</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logistics order entry and fulfillment and other business processes. We also rely on third parties and virtualized infrastructure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300990</wp:posOffset>
            </wp:positionV>
            <wp:extent cx="32575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information technology systems. Despite significant testing,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has in the past, and could in the future,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reputation,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Credit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substantial outstanding indebtedness, which could: negatively affect our ability to pay principal and interest on our debt; increase our vulnerability to general adverse economic and industry conditions; limit our ability to fund future capital expenditures and working capital, to engage in future acquisitions or development activities, or to otherwise realize the value of our assets and opportunities fully because of the need to dedicate a substantial portion of our cash flow to payments of interest and principal or to comply with any restrictive terms of our debt; limit our flexibility in planning for, or reacting to, changes in our business and the industry in which we operate; impair our ability to obtain additional financing or to refinance our indebtedness in the future; and place us at a competitive disadvantage compared to our competitors that may have proportionately less debt.</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1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Under the terms of our outstanding indebtedness, we may not be able to incur substantial additional indebtedness in the future, which could further exacerbate the risks described above.</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may in the future be required to raise capital through public or private financing or other arrangements in order to pursue our growth strategy or operate our businesses. Such financing may not be available on acceptable terms, or at all, and our failure to raise capital when needed could harm our business and/or our ability to execute our strategy. Further debt financing may involve restrictive covenants and could reduce our profitability. If we cannot raise funds on acceptable terms, we may not be able to grow our business or respond to competitive pressures.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interest rate changes because of our floating rate credit facilities.</w:t>
      </w:r>
    </w:p>
    <w:p>
      <w:pPr>
        <w:spacing w:after="0" w:line="17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Second Amended and Restated Revolving Loan Credit Agreement, as amended (the “ABL Facility”) and the senior secured term loan credit agreement, as amended (the “Term Loan Facility”), provide for an interest rate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London Interbank Offered Rate (“LIBOR”) or a Base Rate, as defined in the agreements,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ABL Facility, Term Loan Facility and Receivables Securitization Program are subject to floating interest rates. Refer to Item 7A, “Quantitative and Qualitative Disclosures about Market Risk” for the impact on interest expense of a hypothetical 100 basis point increase in the interest rate. Interest rates are highly sensitive to many factors, including governmental monetary policies, domestic and international economic and political conditions and other factors beyond our control. A significant increase in interest rates could have an adverse effect on our financial position and results of operations. Additionally, the interest rates on some of our debt is tied to LIBOR. In July 2017, the head of the U.K.’s Financial Conduct Authority announced its intention to phase out the use of LIBOR by the end of 2021. The uncertainty regarding the future of LIBOR, as well as the transition from LIBOR to another benchmark rate or rates, could have adverse impacts on our outstanding debt that currently uses LIBOR as a benchmark rate, and ultimately, adversely affect our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Third-Party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in the operation of our business.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our freight brokerage, last mile and global forwarding operations, we do not own or control the transportation assets that deliver our customers’ freight, and we do not employ the people directly involved in delivering this freight. In addition, in our freight brokerage businesses and in our last mile business, we engage independent contractors who own and operate their own equipment. Accordingly, we are dependent on third parties to provide truck, rail, ocean, air and other transportation services and to report certain events to us, including delivery information and cargo claims. This reliance on third parties could cause delays in reporting certain events, impacting our ability to recognize revenue and claims in a timely manner.</w:t>
      </w:r>
    </w:p>
    <w:p>
      <w:pPr>
        <w:spacing w:after="0" w:line="10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inability to maintain positive relationships with independent transportation providers could significantly limit our ability to serve our customers on competitive terms. If we are unable to secure sufficient equipment or other transportation services to meet our commitments to our customers or provide our services on competitive terms, our operating results could be materially and adversely affected, and our customers could shift their business to our competitors temporarily or permanently. Our ability to secure sufficient equipment or other transportation services to meet our commitments to customers or provide our services on competitive terms is subject to inherent risks, many of which are beyond our control, including: equipment shortages in the transportation industry, particularly among contracted truckload carriers and railroads; driver shortages in the transportation industry and/or resulting increases in the cost of procuring transportation services; interruptions or stoppages in transportation services as a result of labor disputes, seaport strikes, network congestion, weather-related issues, “Acts of God” or acts of terrorism; changes in regulations impacting transportation; increases in operating expenses for carriers, such as fuel costs, insurance premiums and licensing expenses, that result in a reduction in available carriers; and changes in transportation rates.</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our European business heavily relies on subcontracting and we use a large number of temporary employees in these operations. As a result, we are exposed to various risks related to managing our subcontractors, such as the risk that they do not fulfill their assignments in a satisfactory manner or within the specified deadlines. Moreover,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Such failures could compromise our ability to fulfill our commitments to our customers, comply with applicable regulations or otherwise meet our customers’ expectations. Such failures could also harm our reputation and ability to win new business and could lead to our being liable for contractual damages. Furthermore, in the event of a failure by our subcontractors or temporary employees to fulfill their assignments in a satisfactory manner, we could be required to perform unplanned work or additional services in line with the contracted service, without receiving any additional compensation. As a result, any failure to properly manage our subcontractors or temporary employees in Europe or elsewhere could have a material adverse impact on our revenues, earnings, financial position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313055</wp:posOffset>
            </wp:positionV>
            <wp:extent cx="3257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driver compensation and difficulties with attracting and retaining drivers could adversely affect our revenues and profitability.</w:t>
      </w:r>
    </w:p>
    <w:p>
      <w:pPr>
        <w:spacing w:after="0" w:line="1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LTL services in North America and Europe and our full truckload services in Europe are conducted primarily with employee drivers. Our industry has periodically experienced and may, in future, experience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 industry regulations, and the demand for drivers in the labor market. If the current industry-wide shortage of qualified drivers continues, our global LTL operations and our European truckload operation could experience difficulty in attracting and retaining enough qualified drivers to fully satisfy customer demand. During periods of increased competition in the labor market for drivers, our LTL and full truckload operations may be required to increase driver compensation and benefits in the future or face difficulty meeting customer demand, all of which could adversely affect our profitability. Additionally, a shortage of drivers could result in the underutilization of our truck fleet, lost revenue, increased costs for purchased transportation or increased costs for driver recruitment.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business in the past has been, and in the future could be, adversely affected by strikes and labor negotiations at seaports, labor disputes between railroads and their union employees, or by a work stoppage at one or more railroads or local trucking companies servicing rail or port terminals, including work disruptions involving owner-operators under contract with our local trucking operations.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 In particular, our Logistics segment derives a substantial portion of its revenue from the operation and management of facilities that are often located in close proximity to a customer’s manufacturing plant and are integrated into the customer’s production line process. If any of our customers are affected by labor disputes and consequently cease or significantly modify their operations at a plant served by our Logistics segment, we may experience significant revenue loss and shutdown costs, including costs related to early termination of leases, causing our business to suffer.</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European business activities require a large amount of labor, which represents one of our most significant costs.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Efforts by labor organizations to organize employees at certain locations in North America, if successful, may result in increased costs and decreased efficiencies at those locations.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2014, in the U.S., the International Brotherhood of Teamsters (“Teamsters”) has attempted to organize employees at several of our LTL and logistics locations, and the International Association of Machinists (“Machinists”) has attempted to organize a small number of mechanics at three LTL maintenance shops. In 2018, the United Automobile, Aerospace and Agricultural Implement Workers of America (“UAW”) attempted to organize warehouse workers at one logistics location. The majority of our employees involved in these organizing efforts rejected union representation. As of January 1, 2021, our employees had voted in favor of union representation in 10 of the 29 union elections held since 2014, with 684 employees voting in favor and 782 employees voting against representation. In October 2017, a majority of employees at our North Haven, Connecticut logistics location, which had previously voted for Teamsters representation, petitioned us to withdraw recognition of the Teamsters as the employees’ representative, and we withdrew this recognition. Similarly, in 2019, a majority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employees at our LTL locations in Laredo, Texas and Aurora, Illinois, voted to decertify the Teamsters as the employees’ representative. In December 2020, employees at our LTL location in Cinnaminson, New Jersey filed a petition with the National Labor Relations Board to decertify the Teamsters as the employees’ bargaining representative; the election date is pending. As of December 31, 2020, XPO is engaged in good faith bargaining with the Teamsters at six locations where employees voted in favor of union representation. In May 2020, LTL technicians at our Gary Hammond, Indiana shop ratified a contract negotiated between XPO and the Machinists. Since 2014, the Teamsters have withdrawn seven petitions seeking elections on behalf of approximately 396 LTL employees prior to the election being held, and the Machinists withdrew one petition for an LTL election on behalf of six individuals. We cannot predict with certainty whether further organizing efforts may result in the unionization of any additional locations in the U.S. If successful, these efforts may result in increased costs and decreased efficiencies at the specific locations where representation is elected. We do not expect the impact, if any, to extend to our larger organization or the services provided to our customer base.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Certain of our businesses rely on owner-operators and contract carriers to conduct their operations, and the status of these parties as independent contractors, rather than employees, is being challenged.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numerous lawsuits, including class action lawsuits, multi-plaintiff and individual lawsuits, and state tax and other administrative proceedings that claim that our contract carriers or owner-operators or their drivers should be treated as our employees, rather than independent contractors, or that certain of our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 In addition, we incur certain costs, including legal fees, in defending the status of these parties as independent contractors.</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we believe that our contract carriers and owner-operators and their drivers are properly classified as independent contractors rather than as employees, adverse final outcomes in these matters could, among other things, entitle certain of our contract carriers and owner-operators and their drivers to reimbursement with respect to certain expenses and to the benefit of wage-and-hour laws and result in employment and withholding tax and benefit liability for us, and could result in changes to the independent contractor status of our contract carriers and owner-operators. Changes to state or federal laws governing the definition of independent contractors could also impact the status of our contract carriers and owner-operators. Adverse final outcomes in these matters or changes to state or federal laws could cause us to change our business model, which could have a material adverse effect on our business strategies, financial condition, results of operations or cash flows. These claims involve potentially significant classes that could involve thousands of claimants and, accordingly, significant potential damages and litigation costs, and could lead others to bring similar claims.</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results of these matters cannot be predicted with certainty and an unfavorable resolution of one or more of these matters could have a material adverse effect on our financial condition,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involved in multiple lawsuits and are subject to various claims that could result in significant expenditures and impact our operations.</w:t>
      </w:r>
    </w:p>
    <w:p>
      <w:pPr>
        <w:spacing w:after="0" w:line="1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nature of our business exposes us to the potential for various types of claims and litigation. In addition to the matters described in the risk factor “Certain of our businesses rely on owner-operators and contract carriers to conduct their operations, and the status of these parties as independent contractors, rather than employees, is being challenged,”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the frequency or severity of vehicular accidents, liability claims or workers’ compensation claims, or the unfavorable resolution of claims, or our failure to recover, in full or in part, under indemnity provisions with transportation providers, could materially and adversely affect our operating results. Our involvement in the transportation of certain goods,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321310</wp:posOffset>
            </wp:positionV>
            <wp:extent cx="32575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hazardous materials, could also increase our exposure in the event that we or one of our contracted carriers is involved in an accident resulting in injury or contamination. In addition, significant increases in insurance costs or the inability to purchase insurance as a result of these claims could reduce our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the number or severity of self-insured claims or an increase in insurance premiums could have an adverse effect on us.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a combination of self-insurance programs and purchased insurance to provide for the costs of employee medical, vehicular collision and accident, cargo and workers’ compensation claims. Our estimated liability for self-retained insurance claims reflects certain actuarial assumptions and judgments, which are subject to a degree of variability. We reserve for anticipated losses and expenses and periodically evaluate and adjust our claims reserves to reflect our experience. Estimating the number and severity of claims, as well as related judgment or settlement amounts, is inherently difficult. This inherent difficulty, along with legal expenses, incurred but not reported claims, and other uncertainties can cause unfavorable differences between actual self-insurance costs and our reserve estimates. Accordingly, our ultimate results may differ from our estimates, which could result in losses over our reserved amounts. We periodically evaluate our level of insurance coverage and adjust insurance levels based on targeted risk tolerance and premium expense. An increase in the number or severity of self-insured claims or an increase in insurance premiums could have an adverse effect on us, while higher self-insured retention levels may increase the impact of loss occurrences on our results of operations.</w:t>
      </w:r>
    </w:p>
    <w:p>
      <w:pPr>
        <w:spacing w:after="0" w:line="11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13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are currently subject to securities class action litigation and may be subject to similar litigation in the future. Such matters can be expensive, time-consuming and have a material adverse effect on our business, results of operations and financial condition.</w:t>
      </w:r>
    </w:p>
    <w:p>
      <w:pPr>
        <w:spacing w:after="0" w:line="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currently subject to securities class action litigation alleging violations of securities laws, which could harm our business and require us to incur significant costs. In December 2018, two purported class action lawsuits were filed against us and certain of our officers; these lawsuits alleged that we made false and misleading statements, purported to assert claims for violations of federal securities laws and sought unspecified compensatory damages and other relief. One class action lawsuit has since been voluntarily dismissed. While we believe that we have a number of valid defenses to the claims described above and intend to vigorously defend ourselves in the remaining class action lawsuit, the matter is in the early stages of litigation and no assessment can be made as to the likely outcome of the matter or whether it will be material to us. Also, we may be subject to additional proceedings of this type in the future, which could require significant attention from management or result in significant legal expenses, settlement costs or damage awards, any of which could have a material impact on our financial position, results of operations and cash flows.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maintain defined benefit pension plans and a postretirement medical plan. Our defined benefit pension plans include funded and unfunded plans in the U.S. and the U.K.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 significantly increase our contribution requirements. As a result, we are unable to predict the effect on our financial statements associated with our defined benefit pension plans and our postretirement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321310</wp:posOffset>
            </wp:positionV>
            <wp:extent cx="32575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results of operations and cash flows. 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In addition, the new U.S. presidential administration has called for changes to fiscal and tax policies, which may include comprehensive tax reform. These and other tax laws and related regulations changes, to the extent adopted, may increase tax uncertainty and/or our effective tax rate, result in higher compliance cost and adversely affect our provision for income taxes, results of operations and/or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operations are regulated and licensed by various governmental agencies in the U.S. and in foreign countries where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independent contractors must also comply with applicable regulations and requirements of various agencies. Through our subsidiaries and operations, we hold various licenses required to carry out our domestic and international services. These licenses permit us to provide services as a motor carrier, property broker, customs broker, indirect air carrier, OTI, NVOCC, freight forwarder, air freight forwarder, and ocean freight forwarder. In addition, we are subject to regulations and requirements promulgated by the DOT, FMCSA, DHS, CBP, TSA, FMC, IATA, Canada Border Services Agency and various other international, domestic, state and local agencies and port authorities.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of our businesses engage in the transportation of hazardous materials, the movement, handling and accidental discharge of which are highly regulated. Our failure to maintain the required licenses, or to comply with applicable regulations, could have a material adverse impact on our business and results of operations. See the “Regulation” section under Item 1 for more information.</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Future laws and regulations may be more stringent and may require changes to our operating practices that influence the demand for our services or require us to incur significant additional costs. We are unable to predict the impact that recently enacted and future regulations may have on our business. In particular, it is difficult to predict which, and in what form, FMCSA regulations may be modified or enforced, and what impact these regulations may have on motor carrier operations or on the aggregate number of trucks that provide hauling capacity to XPO. If higher costs are incurred by us as a result of future changes in regulations, or by the independent contractors or third-party transportation providers who pass increased costs on to us, this could adversely affect our results of operations to the extent we are unable to obtain a corresponding increase in price from our customers.</w:t>
      </w:r>
    </w:p>
    <w:p>
      <w:pPr>
        <w:spacing w:after="0" w:line="110"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Failure to comply with trade compliance laws and regulations applicable to our operations may subject us to liability and result in mandatory or voluntary disclosures to government agencies of transactions or dealings involving sanctioned countries, entities or individuals.</w:t>
      </w:r>
    </w:p>
    <w:p>
      <w:pPr>
        <w:spacing w:after="0" w:line="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result of our acquisition activities, we acquired companies with business operations outside the U.S., some of which were not previously subject to certain U.S. laws and regulations, including trade sanctions administered by the Office of Foreign Assets Control (“OFAC”) of the U.S. Department of the Treasury. In the course of implementing our compliance processes with respect to the operations of these acquired companies, we have identified a number of transactions or dealings involving countries and entities that are subject to U.S. economic sanctions. As disclosed in our reports filed with the SEC, we filed initial voluntary disclosure of such matters with OFAC in August 2016. In August 2018, OFAC addressed these matters by responding with a cautionary letter to us. To our knowledge, OFAC is considering no further action in response to the voluntary disclosure filed by us in August 2016. We may, in the future, identify additional transactions or dealings involving sanctioned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entities or individuals. The transactions or dealings that we have identified to date, or other transactions or dealings that we may identify in the future, could result in negative consequences to us, including government investigations, penalties and reputational harm.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 Competition and Brexit</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1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w:t>
      </w:r>
    </w:p>
    <w:p>
      <w:pPr>
        <w:spacing w:after="0" w:line="92" w:lineRule="exact"/>
        <w:rPr>
          <w:sz w:val="20"/>
          <w:szCs w:val="20"/>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transportation services companies, some of which offer different services or have a broader coverage network, more fully developed information technology systems and greater capital resources than we do;</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the rates charged by our competitors to gain business, especially during times of declining economic growth, which may limit our ability to maintain or increase our rates, maintain our operating margins or achieve significant growth in our business;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Shippers soliciting bids from multiple transportation providers for their shipping needs, which may result in the depression of freight rates or loss of business to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establishment by our competitors of cooperative relationships to increase their ability to address shipper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Decisions by our current or prospective customers to develop or expand internal capabilities for some of the services we provide;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new technologies or business models that could result in our disintermediation in certain services we provide.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have a negative effect on global economic conditions, financial markets and our operations.</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June 2016, a majority of voters in the U.K. voted in favor of the U.K.’s withdrawal from the EU (“Brexit”) in a national referendum. On January 31, 2020, the U.K. withdrew from the EU. The referendum and subsequent withdrawal of the U.K. from the EU have created significant uncertainty about the future relationship between the U.K. and the EU and will have uncertain impacts on our transportation and logistics operations in Europe. In 2020, we derived approximately 13% of our revenue from the U.K. and an aggregate 26% from the rest of the European countries where we operate.</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Following Brexit, the movement of goods between the U.K. and the remaining member states of the EU has become subject to additional inspections and documentation checks, which may create delays at ports of entry and departure and potential impacts on our ability to efficiently provide our transportation and logistics services. Moreover, currency volatility could drive a weaker U.K. pound which could result in a decrease in our reported consolidated financial results for the U.K., which are reported in U.S. dollars.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adverse consequences of Brexit, such as a deterioration in the U.K.’s or the EU’s economic condition, currency exchange rates, bilateral trade agreements or regulatory trade environment, including the potential imposition of tariffs, could reduce demand for our services in the U.K. or the EU, negatively impact the value of our defined benefit pension plans in the U.K., or otherwise have a negative impact on our operations,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175"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chairman and chief executive officer beneficially owns a large portion of our stock and has substantial control over us, which could limit other stockholders’ ability to influence the outcome of key transactions, including changes of control, and any sales of our common stock by Mr. Jacobs (or the perception that such sales may occur) could adversely impact the volume of trading, liquidity and market price of our common stock.</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applicable SEC rules, our chairman and chief executive officer, Mr. Jacobs, beneficially owned approximately 17.6% of our outstanding common stock as of December 31, 2020.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and our directors and officers (for example, if such persons decide to sell all or a portion of their shares), including shares beneficially owned by Mr. Jacobs, could adversely impact the volume of trading, liquidity and market price of our common stock.</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2020, we operated approximately 1,523 locations, primarily in North America and Europe, including approximately 342 locations owned or leased by our customers. These facilities are located in all 48 contiguous U.S. states, as well as globally.</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Segment (Location)</w:t>
            </w:r>
          </w:p>
        </w:tc>
        <w:tc>
          <w:tcPr>
            <w:tcW w:w="1980" w:type="dxa"/>
            <w:vAlign w:val="bottom"/>
            <w:gridSpan w:val="2"/>
          </w:tcPr>
          <w:p>
            <w:pPr>
              <w:ind w:left="420"/>
              <w:spacing w:after="0"/>
              <w:rPr>
                <w:sz w:val="20"/>
                <w:szCs w:val="20"/>
                <w:color w:val="auto"/>
              </w:rPr>
            </w:pPr>
            <w:r>
              <w:rPr>
                <w:rFonts w:ascii="Arial" w:cs="Arial" w:eastAsia="Arial" w:hAnsi="Arial"/>
                <w:sz w:val="14"/>
                <w:szCs w:val="14"/>
                <w:b w:val="1"/>
                <w:bCs w:val="1"/>
                <w:color w:val="auto"/>
              </w:rPr>
              <w:t>Leased Facilities</w:t>
            </w:r>
          </w:p>
        </w:tc>
        <w:tc>
          <w:tcPr>
            <w:tcW w:w="198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Owned Facilities</w:t>
            </w:r>
          </w:p>
        </w:tc>
        <w:tc>
          <w:tcPr>
            <w:tcW w:w="204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Customer Facilities </w:t>
            </w:r>
            <w:r>
              <w:rPr>
                <w:rFonts w:ascii="Arial" w:cs="Arial" w:eastAsia="Arial" w:hAnsi="Arial"/>
                <w:sz w:val="18"/>
                <w:szCs w:val="18"/>
                <w:b w:val="1"/>
                <w:bCs w:val="1"/>
                <w:color w:val="auto"/>
                <w:vertAlign w:val="superscript"/>
              </w:rPr>
              <w:t>(3)</w:t>
            </w:r>
          </w:p>
        </w:tc>
        <w:tc>
          <w:tcPr>
            <w:tcW w:w="166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23"/>
        </w:trPr>
        <w:tc>
          <w:tcPr>
            <w:tcW w:w="34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Transportation (North America)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Transportation (Europe)</w:t>
            </w:r>
          </w:p>
        </w:tc>
        <w:tc>
          <w:tcPr>
            <w:tcW w:w="18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35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Transportation (Other) </w:t>
            </w:r>
            <w:r>
              <w:rPr>
                <w:rFonts w:ascii="Arial" w:cs="Arial" w:eastAsia="Arial" w:hAnsi="Arial"/>
                <w:sz w:val="23"/>
                <w:szCs w:val="23"/>
                <w:color w:val="auto"/>
                <w:vertAlign w:val="superscript"/>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Logistics (North America)</w:t>
            </w:r>
          </w:p>
        </w:tc>
        <w:tc>
          <w:tcPr>
            <w:tcW w:w="1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 (Europe)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35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Logistics (Other) </w:t>
            </w:r>
            <w:r>
              <w:rPr>
                <w:rFonts w:ascii="Arial" w:cs="Arial" w:eastAsia="Arial" w:hAnsi="Arial"/>
                <w:sz w:val="23"/>
                <w:szCs w:val="23"/>
                <w:color w:val="auto"/>
                <w:vertAlign w:val="superscript"/>
              </w:rPr>
              <w:t>(2)</w:t>
            </w:r>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Of our owned facilities, 117 were freight service centers for our LTL business throughout the U.S.</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Locations not in North America or Europe; primarily in Asia.</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Locations owned or leased by customers.</w:t>
      </w:r>
    </w:p>
    <w:p>
      <w:pPr>
        <w:spacing w:after="0" w:line="16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lease our current executive office located in Greenwich, Connecticut, as well as our national operations center in Charlotte, North Carolina, our shared-services center in Portland, Oregon and various office facilities in France, the U.K. and India to support our global executive and shared-services functions. We believe that our facilities are sufficient for our current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Certain of our intermodal drayage subsidiaries are defendants in class action litigations brought by independent contract carriers in California who contracted with these subsidiaries. In these cases, the contract carriers assert that they should be classified as employees, rather than independent contractors. In two related cases pending in federal district court in Los Angeles, </w:t>
      </w:r>
      <w:r>
        <w:rPr>
          <w:rFonts w:ascii="Arial" w:cs="Arial" w:eastAsia="Arial" w:hAnsi="Arial"/>
          <w:sz w:val="17"/>
          <w:szCs w:val="17"/>
          <w:i w:val="1"/>
          <w:iCs w:val="1"/>
          <w:color w:val="auto"/>
        </w:rPr>
        <w:t>Alvarez v. XPO Logistics Cartage,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Arrellano v. XPO Port</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 Inc.</w:t>
      </w:r>
      <w:r>
        <w:rPr>
          <w:rFonts w:ascii="Arial" w:cs="Arial" w:eastAsia="Arial" w:hAnsi="Arial"/>
          <w:sz w:val="17"/>
          <w:szCs w:val="17"/>
          <w:color w:val="auto"/>
        </w:rPr>
        <w:t>, the Court has certified classes beginning in April 2016 and March 2013, respectively. Plaintiffs allege that defendants exercised an</w:t>
      </w:r>
      <w:r>
        <w:rPr>
          <w:rFonts w:ascii="Arial" w:cs="Arial" w:eastAsia="Arial" w:hAnsi="Arial"/>
          <w:sz w:val="17"/>
          <w:szCs w:val="17"/>
          <w:i w:val="1"/>
          <w:iCs w:val="1"/>
          <w:color w:val="auto"/>
        </w:rPr>
        <w:t xml:space="preserve"> </w:t>
      </w:r>
      <w:r>
        <w:rPr>
          <w:rFonts w:ascii="Arial" w:cs="Arial" w:eastAsia="Arial" w:hAnsi="Arial"/>
          <w:sz w:val="17"/>
          <w:szCs w:val="17"/>
          <w:color w:val="auto"/>
        </w:rPr>
        <w:t>impermissible degree of control over plaintiffs’ operations through the terms of the parties’ contracts and defendants’ policies, including enforcement of requirements imposed on motor carriers by state and federal law. The particular claims asserted vary from case to case but generally include claims that, should the contract carriers be determined to be employees, they would be entitled to reimbursement for unpaid wages, unpaid overtime, unpaid wages for missed meal and rest periods, reimbursement of certain of the contract carriers’ business expenses (including fuel and insurance related costs), Labor Code penalties under California’s Private Attorneys General Act, and attorneys’ fees and costs associated with bringing the action. Discovery is ongoing in these matters, and defendants continue to mount a vigorous defense on the merits of plaintiffs’ claims, including as to the threshold issue of employment classification. Both cases are scheduled for trial in September 2021; however, this date may be impacted or significantly delayed by the effect of the COVID-19 pandemic on Court operations, including the scheduling of jury trials. We anticipate further legal rulings from the Court at or before trial that may substantially affect the scope of the claims asserted. As a result, we are unable at this time to estimate the amount of the possible loss or range of loss, if any, that we may incur as a result of these claims.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December 14, 2018, a putative class action captioned </w:t>
      </w:r>
      <w:r>
        <w:rPr>
          <w:rFonts w:ascii="Arial" w:cs="Arial" w:eastAsia="Arial" w:hAnsi="Arial"/>
          <w:sz w:val="18"/>
          <w:szCs w:val="18"/>
          <w:i w:val="1"/>
          <w:iCs w:val="1"/>
          <w:color w:val="auto"/>
        </w:rPr>
        <w:t>Labul v. XPO Logistics, Inc. et al.</w:t>
      </w:r>
      <w:r>
        <w:rPr>
          <w:rFonts w:ascii="Arial" w:cs="Arial" w:eastAsia="Arial" w:hAnsi="Arial"/>
          <w:sz w:val="18"/>
          <w:szCs w:val="18"/>
          <w:color w:val="auto"/>
        </w:rPr>
        <w:t>,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 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Briefing on defendants’ motion was completed on June 18, 2020, and the Court heard oral argument on June 30, 2020. The Court has not yet issued a decision on defendants’ motion to dismiss.</w:t>
      </w:r>
    </w:p>
    <w:p>
      <w:pPr>
        <w:spacing w:after="0" w:line="14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xml:space="preserve">, (“Jez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Jez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 Logistics, Inc.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On December 12, 2019, the court ordered plaintiffs to designate an operative complaint or file an amended complaint within 45 days.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27, 2020, plaintiffs designated the Jez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Defendants have not yet answered or moved against the operative complaint.</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against the allegations. We are unable at this time to determine the amount of the possible loss or range of loss, if any, that we may incur as a result of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under the symbol XPO.</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February 5, 2021, there were approximately 133 record holders of our common stock. We have never paid, and have no immediate plans to pay, cash dividends on our common stock. If the Logistics segment spin-off is completed, it will likely be executed through the payment of a dividend of shares of common stock of the new company to XPO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graph below compares the cumulative five-year total return of holders of our common stock with the cumulative total returns, including reinvestment of any dividends, of the Dow Jones Transportation Average index and the S&amp;P 400 MidCap index. The graph tracks the performance of a $100 investment in our common stock and in each index from December 31, 2015 to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-10795</wp:posOffset>
            </wp:positionV>
            <wp:extent cx="5332095" cy="3994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3209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12/31/16</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12/31/17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12/31/18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12/31/20</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XPO Logistics, Inc.</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437.43</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Dow Jones Transportation Average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122.32</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127.65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154.24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179.72</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400 Midcap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-38735</wp:posOffset>
            </wp:positionV>
            <wp:extent cx="6591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During the quarter ended December 31, 2020, we issued 19,962 unregistered shares of our common stock as a result of the cashless exercise of warrants by a certain shareholder. The issuance of these shares was exempt from the registration requirements of the Securities Act of 1933, as amended, in accordance with Section 4(a)(2) thereof, as a transaction by an issuer not involving any public offering.</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2020, following approvals by a disinterested special committee of our Board of Directors and the Audit Committee to the extent required by our policy on related party transactions, we entered into separate exchange agreements with certain holders of our preferred stock and warrants, including some of our directors and officers, pursuant to which (i) holders of our preferred stock exchanged their preferred shares for a combination of (x) our common stock, based on the number of shares of common stock into which our preferred stock was then convertible; and (y) a lump-sum cash payment that represented an approximation of the net present value of the future dividends required by the terms of our preferred stock to be paid by us; and (ii) holders of our warrants exchanged their warrants for the number of shares of our common stock that was equal to the number of shares of common stock that such holder would be entitled to receive upon an exercise of the warrants less the number of shares of our common stock that had an approximate value equal to the exercise price of the warrants, based on the formula set forth in the exchange agreements. We issued an aggregate of 266,590 unregistered shares of our common stock in connection with the warrant exchanges, and an aggregate of 9,920,709 unregistered shares of our common stock in connection with the preferred exchanges. We also agreed to issue, subject to the satisfaction of customary closing conditions, an aggregate of 9,071,162 unregistered shares of our common stock as part of these warrant exchanges. The exchange transactions were made to simplify our equity capital structure, including in contemplation of our previously announced plan to pursue a spin-off of our Logistics segment.</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also issued unregistered shares of our common stock during the first quarter of 2020 as previously disclosed in its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tables set forth our selected historical and quarterly consolidated financial data. This financial data should be read together with our Consolidated Financial Statements and related notes, Management’s Discussion and Analysis of Financial Condition and Results of Operations, and other financial data appearing elsewhere in this Annual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As of or For the 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6"/>
                <w:szCs w:val="16"/>
                <w:color w:val="auto"/>
              </w:rPr>
            </w:pPr>
          </w:p>
        </w:tc>
        <w:tc>
          <w:tcPr>
            <w:tcW w:w="1020" w:type="dxa"/>
            <w:vAlign w:val="bottom"/>
          </w:tcPr>
          <w:p>
            <w:pPr>
              <w:jc w:val="right"/>
              <w:ind w:right="332"/>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52"/>
              <w:spacing w:after="0" w:line="189"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16,252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17,279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15,381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attributable to common</w:t>
            </w: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60"/>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Position: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Preferred stock </w:t>
            </w:r>
            <w:r>
              <w:rPr>
                <w:rFonts w:ascii="Arial" w:cs="Arial" w:eastAsia="Arial" w:hAnsi="Arial"/>
                <w:sz w:val="23"/>
                <w:szCs w:val="23"/>
                <w:color w:val="auto"/>
                <w:vertAlign w:val="superscript"/>
              </w:rPr>
              <w:t>(7)</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2020 results were significantly impacted by the COVID-19 pandemic.</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fourth quarter of 2016, we divested our North American Truckload operations.</w:t>
      </w:r>
    </w:p>
    <w:p>
      <w:pPr>
        <w:spacing w:after="0" w:line="55" w:lineRule="exact"/>
        <w:rPr>
          <w:rFonts w:ascii="Arial" w:cs="Arial" w:eastAsia="Arial" w:hAnsi="Arial"/>
          <w:sz w:val="14"/>
          <w:szCs w:val="14"/>
          <w:color w:val="auto"/>
        </w:rPr>
      </w:pPr>
    </w:p>
    <w:p>
      <w:pPr>
        <w:ind w:left="660" w:right="680" w:hanging="328"/>
        <w:spacing w:after="0" w:line="273" w:lineRule="auto"/>
        <w:tabs>
          <w:tab w:leader="none" w:pos="648"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income for 2017 and 2016 reflects the retrospective effects from the January 1, 2018 adoption of Accounting Standard Update (“ASU”) 2017-07, Compensation - Retirement Benefits (Topic 715): “Improving the Presentation of Net Periodic Pension Cost and Net Periodic Postretirement Benefit Cost.”</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income for 2017 included a $173 million benefit related to the revaluation of our net deferred tax liabilities as a result of the Tax Cuts and Jobs Act (the “Tax Act”).</w:t>
      </w:r>
    </w:p>
    <w:p>
      <w:pPr>
        <w:spacing w:after="0" w:line="55" w:lineRule="exact"/>
        <w:rPr>
          <w:rFonts w:ascii="Arial" w:cs="Arial" w:eastAsia="Arial" w:hAnsi="Arial"/>
          <w:sz w:val="14"/>
          <w:szCs w:val="14"/>
          <w:color w:val="auto"/>
        </w:rPr>
      </w:pPr>
    </w:p>
    <w:p>
      <w:pPr>
        <w:ind w:left="660" w:hanging="328"/>
        <w:spacing w:after="0" w:line="273" w:lineRule="auto"/>
        <w:tabs>
          <w:tab w:leader="none" w:pos="648"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income attributable to common shareholders for the year ended December 31, 2020 reflects a preferred stock conversion charge of $22 million. See Note 14—Stockholders’ Equity to the Consolidated Financial Statements for more information.</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assets for 2019 reflects the January 1, 2019 adoption of ASU 2016-02, Leases (Topic 842).</w:t>
      </w:r>
    </w:p>
    <w:p>
      <w:pPr>
        <w:spacing w:after="0" w:line="55" w:lineRule="exact"/>
        <w:rPr>
          <w:rFonts w:ascii="Arial" w:cs="Arial" w:eastAsia="Arial" w:hAnsi="Arial"/>
          <w:sz w:val="14"/>
          <w:szCs w:val="14"/>
          <w:color w:val="auto"/>
        </w:rPr>
      </w:pPr>
    </w:p>
    <w:p>
      <w:pPr>
        <w:ind w:left="660" w:right="160" w:hanging="328"/>
        <w:spacing w:after="0" w:line="273" w:lineRule="auto"/>
        <w:tabs>
          <w:tab w:leader="none" w:pos="648"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December 2020, we entered into agreements with some holders of our preferred stock to facilitate the exchange of their preferred stock holdings into our common stock. See Note 14—Stockholders’ Equity to the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319405</wp:posOffset>
            </wp:positionV>
            <wp:extent cx="32575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Our unaudited results of operations for each of the quarters in the years ended December 31, 2020 and 2019 are summarized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7"/>
                <w:szCs w:val="17"/>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xml:space="preserve">Fourth Quarter </w:t>
            </w:r>
            <w:r>
              <w:rPr>
                <w:rFonts w:ascii="Arial" w:cs="Arial" w:eastAsia="Arial" w:hAnsi="Arial"/>
                <w:sz w:val="18"/>
                <w:szCs w:val="18"/>
                <w:b w:val="1"/>
                <w:bCs w:val="1"/>
                <w:color w:val="auto"/>
                <w:w w:val="94"/>
                <w:vertAlign w:val="superscript"/>
              </w:rPr>
              <w:t>(2) (3)</w:t>
            </w:r>
          </w:p>
        </w:tc>
        <w:tc>
          <w:tcPr>
            <w:tcW w:w="0" w:type="dxa"/>
            <w:vAlign w:val="bottom"/>
          </w:tcPr>
          <w:p>
            <w:pPr>
              <w:spacing w:after="0"/>
              <w:rPr>
                <w:sz w:val="1"/>
                <w:szCs w:val="1"/>
                <w:color w:val="auto"/>
              </w:rPr>
            </w:pPr>
          </w:p>
        </w:tc>
      </w:tr>
      <w:tr>
        <w:trPr>
          <w:trHeight w:val="135"/>
        </w:trPr>
        <w:tc>
          <w:tcPr>
            <w:tcW w:w="5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right"/>
              <w:ind w:right="533"/>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(loss) attributable to common shareholders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earnings (loss) per share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income attributable to common shareholders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0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60" w:right="200" w:hanging="328"/>
        <w:spacing w:after="0" w:line="273"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sum of the quarterly Net income attributable to common shareholders and earnings per share may not equal annual amounts due to differences in the weighted-average number of shares outstanding during the respective periods and the impact of the two-class method of calculating earnings per share.</w:t>
      </w:r>
    </w:p>
    <w:p>
      <w:pPr>
        <w:spacing w:after="0" w:line="11" w:lineRule="exact"/>
        <w:rPr>
          <w:rFonts w:ascii="Arial" w:cs="Arial" w:eastAsia="Arial" w:hAnsi="Arial"/>
          <w:sz w:val="14"/>
          <w:szCs w:val="14"/>
          <w:color w:val="auto"/>
        </w:rPr>
      </w:pPr>
    </w:p>
    <w:p>
      <w:pPr>
        <w:ind w:left="540" w:hanging="208"/>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fourth quarter of 2020 included a restructuring charge of $3 million and gains on sales of property and equipment of $21 million.</w:t>
      </w:r>
    </w:p>
    <w:p>
      <w:pPr>
        <w:spacing w:after="0" w:line="55" w:lineRule="exact"/>
        <w:rPr>
          <w:rFonts w:ascii="Arial" w:cs="Arial" w:eastAsia="Arial" w:hAnsi="Arial"/>
          <w:sz w:val="14"/>
          <w:szCs w:val="14"/>
          <w:color w:val="auto"/>
        </w:rPr>
      </w:pPr>
    </w:p>
    <w:p>
      <w:pPr>
        <w:ind w:left="660" w:right="200" w:hanging="328"/>
        <w:spacing w:after="0" w:line="273"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fourth quarter of 2020 included a $22 million, or $0.22 per diluted share, preferred stock conversion charge that reduced income attributable to common shareholders for earnings per share purposes, but did not affect net income, associated with the December 2020 conversion of our preferred stock.</w:t>
      </w:r>
    </w:p>
    <w:p>
      <w:pPr>
        <w:spacing w:after="0" w:line="11" w:lineRule="exact"/>
        <w:rPr>
          <w:rFonts w:ascii="Arial" w:cs="Arial" w:eastAsia="Arial" w:hAnsi="Arial"/>
          <w:sz w:val="14"/>
          <w:szCs w:val="14"/>
          <w:color w:val="auto"/>
        </w:rPr>
      </w:pPr>
    </w:p>
    <w:p>
      <w:pPr>
        <w:ind w:left="540" w:hanging="208"/>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fourth quarter of 2019 included a restructuring charge of $21 million and gains on sales of property and equipment of $37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569595</wp:posOffset>
            </wp:positionV>
            <wp:extent cx="32575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320"/>
        <w:spacing w:after="0" w:line="4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XPO Logistics provides cutting-edge supply chain solutions to the most successful companies in the world. We have two reporting segments: Transportation and Logistics. Our Transportation segment facilitates the movement of raw materials, parts and finished goods. We accomplish this by using our proprietary technology, third-party independent carriers and our transportation assets and service centers. Our transportation services include less-than-truckload (“LTL”), truck brokerage and other transportation services.</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our Logistics segment, which we sometimes refer to as supply chain, we provide a wide range of services differentiated by our proprietary technology and our ability to customize solutions for individual customers. Our services include high-value-add warehousing and distribution, e-commerce and omnichannel fulfillment, cold chain logistics, packaging and labeling, factory support, aftermarket support, inventory management, order personalization and supply chain optimization, such as production flow management. In addition, we are a major provider of reverse logistics, which is also called returns management. Reverse logistics is a fast-growing area of logistics that includes the inspection, repackaging, refurbishment, resale or disposal of returned merchandise, as well as refunding and warranty management.</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December 2020, we announced that our Board of Directors unanimously approved a plan to pursue a spin-off of 100% of our Logistics segment as a separate publicly traded company. We intend to structure the spin-off as a distribution that is generally tax-free for U.S. federal income tax purposes to XPO shareholders (except with respect to any cash received in lieu of fractional shares) and would result in XPO shareholders owning stock in both companies. If completed, the spin-off will result in separate public companies with clearly delineated service offerings. XPO will be a global provider of primarily LTL transportation and truck brokerage services, and the spun-off company will be the second largest contract logistics provider in the world. Both companies’ stocks are expected to trade on the New York Stock Exchange, and we plan to consider a dual listing on the London Stock Exchange for the spun-off company in due course.</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transaction is currently expected to be completed in the second half of 2021, subject to various conditions. There can be no assurance that the spin-off will occur or, if it does occur, of its terms or timing.</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Separately, in March 2020, we announced that we had entered into an agreement to acquire the majority of Kuehne + Nagel’s contract logistics operations in the United Kingdom. The operations, which include roughly 5,700 employees and provide a range of logistics services, including inbound and outbound distribution, reverse logistics management and inventory management, will be included in our Logistics segment. The acquisition was completed in January 2021.</w:t>
      </w:r>
    </w:p>
    <w:p>
      <w:pPr>
        <w:spacing w:after="0" w:line="1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This discussion focuses on our 2020 results, compared with 2019 results. The discussion of our 2019 results, compared with 2018 results, can be found in Management’s Discussion and Analysis of Financial Condition and Results of Operations in Part II, Item 7 of our 2019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and equipment in the markets we serve, XPO is considered an “essential business,” providing supply chain solutions to crucial industries and delivering critical consumer goods. As a result, our sites have generally remained open and operating, and we have continued to serve our customers while employing significant measures to protect our employees and keep them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308610</wp:posOffset>
            </wp:positionV>
            <wp:extent cx="32575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for the year ended December 31, 2020, as discussed below. 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w:t>
      </w:r>
    </w:p>
    <w:p>
      <w:pPr>
        <w:spacing w:after="0" w:line="13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expect our results of operations will continue to be impacted by this pandemic in 2021.</w:t>
      </w:r>
    </w:p>
    <w:p>
      <w:pPr>
        <w:spacing w:after="0" w:line="1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incurred net incremental costs related to COVID-19 to ensure that we meet the needs of our customers and employees; these include costs for personal protective equipment (“PPE”), temporary site closures, site cleanings and enhanced employee benefits.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if appropriate,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could not fully offset the decrease in demand for our services arising from the economic disruption of the pandemic in 2020, the actions we have taken, combined with the variable components of our cost structure, have mitigated the impact on our profitability relative to the impact on our revenue and volumes.</w:t>
      </w:r>
    </w:p>
    <w:p>
      <w:pPr>
        <w:spacing w:after="0" w:line="111" w:lineRule="exact"/>
        <w:rPr>
          <w:sz w:val="20"/>
          <w:szCs w:val="20"/>
          <w:color w:val="auto"/>
        </w:rPr>
      </w:pPr>
    </w:p>
    <w:p>
      <w:pPr>
        <w:ind w:right="1260"/>
        <w:spacing w:after="0" w:line="456" w:lineRule="auto"/>
        <w:rPr>
          <w:sz w:val="20"/>
          <w:szCs w:val="20"/>
          <w:color w:val="auto"/>
        </w:rPr>
      </w:pPr>
      <w:r>
        <w:rPr>
          <w:rFonts w:ascii="Arial" w:cs="Arial" w:eastAsia="Arial" w:hAnsi="Arial"/>
          <w:sz w:val="18"/>
          <w:szCs w:val="18"/>
          <w:color w:val="auto"/>
        </w:rPr>
        <w:t xml:space="preserve">A further discussion of the potential impact of the COVID-19 pandemic on our business is set forth above in Part I, Item 1A. Risk Factors. </w:t>
      </w:r>
      <w:r>
        <w:rPr>
          <w:rFonts w:ascii="Arial" w:cs="Arial" w:eastAsia="Arial" w:hAnsi="Arial"/>
          <w:sz w:val="18"/>
          <w:szCs w:val="18"/>
          <w:b w:val="1"/>
          <w:bCs w:val="1"/>
          <w:color w:val="auto"/>
        </w:rPr>
        <w:t>Consolidated Summary Financial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2840" w:type="dxa"/>
            <w:vAlign w:val="bottom"/>
            <w:gridSpan w:val="4"/>
          </w:tcPr>
          <w:p>
            <w:pPr>
              <w:ind w:left="760"/>
              <w:spacing w:after="0"/>
              <w:rPr>
                <w:sz w:val="20"/>
                <w:szCs w:val="20"/>
                <w:color w:val="auto"/>
              </w:rPr>
            </w:pPr>
            <w:r>
              <w:rPr>
                <w:rFonts w:ascii="Arial" w:cs="Arial" w:eastAsia="Arial" w:hAnsi="Arial"/>
                <w:sz w:val="14"/>
                <w:szCs w:val="14"/>
                <w:b w:val="1"/>
                <w:bCs w:val="1"/>
                <w:color w:val="auto"/>
              </w:rPr>
              <w:t>Percent of Revenue</w:t>
            </w: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18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0"/>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0"/>
              <w:spacing w:after="0" w:line="189"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(2)</w:t>
            </w:r>
          </w:p>
        </w:tc>
        <w:tc>
          <w:tcPr>
            <w:tcW w:w="1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 vs. 2019</w:t>
            </w:r>
          </w:p>
        </w:tc>
      </w:tr>
      <w:tr>
        <w:trPr>
          <w:trHeight w:val="22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transportation and services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8,303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49.9 %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operating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Sales, general and administrative expense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17.7 %</w:t>
            </w:r>
          </w:p>
        </w:tc>
      </w:tr>
      <w:tr>
        <w:trPr>
          <w:trHeight w:val="22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9"/>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Foreign currency (gain)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4000" w:type="dxa"/>
            <w:vAlign w:val="bottom"/>
            <w:gridSpan w:val="2"/>
          </w:tcPr>
          <w:p>
            <w:pPr>
              <w:ind w:left="300"/>
              <w:spacing w:after="0"/>
              <w:rPr>
                <w:sz w:val="20"/>
                <w:szCs w:val="20"/>
                <w:color w:val="auto"/>
              </w:rPr>
            </w:pPr>
            <w:r>
              <w:rPr>
                <w:rFonts w:ascii="Arial" w:cs="Arial" w:eastAsia="Arial" w:hAnsi="Arial"/>
                <w:sz w:val="16"/>
                <w:szCs w:val="16"/>
                <w:color w:val="auto"/>
              </w:rPr>
              <w:t>Debt extinguishment loss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 provision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740" w:right="20" w:hanging="408"/>
        <w:spacing w:after="0" w:line="273" w:lineRule="auto"/>
        <w:tabs>
          <w:tab w:leader="none" w:pos="7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operating income for 2020 includes $100 million of transaction and integration costs, of which $21 million relates to our Transportation segment and $28 million relates to our Logistics segment, and $56 million of restructuring expense.</w:t>
      </w:r>
    </w:p>
    <w:p>
      <w:pPr>
        <w:spacing w:after="0" w:line="11" w:lineRule="exact"/>
        <w:rPr>
          <w:rFonts w:ascii="Arial" w:cs="Arial" w:eastAsia="Arial" w:hAnsi="Arial"/>
          <w:sz w:val="14"/>
          <w:szCs w:val="14"/>
          <w:color w:val="auto"/>
        </w:rPr>
      </w:pPr>
    </w:p>
    <w:p>
      <w:pPr>
        <w:ind w:left="720" w:hanging="388"/>
        <w:spacing w:after="0"/>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operating income for 2019 includes $5 million of transaction and integration costs and $49 million of restructuring expense.</w:t>
      </w:r>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transaction and integration costs for 2020 are primarily related to our previously announced exploration of strategic alternatives that was terminated in March 2020 and costs related to our planned acquisition of the Kuehne + Nagel business. For further information on our restructuring actions, see Note 6— Restructuring Charges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We also incurred net incremental and direct costs as a result of the COVID-19 pandemic in 2020.</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consolidated revenue for 2020 decreased by 2.4% to $16.3 billion, from $16.6 billion in 2019. The decrease primarily reflects the impact of COVID-19. Foreign currency movement increased revenue by approximately 0.6 percentage points in 2020.</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LTL and truckload businesses.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Cost of transportation and services in 2020 was $7.9 billion, or 48.3% of revenue, compared with $8.3 billion, or 49.9% of revenue in 2019. The year-over-year decrease as a percentage of revenue was primarily driven by a higher mix of logistics revenue, lower fuel costs and lower third-party transportation costs in our transportation segment, partially offset by incremental PPE and other COVID-19-related costs.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logistics facilities, last mile warehousing facilities, LTL service centers and European LTL network. Direct operating expenses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 operating expense in 2020 was $5.8 billion, or 35.9% of revenue, compared with $5.7 billion, or 34.1% of revenue, in 2019. The year-over-year increase as a percentage of revenue was primarily driven by the decline in revenue due to COVID-19, a higher mix of logistics revenue, higher facility and payroll costs, and incremental PPE and other COVID-19-related costs. Additionally, 2020 and 2019 included $92 million and $110 million, respectively, from gains on sales of property and equipment.</w:t>
      </w:r>
    </w:p>
    <w:p>
      <w:pPr>
        <w:spacing w:after="0" w:line="13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salaries and commissions for the sales function, salary and benefit costs for executive and certain administration functions, depreciation and amortization expense, professional fees, facility costs, bad debt expense and legal costs.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was $2.2 billion in 2020, or 13.4% of revenue, compared with $1.8 billion, or 11.1% of revenue, in 2019. The year-over-year increase in SG&amp;A as a percentage of revenue primarily resulted from the decline in revenue due to COVID-19, higher compensation costs, increased self-insurance expense and incremental PPE and other COVID-19-related costs. Compensation costs were higher for both the fourth quarter and the year ended December 31, 2020 in comparison to the prior-year periods due to the strength of our operating performance in a challenging macro-environment. Additionally, SG&amp;A for 2020 included approximately $74 million of expenses related to our exploration of strategic alternatives, including professional service fees and employee retention costs.</w:t>
      </w:r>
    </w:p>
    <w:p>
      <w:pPr>
        <w:spacing w:after="0" w:line="1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income primarily consists of pension income. Other income for 2020 was $79 million, compared with $54 million in 2019. The year-over-year increase reflects $27 million of higher net periodic pension income in 2020.</w:t>
      </w:r>
    </w:p>
    <w:p>
      <w:pPr>
        <w:spacing w:after="0" w:line="1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Foreign currency (gain) loss was a $3 million gain in 2020, compared with a $9 million loss in 2019. Foreign currency (gain) loss in 2020 primarily reflected unrealized gains on foreign currency option and forward contracts and a realized gain on a terminated net investment hedge, partially offset by foreign currency transaction and measurement losses. Foreign currency loss in 2019 primarily reflected unrealized losses on foreign currency option and forward contracts. For additional information on our foreign currency option and forward contracts, see Note 11—Derivative Instruments to our Consolidated Financial Statements.</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Debt extinguishment loss was $5 million in 2019 and related to the write-off of debt issuance costs for an unsecured credit facility (“Unsecured Credit Facility”) that was repaid in 2019. There were no debt extinguishment losses in 2020.</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for 2020 increased 11.3% to $325 million, from $292 million in 2019. The increase in interest expense was primarily due to higher average total indebtedness, including the senior notes due 2025 (the “Senior Notes due 2025”) that were issued in the second quarter of 2020, partially offset by lower interest rates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consolidated income before income taxes in 2020 was $148 million, compared with $569 million in 2019. The decrease primarily was driven by lower operating income in our Transportation and Logistics segments, as discussed below, and higher interest expense, partially offset by higher other income. With respect to our U.S. operations, income before income taxes decreased by $330 million in 2020, compared with the prior year, primarily due to the impact of COVID-19 and higher interest expense. With respect to our non-U.S. operations, income before income taxes decreased by $91 million in 2020 compared with the prior year, primarily due to the impact of COVID-19.</w:t>
      </w:r>
    </w:p>
    <w:p>
      <w:pPr>
        <w:spacing w:after="0" w:line="13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effective income tax rates were 21.1% and 22.6% in 2020 and 2019, respectively. The decrease in our effective income tax rate for the year ended December 31, 2020 compared to the year ended December 31, 2019 was primarily driven by income tax benefits associated with stock-based compensation.</w:t>
      </w:r>
    </w:p>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realized a $4 million reduction in cash taxes as well as an immaterial income tax benefit on our Consolidated Statements of Income in 2020. Additionally, we benefited from the ability to defer the payment of certain payroll taxes that would otherwise have been required in 2020. We have not applied for any government loans under the CARES Act or similar 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Consolidated Statements of Income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transportation and services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more information, see Note 6—Restructuring Charges to our Consolidated Financial Statements. Upon successful completion of the restructuring initiatives recorded in 2020, we expect to achieve annualized pre-tax savings of approximately $100 million by the end of 2021. In addition, we may incur incremental restructuring costs in 2021 in connection with the planned spin-off of our Logistics segment or for other reasons; however, we are currently unable to reasonably estimate these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840" w:type="dxa"/>
            <w:vAlign w:val="bottom"/>
            <w:gridSpan w:val="4"/>
          </w:tcPr>
          <w:p>
            <w:pPr>
              <w:ind w:left="780"/>
              <w:spacing w:after="0"/>
              <w:rPr>
                <w:sz w:val="20"/>
                <w:szCs w:val="20"/>
                <w:color w:val="auto"/>
              </w:rPr>
            </w:pPr>
            <w:r>
              <w:rPr>
                <w:rFonts w:ascii="Arial" w:cs="Arial" w:eastAsia="Arial" w:hAnsi="Arial"/>
                <w:sz w:val="14"/>
                <w:szCs w:val="14"/>
                <w:b w:val="1"/>
                <w:bCs w:val="1"/>
                <w:color w:val="auto"/>
              </w:rPr>
              <w:t>Percent of Revenue</w:t>
            </w:r>
          </w:p>
        </w:tc>
        <w:tc>
          <w:tcPr>
            <w:tcW w:w="1300" w:type="dxa"/>
            <w:vAlign w:val="bottom"/>
          </w:tcPr>
          <w:p>
            <w:pPr>
              <w:jc w:val="right"/>
              <w:ind w:right="343"/>
              <w:spacing w:after="0"/>
              <w:rPr>
                <w:sz w:val="20"/>
                <w:szCs w:val="20"/>
                <w:color w:val="auto"/>
              </w:rPr>
            </w:pPr>
            <w:r>
              <w:rPr>
                <w:rFonts w:ascii="Arial" w:cs="Arial" w:eastAsia="Arial" w:hAnsi="Arial"/>
                <w:sz w:val="14"/>
                <w:szCs w:val="14"/>
                <w:b w:val="1"/>
                <w:bCs w:val="1"/>
                <w:color w:val="auto"/>
              </w:rPr>
              <w:t>Change</w:t>
            </w:r>
          </w:p>
        </w:tc>
      </w:tr>
      <w:tr>
        <w:trPr>
          <w:trHeight w:val="188"/>
        </w:trPr>
        <w:tc>
          <w:tcPr>
            <w:tcW w:w="40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 vs. 2019</w:t>
            </w:r>
          </w:p>
        </w:tc>
      </w:tr>
      <w:tr>
        <w:trPr>
          <w:trHeight w:val="211"/>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10,199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3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depreciation and amortization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14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Revenue in our Transportation segment decreased 4.6% to $10.2 billion in 2020, compared with $10.7 billion in 2019. The decline in revenue primarily reflected the impact of COVID-19 and lower fuel revenue. Foreign currency movement increased revenue by approximately 0.4 percentage points in 2020.</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in our Transportation segment was $507 million, or 5.0% of revenue, in 2020, compared with $752 million, or 7.0% of revenue, in 2019. The decrease in operating income was primarily driven by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revenue, higher facility costs, expenses related to our exploration of strategic alternatives and incremental PPE and other COVID-19-related costs. These higher costs were partially offset by lower third-party transportation, fuel and personnel costs. Depreciation and amortization expense in 2019 included $6 million related to the impairment of customer relationship intangible assets associated with exiting the direct postal injection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840" w:type="dxa"/>
            <w:vAlign w:val="bottom"/>
            <w:gridSpan w:val="4"/>
          </w:tcPr>
          <w:p>
            <w:pPr>
              <w:ind w:left="780"/>
              <w:spacing w:after="0"/>
              <w:rPr>
                <w:sz w:val="20"/>
                <w:szCs w:val="20"/>
                <w:color w:val="auto"/>
              </w:rPr>
            </w:pPr>
            <w:r>
              <w:rPr>
                <w:rFonts w:ascii="Arial" w:cs="Arial" w:eastAsia="Arial" w:hAnsi="Arial"/>
                <w:sz w:val="14"/>
                <w:szCs w:val="14"/>
                <w:b w:val="1"/>
                <w:bCs w:val="1"/>
                <w:color w:val="auto"/>
              </w:rPr>
              <w:t>Percent of Revenue</w:t>
            </w:r>
          </w:p>
        </w:tc>
        <w:tc>
          <w:tcPr>
            <w:tcW w:w="1300" w:type="dxa"/>
            <w:vAlign w:val="bottom"/>
          </w:tcPr>
          <w:p>
            <w:pPr>
              <w:jc w:val="right"/>
              <w:ind w:right="343"/>
              <w:spacing w:after="0"/>
              <w:rPr>
                <w:sz w:val="20"/>
                <w:szCs w:val="20"/>
                <w:color w:val="auto"/>
              </w:rPr>
            </w:pPr>
            <w:r>
              <w:rPr>
                <w:rFonts w:ascii="Arial" w:cs="Arial" w:eastAsia="Arial" w:hAnsi="Arial"/>
                <w:sz w:val="14"/>
                <w:szCs w:val="14"/>
                <w:b w:val="1"/>
                <w:bCs w:val="1"/>
                <w:color w:val="auto"/>
              </w:rPr>
              <w:t>Change</w:t>
            </w:r>
          </w:p>
        </w:tc>
      </w:tr>
      <w:tr>
        <w:trPr>
          <w:trHeight w:val="188"/>
        </w:trPr>
        <w:tc>
          <w:tcPr>
            <w:tcW w:w="40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 vs. 2019</w:t>
            </w:r>
          </w:p>
        </w:tc>
      </w:tr>
      <w:tr>
        <w:trPr>
          <w:trHeight w:val="211"/>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 in our Logistics segment increased 1.5% to $6.2 billion in 2020, compared with $6.1 billion in 2019. The increase in revenue compared to 2019 reflects growth in our European business, partially offset by the impact of COVID-19, our elimination of certain low-margin business and the downsizing of business by one of our largest customers in North America in 2019. Foreign currency movement increased revenue by approximately 0.8 percentage points in 2020.</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Operating income in our Logistics segment was $140 million, or 2.3% of revenue in 2020, compared with $241 million, or 3.9% of revenue, in 2019. The decrease in operating income was primarily driven by the impact of COVID-19 on revenues, costs and margins, increased depreciation and amortization expense, expenses related to our exploration of strategic alternatives and higher personnel costs, partially offset by higher revenue. Depreciation and amortization expense increased year-over-year due to the impact of prior capital investments, new contract startups and accelerated depreciation due to contract modifications.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principal existing sources of cash are (i) cash generated from operations; (ii) borrowings available under our Second Amended and Restated Revolving Loan Credit Agreement, as amended (the “ABL Facility”) and a Senior Secured Term Loan Credit Agreement; and (iii) proceeds from the issuance of other debt. As of December 31, 2020, we have $883 million available to draw under our ABL Facility, based on a borrowing base of $1.1 billion, outstanding borrowings of $200 million and outstanding letters of credit of $17 million, as well as $150 million available to draw under the Senior Secured Term Loan Credit Agreement.</w:t>
      </w:r>
    </w:p>
    <w:p>
      <w:pPr>
        <w:spacing w:after="0" w:line="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cash and cash equivalents balance was $2.1 billion as of December 31, 2020, compared to $377 million as of December 31, 2019. The increase in cash and cash equivalents is largely due to the issuance of our Senior Notes due 2025 in 2020 and cash flows generated from operating activities in 2020.</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Managing our balance sheet prudently and maintaining appropriate liquidity are high priorities during the disruption caused by COVID-19. In order to best position us to navigate this uncertain period, we have taken a number of actions to further strengthen our liquidity.</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borrowed a net $200 million in revolving loans under our existing ABL Facility in 2020. In addition, in April 2020, we entered into the Senior Secured Term Loan Credit Agreement which allows us to borrow up to $150 million in aggregate principal amount of committed secured term loans and request the issuance of up to $200 million in aggregate face amount of secured letters of credit under an evergreen letter of credit facility. Also in the second quarter of 2020, we completed private placements of $1.15 billion aggregate principal amount of Senior Notes due 2025. The Senior Secured Term Loan Credit Agreement and Senior Notes due 2025 are discussed further below. In June 2020, we amended certain provisions of the ABL Facility to provide additional debt financing flexibility.</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next 12 months. In conjunction with the planned spin-off of our Logistics segment, we expect to further evaluate our liquidity needs, capital structure and sources of capital for the Transportation and Logistics businesses on a stand-alone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13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 In the securitization and factoring arrangements, any of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Consolidated Balance Sheets.</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a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Consolidated Balance Sheets. The cash payment which we received on the date of the transfer was reflected within Net cash provided by operating activities on our Consolidated Statement of Cash Flows. As we received cash payments on the deferred purchase price receivable, it was reflected as an investing activity. The new program does not include a deferred purchase price mechanism.</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new program, inclusive of any unsecured borrowings, is €400 million (approximately $489 million as of December 31, 2020). As of December 31, 2020, €75 million (approximately $92 million) was available to us, subject to having sufficient receivables available to sell to the Purchasers.</w:t>
      </w:r>
    </w:p>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current program, we service the receivables we sell on behalf of the Purchasers, which gives us visibility into the timing of customer payments. The benefit to our cash flow includes the difference between the cash consideration in the table below and the amount we collected as a servicer on behalf of the Purchasers. In 2020 and 2019, we collected cash as servicer of $2.9 billion and $2.2 billion,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3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 xml:space="preserve">Securitization programs </w:t>
            </w:r>
            <w:r>
              <w:rPr>
                <w:rFonts w:ascii="Arial" w:cs="Arial" w:eastAsia="Arial" w:hAnsi="Arial"/>
                <w:sz w:val="23"/>
                <w:szCs w:val="23"/>
                <w:b w:val="1"/>
                <w:bCs w:val="1"/>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6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r>
    </w:tbl>
    <w:p>
      <w:pPr>
        <w:spacing w:after="0" w:line="88" w:lineRule="exact"/>
        <w:rPr>
          <w:sz w:val="20"/>
          <w:szCs w:val="20"/>
          <w:color w:val="auto"/>
        </w:rPr>
      </w:pPr>
    </w:p>
    <w:p>
      <w:pPr>
        <w:ind w:left="660" w:right="100" w:hanging="328"/>
        <w:spacing w:after="0" w:line="257" w:lineRule="auto"/>
        <w:tabs>
          <w:tab w:leader="none" w:pos="648"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while under the new program, all transfers are accounted for as sales. This change had the effect of increasing the amount of trade receivables we reported as sold in 2019.</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cash considerations referenced above, we received $186 million in the year ended December 31, 2019,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7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April 2020, we entered into a Senior Secured Term Loan Credit Agreement, comprised of a $150 million committed secured term loan facility and a $200 million uncommitted secured evergreen letter of credit facility. We did not draw on the term loan facility through its term, which ended in January 2021.</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Letters of credit under the letter of credit facility shall expire within one year of issuance and may contain automatic one-year renewals until the letter of credit facility terminates. As of December 31, 2020, we have issued $200 million in aggregate face amount of letters of credit, and have not drawn 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March 2019, we entered into an amendment to our senior secured term loan credit agreement (the “Term Loan Credit Agreement”) and borrowed an additional $500 million of incremental loans under a new tranche of term loans. For more information on the amendment, refer to Note 12—Debt to our Consolidated Financial Statements. Proceeds from the new tranche of loans were used for general corporate purposes, including funding purchases of our common stock as described in Note 14—Stockholders’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Net proceeds from the notes were invested in cash and cash equivalents.</w:t>
      </w:r>
    </w:p>
    <w:p>
      <w:pPr>
        <w:spacing w:after="0" w:line="11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February 2019, we completed a private placement of $1.0 billion aggregate principal amount of senior notes (“Senior Notes due 2024”). We used the proceeds from the Senior Notes due 2024 to repay our outstanding obligation under the Unsecured Credit Facility described below and to finance a portion of our share repurchases described in Note 14—Stockholders’ Equity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we redeemed our outstanding Senior Notes due 2022 that were originally issued in 2015. See Note 19—Subsequent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356235</wp:posOffset>
            </wp:positionV>
            <wp:extent cx="32575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2018, we entered into a $500 million Unsecured Credit Facility and borrowed $250 million. We borrowed an additional $250 million in January 2019. We used the proceeds of both borrowings to finance a portion of our share repurchases described in Note 14—Stockholders’ Equity to our Consolidated Financial Statements. In connection with the issuance of the Senior Notes due 2024 described above, we repaid our outstanding obligations under the Unsecured Credit Facility and terminated it in February 2019. We recorded a debt extinguishment loss of $5 million in 2019 in connection with this repayment.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and Warrant Exchanges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69,445 shares were exchanged, and we issued 9.9 million shares of common stock and paid $22 million of cash. The $22 million has been reflected as a preferred stock conversion charge in the accompanying consolidated financial statements. With respect to the warrants, 0.3 million warrants were exchanged, and we issued 0.3 million shares of common stock. Additional commitments were made with respect to 9.6 million warrants, which are expected to be converted into 9.1 million shares of common stock in the first quarter of 2021. These exchanges are intended to simplify our equity capital structure, including in contemplation of our previously announced plan to pursue a spin-off of our Logistics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which was completed in the first quarter of 2019. The share repurchases were funded by our Unsecured Credit Facility and available cash.</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2019, our Board of Directors authorized additional repurchases of up to $1.5 billion of our common stock.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this program have been funded by our available cash and proceeds from our 2019 debt offerings.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Aggregate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5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5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Remaining authorization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c>
          <w:tcPr>
            <w:tcW w:w="5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we were in compliance with the covenants and other provisions of our debt agreements. Any failure to comply with any material provision or covenant of these agreements could have a material adverse effect on our liquidity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LIBOR</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Uncertainty related to the London Interbank Offered Rate (“LIBOR”) phase-out at the end of 2021 may adversely impact the value of, and our obligations under, our ABL and term loan facilities. See the applicable discussion under 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on our Consolidated Statements of Cash Flows, are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2020, we: (i) generated cash from operating activities of $885 million; (ii) generated proceeds from sales of property and equipment (primarily real estate) of $195 million and (iii) received net proceeds of $1.4 billion from our issuances of debt and short-term borrowings. We used cash during this period primarily to: (i) purchase property and equipment of $526 million; (ii) repurchase common stock of $114 million; and (iii) make payments on debt and finance leases of $102 million.</w:t>
      </w:r>
    </w:p>
    <w:p>
      <w:pPr>
        <w:spacing w:after="0" w:line="1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2019, we: (i) generated cash from operating activities of $791 million; (ii) generated proceeds from sales of property and equipment of $252 million; (iii) collected $186 million on the deferred purchase price receivable as described above; and (iv) received proceeds of $1.8 billion on our debt. We used cash during this period primarily to: (i) purchase property and equipment of $601 million; (ii) repurchase common stock of $1.3 billion; (iii) make payments on debt and finance leases of $867 million and (iv) purchase noncontrolling interests of $258 million.</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Cash flows from operating activities for 2020 increased by $94 million compared with 2019. The increase reflects the impact of operating assets and liabilities generating $499 million more in cash in 2020, partially offset by lower net income. Within operating assets and liabilities, accrued expenses and other liabilities was a source of cash for 2020 as compared to a use of cash in 2019. This fluctuation primarily reflects the deferral of certain tax payments and an increase in compensation and purchased transportation accruals in 2020. Partially offsetting the impact of accrued expenses and other liabilities was the higher use of cash due to increased accounts receivable as a result of higher revenues in the fourth quarter of 2020 compared to 2019.</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Investing activities used $357 million of cash in 2020 compared with $161 million used in 2019. During 2020, we used $526 million of cash to purchase property and equipment and received $195 million from sales of property and equipment. During 2019, we used $601 million of cash to purchase property and equipment, received $252 million of cash from sales of property and equipment and received proceeds of $186 million related to the realization of cash on deferred purchase price receivable.</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Financing activities generated $1.1 billion of cash in 2020 and used $759 million of cash in 2019. The primary sources of cash from financing activities in 2020 were $1.1 billion of net proceeds from the issuance of Senior Notes due 2025; $200 million of proceeds from borrowings on our ABL Facility, net of payments, and $47 million from net borrowings related to our securitization program. The primary uses of cash from financing activities in 2020 were $114 million used to purchase XPO common stock and $102 million used to repay debt and finance leases. By comparison, the primary uses of cash from financing activities in 2019 were $1.3 billion to repurchase XPO common stock, $867 million used to repay debt and finance leases, and $258 million used to purchase a shareholder’s noncontrolling interest in XPO Logistics Europe SA. The primary source of cash from financing activities in 2019 was $1.7 billion of net proceeds from the issuance of long-term debt,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sponsor both funded and unfunded defined benefit plans for some employees in the U.S. and internationally. The largest of these plans include the funded U.S. plan and the unfunded U.S. plan and the funded U.K. plan. Historically, we have realized income, rather than expense, from these plans. We generated aggregate income from our U.S. and U.K. plans of $83 million in 2020, $54 million in 2019 and $74 million in 2018. The plans have been generating income due to their funded status and because they do not allow for new plan participants or additional benefit accruals.</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used in determining the net periodic benefit costs and benefit obligations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ind w:left="580"/>
              <w:spacing w:after="0"/>
              <w:rPr>
                <w:sz w:val="20"/>
                <w:szCs w:val="20"/>
                <w:color w:val="auto"/>
              </w:rPr>
            </w:pPr>
            <w:r>
              <w:rPr>
                <w:rFonts w:ascii="Arial" w:cs="Arial" w:eastAsia="Arial" w:hAnsi="Arial"/>
                <w:sz w:val="14"/>
                <w:szCs w:val="14"/>
                <w:b w:val="1"/>
                <w:bCs w:val="1"/>
                <w:color w:val="auto"/>
              </w:rPr>
              <w:t>U.S. Qualified Plans</w:t>
            </w: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U.S. Non-Qualified Plans</w:t>
            </w:r>
          </w:p>
        </w:tc>
        <w:tc>
          <w:tcPr>
            <w:tcW w:w="1600" w:type="dxa"/>
            <w:vAlign w:val="bottom"/>
            <w:gridSpan w:val="3"/>
          </w:tcPr>
          <w:p>
            <w:pPr>
              <w:ind w:left="920"/>
              <w:spacing w:after="0"/>
              <w:rPr>
                <w:sz w:val="20"/>
                <w:szCs w:val="20"/>
                <w:color w:val="auto"/>
              </w:rPr>
            </w:pPr>
            <w:r>
              <w:rPr>
                <w:rFonts w:ascii="Arial" w:cs="Arial" w:eastAsia="Arial" w:hAnsi="Arial"/>
                <w:sz w:val="14"/>
                <w:szCs w:val="14"/>
                <w:b w:val="1"/>
                <w:bCs w:val="1"/>
                <w:color w:val="auto"/>
              </w:rPr>
              <w:t>U.K. Plan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1"/>
        </w:trPr>
        <w:tc>
          <w:tcPr>
            <w:tcW w:w="40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Discount rate - net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2.40% - 2.78%</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3.65% - 3.95%</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1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periodic benefit costs</w:t>
            </w: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Discount rate - benefit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3"/>
              </w:rPr>
              <w:t>1.62% - 2.30%</w:t>
            </w:r>
          </w:p>
        </w:tc>
        <w:tc>
          <w:tcPr>
            <w:tcW w:w="1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1"/>
              </w:rPr>
              <w:t>2.72% - 3.20%</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06"/>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obligations</w:t>
            </w: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increase or decrease of 25 basis points in the discount rate would decrease or increase our 2020 pre-tax pension income by $3 million for the U.S. plans and $2 million for the U.K. plan, respectively.</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of Return on Plan Assets</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using a long-term liability-driven investment strategy that seeks to mitigate the funded status volatility by increasing participation in fixed-income investments generally as funded status increases. This strategy was developed by analyzing a variety of diversified asset-class combinations in conjunction with the projected liabilities of the plans.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year ended December 31, 2020, our expected return on plan assets was $102 million for the U.S. plans and $57 million for the U.K. plan, compared to the actual return on plan assets of $274 million for the U.S. plans and $120 million for the U.K. plan. The actual annualized return on plan assets for the U.S. plans for 2020 was approximately 15%, which was above the expected return on asset assumption for the year due to positive performance in a strong long duration fixed income market environment, which represented over 82% of the portfolio, and positive performance from the domestic and international equity markets. The actual annualized return on plan assets for the U.K. plan for 2020 was approximately 11%, which was above the expected return on asset assumption for the year as a result of strong performances across equity and credit asset classes. An increase or decrease of 25 basis points in the expected return on plan assets would increase or decrease our 2020 pre-tax pension income by $5 million for the U.S. plans and $3 million for the U.K.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Actuarial Gains and Losses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Changes in the discount rate and/or differences between the expected and actual rate of return on plan assets results in unrecognized actuarial gains or losses. For our defined benefit pension plans, accumulated unrecognized actuarial losses were $50 million for the U.S. plans and $158 million for the U.K. plan as of December 31, 2020. The portion of the unrecognized actuarial gain/loss that exceeds 10% of the greater of the projected benefit obligation or the fair value of plan assets at the beginning of the year is amortized and recognized as income/expense over the estimated average remaining life expectancy of plan participants. We expect to recognize $1 million of amortization of actuarial gain in our net periodic benefit income for the U.K. plan for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Results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effects of the defined benefit pension plans on our results consist primarily of the net effect of the interest cost on plan obligations for the U.S. plans and the U.K. plan, and the expected return on plan assets. We estimate that the defined benefit pension plans will contribute annual pre-tax income in 2021 of $61 million for the U.S. plans and $41 million for the U.K.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w:t>
      </w:r>
    </w:p>
    <w:p>
      <w:pPr>
        <w:spacing w:after="0" w:line="17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 determining the amount and timing of pension contributions for the U.S. plans, we consider our cash position, the funded status as measured by the Pension Protection Act of 2006 and generally accepted accounting principles, and the tax deductibility of contributions, among other factors. We contributed $5 million to the U.S. plans in 2020 and 2019, respectively, and we estimate that we will contribute $5 million to the U.S. plans in 2021.</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U.K. plan, the amount and timing of pension contributions are determined in accordance with U.K. pension codes and trustee negotiations. We contributed $3 million and $2 million to the U.K. plan in 2020 and 2019, respectively. We estimate that we will contribute $1 million to the U.K. plan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13—Employee Benefit Plans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2020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1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(excluding 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416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Interest on debt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340" w:hanging="328"/>
        <w:spacing w:after="0" w:line="273"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December 31, 2020, we had additional operating leases that have not yet commenced with future undiscounted lease payments of $202 million. These operating leases will commence in 2021 through 2022 with initial lease terms of 2 years to 15 years.</w:t>
      </w:r>
    </w:p>
    <w:p>
      <w:pPr>
        <w:spacing w:after="0" w:line="119"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Estimated interest payments have been calculated based on the principal amount of debt and the applicable interest rates as of December 31, 2020.</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2020, our Consolidated Balance Sheet reflects a long-term liability of $371 million for deferred taxes. Additionally, our Consolidated Balance Sheet reflects gross unrecognized tax benefits of $27 million, which are primarily included in long-term liabilities.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314960</wp:posOffset>
            </wp:positionV>
            <wp:extent cx="325755"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$475 million and $525 million in 2021 (without giving effect to the planned spin-off of our Logistics segment), funded by cash on hand and available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prepare our consolidated financial statements in accordance with U.S. generally accepted accounting principles. A summary of our significant accounting policies is contained in Note 2—Basis of Presentation and Significant Accounting Policies to our Consolidated Financial Statements.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all five of our reporting units using a combination of income and market approaches, with the assistance of a third-party valuation appraiser. As of August 31, 2020 and 2019, we completed our annual impairment tests for goodwill with all of our reporting units having fair values in excess of their carrying values, resulting in no impairment of goodwill.</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a combination of self-insurance programs and purchased insurance to provide for the costs of medical, casualty, liability, vehicular, cargo and workers’ compensation claims. We periodically evaluate our level of insurance coverage and adjust our insurance levels based on risk tolerance and premium expense. 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We believe the actuarial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328295</wp:posOffset>
            </wp:positionV>
            <wp:extent cx="32575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methods are appropriate for measuring these self-insurance accruals. However, based on the number of claims and the length of time from incurrence of the claims to ultimate settlement, the use of any estimation method is sensitive to the assumptions and factors described above. Accordingly, changes in these assumptions and factors can affect the estimated liability and those amounts may be different than the actual costs paid to settle the claims.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We review our tax positions quarterly and as new information becomes available. Our effective tax rate in any financial statement period may be materially impacted by changes in the mix and/or level of earnings by taxing jurisdiction.</w:t>
      </w:r>
    </w:p>
    <w:p>
      <w:pPr>
        <w:spacing w:after="0" w:line="1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our operations. Valuation allowances are established when, in management’s judgment, it is more likely than not that our deferred tax assets will not be realized. In assessing the need for a valuation allowance, management weighs the available positive and negative evidence, including limitations on the use of tax losses and other carryforwards due to changes in ownership, historic information, and projections of future sources of taxable income that include and exclude future reversals of taxable temporary differences.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Our market risk disclosures involve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changes in interest rates on our debt, as follows: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Term Loan Facilities</w:t>
      </w:r>
      <w:r>
        <w:rPr>
          <w:rFonts w:ascii="Arial" w:cs="Arial" w:eastAsia="Arial" w:hAnsi="Arial"/>
          <w:sz w:val="18"/>
          <w:szCs w:val="18"/>
          <w:color w:val="auto"/>
        </w:rPr>
        <w:t>. As of December 31, 2020, we had an aggregate principal amount outstanding of $2.0 billion on our Term Loan Facilities.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fluctuates based on LIBOR or a Base Rate, as defined in the agreement, plus an applicable margin. Assuming an average annual aggregate principal amount outstanding of $2.0 billion, a hypothetical 1% increase in the interest rate would have increased our annual interest expense by $20 million. Additionally, we utilize short-term interest rate swaps to mitigate variability in forecasted interest payments on our Term Loan Facilities. The interest rate swaps convert floating-rate interest payments into fixed rate interest payments.</w:t>
      </w:r>
    </w:p>
    <w:p>
      <w:pPr>
        <w:spacing w:after="0" w:line="13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ABL Facility</w:t>
      </w:r>
      <w:r>
        <w:rPr>
          <w:rFonts w:ascii="Arial" w:cs="Arial" w:eastAsia="Arial" w:hAnsi="Arial"/>
          <w:sz w:val="18"/>
          <w:szCs w:val="18"/>
          <w:color w:val="auto"/>
        </w:rPr>
        <w:t>. The interest rates on our ABL Facility fluctuate based on LIBOR or a Base Rate, as defined in the agreement, plus an applicable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our $1.1 billion ABL Facility was fully drawn throughout 2020, a hypothetical 1% change in the interest rate would have increased our annual interest expense by $11 million.</w:t>
      </w:r>
    </w:p>
    <w:p>
      <w:pPr>
        <w:spacing w:after="0" w:line="13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Fixed Rate Debt. </w:t>
      </w:r>
      <w:r>
        <w:rPr>
          <w:rFonts w:ascii="Arial" w:cs="Arial" w:eastAsia="Arial" w:hAnsi="Arial"/>
          <w:sz w:val="16"/>
          <w:szCs w:val="16"/>
          <w:color w:val="auto"/>
        </w:rPr>
        <w:t>As of December 31, 2020, we had an aggregate principal amount outstanding of $4.2 billion of indebtedness (excluding finance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that bears interest at fixed rates. A 1% decrease in market interest rates as of December 31, 2020 would increase the fair value of our fixed-rate indebtedness by approximately 3%. For additional information concerning our debt, see Note 12—Debt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300990</wp:posOffset>
            </wp:positionV>
            <wp:extent cx="32575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also have exposure to changes in interest rates as a result of our cash balances, which totaled $2.1 billion as of December 31, 2020 and generally earn interest income that approximates LIBOR. Assuming an annual average cash balance as of $2.1 billion, a hypothetical 1% increase in the interest rate would reduce our net interest expense by $21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 significant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issuances of our Senior Notes due 2023 and Senior Notes due 2022, we entered into cross-currency swap agreements to manage our foreign currency exchange risk by effectively converting a portion of the fixed-rate USD-denominated notes, including the interest payments, to fixed-rate, EUR-denominated debt. The risk management objective is to manage foreign currency risk relating to net investments in subsidiaries denominated in foreign currencies.</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use foreign currency option contracts to mitigate the risk of a reduction in the value of earnings from our operations that use the EUR or GBP as their functional currency.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2020, a uniform 10% strengthening in the value of the USD relative to the EUR would have resulted in a decrease in net assets of $63 million. As of December 31, 2020, a uniform 10% strengthening in the value of the USD relative to the GBP would have resulted in a decrease in net assets of $53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exposed to price fluctuations for diesel fuel purchased for use in our vehicles. During the year ended December 31, 2020, diesel prices fluctuated by as much as 12% in France, 8% in the United Kingdom, and 30% in the United States. However, we include price adjustment clauses or cost-recovery mechanisms in many of our customer contracts in the event of a change in the cost to purchase fuel. The clauses mean that substantially all fluctuations in the purchase price of diesel, except for short-term economic fluctuations, can be passed on to customers in the sales price. Therefore, a hypothetical 10% change in the price of diesel would not be expected to materially affect our financial performance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308610</wp:posOffset>
            </wp:positionV>
            <wp:extent cx="32575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Page No.</w:t>
            </w:r>
          </w:p>
        </w:tc>
      </w:tr>
      <w:tr>
        <w:trPr>
          <w:trHeight w:val="210"/>
        </w:trPr>
        <w:tc>
          <w:tcPr>
            <w:tcW w:w="10220" w:type="dxa"/>
            <w:vAlign w:val="bottom"/>
          </w:tcPr>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Report of Independent Registered Public Accounting Firm</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2">
              <w:r>
                <w:rPr>
                  <w:rFonts w:ascii="Arial" w:cs="Arial" w:eastAsia="Arial" w:hAnsi="Arial"/>
                  <w:sz w:val="16"/>
                  <w:szCs w:val="16"/>
                  <w:u w:val="single" w:color="auto"/>
                  <w:color w:val="0000FF"/>
                  <w:w w:val="89"/>
                </w:rPr>
                <w:t>53</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Consolidated Balance Sheets as of December 31, 2020 and 2019</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5">
              <w:r>
                <w:rPr>
                  <w:rFonts w:ascii="Arial" w:cs="Arial" w:eastAsia="Arial" w:hAnsi="Arial"/>
                  <w:sz w:val="16"/>
                  <w:szCs w:val="16"/>
                  <w:u w:val="single" w:color="auto"/>
                  <w:color w:val="0000FF"/>
                  <w:w w:val="89"/>
                </w:rPr>
                <w:t>56</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Consolidated Statements of Income for the Years Ended December 31, 2020, 2019 and 2018</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6">
              <w:r>
                <w:rPr>
                  <w:rFonts w:ascii="Arial" w:cs="Arial" w:eastAsia="Arial" w:hAnsi="Arial"/>
                  <w:sz w:val="16"/>
                  <w:szCs w:val="16"/>
                  <w:u w:val="single" w:color="auto"/>
                  <w:color w:val="0000FF"/>
                  <w:w w:val="89"/>
                </w:rPr>
                <w:t>57</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Consolidated Statements of Comprehensive Income for the Years Ended December 31, 2020, 2019 and 2018</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7">
              <w:r>
                <w:rPr>
                  <w:rFonts w:ascii="Arial" w:cs="Arial" w:eastAsia="Arial" w:hAnsi="Arial"/>
                  <w:sz w:val="16"/>
                  <w:szCs w:val="16"/>
                  <w:u w:val="single" w:color="auto"/>
                  <w:color w:val="0000FF"/>
                  <w:w w:val="89"/>
                </w:rPr>
                <w:t>58</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Consolidated Statements of Cash Flows for the Years Ended December 31, 2020, 2019 and 2018</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8">
              <w:r>
                <w:rPr>
                  <w:rFonts w:ascii="Arial" w:cs="Arial" w:eastAsia="Arial" w:hAnsi="Arial"/>
                  <w:sz w:val="16"/>
                  <w:szCs w:val="16"/>
                  <w:u w:val="single" w:color="auto"/>
                  <w:color w:val="0000FF"/>
                  <w:w w:val="89"/>
                </w:rPr>
                <w:t>59</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Consolidated Statements of Changes in Equity for the Years Ended December 31, 2020, 2019 and 2018</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59">
              <w:r>
                <w:rPr>
                  <w:rFonts w:ascii="Arial" w:cs="Arial" w:eastAsia="Arial" w:hAnsi="Arial"/>
                  <w:sz w:val="16"/>
                  <w:szCs w:val="16"/>
                  <w:u w:val="single" w:color="auto"/>
                  <w:color w:val="0000FF"/>
                  <w:w w:val="89"/>
                </w:rPr>
                <w:t>60</w:t>
              </w:r>
            </w:hyperlink>
          </w:p>
        </w:tc>
      </w:tr>
      <w:tr>
        <w:trPr>
          <w:trHeight w:val="378"/>
        </w:trPr>
        <w:tc>
          <w:tcPr>
            <w:tcW w:w="10220" w:type="dxa"/>
            <w:vAlign w:val="bottom"/>
          </w:tcPr>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Notes to Consolidated Financial Statements</w:t>
              </w:r>
            </w:hyperlink>
          </w:p>
        </w:tc>
        <w:tc>
          <w:tcPr>
            <w:tcW w:w="1000" w:type="dxa"/>
            <w:vAlign w:val="bottom"/>
          </w:tcPr>
          <w:p>
            <w:pPr>
              <w:jc w:val="center"/>
              <w:spacing w:after="0"/>
              <w:rPr>
                <w:rFonts w:ascii="Arial" w:cs="Arial" w:eastAsia="Arial" w:hAnsi="Arial"/>
                <w:sz w:val="16"/>
                <w:szCs w:val="16"/>
                <w:u w:val="single" w:color="auto"/>
                <w:color w:val="0000FF"/>
                <w:w w:val="89"/>
              </w:rPr>
            </w:pPr>
            <w:hyperlink w:anchor="page61">
              <w:r>
                <w:rPr>
                  <w:rFonts w:ascii="Arial" w:cs="Arial" w:eastAsia="Arial" w:hAnsi="Arial"/>
                  <w:sz w:val="16"/>
                  <w:szCs w:val="16"/>
                  <w:u w:val="single" w:color="auto"/>
                  <w:color w:val="0000FF"/>
                  <w:w w:val="89"/>
                </w:rPr>
                <w:t>62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560705</wp:posOffset>
            </wp:positionV>
            <wp:extent cx="32575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XPO Logistics, Inc. and subsidiaries (the Company) as of December 31, 2020 and 2019, the related consolidated statements of income, comprehensive income, cash flows, and changes in equity for each of the years in the three-year period ended December 31, 2020, and the related notes (collectively,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discussed in Note 8 to the consolidated financial statements, the Company changed its method of accounting for leases in 2019 due to the adoption of Accounting Standard Update (ASU) No. 2016-02, Leases and its related amendments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260350</wp:posOffset>
            </wp:positionV>
            <wp:extent cx="32575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for self-insured claims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discussed in Note 2 to the consolidated financial statements, the Company uses a combination of self-insurance programs and purchased insurance to provide for the costs of liability,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2020.</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 historical cost experience, severity factors, and judgments about current and expected levels of cost per claims and retention levels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assess these estimates.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34" w:lineRule="exact"/>
        <w:rPr>
          <w:sz w:val="20"/>
          <w:szCs w:val="20"/>
          <w:color w:val="auto"/>
        </w:rPr>
      </w:pPr>
    </w:p>
    <w:p>
      <w:pPr>
        <w:ind w:left="5520" w:right="2680" w:hanging="5188"/>
        <w:spacing w:after="0" w:line="856"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comparing the Company’s actuarial reserving methodologies with accepted actuarial methods and procedures </w:t>
      </w:r>
      <w:r>
        <w:rPr>
          <w:rFonts w:ascii="Arial" w:cs="Arial" w:eastAsia="Arial" w:hAnsi="Arial"/>
          <w:sz w:val="18"/>
          <w:szCs w:val="18"/>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-508000</wp:posOffset>
            </wp:positionV>
            <wp:extent cx="659193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91935" cy="20574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assumptions used in determining the liability, including expected level of cost per claim and retention levels, in relation to recent historical loss payment trends and severity factors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 independent expected range of liabilities, including liabilities for claims that have been incurred but have not been recorded, based on actuarial methodologies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comparing the Company’s recorded liability to the independently developed liability range.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the carrying value of goodwill</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discussed in Notes 2 and 9 to the consolidated financial statements, the goodwill balance as of December 31, 2020 was $4,599 million. The Company performs goodwill impairment testing annually, or more frequently if events or circumstances indicate the carrying value of a reporting unit that includes goodwill might exceed the fair value of that reporting unit. In assessing the carrying value of goodwill, the Company uses a third-party appraiser, who uses a combination of an income approach and a market approach to estimate fair value. The income approach is based on the present value of estimated future cash flows, discounted at a risk-adjusted rate to estimate the fair value of the reporting units. The market approach is based on comparable market multiples for companies engaged in similar business, as well as recent transactions within the industry.</w:t>
      </w:r>
    </w:p>
    <w:p>
      <w:pPr>
        <w:spacing w:after="0" w:line="12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identified the assessment of the carrying value of goodwill for each of the Company’s reporting units as a critical audit matter. Assessment of certain assumptions used to estimate fair value under the income approach, including the fair value model, long-term future growth rates, and the risk-adjusted discount rate, had estimation uncertainty, which resulted in subjective auditor judgment and required specialized skills and knowledge. Additionally, assessment of the guideline public companies and transactions within the industry used to estimate fair value under the market approach required significant auditor judgment. Changes to these assumptions may have a significant effect on the Company’s assessment of the carrying value of the goodwill.</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are the primary procedures performed to address this critical audit matter. We evaluated the design and tested the operating effectiveness of certain internal controls over the Company’s goodwill impairment assessment process. This included controls related to the determination of the fair value of the reporting units, the estimate of long-term future growth rates, the assumptions used to develop the risk-adjusted discount rates, and the determination of the guideline public companies and transactions within the industry. We performed sensitivity analyses over the fair value model for long-term future growth rates to assess their impact on the Company’s determination of the fair value of each reporting unit. We compared the Company’s historical growth rate forecast to actual results to assess the Company’s ability to accurately forecast. We involved valuation professionals with specialized skill and knowledge, who assisted in:</w:t>
      </w:r>
    </w:p>
    <w:p>
      <w:pPr>
        <w:spacing w:after="0" w:line="14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comparing the valuation methodologies used by the Company to valuation standards</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comparing the Company’s risk-adjusted discount rates to risk-adjusted discount rate ranges that were independently developed using publicly available third-party market data for comparable entities</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comparing the long-term growth rates to industry data, economic growth data, and long-term growth rates used by the Company in prior years’ valuation analyses</w:t>
      </w:r>
    </w:p>
    <w:p>
      <w:pPr>
        <w:spacing w:after="0" w:line="116"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evaluating the guideline public companies and transactions used by the Company by reading the business descriptions, examining financial metrics of the comparable public companies and transactions within the industry, and considering market participant guidance and perspective.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306070</wp:posOffset>
            </wp:positionV>
            <wp:extent cx="32575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1"/>
        </w:trPr>
        <w:tc>
          <w:tcPr>
            <w:tcW w:w="8760" w:type="dxa"/>
            <w:vAlign w:val="bottom"/>
            <w:tcBorders>
              <w:top w:val="single" w:sz="8" w:color="auto"/>
            </w:tcBorders>
            <w:shd w:val="clear" w:color="auto" w:fill="CCEEFF"/>
          </w:tcPr>
          <w:p>
            <w:pPr>
              <w:ind w:left="408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Accounts receivable, net of allowances of $65 and $58,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Property and equipment, net of $2,568 and $2,054 in accumulated depreciation,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Identifiable intangible assets, net of $909 and $784 in accumulated amortization, respectively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Total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10,786</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14,128</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60" w:type="dxa"/>
            <w:vAlign w:val="bottom"/>
            <w:gridSpan w:val="2"/>
            <w:shd w:val="clear" w:color="auto" w:fill="CCEEFF"/>
          </w:tcPr>
          <w:p>
            <w:pPr>
              <w:ind w:left="26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Short-term borrowings and current maturities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Short-term operating lease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3"/>
        </w:trPr>
        <w:tc>
          <w:tcPr>
            <w:tcW w:w="8860" w:type="dxa"/>
            <w:vAlign w:val="bottom"/>
            <w:gridSpan w:val="2"/>
            <w:shd w:val="clear" w:color="auto" w:fill="CCEEFF"/>
          </w:tcPr>
          <w:p>
            <w:pPr>
              <w:ind w:left="620"/>
              <w:spacing w:after="0"/>
              <w:rPr>
                <w:sz w:val="20"/>
                <w:szCs w:val="20"/>
                <w:color w:val="auto"/>
              </w:rPr>
            </w:pPr>
            <w:r>
              <w:rPr>
                <w:rFonts w:ascii="Arial" w:cs="Arial" w:eastAsia="Arial" w:hAnsi="Arial"/>
                <w:sz w:val="16"/>
                <w:szCs w:val="16"/>
                <w:b w:val="1"/>
                <w:bCs w:val="1"/>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193"/>
        </w:trPr>
        <w:tc>
          <w:tcPr>
            <w:tcW w:w="88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860" w:type="dxa"/>
            <w:vAlign w:val="bottom"/>
            <w:gridSpan w:val="2"/>
            <w:shd w:val="clear" w:color="auto" w:fill="CCEEFF"/>
          </w:tcPr>
          <w:p>
            <w:pPr>
              <w:ind w:left="300"/>
              <w:spacing w:after="0" w:line="168" w:lineRule="exact"/>
              <w:rPr>
                <w:sz w:val="20"/>
                <w:szCs w:val="20"/>
                <w:color w:val="auto"/>
              </w:rPr>
            </w:pPr>
            <w:r>
              <w:rPr>
                <w:rFonts w:ascii="Arial" w:cs="Arial" w:eastAsia="Arial" w:hAnsi="Arial"/>
                <w:sz w:val="16"/>
                <w:szCs w:val="16"/>
                <w:color w:val="auto"/>
              </w:rPr>
              <w:t>Convertible perpetual preferred stock, $0.001 par value; 10 shares authorized; 0.001 and 0.07 of</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Series A shares issued and outstanding as of December 31, 2020 and 2019, respectively</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60" w:type="dxa"/>
            <w:vAlign w:val="bottom"/>
            <w:gridSpan w:val="2"/>
          </w:tcPr>
          <w:p>
            <w:pPr>
              <w:ind w:left="300"/>
              <w:spacing w:after="0" w:line="166" w:lineRule="exact"/>
              <w:rPr>
                <w:sz w:val="20"/>
                <w:szCs w:val="20"/>
                <w:color w:val="auto"/>
              </w:rPr>
            </w:pPr>
            <w:r>
              <w:rPr>
                <w:rFonts w:ascii="Arial" w:cs="Arial" w:eastAsia="Arial" w:hAnsi="Arial"/>
                <w:sz w:val="16"/>
                <w:szCs w:val="16"/>
                <w:color w:val="auto"/>
              </w:rPr>
              <w:t>Common stock, $0.001 par value; 300 shares authorized; 102 and 92 shares issued and</w:t>
            </w:r>
          </w:p>
        </w:tc>
        <w:tc>
          <w:tcPr>
            <w:tcW w:w="2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60" w:type="dxa"/>
            <w:vAlign w:val="bottom"/>
            <w:gridSpan w:val="2"/>
          </w:tcPr>
          <w:p>
            <w:pPr>
              <w:ind w:left="540"/>
              <w:spacing w:after="0"/>
              <w:rPr>
                <w:sz w:val="20"/>
                <w:szCs w:val="20"/>
                <w:color w:val="auto"/>
              </w:rPr>
            </w:pPr>
            <w:r>
              <w:rPr>
                <w:rFonts w:ascii="Arial" w:cs="Arial" w:eastAsia="Arial" w:hAnsi="Arial"/>
                <w:sz w:val="16"/>
                <w:szCs w:val="16"/>
                <w:color w:val="auto"/>
              </w:rPr>
              <w:t>outstanding as of December 31, 2020 and 2019, respectively</w:t>
            </w: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35"/>
        </w:trPr>
        <w:tc>
          <w:tcPr>
            <w:tcW w:w="88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14,128</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194945</wp:posOffset>
            </wp:positionV>
            <wp:extent cx="32575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r>
      <w:tr>
        <w:trPr>
          <w:trHeight w:val="188"/>
        </w:trPr>
        <w:tc>
          <w:tcPr>
            <w:tcW w:w="69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4"/>
        </w:trPr>
        <w:tc>
          <w:tcPr>
            <w:tcW w:w="68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r>
      <w:tr>
        <w:trPr>
          <w:trHeight w:val="230"/>
        </w:trPr>
        <w:tc>
          <w:tcPr>
            <w:tcW w:w="6940" w:type="dxa"/>
            <w:vAlign w:val="bottom"/>
            <w:gridSpan w:val="2"/>
          </w:tcPr>
          <w:p>
            <w:pPr>
              <w:ind w:left="400"/>
              <w:spacing w:after="0"/>
              <w:rPr>
                <w:sz w:val="20"/>
                <w:szCs w:val="20"/>
                <w:color w:val="auto"/>
              </w:rPr>
            </w:pPr>
            <w:r>
              <w:rPr>
                <w:rFonts w:ascii="Arial" w:cs="Arial" w:eastAsia="Arial" w:hAnsi="Arial"/>
                <w:sz w:val="18"/>
                <w:szCs w:val="18"/>
                <w:color w:val="auto"/>
              </w:rPr>
              <w:t>Cost of transportation and services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9,013</w:t>
            </w:r>
          </w:p>
        </w:tc>
      </w:tr>
      <w:tr>
        <w:trPr>
          <w:trHeight w:val="229"/>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29"/>
        </w:trPr>
        <w:tc>
          <w:tcPr>
            <w:tcW w:w="694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Sales, general and administrative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r>
      <w:tr>
        <w:trPr>
          <w:trHeight w:val="223"/>
        </w:trPr>
        <w:tc>
          <w:tcPr>
            <w:tcW w:w="6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23"/>
        </w:trPr>
        <w:tc>
          <w:tcPr>
            <w:tcW w:w="6940" w:type="dxa"/>
            <w:vAlign w:val="bottom"/>
            <w:gridSpan w:val="2"/>
          </w:tcPr>
          <w:p>
            <w:pPr>
              <w:ind w:left="4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(gain)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940" w:type="dxa"/>
            <w:vAlign w:val="bottom"/>
            <w:gridSpan w:val="2"/>
          </w:tcPr>
          <w:p>
            <w:pPr>
              <w:ind w:left="400"/>
              <w:spacing w:after="0"/>
              <w:rPr>
                <w:sz w:val="20"/>
                <w:szCs w:val="20"/>
                <w:color w:val="auto"/>
              </w:rPr>
            </w:pPr>
            <w:r>
              <w:rPr>
                <w:rFonts w:ascii="Arial" w:cs="Arial" w:eastAsia="Arial" w:hAnsi="Arial"/>
                <w:sz w:val="18"/>
                <w:szCs w:val="18"/>
                <w:color w:val="auto"/>
              </w:rPr>
              <w:t>Debt extinguishment loss</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69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 before income tax provision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94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94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attributable to XPO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6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694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 per share data</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6940" w:type="dxa"/>
            <w:vAlign w:val="bottom"/>
            <w:gridSpan w:val="2"/>
          </w:tcPr>
          <w:p>
            <w:pPr>
              <w:ind w:left="40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0"/>
        </w:trPr>
        <w:tc>
          <w:tcPr>
            <w:tcW w:w="6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94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Weighted-average common shares outstanding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940" w:type="dxa"/>
            <w:vAlign w:val="bottom"/>
            <w:gridSpan w:val="2"/>
          </w:tcPr>
          <w:p>
            <w:pPr>
              <w:ind w:left="40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0"/>
        </w:trPr>
        <w:tc>
          <w:tcPr>
            <w:tcW w:w="7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Foreign currency translation gain (loss), net of tax effect of $17, $(7) and $(6)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76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3"/>
              </w:rPr>
              <w:t>Unrealized gain (loss) on financial assets/liabilities designated as hedging instruments, net of tax</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effect of $—, $(1) and $(1)</w:t>
            </w: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Defined benefit plans adjustment, net of tax effect of $30, $1 and $23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76"/>
        </w:trPr>
        <w:tc>
          <w:tcPr>
            <w:tcW w:w="766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Less: Comprehensive income (loss) attributable to noncontrolling</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attributable to XPO</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3"/>
              </w:rPr>
              <w:t>Adjustments to reconcile net income to net cash from operating activities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Depreciation, amortization and net lease activity</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Stock compensation expense</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Accretion of debt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(benefit) expense</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Debt extinguishment loss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8"/>
              </w:rPr>
              <w:t>Unrealized (gain) loss on foreign currency option and forward contracts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Gain on sale of equity investment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Gains on sales of property and equipment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Changes in assets and liabilities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Accounts receivable</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Accounts payable</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Accrued expenses and other liabilities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7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19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Payment for purchases of property and equipment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Cash collected on deferred purchase price receivable</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7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Proceeds from issuance of debt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Proceeds from borrowings related to securitization program</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Repurchase of debt</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Proceeds from borrowings on ABL facility</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Repayment of borrowings on ABL facility</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Repayment of debt and finance leases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Payment for debt issuance costs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Proceeds from forward sale settlement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Purchase of noncontrolling interests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Cash paid in connection with preferred stock conversion</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tcPr>
          <w:p>
            <w:pPr>
              <w:ind w:left="300"/>
              <w:spacing w:after="0"/>
              <w:rPr>
                <w:sz w:val="20"/>
                <w:szCs w:val="20"/>
                <w:color w:val="auto"/>
              </w:rPr>
            </w:pPr>
            <w:r>
              <w:rPr>
                <w:rFonts w:ascii="Arial" w:cs="Arial" w:eastAsia="Arial" w:hAnsi="Arial"/>
                <w:sz w:val="16"/>
                <w:szCs w:val="16"/>
                <w:color w:val="auto"/>
              </w:rPr>
              <w:t>Repurchase of common stock</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Payment for tax withholdings for restricted shares</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Net increase (decrease) in cash, cash equivalents and restricted cash</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7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7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Cash paid for interest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62"/>
        </w:trPr>
        <w:tc>
          <w:tcPr>
            <w:tcW w:w="5260" w:type="dxa"/>
            <w:vAlign w:val="bottom"/>
            <w:gridSpan w:val="2"/>
          </w:tcPr>
          <w:p>
            <w:pPr>
              <w:ind w:left="300"/>
              <w:spacing w:after="0" w:line="142" w:lineRule="exact"/>
              <w:rPr>
                <w:sz w:val="20"/>
                <w:szCs w:val="20"/>
                <w:color w:val="auto"/>
              </w:rPr>
            </w:pPr>
            <w:r>
              <w:rPr>
                <w:rFonts w:ascii="Arial" w:cs="Arial" w:eastAsia="Arial" w:hAnsi="Arial"/>
                <w:sz w:val="16"/>
                <w:szCs w:val="16"/>
                <w:color w:val="auto"/>
              </w:rPr>
              <w:t>Cash paid for income taxes</w:t>
            </w: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FFFFFF"/>
              </w:rPr>
              <w:t>59</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jc w:val="right"/>
              <w:ind w:right="99"/>
              <w:spacing w:after="0" w:line="142"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65</w:t>
            </w:r>
          </w:p>
        </w:tc>
        <w:tc>
          <w:tcPr>
            <w:tcW w:w="120" w:type="dxa"/>
            <w:vAlign w:val="bottom"/>
          </w:tcPr>
          <w:p>
            <w:pPr>
              <w:spacing w:after="0"/>
              <w:rPr>
                <w:sz w:val="14"/>
                <w:szCs w:val="14"/>
                <w:color w:val="auto"/>
              </w:rPr>
            </w:pPr>
          </w:p>
        </w:tc>
        <w:tc>
          <w:tcPr>
            <w:tcW w:w="280" w:type="dxa"/>
            <w:vAlign w:val="bottom"/>
          </w:tcPr>
          <w:p>
            <w:pPr>
              <w:jc w:val="right"/>
              <w:ind w:right="99"/>
              <w:spacing w:after="0" w:line="142"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121</w:t>
            </w:r>
          </w:p>
        </w:tc>
        <w:tc>
          <w:tcPr>
            <w:tcW w:w="140" w:type="dxa"/>
            <w:vAlign w:val="bottom"/>
          </w:tcPr>
          <w:p>
            <w:pPr>
              <w:spacing w:after="0"/>
              <w:rPr>
                <w:sz w:val="14"/>
                <w:szCs w:val="14"/>
                <w:color w:val="auto"/>
              </w:rPr>
            </w:pPr>
          </w:p>
        </w:tc>
        <w:tc>
          <w:tcPr>
            <w:tcW w:w="280" w:type="dxa"/>
            <w:vAlign w:val="bottom"/>
          </w:tcPr>
          <w:p>
            <w:pPr>
              <w:jc w:val="right"/>
              <w:ind w:right="99"/>
              <w:spacing w:after="0" w:line="142" w:lineRule="exact"/>
              <w:rPr>
                <w:sz w:val="20"/>
                <w:szCs w:val="20"/>
                <w:color w:val="auto"/>
              </w:rPr>
            </w:pPr>
            <w:r>
              <w:rPr>
                <w:rFonts w:ascii="Arial" w:cs="Arial" w:eastAsia="Arial" w:hAnsi="Arial"/>
                <w:sz w:val="16"/>
                <w:szCs w:val="16"/>
                <w:color w:val="auto"/>
                <w:w w:val="89"/>
              </w:rPr>
              <w:t>$</w:t>
            </w:r>
          </w:p>
        </w:tc>
        <w:tc>
          <w:tcPr>
            <w:tcW w:w="5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820" w:type="dxa"/>
            <w:vAlign w:val="bottom"/>
            <w:tcBorders>
              <w:top w:val="single" w:sz="8" w:color="auto"/>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-170815</wp:posOffset>
            </wp:positionV>
            <wp:extent cx="325755"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1"/>
              </w:rPr>
              <w:t>Additional</w:t>
            </w:r>
          </w:p>
        </w:tc>
        <w:tc>
          <w:tcPr>
            <w:tcW w:w="920" w:type="dxa"/>
            <w:vAlign w:val="bottom"/>
            <w:gridSpan w:val="3"/>
          </w:tcPr>
          <w:p>
            <w:pPr>
              <w:jc w:val="center"/>
              <w:ind w:right="8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9"/>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4"/>
              </w:rPr>
              <w:t>Retained</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90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Earnings</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460" w:type="dxa"/>
            <w:vAlign w:val="bottom"/>
          </w:tcPr>
          <w:p>
            <w:pPr>
              <w:jc w:val="right"/>
              <w:ind w:right="2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2017</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119,920</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4,010</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from forward sale settlement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2018</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115,683</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3,970</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(1,275)</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92,342</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617220</wp:posOffset>
            </wp:positionV>
            <wp:extent cx="24003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-53340</wp:posOffset>
            </wp:positionV>
            <wp:extent cx="7054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460" w:type="dxa"/>
            <w:vAlign w:val="bottom"/>
          </w:tcPr>
          <w:p>
            <w:pPr>
              <w:jc w:val="right"/>
              <w:ind w:right="2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92,342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Preferred stock conversion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572135</wp:posOffset>
            </wp:positionV>
            <wp:extent cx="24003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-53340</wp:posOffset>
            </wp:positionV>
            <wp:extent cx="70548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We use our integrated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4—Segment Reporting and Geographic Information for additional information on our operations.</w:t>
      </w:r>
    </w:p>
    <w:p>
      <w:pPr>
        <w:spacing w:after="0" w:line="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2020, we announced that our Board of Directors unanimously approved a plan to pursue a spin-off of 100% of our Logistics segment as a separate publicly traded company. The spin-off, which we intend to qualify as a transaction that is generally tax-free for U.S. federal income tax purposes to XPO shareholders, would result in XPO shareholders owning stock in both companies. If completed, the spin-off will result in separate public companies with clearly delineated service offerings. XPO will be a global provider of primarily less-than-truckload (“LTL”) transportation and truck brokerage services, and the spun-off company will be the second largest contract logistics provider in the world. Both companies’ stocks are expected to trade on the New York Stock Exchange, and we plan to consider a dual listing on the London Stock Exchange for the spun-off company in due course.</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transaction is currently expected to be completed in the second half of 2021, subject to various conditions. There can be no assurance that the spin-off will occur or, if it does occur, of its terms or timing.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 COVID-19 has had, and we expect will continue to have, significant effects on economic activity, on demand for our services, and on our results of operations in 2021. Certain reclassifications have been made to prior year amounts to conform to the current year’s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consolidated financial statements include the accounts of XPO Logistics, Inc. (“XPO” or “we”) and our majority-owned subsidiaries and variable interest entities (“VIEs”) where we are the primary beneficiary. We have eliminated intercompany accounts and transactions.</w:t>
      </w:r>
    </w:p>
    <w:p>
      <w:pPr>
        <w:spacing w:after="0" w:line="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To determine if we are a primary beneficiary of a VIE, we evaluate whether we are able to direct the activities that significantly impact the VIE’s economic performance, including whether we control the operations of each VIE and whether we can operate the VIEs under our brand or policies. Investors in these VIEs only have recourse to the assets owned by the VIE and not to our general credit. We do not have implicit support arrangements with any VIE. Other than the special purpose entity related to the European Trade Securitization Program discussed below in this Note and in Note 12—Debt, which we consolidate, assets and liabilities of VIEs where we are the primary beneficiary are not significant to our consolidated financial statements.</w:t>
      </w:r>
    </w:p>
    <w:p>
      <w:pPr>
        <w:spacing w:after="0" w:line="10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consolidated financial statements primarily relate to a minority interest in XPO Logistics Europe SA (“XPO Logistics Europe”), formerly known as Norbert Dentressangle SA, a business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acquired in 2015. As described in Note 3—Purchases of Noncontrolling Interest, we purchased portions of the noncontrolling interests in both 2020 and 2019. Following these acquisitions, the noncontrolling interest was reduced to approximately 3% of XPO Logistics Europe.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 A description of our performance obligations for our transportation and logistics reportable segments is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transportation segment generates revenue by providing less-than-truckload, freight brokerage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1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Logistics segment generates revenue by providing supply chain services for our customers, including warehousing and distribution, order fulfillment, reverse logistics, packaging and labeling, factory and aftermarket support and inventory management contracts ranging from a few months to a few years. Our performance obligations are satisfied over time as customers receive and consume the benefits of our services. The contracts generally contain a single performance obligation as the distinct services provided remain substantially the same over time and possess the same pattern of transfer. The transaction price is based on the consideration specified in the contract with the customer and contains fixed and variable consideration. In general, the fixed consideration component of a contract represents reimbursement for facility and equipment costs incurred to satisfy the performance obligation and is recognized on a straight-line basis over the term of the contract. The variable consideration component is comprised of cost reimbursement determined based on the costs incurred, while per-unit pricing is determined based on units provided and time and materials pricing is determined based on the hours of services provided. The variable consideration component is recognized over time based on the level of activity.</w:t>
      </w:r>
    </w:p>
    <w:p>
      <w:pPr>
        <w:spacing w:after="0" w:line="11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300990</wp:posOffset>
            </wp:positionV>
            <wp:extent cx="3257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factors in current, past and forecasted experience with the customer. Customers are billed based on terms specified in the revenue contract and they pay us according to approved payment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expense the incremental costs of obtaining contracts when incurred if the amortization period of the assets is one year or less. These costs are included in Direct operating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As</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of December 31, 2020, 2019 and 2018, our restricted cash included in Other long-term assets on our Consolidated Balance Sheets was $11 million, $10 million and $12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in accordance with Accounting Standards Update (“ASU”) 2016-13, “Financial Instruments - Credit Losses (Topic 326): Measurement of Credit Losses on Financial Instruments” discussed further below,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42</w:t>
            </w: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Cumulative effect adjustment for adoption of ASU 2016-13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center"/>
              <w:ind w:left="613"/>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160" w:type="dxa"/>
            <w:vAlign w:val="bottom"/>
          </w:tcPr>
          <w:p>
            <w:pPr>
              <w:jc w:val="center"/>
              <w:ind w:left="733"/>
              <w:spacing w:after="0"/>
              <w:rPr>
                <w:sz w:val="20"/>
                <w:szCs w:val="20"/>
                <w:color w:val="auto"/>
              </w:rPr>
            </w:pPr>
            <w:r>
              <w:rPr>
                <w:rFonts w:ascii="Arial" w:cs="Arial" w:eastAsia="Arial" w:hAnsi="Arial"/>
                <w:sz w:val="18"/>
                <w:szCs w:val="18"/>
                <w:color w:val="auto"/>
                <w:w w:val="99"/>
              </w:rPr>
              <w:t>—</w:t>
            </w:r>
          </w:p>
        </w:tc>
      </w:tr>
      <w:tr>
        <w:trPr>
          <w:trHeight w:val="230"/>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9"/>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9"/>
              </w:rPr>
              <w:t>36</w:t>
            </w:r>
          </w:p>
        </w:tc>
      </w:tr>
      <w:tr>
        <w:trPr>
          <w:trHeight w:val="229"/>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93"/>
              <w:spacing w:after="0"/>
              <w:rPr>
                <w:sz w:val="20"/>
                <w:szCs w:val="20"/>
                <w:color w:val="auto"/>
              </w:rPr>
            </w:pPr>
            <w:r>
              <w:rPr>
                <w:rFonts w:ascii="Arial" w:cs="Arial" w:eastAsia="Arial" w:hAnsi="Arial"/>
                <w:sz w:val="18"/>
                <w:szCs w:val="18"/>
                <w:color w:val="auto"/>
                <w:w w:val="93"/>
              </w:rPr>
              <w:t>(28)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93"/>
              </w:rPr>
              <w:t>(26)</w:t>
            </w:r>
          </w:p>
        </w:tc>
      </w:tr>
      <w:tr>
        <w:trPr>
          <w:trHeight w:val="24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52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1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 In the securitization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factoring arrangements, any of our continuing involvement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Consolidated Balance Sheets. These borrowings amounted to €41 million ($50 million) as of December 31, 2020. See Note 12—Debt for additional information related to our receivables securitization secured borrowing program and these borrowings.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a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Consolidated Balance Sheets. The cash payment which we received on the date of the transfer was reflected within Net cash provided by operating activities on our Consolidated Statement of Cash Flows. As we received cash payments on the deferred purchase price receivable, it was reflected as an investing activity. The new program does not include a deferred purchase price mechanism.</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maximum amount of net cash proceeds available at any one time under the new program, inclusive of any unsecured borrowings, is €400 million (approximately $489 million as of December 31, 2020). As of December 31, 2020, €75 million (approximately $92 million) was available to us, subject to having sufficient receivables available to sell to the Purchasers. The weighted average interest rate was 0.62% as of December 31, 2020. Charges for commitment fees, which are based on a percentage of available amounts, and charges for administrative fees were not material to our results of operations for the years ended December 31, 2020,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6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r>
    </w:tbl>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cash considerations referenced above, we received $186 million in the year ended December 31, 2019,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Vehicles, containers, tractors, trailers and tankers</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3 to 14 years</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Rail cars and chassis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30 years</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3 to 15 years</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6 years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incremental borrowing rates based on the information available at commencement date to determine the present value of future lease payments. This rate is determined from a hypothetical yield curve that takes into consideration market yield levels of our relevant debt outstanding as well as the index that matches our credit rating, and then adjusts as if the borrowings were collateralized.</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Consolidated Balance Sheets. We account for lease and non-lease components within a contract as a single lease component for our real estate leases. For additional information on our leases, see Note 8—Leases.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 liability for an asset retirement obligation is recorded in the period in which it is incurred. When an asset retirement obligation liability is initially recorded, we capitalize the cost by increasing the carrying amount of the related long-lived asset. For each subsequent period, the liability is increased for accretion expense and the capitalized cost is depreciated over the useful life of the related asset.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w:t>
      </w:r>
    </w:p>
    <w:p>
      <w:pPr>
        <w:spacing w:after="0" w:line="1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all five of our reporting units using a combination of income and market approaches, with the assistance of a third-party valuation appraiser. As of August 31, 2020 and 2019, we completed our annual impairment tests for goodwill with all of our reporting units having fair values in excess of their carrying values, resulting in no impairment of goodwill.</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intangible assets subject to amortization consist of customer relationships and non-compete agreements.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comparable with the risks associated with the recovery of the asset. We amortize intangible assets on a straight-line basis or on a basis consistent with the pattern in which the economic benefits are realized. The range of estimated useful lives by type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Estimated Useful Life</w:t>
            </w:r>
          </w:p>
        </w:tc>
        <w:tc>
          <w:tcPr>
            <w:tcW w:w="20" w:type="dxa"/>
            <w:vAlign w:val="bottom"/>
          </w:tcPr>
          <w:p>
            <w:pPr>
              <w:spacing w:after="0"/>
              <w:rPr>
                <w:sz w:val="16"/>
                <w:szCs w:val="16"/>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6"/>
              </w:rPr>
              <w:t>5 to 16 years</w:t>
            </w: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800"/>
              <w:spacing w:after="0"/>
              <w:rPr>
                <w:sz w:val="20"/>
                <w:szCs w:val="20"/>
                <w:color w:val="auto"/>
              </w:rPr>
            </w:pPr>
            <w:r>
              <w:rPr>
                <w:rFonts w:ascii="Arial" w:cs="Arial" w:eastAsia="Arial" w:hAnsi="Arial"/>
                <w:sz w:val="18"/>
                <w:szCs w:val="18"/>
                <w:color w:val="auto"/>
              </w:rPr>
              <w:t>Term of agreement</w:t>
            </w:r>
          </w:p>
        </w:tc>
        <w:tc>
          <w:tcPr>
            <w:tcW w:w="20" w:type="dxa"/>
            <w:vAlign w:val="bottom"/>
          </w:tcPr>
          <w:p>
            <w:pPr>
              <w:spacing w:after="0"/>
              <w:rPr>
                <w:sz w:val="20"/>
                <w:szCs w:val="20"/>
                <w:color w:val="auto"/>
              </w:rPr>
            </w:pPr>
          </w:p>
        </w:tc>
      </w:tr>
      <w:tr>
        <w:trPr>
          <w:trHeight w:val="377"/>
        </w:trPr>
        <w:tc>
          <w:tcPr>
            <w:tcW w:w="8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040" w:type="dxa"/>
            <w:vAlign w:val="bottom"/>
            <w:gridSpan w:val="2"/>
          </w:tcPr>
          <w:p>
            <w:pPr>
              <w:spacing w:after="0"/>
              <w:rPr>
                <w:sz w:val="20"/>
                <w:szCs w:val="20"/>
                <w:color w:val="auto"/>
              </w:rPr>
            </w:pPr>
            <w:r>
              <w:rPr>
                <w:rFonts w:ascii="Arial" w:cs="Arial" w:eastAsia="Arial" w:hAnsi="Arial"/>
                <w:sz w:val="18"/>
                <w:szCs w:val="18"/>
                <w:color w:val="auto"/>
              </w:rPr>
              <w:t>The components of accrued expenses as of December 31, 2020 and 2019 are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3"/>
              </w:rPr>
              <w:t>As of 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value-added tax and other taxes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Borders>
              <w:bottom w:val="single" w:sz="8" w:color="auto"/>
            </w:tcBorders>
          </w:tcPr>
          <w:p>
            <w:pPr>
              <w:spacing w:after="0"/>
              <w:rPr>
                <w:sz w:val="19"/>
                <w:szCs w:val="19"/>
                <w:color w:val="auto"/>
              </w:rPr>
            </w:pPr>
          </w:p>
        </w:tc>
      </w:tr>
      <w:tr>
        <w:trPr>
          <w:trHeight w:val="248"/>
        </w:trPr>
        <w:tc>
          <w:tcPr>
            <w:tcW w:w="8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use a combination of self-insurance programs and purchased insurance to provide for the costs of medical, casualty, liability, vehicular, cargo and workers’ compensation claims. We periodically evaluate our level of insurance coverage and adjust our insurance levels based on risk tolerance and premium expense.</w:t>
      </w:r>
    </w:p>
    <w:p>
      <w:pPr>
        <w:spacing w:after="0" w:line="13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retire shares purchased under our share repurchase program and return them to authorized and unissued status. We charge any excess of cost over par value to Additional paid-in capital if a balance is present. If Additional paid-in capital is fully depleted, any remaining excess of cost over par value will be charged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185"/>
              <w:spacing w:after="0"/>
              <w:rPr>
                <w:sz w:val="20"/>
                <w:szCs w:val="20"/>
                <w:color w:val="auto"/>
              </w:rPr>
            </w:pPr>
            <w:r>
              <w:rPr>
                <w:rFonts w:ascii="Arial" w:cs="Arial" w:eastAsia="Arial" w:hAnsi="Arial"/>
                <w:sz w:val="14"/>
                <w:szCs w:val="14"/>
                <w:b w:val="1"/>
                <w:bCs w:val="1"/>
                <w:color w:val="auto"/>
                <w:w w:val="98"/>
              </w:rPr>
              <w:t>Less: AOCI</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w:t>
            </w:r>
          </w:p>
        </w:tc>
        <w:tc>
          <w:tcPr>
            <w:tcW w:w="1200" w:type="dxa"/>
            <w:vAlign w:val="bottom"/>
          </w:tcPr>
          <w:p>
            <w:pPr>
              <w:jc w:val="center"/>
              <w:ind w:left="165"/>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3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2"/>
              </w:rPr>
              <w:t>Derivative Hedges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tcPr>
          <w:p>
            <w:pPr>
              <w:jc w:val="center"/>
              <w:ind w:left="165"/>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Plans Liability</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XPO</w:t>
            </w:r>
          </w:p>
        </w:tc>
        <w:tc>
          <w:tcPr>
            <w:tcW w:w="0" w:type="dxa"/>
            <w:vAlign w:val="bottom"/>
          </w:tcPr>
          <w:p>
            <w:pPr>
              <w:spacing w:after="0"/>
              <w:rPr>
                <w:sz w:val="1"/>
                <w:szCs w:val="1"/>
                <w:color w:val="auto"/>
              </w:rPr>
            </w:pPr>
          </w:p>
        </w:tc>
      </w:tr>
      <w:tr>
        <w:trPr>
          <w:trHeight w:val="211"/>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4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6"/>
                <w:szCs w:val="16"/>
                <w:color w:val="auto"/>
              </w:rPr>
              <w:t>Net current period other comprehensive income</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(loss)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December 31, 2019</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4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6"/>
                <w:szCs w:val="16"/>
                <w:color w:val="auto"/>
              </w:rPr>
              <w:t>Net current period other comprehensive income</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(loss)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5"/>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(“GILTI”) tax as a period cost.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tax returns are subject to examination by U.S. Federal, state and foreign taxing jurisdictions. We regularly assess the potential outcomes of these examinations and any future examinations for the current or prior years.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Consolidated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convert foreign currency transactions recognized on our Consolidated Statements of Income to USD by applying the exchange rate prevailing on the date of the transaction. Gains and losses arising from foreign currency transactions and the effects of remeasuring monetary assets and liabilities are recorded in Foreign currency (gain) loss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(gain) loss included on our Consolidated Statements of Income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r>
      <w:tr>
        <w:trPr>
          <w:trHeight w:val="188"/>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24"/>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foreign currency option and forward contracts (gains) losses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Realized foreign currency option, forward and other derivative contracts (gains) losses</w:t>
            </w:r>
          </w:p>
        </w:tc>
        <w:tc>
          <w:tcPr>
            <w:tcW w:w="320" w:type="dxa"/>
            <w:vAlign w:val="bottom"/>
          </w:tcPr>
          <w:p>
            <w:pPr>
              <w:spacing w:after="0"/>
              <w:rPr>
                <w:sz w:val="19"/>
                <w:szCs w:val="19"/>
                <w:color w:val="auto"/>
              </w:rPr>
            </w:pPr>
          </w:p>
        </w:tc>
        <w:tc>
          <w:tcPr>
            <w:tcW w:w="980" w:type="dxa"/>
            <w:vAlign w:val="bottom"/>
          </w:tcPr>
          <w:p>
            <w:pPr>
              <w:jc w:val="center"/>
              <w:ind w:left="636"/>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transaction and remeasurement losses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foreign currency (gain)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center"/>
              <w:ind w:left="636"/>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December 31, 2020 and 2019 due to their short-term nature and/or being receivable or payable on demand. The Level 1 cash equivalents include money market funds valued using quoted prices in active markets. The Level 2 cash equivalents include short-term investments valued using published interest rates for instruments with similar terms and maturities. For information on the fair value hierarchy of our derivative instruments, see Note 11—Derivative Instruments and for information on financial liabilities, see Note 12—Debt.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Level 2</w:t>
            </w: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record all derivative instruments on our Consolidated Balance Sheets as assets or liabilities at fair value. Our accounting treatment for changes in the fair value of derivative instruments depends on whether the instruments have been designated and qualify as part of a hedging relationship and on the type of hedging relationship. For those derivative instruments that are designated and qualify as hedging instruments, we must designate the derivative based on the exposure being hedged and assess, both at the hedge’s inception and on an ongoing basis, whether the designated derivative instruments are highly effective in offsetting changes in earnings and cash flows of the hedged items. When a derivative instrument is determined not to be highly effective as a hedge or the underlying hedged transaction is no longer probable, hedge accounting is discontinued prospectively. We link cash flow hedges to specific forecasted transactions or variability of cash flow to be paid.</w:t>
      </w:r>
    </w:p>
    <w:p>
      <w:pPr>
        <w:spacing w:after="0" w:line="12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gain or loss resulting from fair value adjustments on cash flow hedges are recorded in AOCI on our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300990</wp:posOffset>
            </wp:positionV>
            <wp:extent cx="3257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designated risk. Gains and losses on cash flow hedges and net investment hedges representing hedge components excluded from the assessment of effectiveness will be amortized into Interest expense on our Consolidated Statements of Income in a systematic manner. Derivatives that are not designated as hedging instruments are adjusted to fair value through earnings and are recorded in Foreign currency (gain) loss on our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calculate defined benefit pension plan obligations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our best estimates based on available information regarding historical experience and factors that may cause future expectations to differ. Our obligation and future expense amounts could be materially impacted by differences in actual experience or changes in assumptions.</w:t>
      </w:r>
    </w:p>
    <w:p>
      <w:pPr>
        <w:spacing w:after="0" w:line="13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on the date of the grant. For grants of RSUs subject to market-based vesting conditions, we establish the fair value using the Monte Carlo simulation lattice model. We determined the fair value of our stock-based awards based on our stock price and a number of assumptions, including expected volatility, expected life, risk-free interest rate and expected dividends. We account for forfeitures as they occur.</w:t>
      </w:r>
    </w:p>
    <w:p>
      <w:pPr>
        <w:spacing w:after="0" w:line="13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and recorded an immaterial adjustment to total equity for the cumulative impact of adoption.</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Consolidated Statement of Income as the expense for fees of the associated hosting arrangements. We adopted this standard on January 1, 2020 on a prospective basis. The adoption did not have a material effect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consolidated financial statements.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Purchases of Noncontrolling Interest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third quarter of 2020 and fourth quarter of 2019, we purchased shareholders’ noncontrolling interests in XPO Logistics Europe for €17 million (approximately $21 million) and €234 million (approximately $258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 and Geographic Information</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 transportation assets and service centers. Our transportation services include LTL, truck brokerage services and other transportation services.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Logistics segment, which we sometimes refer to as supply chain, we provide a wide range of services differentiated by our proprietary technology and our ability to customize solutions for individual customers. Our services include value-added warehousing and distribution, e-commerce and omnichannel fulfillment, cold-chain logistics, packaging and labeling, factory support, aftermarket support, inventory management, order personalization and supply chain optimization, such as product flow management. In addition, our Logistics segment provides reverse logistics, which is also called returns management.</w:t>
      </w:r>
    </w:p>
    <w:p>
      <w:pPr>
        <w:spacing w:after="0" w:line="13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chief operating decision maker (“CODM”) regularly reviews financial information at the operating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Logistics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Eliminations/Other</w:t>
            </w: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900"/>
              <w:spacing w:after="0"/>
              <w:rPr>
                <w:sz w:val="20"/>
                <w:szCs w:val="20"/>
                <w:color w:val="auto"/>
              </w:rPr>
            </w:pPr>
            <w:r>
              <w:rPr>
                <w:rFonts w:ascii="Arial" w:cs="Arial" w:eastAsia="Arial" w:hAnsi="Arial"/>
                <w:sz w:val="18"/>
                <w:szCs w:val="18"/>
                <w:color w:val="auto"/>
                <w:w w:val="95"/>
              </w:rPr>
              <w:t>(129)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16,252</w:t>
            </w:r>
          </w:p>
        </w:tc>
      </w:tr>
      <w:tr>
        <w:trPr>
          <w:trHeight w:val="230"/>
        </w:trPr>
        <w:tc>
          <w:tcPr>
            <w:tcW w:w="36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5"/>
              </w:rPr>
              <w:t>(256)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900"/>
              <w:spacing w:after="0"/>
              <w:rPr>
                <w:sz w:val="20"/>
                <w:szCs w:val="20"/>
                <w:color w:val="auto"/>
              </w:rPr>
            </w:pPr>
            <w:r>
              <w:rPr>
                <w:rFonts w:ascii="Arial" w:cs="Arial" w:eastAsia="Arial" w:hAnsi="Arial"/>
                <w:sz w:val="18"/>
                <w:szCs w:val="18"/>
                <w:color w:val="auto"/>
                <w:w w:val="95"/>
              </w:rPr>
              <w:t>(132)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16,648</w:t>
            </w:r>
          </w:p>
        </w:tc>
      </w:tr>
      <w:tr>
        <w:trPr>
          <w:trHeight w:val="229"/>
        </w:trPr>
        <w:tc>
          <w:tcPr>
            <w:tcW w:w="36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5"/>
              </w:rPr>
              <w:t>(172)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900"/>
              <w:spacing w:after="0"/>
              <w:rPr>
                <w:sz w:val="20"/>
                <w:szCs w:val="20"/>
                <w:color w:val="auto"/>
              </w:rPr>
            </w:pPr>
            <w:r>
              <w:rPr>
                <w:rFonts w:ascii="Arial" w:cs="Arial" w:eastAsia="Arial" w:hAnsi="Arial"/>
                <w:sz w:val="18"/>
                <w:szCs w:val="18"/>
                <w:color w:val="auto"/>
                <w:w w:val="95"/>
              </w:rPr>
              <w:t>(129)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17,279</w:t>
            </w:r>
          </w:p>
        </w:tc>
      </w:tr>
      <w:tr>
        <w:trPr>
          <w:trHeight w:val="230"/>
        </w:trPr>
        <w:tc>
          <w:tcPr>
            <w:tcW w:w="36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5"/>
              </w:rPr>
              <w:t>(158)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88" w:lineRule="exact"/>
        <w:rPr>
          <w:sz w:val="20"/>
          <w:szCs w:val="20"/>
          <w:color w:val="auto"/>
        </w:rPr>
      </w:pPr>
    </w:p>
    <w:p>
      <w:pPr>
        <w:ind w:left="660" w:right="140" w:hanging="247"/>
        <w:spacing w:after="0" w:line="273" w:lineRule="auto"/>
        <w:tabs>
          <w:tab w:leader="none" w:pos="621"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Consolidated operating income for 2020 includes $100 million of transaction and integration costs, of which $21 million relates to our Transportation segment and $28 million relates to our Logistics segment, and $56 million of restructuring expense.</w:t>
      </w:r>
    </w:p>
    <w:p>
      <w:pPr>
        <w:spacing w:after="0" w:line="65" w:lineRule="exact"/>
        <w:rPr>
          <w:rFonts w:ascii="Arial" w:cs="Arial" w:eastAsia="Arial" w:hAnsi="Arial"/>
          <w:sz w:val="14"/>
          <w:szCs w:val="14"/>
          <w:color w:val="auto"/>
        </w:rPr>
      </w:pPr>
    </w:p>
    <w:p>
      <w:pPr>
        <w:ind w:left="620" w:hanging="207"/>
        <w:spacing w:after="0"/>
        <w:tabs>
          <w:tab w:leader="none" w:pos="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Consolidated operating income for 2019 includes $5 million of transaction and integration costs and $49 million of restructuring expense.</w:t>
      </w:r>
    </w:p>
    <w:p>
      <w:pPr>
        <w:spacing w:after="0" w:line="109" w:lineRule="exact"/>
        <w:rPr>
          <w:rFonts w:ascii="Arial" w:cs="Arial" w:eastAsia="Arial" w:hAnsi="Arial"/>
          <w:sz w:val="14"/>
          <w:szCs w:val="14"/>
          <w:color w:val="auto"/>
        </w:rPr>
      </w:pPr>
    </w:p>
    <w:p>
      <w:pPr>
        <w:ind w:left="660" w:right="160" w:hanging="247"/>
        <w:spacing w:after="0" w:line="273" w:lineRule="auto"/>
        <w:tabs>
          <w:tab w:leader="none" w:pos="621"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Consolidated operating income for 2018 includes $33 million of transaction, integration and rebranding costs, $21 million of restructuring expense, $26 million of litigation costs and $24 million from gain on sale of equity investment.</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transaction and integration costs for 2020 are primarily related to our previously announced exploration of strategic alternatives that was terminated in March 2020 and costs related to our planned acquisition of the Kuehne + Nagel business, as described in Note 19—Subsequent Events. For further information on our restructuring actions, see Note 6—Restructuring Charges to the Consolidated Financial Statements. We also incurred net incremental and direct costs as a result of the COVID-19 pandemic in 2020, including costs for personal protective equipment, site cleanings and enhanced employee benefits, such as appreciation pay.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we held long-lived tangible assets outside of the U.S. of $825 million and $798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5"/>
                <w:szCs w:val="15"/>
                <w:b w:val="1"/>
                <w:bCs w:val="1"/>
                <w:color w:val="auto"/>
              </w:rPr>
              <w:t>Year Ended December 31, 2020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1480" w:type="dxa"/>
            <w:vAlign w:val="bottom"/>
            <w:gridSpan w:val="5"/>
          </w:tcPr>
          <w:p>
            <w:pPr>
              <w:ind w:left="100"/>
              <w:spacing w:after="0"/>
              <w:rPr>
                <w:sz w:val="20"/>
                <w:szCs w:val="20"/>
                <w:color w:val="auto"/>
              </w:rPr>
            </w:pPr>
            <w:r>
              <w:rPr>
                <w:rFonts w:ascii="Arial" w:cs="Arial" w:eastAsia="Arial" w:hAnsi="Arial"/>
                <w:sz w:val="15"/>
                <w:szCs w:val="15"/>
                <w:b w:val="1"/>
                <w:bCs w:val="1"/>
                <w:color w:val="auto"/>
              </w:rPr>
              <w:t>Transportation</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Eliminations</w:t>
            </w:r>
          </w:p>
        </w:tc>
        <w:tc>
          <w:tcPr>
            <w:tcW w:w="32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5"/>
        </w:trPr>
        <w:tc>
          <w:tcPr>
            <w:tcW w:w="4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7,220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9,397</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4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9"/>
                <w:szCs w:val="19"/>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40" w:type="dxa"/>
            <w:vAlign w:val="bottom"/>
          </w:tcPr>
          <w:p>
            <w:pPr>
              <w:spacing w:after="0"/>
              <w:rPr>
                <w:sz w:val="19"/>
                <w:szCs w:val="19"/>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10,199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72</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4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5"/>
                <w:szCs w:val="15"/>
                <w:b w:val="1"/>
                <w:bCs w:val="1"/>
                <w:color w:val="auto"/>
                <w:w w:val="98"/>
              </w:rPr>
              <w:t>Year Ended December 31, 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5"/>
                <w:szCs w:val="15"/>
                <w:b w:val="1"/>
                <w:bCs w:val="1"/>
                <w:color w:val="auto"/>
                <w:w w:val="98"/>
              </w:rPr>
              <w:t>Transportation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ind w:left="200"/>
              <w:spacing w:after="0"/>
              <w:rPr>
                <w:sz w:val="20"/>
                <w:szCs w:val="20"/>
                <w:color w:val="auto"/>
              </w:rPr>
            </w:pPr>
            <w:r>
              <w:rPr>
                <w:rFonts w:ascii="Arial" w:cs="Arial" w:eastAsia="Arial" w:hAnsi="Arial"/>
                <w:sz w:val="15"/>
                <w:szCs w:val="15"/>
                <w:b w:val="1"/>
                <w:bCs w:val="1"/>
                <w:color w:val="auto"/>
              </w:rPr>
              <w:t>Logistics</w:t>
            </w:r>
          </w:p>
        </w:tc>
        <w:tc>
          <w:tcPr>
            <w:tcW w:w="140" w:type="dxa"/>
            <w:vAlign w:val="bottom"/>
          </w:tcPr>
          <w:p>
            <w:pPr>
              <w:spacing w:after="0"/>
              <w:rPr>
                <w:sz w:val="17"/>
                <w:szCs w:val="17"/>
                <w:color w:val="auto"/>
              </w:rPr>
            </w:pPr>
          </w:p>
        </w:tc>
        <w:tc>
          <w:tcPr>
            <w:tcW w:w="1420" w:type="dxa"/>
            <w:vAlign w:val="bottom"/>
            <w:gridSpan w:val="5"/>
          </w:tcPr>
          <w:p>
            <w:pPr>
              <w:ind w:left="160"/>
              <w:spacing w:after="0"/>
              <w:rPr>
                <w:sz w:val="20"/>
                <w:szCs w:val="20"/>
                <w:color w:val="auto"/>
              </w:rPr>
            </w:pPr>
            <w:r>
              <w:rPr>
                <w:rFonts w:ascii="Arial" w:cs="Arial" w:eastAsia="Arial" w:hAnsi="Arial"/>
                <w:sz w:val="15"/>
                <w:szCs w:val="15"/>
                <w:b w:val="1"/>
                <w:bCs w:val="1"/>
                <w:color w:val="auto"/>
              </w:rPr>
              <w:t>Eliminations</w:t>
            </w:r>
          </w:p>
        </w:tc>
        <w:tc>
          <w:tcPr>
            <w:tcW w:w="26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7,454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(33)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10,687</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5"/>
                <w:szCs w:val="15"/>
                <w:b w:val="1"/>
                <w:bCs w:val="1"/>
                <w:color w:val="auto"/>
                <w:w w:val="98"/>
              </w:rPr>
              <w:t>Year Ended December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5"/>
                <w:szCs w:val="15"/>
                <w:b w:val="1"/>
                <w:bCs w:val="1"/>
                <w:color w:val="auto"/>
                <w:w w:val="98"/>
              </w:rPr>
              <w:t>Transportation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ind w:left="200"/>
              <w:spacing w:after="0"/>
              <w:rPr>
                <w:sz w:val="20"/>
                <w:szCs w:val="20"/>
                <w:color w:val="auto"/>
              </w:rPr>
            </w:pPr>
            <w:r>
              <w:rPr>
                <w:rFonts w:ascii="Arial" w:cs="Arial" w:eastAsia="Arial" w:hAnsi="Arial"/>
                <w:sz w:val="15"/>
                <w:szCs w:val="15"/>
                <w:b w:val="1"/>
                <w:bCs w:val="1"/>
                <w:color w:val="auto"/>
              </w:rPr>
              <w:t>Logistics</w:t>
            </w:r>
          </w:p>
        </w:tc>
        <w:tc>
          <w:tcPr>
            <w:tcW w:w="140" w:type="dxa"/>
            <w:vAlign w:val="bottom"/>
          </w:tcPr>
          <w:p>
            <w:pPr>
              <w:spacing w:after="0"/>
              <w:rPr>
                <w:sz w:val="17"/>
                <w:szCs w:val="17"/>
                <w:color w:val="auto"/>
              </w:rPr>
            </w:pPr>
          </w:p>
        </w:tc>
        <w:tc>
          <w:tcPr>
            <w:tcW w:w="1420" w:type="dxa"/>
            <w:vAlign w:val="bottom"/>
            <w:gridSpan w:val="5"/>
          </w:tcPr>
          <w:p>
            <w:pPr>
              <w:ind w:left="160"/>
              <w:spacing w:after="0"/>
              <w:rPr>
                <w:sz w:val="20"/>
                <w:szCs w:val="20"/>
                <w:color w:val="auto"/>
              </w:rPr>
            </w:pPr>
            <w:r>
              <w:rPr>
                <w:rFonts w:ascii="Arial" w:cs="Arial" w:eastAsia="Arial" w:hAnsi="Arial"/>
                <w:sz w:val="15"/>
                <w:szCs w:val="15"/>
                <w:b w:val="1"/>
                <w:bCs w:val="1"/>
                <w:color w:val="auto"/>
              </w:rPr>
              <w:t>Eliminations</w:t>
            </w:r>
          </w:p>
        </w:tc>
        <w:tc>
          <w:tcPr>
            <w:tcW w:w="26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8,055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(19)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1,496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793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11,343</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Our revenue disaggregated by service offering was as follows:</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1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ind w:left="80"/>
              <w:spacing w:after="0"/>
              <w:rPr>
                <w:sz w:val="20"/>
                <w:szCs w:val="20"/>
                <w:color w:val="auto"/>
              </w:rPr>
            </w:pPr>
            <w:r>
              <w:rPr>
                <w:rFonts w:ascii="Arial" w:cs="Arial" w:eastAsia="Arial" w:hAnsi="Arial"/>
                <w:sz w:val="15"/>
                <w:szCs w:val="15"/>
                <w:b w:val="1"/>
                <w:bCs w:val="1"/>
                <w:color w:val="auto"/>
              </w:rPr>
              <w:t>Years Ended December 31,</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segment: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280"/>
              <w:spacing w:after="0"/>
              <w:rPr>
                <w:sz w:val="20"/>
                <w:szCs w:val="20"/>
                <w:color w:val="auto"/>
              </w:rPr>
            </w:pPr>
            <w:r>
              <w:rPr>
                <w:rFonts w:ascii="Arial" w:cs="Arial" w:eastAsia="Arial" w:hAnsi="Arial"/>
                <w:sz w:val="18"/>
                <w:szCs w:val="18"/>
                <w:color w:val="auto"/>
              </w:rPr>
              <w:t>LTL</w:t>
            </w:r>
          </w:p>
        </w:tc>
        <w:tc>
          <w:tcPr>
            <w:tcW w:w="180" w:type="dxa"/>
            <w:vAlign w:val="bottom"/>
          </w:tcPr>
          <w:p>
            <w:pPr>
              <w:spacing w:after="0"/>
              <w:rPr>
                <w:sz w:val="19"/>
                <w:szCs w:val="19"/>
                <w:color w:val="auto"/>
              </w:rPr>
            </w:pPr>
          </w:p>
        </w:tc>
        <w:tc>
          <w:tcPr>
            <w:tcW w:w="126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Freight brokerage and truckload</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Managed transportation</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280"/>
              <w:spacing w:after="0"/>
              <w:rPr>
                <w:sz w:val="20"/>
                <w:szCs w:val="20"/>
                <w:color w:val="auto"/>
              </w:rPr>
            </w:pPr>
            <w:r>
              <w:rPr>
                <w:rFonts w:ascii="Arial" w:cs="Arial" w:eastAsia="Arial" w:hAnsi="Arial"/>
                <w:sz w:val="18"/>
                <w:szCs w:val="18"/>
                <w:color w:val="auto"/>
              </w:rPr>
              <w:t>Global forwarding</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Transportation eliminations</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 Transportation segment revenue</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Logistics segment revenue</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Comprised of our North American last mile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2020, the fixed consideration component of our remaining performance obligation was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300990</wp:posOffset>
            </wp:positionV>
            <wp:extent cx="325755"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$1.6 billion, and we expect to recognize approximately 75% of that amount over the next three years and the remainder thereafter.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These actions generally include severance and facility-related costs, including impairment of right-of-use assets, and are intended to improve our efficiency and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Consolidated Statements of Income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8"/>
        </w:trPr>
        <w:tc>
          <w:tcPr>
            <w:tcW w:w="5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6"/>
                <w:szCs w:val="16"/>
                <w:color w:val="auto"/>
              </w:rPr>
            </w:pPr>
          </w:p>
        </w:tc>
        <w:tc>
          <w:tcPr>
            <w:tcW w:w="1420" w:type="dxa"/>
            <w:vAlign w:val="bottom"/>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2018</w:t>
            </w:r>
          </w:p>
        </w:tc>
      </w:tr>
      <w:tr>
        <w:trPr>
          <w:trHeight w:val="224"/>
        </w:trPr>
        <w:tc>
          <w:tcPr>
            <w:tcW w:w="53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Cost of transportation and services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$3 million, $21 million and $19 million of restructuring charges in the fourth quarter of 2020,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restructuring-related activity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874"/>
              <w:spacing w:after="0"/>
              <w:rPr>
                <w:sz w:val="20"/>
                <w:szCs w:val="20"/>
                <w:color w:val="auto"/>
              </w:rPr>
            </w:pPr>
            <w:r>
              <w:rPr>
                <w:rFonts w:ascii="Arial" w:cs="Arial" w:eastAsia="Arial" w:hAnsi="Arial"/>
                <w:sz w:val="14"/>
                <w:szCs w:val="14"/>
                <w:b w:val="1"/>
                <w:bCs w:val="1"/>
                <w:color w:val="auto"/>
                <w:w w:val="92"/>
              </w:rPr>
              <w:t>Year Ended December 31, 2020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Reserve Balance as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Charges Incurred</w:t>
            </w:r>
          </w:p>
        </w:tc>
        <w:tc>
          <w:tcPr>
            <w:tcW w:w="26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Payments</w:t>
            </w:r>
          </w:p>
        </w:tc>
        <w:tc>
          <w:tcPr>
            <w:tcW w:w="14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1"/>
              </w:rPr>
              <w:t>Foreign Exchange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w w:val="94"/>
              </w:rPr>
              <w:t>Reserve Balance as of</w:t>
            </w:r>
          </w:p>
        </w:tc>
        <w:tc>
          <w:tcPr>
            <w:tcW w:w="0" w:type="dxa"/>
            <w:vAlign w:val="bottom"/>
          </w:tcPr>
          <w:p>
            <w:pPr>
              <w:spacing w:after="0"/>
              <w:rPr>
                <w:sz w:val="1"/>
                <w:szCs w:val="1"/>
                <w:color w:val="auto"/>
              </w:rPr>
            </w:pPr>
          </w:p>
        </w:tc>
      </w:tr>
      <w:tr>
        <w:trPr>
          <w:trHeight w:val="188"/>
        </w:trPr>
        <w:tc>
          <w:tcPr>
            <w:tcW w:w="2680" w:type="dxa"/>
            <w:vAlign w:val="bottom"/>
            <w:gridSpan w:val="2"/>
            <w:vMerge w:val="continue"/>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72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4"/>
        </w:trPr>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tcPr>
          <w:p>
            <w:pPr>
              <w:jc w:val="right"/>
              <w:ind w:right="145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Corporate</w:t>
            </w:r>
          </w:p>
        </w:tc>
        <w:tc>
          <w:tcPr>
            <w:tcW w:w="1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6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Logistics</w:t>
            </w:r>
          </w:p>
        </w:tc>
        <w:tc>
          <w:tcPr>
            <w:tcW w:w="16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facilities</w:t>
            </w:r>
          </w:p>
        </w:tc>
        <w:tc>
          <w:tcPr>
            <w:tcW w:w="16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ind w:right="145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expect the majority of the cash outlays related to the charges incurred in 2020 will be complete within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854"/>
              <w:spacing w:after="0"/>
              <w:rPr>
                <w:sz w:val="20"/>
                <w:szCs w:val="20"/>
                <w:color w:val="auto"/>
              </w:rPr>
            </w:pPr>
            <w:r>
              <w:rPr>
                <w:rFonts w:ascii="Arial" w:cs="Arial" w:eastAsia="Arial" w:hAnsi="Arial"/>
                <w:sz w:val="14"/>
                <w:szCs w:val="14"/>
                <w:b w:val="1"/>
                <w:bCs w:val="1"/>
                <w:color w:val="auto"/>
                <w:w w:val="92"/>
              </w:rPr>
              <w:t>Year Ended December 31, 2019</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Reserve Balance as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Charges Incurred</w:t>
            </w:r>
          </w:p>
        </w:tc>
        <w:tc>
          <w:tcPr>
            <w:tcW w:w="260" w:type="dxa"/>
            <w:vAlign w:val="bottom"/>
          </w:tcPr>
          <w:p>
            <w:pPr>
              <w:spacing w:after="0"/>
              <w:rPr>
                <w:sz w:val="11"/>
                <w:szCs w:val="11"/>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Payments</w:t>
            </w:r>
          </w:p>
        </w:tc>
        <w:tc>
          <w:tcPr>
            <w:tcW w:w="14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1"/>
              </w:rPr>
              <w:t>Foreign Exchange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w w:val="94"/>
              </w:rPr>
              <w:t>Reserve Balance as of</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72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4"/>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tcPr>
          <w:p>
            <w:pPr>
              <w:jc w:val="right"/>
              <w:ind w:right="145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ind w:left="86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6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16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facilities</w:t>
            </w:r>
          </w:p>
        </w:tc>
        <w:tc>
          <w:tcPr>
            <w:tcW w:w="16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cash outlays related to the charges incurred in 2019 were substantially complete by the end of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Land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Vehicles, tractors, trailers and tankers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book value of capitalized internally-developed software included in 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gridSpan w:val="2"/>
            <w:vMerge w:val="continue"/>
          </w:tcPr>
          <w:p>
            <w:pPr>
              <w:spacing w:after="0"/>
              <w:rPr>
                <w:sz w:val="17"/>
                <w:szCs w:val="17"/>
                <w:color w:val="auto"/>
              </w:rPr>
            </w:pPr>
          </w:p>
        </w:tc>
        <w:tc>
          <w:tcPr>
            <w:tcW w:w="38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332</w:t>
            </w:r>
          </w:p>
        </w:tc>
        <w:tc>
          <w:tcPr>
            <w:tcW w:w="120" w:type="dxa"/>
            <w:vAlign w:val="bottom"/>
          </w:tcPr>
          <w:p>
            <w:pPr>
              <w:spacing w:after="0"/>
              <w:rPr>
                <w:sz w:val="17"/>
                <w:szCs w:val="17"/>
                <w:color w:val="auto"/>
              </w:rPr>
            </w:pPr>
          </w:p>
        </w:tc>
        <w:tc>
          <w:tcPr>
            <w:tcW w:w="500" w:type="dxa"/>
            <w:vAlign w:val="bottom"/>
          </w:tcPr>
          <w:p>
            <w:pPr>
              <w:jc w:val="right"/>
              <w:ind w:right="310"/>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Depreciation of property and equipment and amortization of computer software was $616 million, $577 million and $546 million for the years ended December 31, 2020, 2019 and 2018,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 “Leases”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1, 2019, we adopted ASU 2016-02, “Leases”, and its related amendments (Topic 842) prospectively through a cumulative-effect adjustment with no restatement of prior period financial statements. Beginning in 2019, net operating lease activity, including the reduction of the operating lease asset and the accretion of the operating lease liability, are reflected in Depreciation, amortization and net lease activity on our Consolidated Statements of Cash Flows. The adoption of Topic 842 did not have a material impact on our Consolidated Statements of Income and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325755</wp:posOffset>
            </wp:positionV>
            <wp:extent cx="325755"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lease expense and gain realized on sale-leaseback transactions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6"/>
                <w:szCs w:val="16"/>
                <w:color w:val="auto"/>
              </w:rPr>
            </w:pPr>
          </w:p>
        </w:tc>
        <w:tc>
          <w:tcPr>
            <w:tcW w:w="1420" w:type="dxa"/>
            <w:vAlign w:val="bottom"/>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jc w:val="right"/>
              <w:ind w:right="71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lease cost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Amortization of leased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finance lease cost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xml:space="preserve">Gain recognized on sale-leaseback transactions </w:t>
            </w:r>
            <w:r>
              <w:rPr>
                <w:rFonts w:ascii="Arial" w:cs="Arial" w:eastAsia="Arial" w:hAnsi="Arial"/>
                <w:sz w:val="23"/>
                <w:szCs w:val="23"/>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40" w:type="dxa"/>
            <w:vAlign w:val="bottom"/>
            <w:gridSpan w:val="2"/>
            <w:vMerge w:val="continue"/>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740" w:right="500" w:hanging="408"/>
        <w:spacing w:after="0" w:line="257" w:lineRule="auto"/>
        <w:tabs>
          <w:tab w:leader="none" w:pos="539"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the years ended December 31, 2020 and 2019, we completed multiple sale-leaseback transactions for land and buildings, including a sale and partial leaseback of our shared-services center in Portland, Oregon in 2019. We received aggregate cash proceeds of $143 million and $203 million in 2020 and 2019, respectively. Gains on sale-leaseback transactions are included in Direct operating expense in our Consolidated Statements of Income.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4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Short-term operating lease liabilities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Finance leases: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Property and equipment, gross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Property and equipment, net</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40" w:type="dxa"/>
            <w:vAlign w:val="bottom"/>
            <w:shd w:val="clear" w:color="auto" w:fill="CCEEFF"/>
          </w:tcPr>
          <w:p>
            <w:pPr>
              <w:spacing w:after="0"/>
              <w:rPr>
                <w:sz w:val="11"/>
                <w:szCs w:val="11"/>
                <w:color w:val="auto"/>
              </w:rPr>
            </w:pPr>
          </w:p>
        </w:tc>
        <w:tc>
          <w:tcPr>
            <w:tcW w:w="4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Total finance lease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6 years</w:t>
            </w:r>
          </w:p>
        </w:tc>
        <w:tc>
          <w:tcPr>
            <w:tcW w:w="6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8 years</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2.69 %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76</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88"/>
        </w:trPr>
        <w:tc>
          <w:tcPr>
            <w:tcW w:w="7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6"/>
                <w:szCs w:val="16"/>
                <w:color w:val="auto"/>
              </w:rPr>
            </w:pPr>
          </w:p>
        </w:tc>
        <w:tc>
          <w:tcPr>
            <w:tcW w:w="1440" w:type="dxa"/>
            <w:vAlign w:val="bottom"/>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jc w:val="right"/>
              <w:ind w:right="713"/>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bl>
    <w:p>
      <w:pPr>
        <w:spacing w:after="0" w:line="1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Property and equipment acquired through capital leases was $111 million for the year ended December 31, 2018. Additionally, non-cash investing activities for the years ended December 31, 2020 and 2019 included $30 million and $39 million of property and equipment additions for build-to-suit leases.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 Leases</w:t>
            </w:r>
          </w:p>
        </w:tc>
        <w:tc>
          <w:tcPr>
            <w:tcW w:w="260" w:type="dxa"/>
            <w:vAlign w:val="bottom"/>
          </w:tcPr>
          <w:p>
            <w:pPr>
              <w:spacing w:after="0"/>
              <w:rPr>
                <w:sz w:val="16"/>
                <w:szCs w:val="16"/>
                <w:color w:val="auto"/>
              </w:rPr>
            </w:pPr>
          </w:p>
        </w:tc>
        <w:tc>
          <w:tcPr>
            <w:tcW w:w="1640" w:type="dxa"/>
            <w:vAlign w:val="bottom"/>
          </w:tcPr>
          <w:p>
            <w:pPr>
              <w:jc w:val="right"/>
              <w:ind w:right="33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9"/>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tcBorders>
              <w:bottom w:val="single" w:sz="8" w:color="CCEEFF"/>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additional operating leases that have not yet commenced with future undiscounted lease payments of $202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operating leases will commence in 2021 through 2022 with initial lease terms of 2 years to 15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Rent expense was $820 million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Logistics</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30"/>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Impact of foreign exchange translation and 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as of December 31, 2019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30"/>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Impact of foreign exchange translation and 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cumulative goodwill impairments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7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Gross Carrying Amount</w:t>
            </w:r>
          </w:p>
        </w:tc>
        <w:tc>
          <w:tcPr>
            <w:tcW w:w="1220" w:type="dxa"/>
            <w:vAlign w:val="bottom"/>
          </w:tcPr>
          <w:p>
            <w:pPr>
              <w:ind w:left="3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136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Definite-lived intangibles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0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1,883</w:t>
            </w:r>
          </w:p>
        </w:tc>
        <w:tc>
          <w:tcPr>
            <w:tcW w:w="140" w:type="dxa"/>
            <w:vAlign w:val="bottom"/>
          </w:tcPr>
          <w:p>
            <w:pPr>
              <w:spacing w:after="0"/>
              <w:rPr>
                <w:sz w:val="20"/>
                <w:szCs w:val="20"/>
                <w:color w:val="auto"/>
              </w:rPr>
            </w:pPr>
          </w:p>
        </w:tc>
        <w:tc>
          <w:tcPr>
            <w:tcW w:w="1220" w:type="dxa"/>
            <w:vAlign w:val="bottom"/>
          </w:tcPr>
          <w:p>
            <w:pPr>
              <w:jc w:val="right"/>
              <w:ind w:right="1042"/>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909</w:t>
            </w:r>
          </w:p>
        </w:tc>
        <w:tc>
          <w:tcPr>
            <w:tcW w:w="12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did not recognize any impairment of our identified intangible assets in 2020 and 2018. We recorded a non-cash, pre-tax charge of $6 million in 2019 related to the impairment of customer relationships intangibles associated with exiting our direct postal injection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bl>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 amortization expense recorded in Sales, general and administrative expense (“SG&amp;A”) was $144 million, $156 million and $159 million for the years ended December 31, 2020, 2019 and 2018,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December 31, 2020</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80" w:type="dxa"/>
            <w:vAlign w:val="bottom"/>
          </w:tcPr>
          <w:p>
            <w:pPr>
              <w:spacing w:after="0"/>
              <w:rPr>
                <w:sz w:val="10"/>
                <w:szCs w:val="10"/>
                <w:color w:val="auto"/>
              </w:rPr>
            </w:pPr>
          </w:p>
        </w:tc>
        <w:tc>
          <w:tcPr>
            <w:tcW w:w="17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3"/>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5"/>
            <w:shd w:val="clear" w:color="auto" w:fill="CCEEFF"/>
          </w:tcPr>
          <w:p>
            <w:pPr>
              <w:jc w:val="center"/>
              <w:ind w:right="30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0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102"/>
              <w:spacing w:after="0"/>
              <w:rPr>
                <w:sz w:val="20"/>
                <w:szCs w:val="20"/>
                <w:color w:val="auto"/>
              </w:rPr>
            </w:pPr>
            <w:r>
              <w:rPr>
                <w:rFonts w:ascii="Arial" w:cs="Arial" w:eastAsia="Arial" w:hAnsi="Arial"/>
                <w:sz w:val="18"/>
                <w:szCs w:val="18"/>
                <w:color w:val="FFFFFF"/>
              </w:rPr>
              <w:t>78</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4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December 31, 2019</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rate swap</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Derivatives not designated as hedges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currency option contracts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and nonderivative instruments designated as hedges on our Consolidated Statements of Income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Amount of Gain (Loss) Recognized in</w:t>
            </w:r>
          </w:p>
        </w:tc>
        <w:tc>
          <w:tcPr>
            <w:tcW w:w="246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92"/>
              </w:rPr>
              <w:t>Amount of Gain (Loss) Reclassified</w:t>
            </w:r>
          </w:p>
        </w:tc>
        <w:tc>
          <w:tcPr>
            <w:tcW w:w="160" w:type="dxa"/>
            <w:vAlign w:val="bottom"/>
          </w:tcPr>
          <w:p>
            <w:pPr>
              <w:spacing w:after="0"/>
              <w:rPr>
                <w:sz w:val="14"/>
                <w:szCs w:val="14"/>
                <w:color w:val="auto"/>
              </w:rPr>
            </w:pPr>
          </w:p>
        </w:tc>
        <w:tc>
          <w:tcPr>
            <w:tcW w:w="2220" w:type="dxa"/>
            <w:vAlign w:val="bottom"/>
            <w:gridSpan w:val="7"/>
          </w:tcPr>
          <w:p>
            <w:pPr>
              <w:jc w:val="center"/>
              <w:ind w:right="81"/>
              <w:spacing w:after="0"/>
              <w:rPr>
                <w:sz w:val="20"/>
                <w:szCs w:val="20"/>
                <w:color w:val="auto"/>
              </w:rPr>
            </w:pPr>
            <w:r>
              <w:rPr>
                <w:rFonts w:ascii="Arial" w:cs="Arial" w:eastAsia="Arial" w:hAnsi="Arial"/>
                <w:sz w:val="14"/>
                <w:szCs w:val="14"/>
                <w:b w:val="1"/>
                <w:bCs w:val="1"/>
                <w:color w:val="auto"/>
                <w:w w:val="93"/>
              </w:rPr>
              <w:t>Amount of Gain Recognized in</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8"/>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Other Comprehensive Income on</w:t>
            </w:r>
          </w:p>
        </w:tc>
        <w:tc>
          <w:tcPr>
            <w:tcW w:w="246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tcPr>
          <w:p>
            <w:pPr>
              <w:jc w:val="center"/>
              <w:ind w:right="81"/>
              <w:spacing w:after="0" w:line="135" w:lineRule="exact"/>
              <w:rPr>
                <w:sz w:val="20"/>
                <w:szCs w:val="20"/>
                <w:color w:val="auto"/>
              </w:rPr>
            </w:pPr>
            <w:r>
              <w:rPr>
                <w:rFonts w:ascii="Arial" w:cs="Arial" w:eastAsia="Arial" w:hAnsi="Arial"/>
                <w:sz w:val="14"/>
                <w:szCs w:val="14"/>
                <w:b w:val="1"/>
                <w:bCs w:val="1"/>
                <w:color w:val="auto"/>
                <w:w w:val="93"/>
              </w:rPr>
              <w:t>Income on Derivative (Amount</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7"/>
              </w:rPr>
              <w:t>from AOCI into Net Income</w:t>
            </w:r>
          </w:p>
        </w:tc>
        <w:tc>
          <w:tcPr>
            <w:tcW w:w="23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Excluded from Effectiveness Testing)</w:t>
            </w: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100"/>
              <w:spacing w:after="0"/>
              <w:rPr>
                <w:sz w:val="20"/>
                <w:szCs w:val="20"/>
                <w:color w:val="auto"/>
              </w:rPr>
            </w:pPr>
            <w:r>
              <w:rPr>
                <w:rFonts w:ascii="Arial" w:cs="Arial" w:eastAsia="Arial" w:hAnsi="Arial"/>
                <w:sz w:val="16"/>
                <w:szCs w:val="16"/>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center"/>
              <w:ind w:left="183"/>
              <w:spacing w:after="0"/>
              <w:rPr>
                <w:sz w:val="20"/>
                <w:szCs w:val="20"/>
                <w:color w:val="auto"/>
              </w:rPr>
            </w:pPr>
            <w:r>
              <w:rPr>
                <w:rFonts w:ascii="Arial" w:cs="Arial" w:eastAsia="Arial" w:hAnsi="Arial"/>
                <w:sz w:val="16"/>
                <w:szCs w:val="16"/>
                <w:color w:val="auto"/>
                <w:w w:val="91"/>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8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9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Derivatives designated as net investment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Cross-currency swap agreements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83"/>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center"/>
              <w:ind w:left="183"/>
              <w:spacing w:after="0"/>
              <w:rPr>
                <w:sz w:val="20"/>
                <w:szCs w:val="20"/>
                <w:color w:val="auto"/>
              </w:rPr>
            </w:pPr>
            <w:r>
              <w:rPr>
                <w:rFonts w:ascii="Arial" w:cs="Arial" w:eastAsia="Arial" w:hAnsi="Arial"/>
                <w:sz w:val="16"/>
                <w:szCs w:val="16"/>
                <w:color w:val="auto"/>
                <w:w w:val="91"/>
              </w:rPr>
              <w:t>(15)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gain of $1 million, a loss of $9 million and a gain of $4 million for the years ended December 31, 2020, 2019 and 2018, respectively. These amounts are recorded in Foreign currency (gain) loss on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13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324485</wp:posOffset>
            </wp:positionV>
            <wp:extent cx="325755"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Consolidated Statements of Cash Flows.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(gain) loss to offset the foreign exchange impact in earnings created by the intercompany loans. Cash flows related to these cash flow hedges are included in Operating activities on our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interest rate swaps mature on various dates through 2021.</w:t>
      </w:r>
    </w:p>
    <w:p>
      <w:pPr>
        <w:spacing w:after="0" w:line="13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are used to manage our exposure to foreign currency exchange rate fluctuations and are not speculative. The contracts generally expire in 12 months or less. We had no outstanding contracts as of December 31, 2020. As of December 31, 2019, the contracts were not designated as qualifying hedging instruments. Gains or losses on the contracts are recorded in Foreign currency (gain) loss on our Consolidated Statements of Income. Cash flows related to the foreign currency contracts are included in Investing activities on our Consolidated Statements of Cash Flows, consistent with the nature and purpose for which these derivatives were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Principal</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09"/>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Balance</w:t>
            </w:r>
          </w:p>
        </w:tc>
        <w:tc>
          <w:tcPr>
            <w:tcW w:w="120" w:type="dxa"/>
            <w:vAlign w:val="bottom"/>
            <w:vMerge w:val="restart"/>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Balance</w:t>
            </w:r>
          </w:p>
        </w:tc>
        <w:tc>
          <w:tcPr>
            <w:tcW w:w="120" w:type="dxa"/>
            <w:vAlign w:val="bottom"/>
            <w:vMerge w:val="restart"/>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26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gridSpan w:val="3"/>
          </w:tcPr>
          <w:p>
            <w:pPr>
              <w:ind w:left="20"/>
              <w:spacing w:after="0"/>
              <w:rPr>
                <w:sz w:val="20"/>
                <w:szCs w:val="20"/>
                <w:color w:val="auto"/>
              </w:rPr>
            </w:pPr>
            <w:r>
              <w:rPr>
                <w:rFonts w:ascii="Arial" w:cs="Arial" w:eastAsia="Arial" w:hAnsi="Arial"/>
                <w:sz w:val="16"/>
                <w:szCs w:val="16"/>
                <w:color w:val="auto"/>
              </w:rPr>
              <w:t>Term loan facilities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6.50%</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due 2022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213"/>
        </w:trPr>
        <w:tc>
          <w:tcPr>
            <w:tcW w:w="6380" w:type="dxa"/>
            <w:vAlign w:val="bottom"/>
            <w:gridSpan w:val="3"/>
          </w:tcPr>
          <w:p>
            <w:pPr>
              <w:ind w:left="20"/>
              <w:spacing w:after="0"/>
              <w:rPr>
                <w:sz w:val="20"/>
                <w:szCs w:val="20"/>
                <w:color w:val="auto"/>
              </w:rPr>
            </w:pPr>
            <w:r>
              <w:rPr>
                <w:rFonts w:ascii="Arial" w:cs="Arial" w:eastAsia="Arial" w:hAnsi="Arial"/>
                <w:sz w:val="16"/>
                <w:szCs w:val="16"/>
                <w:color w:val="auto"/>
              </w:rPr>
              <w:t>6.125% Senior notes due 2023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6.75%</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due 2024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6"/>
                <w:szCs w:val="16"/>
                <w:color w:val="auto"/>
                <w:w w:val="92"/>
              </w:rPr>
              <w:t>6.25%</w:t>
            </w:r>
          </w:p>
        </w:tc>
        <w:tc>
          <w:tcPr>
            <w:tcW w:w="5920" w:type="dxa"/>
            <w:vAlign w:val="bottom"/>
            <w:gridSpan w:val="2"/>
          </w:tcPr>
          <w:p>
            <w:pPr>
              <w:ind w:left="20"/>
              <w:spacing w:after="0"/>
              <w:rPr>
                <w:sz w:val="20"/>
                <w:szCs w:val="20"/>
                <w:color w:val="auto"/>
              </w:rPr>
            </w:pPr>
            <w:r>
              <w:rPr>
                <w:rFonts w:ascii="Arial" w:cs="Arial" w:eastAsia="Arial" w:hAnsi="Arial"/>
                <w:sz w:val="16"/>
                <w:szCs w:val="16"/>
                <w:color w:val="auto"/>
              </w:rPr>
              <w:t>Senior notes due 2025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6.70%</w:t>
            </w: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debentures due 2034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6380" w:type="dxa"/>
            <w:vAlign w:val="bottom"/>
            <w:gridSpan w:val="3"/>
          </w:tcPr>
          <w:p>
            <w:pPr>
              <w:ind w:left="20"/>
              <w:spacing w:after="0"/>
              <w:rPr>
                <w:sz w:val="20"/>
                <w:szCs w:val="20"/>
                <w:color w:val="auto"/>
              </w:rPr>
            </w:pPr>
            <w:r>
              <w:rPr>
                <w:rFonts w:ascii="Arial" w:cs="Arial" w:eastAsia="Arial" w:hAnsi="Arial"/>
                <w:sz w:val="16"/>
                <w:szCs w:val="16"/>
                <w:color w:val="auto"/>
              </w:rPr>
              <w:t>Borrowings related to securitization program</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Finance leases, asset financing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6,858</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w:t>
            </w:r>
          </w:p>
        </w:tc>
        <w:tc>
          <w:tcPr>
            <w:tcW w:w="0" w:type="dxa"/>
            <w:vAlign w:val="bottom"/>
          </w:tcPr>
          <w:p>
            <w:pPr>
              <w:spacing w:after="0"/>
              <w:rPr>
                <w:sz w:val="1"/>
                <w:szCs w:val="1"/>
                <w:color w:val="auto"/>
              </w:rPr>
            </w:pPr>
          </w:p>
        </w:tc>
      </w:tr>
      <w:tr>
        <w:trPr>
          <w:trHeight w:val="209"/>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6380" w:type="dxa"/>
            <w:vAlign w:val="bottom"/>
            <w:gridSpan w:val="3"/>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5,334</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Level 2</w:t>
            </w:r>
          </w:p>
        </w:tc>
      </w:tr>
      <w:tr>
        <w:trPr>
          <w:trHeight w:val="22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3,190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w:t>
            </w:r>
          </w:p>
        </w:tc>
      </w:tr>
    </w:tbl>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89"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January 2021, we redeemed the outstanding balance of our senior notes due June 2022 (the “Senior Notes due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2015, we entered into a revolving loan credit agreement (the “ABL Facility”) that provided commitments of up to $1.0 billion with a maturity date of October 30, 2020. In April 2019, we amended the ABL Facility including: (i) increasing the commitments to $1.1 billion, (ii) extending the maturity date to April 30, 2024, subject to springing maturity if some of our senior notes reach specified levels set in the credit agreement and (iii) reducing the interest rate margin. We can issue up to $350 million of letters of credit under the ABL Facility.</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availability under the ABL Facility is equal to the borrowing base less advances and outstanding letters of credit. Our borrowing base includes a fixed percentage of: (i) our eligible U.S. and Canadian accounts receivable; plus (ii) any of our eligible U.S. and Canadian rolling stock and equipment. A maximum of 20% of our borrowing base can be equipment and rolling stock in the aggregate. As of December 31, 2020, our borrowing base was $1.1 billion and our availability was $883 million, after considering outstanding borrowings of $200 million and outstanding letters of credit of $17 million. As of December 31, 2020, we were in compliance with the ABL Facility’s 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325755</wp:posOffset>
            </wp:positionV>
            <wp:extent cx="32575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loans under the ABL Facility bear interest at a rate equal to: LIBOR or base rate plus (i) an applicable margin of 1.25% to 1.50% for LIBOR loans or (ii) 0.25% to 0.50%, for base rate loans. The average interest rate on outstanding borrowings as of December 31, 2020 was 1.40%.</w:t>
      </w:r>
    </w:p>
    <w:p>
      <w:pPr>
        <w:spacing w:after="0" w:line="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ABL Facility is secured on a first lien basis by the assets of the credit parties as priority collateral and on a second lien basis by certain other assets. The priority collateral consists primarily of our U.S. and Canadian accounts receivable and any of our U.S. and Canadian rolling stock and equipment included in our borrowing base. The ABL Facility contains representations and warranties, affirmative and negative covenants and events of default customary for agreements of this nature.</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covenants in the ABL Facility can limit our ability to incur indebtedness; grant liens; engage in certain mergers, consolidations, acquisitions and dispositions; make certain investments and restricted payments; and enter into certain transactions with affiliates. We may also be required to maintain a Fixed Charge Coverage Ratio (as defined in the ABL Facility) of not less than 1.00 if availability under the ABL Facility is below certain thresholds. As of December 31, 2020, we were compliant with this financial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7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April 2020, we entered into a Senior Secured Term Loan Credit Agreement, comprised of a $150 million committed secured term loan facility and a $200 million uncommitted secured evergreen letter of credit facility. We did not draw on the term loan facility through its term, which ended in January 2021.</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Letters of credit under the letter of credit facility shall expire within one year of issuance and may contain automatic one-year renewals until the letter of credit facility terminates. As of December 31, 2020, we have issued $200 million in aggregate face amount of letters of credit under the facility. The credit agreement governing the term loan and letter of credit facilities contains representations and warranties and affirmative and negative covenants customary for financings of this type as well as customary events of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2015, we entered into a Term Loan Credit Agreement that provided for a single borrowing of $1.6 billion. The Term Loan Credit Agreement was issued at an original issue discount of $32 million. In 2018, we refinanced our term loans by replacing the outstanding $1.5 billion principal amount of term loans (the “Initial Term Loans”) with $1.5 billion in aggregate principal amount of new term loans (the “Present Term Loans”). Our Present Term Loans have substantially similar terms as our Initial Term Loans, except for the interest rate and maturity date, prepayment premiums and some other amendments to the restrictive covenants. We used the proceeds from the Present Term Loans to refinance the Initial Term Loans and to pay interest, fees and expenses in connection with this refinancing. We recorded a debt extinguishment loss of $10 million in 2018 due to this refinancing. We amended the Term Loan Credit Agreement in 2019 to include a new tranche of term loans (the “Incremental Term Loan Facility”), to reduce the interest rates and to extend the maturity dates. Net proceeds from borrowings under the Incremental Term Loan Facility were used for general corporate purposes, including to fund purchases of our common stock described in Note 14—Stockholders’ Equity. The loans under the Incremental Term Loan Facility were issued at a price of 99.50% of par. The interest rates on the Present Term Loans and the Incremental Term Loans were 2.15% and 2.66%, respectively, as of December 31, 2020. As of December 31, 2020 and 2019, the applicable terms of the Term Loan Credit Agreement, as amended,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2"/>
          </w:tcPr>
          <w:p>
            <w:pPr>
              <w:ind w:left="280"/>
              <w:spacing w:after="0"/>
              <w:rPr>
                <w:sz w:val="20"/>
                <w:szCs w:val="20"/>
                <w:color w:val="auto"/>
              </w:rPr>
            </w:pPr>
            <w:r>
              <w:rPr>
                <w:rFonts w:ascii="Arial" w:cs="Arial" w:eastAsia="Arial" w:hAnsi="Arial"/>
                <w:sz w:val="14"/>
                <w:szCs w:val="14"/>
                <w:b w:val="1"/>
                <w:bCs w:val="1"/>
                <w:color w:val="auto"/>
              </w:rPr>
              <w:t>Present Term Loans</w:t>
            </w:r>
          </w:p>
        </w:tc>
        <w:tc>
          <w:tcPr>
            <w:tcW w:w="300" w:type="dxa"/>
            <w:vAlign w:val="bottom"/>
          </w:tcPr>
          <w:p>
            <w:pPr>
              <w:spacing w:after="0"/>
              <w:rPr>
                <w:sz w:val="16"/>
                <w:szCs w:val="16"/>
                <w:color w:val="auto"/>
              </w:rPr>
            </w:pPr>
          </w:p>
        </w:tc>
        <w:tc>
          <w:tcPr>
            <w:tcW w:w="2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Incremental Term Loans</w:t>
            </w:r>
          </w:p>
        </w:tc>
        <w:tc>
          <w:tcPr>
            <w:tcW w:w="0" w:type="dxa"/>
            <w:vAlign w:val="bottom"/>
          </w:tcPr>
          <w:p>
            <w:pPr>
              <w:spacing w:after="0"/>
              <w:rPr>
                <w:sz w:val="1"/>
                <w:szCs w:val="1"/>
                <w:color w:val="auto"/>
              </w:rPr>
            </w:pPr>
          </w:p>
        </w:tc>
      </w:tr>
      <w:tr>
        <w:trPr>
          <w:trHeight w:val="229"/>
        </w:trPr>
        <w:tc>
          <w:tcPr>
            <w:tcW w:w="53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Amounts outstanding at December 31, 2020 and 2019:</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tcPr>
          <w:p>
            <w:pPr>
              <w:ind w:left="140"/>
              <w:spacing w:after="0"/>
              <w:rPr>
                <w:sz w:val="20"/>
                <w:szCs w:val="20"/>
                <w:color w:val="auto"/>
              </w:rPr>
            </w:pPr>
            <w:r>
              <w:rPr>
                <w:rFonts w:ascii="Arial" w:cs="Arial" w:eastAsia="Arial" w:hAnsi="Arial"/>
                <w:sz w:val="18"/>
                <w:szCs w:val="18"/>
                <w:color w:val="auto"/>
              </w:rPr>
              <w:t>Facility</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34"/>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spread:</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Base rate loans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LIBOR loans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Maturity date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2"/>
          </w:tcPr>
          <w:p>
            <w:pPr>
              <w:ind w:left="1080"/>
              <w:spacing w:after="0"/>
              <w:rPr>
                <w:sz w:val="20"/>
                <w:szCs w:val="20"/>
                <w:color w:val="auto"/>
              </w:rPr>
            </w:pPr>
            <w:r>
              <w:rPr>
                <w:rFonts w:ascii="Arial" w:cs="Arial" w:eastAsia="Arial" w:hAnsi="Arial"/>
                <w:sz w:val="18"/>
                <w:szCs w:val="18"/>
                <w:color w:val="auto"/>
                <w:w w:val="99"/>
              </w:rPr>
              <w:t>February 2025</w:t>
            </w:r>
          </w:p>
        </w:tc>
        <w:tc>
          <w:tcPr>
            <w:tcW w:w="300" w:type="dxa"/>
            <w:vAlign w:val="bottom"/>
          </w:tcPr>
          <w:p>
            <w:pPr>
              <w:spacing w:after="0"/>
              <w:rPr>
                <w:sz w:val="20"/>
                <w:szCs w:val="20"/>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2025</w:t>
            </w:r>
          </w:p>
        </w:tc>
        <w:tc>
          <w:tcPr>
            <w:tcW w:w="0" w:type="dxa"/>
            <w:vAlign w:val="bottom"/>
          </w:tcPr>
          <w:p>
            <w:pPr>
              <w:spacing w:after="0"/>
              <w:rPr>
                <w:sz w:val="1"/>
                <w:szCs w:val="1"/>
                <w:color w:val="auto"/>
              </w:rPr>
            </w:pPr>
          </w:p>
        </w:tc>
      </w:tr>
      <w:tr>
        <w:trPr>
          <w:trHeight w:val="526"/>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82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must prepay an aggregate principal amount of the term loan facility equal to (a) 50% of any Excess Cash Flow, as defined in the agreement, for the most recent fiscal year ended, minus (b) the sum of (i) all voluntary prepayments of loans during the fiscal year and (ii) all voluntary prepayments of loans under the ABL Facility or any other revolving credit facilities during the fiscal year if accompanied by a corresponding permanent reduction in the commitments under the credit agreement or any other revolving credit facilities in the case of each of the immediately preceding clauses (i) and (ii), if such prepayments are funded with internally generated cash flow, as defined in the agreement. If our Consolidated Secured Net Leverage Ratio, as defined in the agreement, for the fiscal year was less than or equal to 3.00:1.00 and greater than 2.50:1.00, the Excess Cash Flow percentage will be 25%. If our Consolidated Secured Net Leverage Ratio for the fiscal year was less than or equal to 2.50:1.00, the Excess Cash Flow percentage will be 0%. The remaining principal is due at maturity. As of December 31, 2020, our Consolidated Secured Net Leverage Ratio was less than 2.50:1.00, and no excess cash payment was required.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The Senior Notes due 2025 mature on May 1, 2025 and bear interest at a rate of 6.25% per annum. Interest on the notes is paid semi-annually. $850 million of the notes were issued at par, and $300 million of the notes were issued subsequently at 101.75% of face value. Net proceeds from the notes were invested in cash and cash equivalents.</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February 2019, we completed a private placement of $1.0 billion aggregate principal amount of senior notes (“Senior Notes due 2024”). We used the proceeds from the Senior Notes due 2024 to repay our outstanding obligation under the Unsecured Credit Facility described below and to finance a portion of our share repurchases described in Note 14—Stockholders’ Equity.</w:t>
      </w:r>
    </w:p>
    <w:p>
      <w:pPr>
        <w:spacing w:after="0" w:line="130"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In July 2018, we redeemed $400 million of the then $1.6 billion outstanding Senior Notes due 2022 that were originally issued in 2015. The redemption price for the Senior Notes due 2022 was 103.25% of the principal amount, plus accrued and unpaid interest. We paid for the redemption primarily with funds from the settlement of our forward sale agreements, described in Note 14—Stockholders’ Equity. We recorded a debt extinguishment loss of $17</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million in 2018 due to this redemption. In January 2021, we redeemed the remaining balance of the Senior Notes due 2022. For additional information, see Note 19—Subsequent Events.</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senior notes bear interest payable semiannually, in cash in arrears. The Senior Notes due 2025 mature on May 1, 2025, the Senior Notes due 2024 mature on August 15, 2024, the Senior Notes due September 2023 mature on September 1, 2023 and the Senior Notes due 2022 mature on June 15, 2022.</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senior notes are guaranteed by each of our direct and indirect wholly-owned restricted subsidiaries (other than some excluded subsidiaries) that are obligors under, or guarantee obligations under, our ABL Facility or existing term loan facilities or guarantee certain of our capital markets indebtedness or any guarantor of the senior notes. The senior notes and its guarantees are unsecured, unsubordinated indebtedness for us and our guarantors. The senior notes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Debentures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assumed Con-way’s 6.70% Senior Debentures due 2034 (the “Senior Debentures”) with an aggregate principal amount of $300 million when we acquired Con-way. The Senior Debentures bear interest payable semiannually, in cash in arrears, and mature on May 1, 2034. Including amortization of the fair value adjustment recorded on the acquisition date, interest expense on the Senior Debentures is recognized at an annual effective interest rate of 10.96%.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discussed in Note 2—Basis of Presentation and Significant Accounting Policies, XPO Logistics Europe participates in a trade receivables securitization program.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314960</wp:posOffset>
            </wp:positionV>
            <wp:extent cx="325755"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activities. The program will expire in July 2022 and contains financial covenants customary for this type of arrangement, including maintaining a defined average days sales outstanding ratio. In 2019, XPO Logistics Europe terminated a prior trade receivables securitization program and paid off the notes associated with the program, which had been included in our debt balances.</w:t>
      </w:r>
    </w:p>
    <w:p>
      <w:pPr>
        <w:spacing w:after="0" w:line="13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2018, we entered into a $500 million unsecured credit facility (“Unsecured Credit Facility”). As of December 31, 2018, we had borrowed $250 million under the facility. We borrowed an additional $250 million in January 2019. We used the proceeds of both borrowings to finance a portion of our share repurchases described in Note 14—Stockholders’ Equity. In connection with the issuance of the Senior Notes due 2024 described above, we repaid our outstanding obligations under the Unsecured Credit Facility and terminated it in February 2019. We recorded a debt extinguishment loss of $5 million in 2019 in connection with this repayment.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Financing</w:t>
      </w:r>
    </w:p>
    <w:p>
      <w:pPr>
        <w:spacing w:after="0" w:line="17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use unsecured asset financing arrangements to purchase trucks in Europe. These financing arrangements are denominated in EUR, generally with floating interest rates. As of December 31, 2020, interest rates on asset financing range from 0.85% to 1.06%, with a weighted average interest rate of 0.99%, and initial terms range from 6 years to 10 years.</w:t>
      </w:r>
    </w:p>
    <w:p>
      <w:pPr>
        <w:spacing w:after="0" w:line="234" w:lineRule="exact"/>
        <w:rPr>
          <w:sz w:val="20"/>
          <w:szCs w:val="20"/>
          <w:color w:val="auto"/>
        </w:rPr>
      </w:pPr>
    </w:p>
    <w:p>
      <w:pPr>
        <w:ind w:right="8900" w:firstLine="8"/>
        <w:spacing w:after="0" w:line="495" w:lineRule="auto"/>
        <w:tabs>
          <w:tab w:leader="none" w:pos="27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Benefit Pension Plans</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sponsor both funded and unfunded defined benefit pension plans for some employees in the United States.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We also sponsor a separate defined benefit pension plan for some employees in the United Kingdom. Both the U.S. plans and the U.K. plan do not allow for new plan participants or additional benefit accruals. We also maintain defined benefit pension plans for some of our foreign subsidiaries that are excluded from the disclosures below due to their immateriality.</w:t>
      </w:r>
    </w:p>
    <w:p>
      <w:pPr>
        <w:spacing w:after="0" w:line="10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measure defined benefit pension plan obligations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We determine the net periodic benefit costs using assumptions regarding the projected benefit obligation and the fair value of plan assets as of the beginning of the year. Net periodic benefit costs are recorded in Other income on our Consolidated Statements of Income. We calculate the funded status of the defined benefit pension plans, which represents the difference between the projected benefit obligation and the fair value of plan assets, on a plan-by-plan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319405</wp:posOffset>
            </wp:positionV>
            <wp:extent cx="325755"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 of Defined Benefit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changes in the plans’ projected benefit obligations as of December 31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U.S. Plans</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U.K. Plan</w:t>
            </w:r>
          </w:p>
        </w:tc>
        <w:tc>
          <w:tcPr>
            <w:tcW w:w="860" w:type="dxa"/>
            <w:vAlign w:val="bottom"/>
            <w:tcBorders>
              <w:bottom w:val="single" w:sz="8" w:color="auto"/>
            </w:tcBorders>
          </w:tcPr>
          <w:p>
            <w:pPr>
              <w:spacing w:after="0"/>
              <w:rPr>
                <w:sz w:val="16"/>
                <w:szCs w:val="16"/>
                <w:color w:val="auto"/>
              </w:rPr>
            </w:pPr>
          </w:p>
        </w:tc>
      </w:tr>
      <w:tr>
        <w:trPr>
          <w:trHeight w:val="18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Actuarial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 and other</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606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Projected benefit obligation at end of year </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1,500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1,323</w:t>
            </w: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As of December 31, 2020 and 2019, the accumulated benefit obligations for the U.K. plan was equal to the projected benefit obligations.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Actuarial losses were a result of assumption changes, including a decrease in the discount rate, updated mortality projection scales and other assumptions for plan participants, and an increase in assumed inflation for the U.K.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changes in the fair value of plan assets as of December 31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U.S. Plans</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U.K. Plan</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3"/>
        </w:trPr>
        <w:tc>
          <w:tcPr>
            <w:tcW w:w="6080" w:type="dxa"/>
            <w:vAlign w:val="bottom"/>
            <w:gridSpan w:val="4"/>
          </w:tcPr>
          <w:p>
            <w:pPr>
              <w:ind w:left="20"/>
              <w:spacing w:after="0"/>
              <w:rPr>
                <w:sz w:val="20"/>
                <w:szCs w:val="20"/>
                <w:color w:val="auto"/>
              </w:rPr>
            </w:pPr>
            <w:r>
              <w:rPr>
                <w:rFonts w:ascii="Arial" w:cs="Arial" w:eastAsia="Arial" w:hAnsi="Arial"/>
                <w:sz w:val="16"/>
                <w:szCs w:val="16"/>
                <w:color w:val="auto"/>
              </w:rPr>
              <w:t>Actual return on plan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Employer contributions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6080" w:type="dxa"/>
            <w:vAlign w:val="bottom"/>
            <w:gridSpan w:val="4"/>
          </w:tcPr>
          <w:p>
            <w:pPr>
              <w:ind w:left="2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6080" w:type="dxa"/>
            <w:vAlign w:val="bottom"/>
            <w:gridSpan w:val="4"/>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0"/>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rPr>
              <w:t>The funded status of the plans as of December 31 was as follows: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0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U.S. Plans</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U.K. Plan</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Funded status at end of year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6080" w:type="dxa"/>
            <w:vAlign w:val="bottom"/>
            <w:gridSpan w:val="4"/>
          </w:tcPr>
          <w:p>
            <w:pPr>
              <w:ind w:left="20"/>
              <w:spacing w:after="0"/>
              <w:rPr>
                <w:sz w:val="20"/>
                <w:szCs w:val="20"/>
                <w:color w:val="auto"/>
              </w:rPr>
            </w:pPr>
            <w:r>
              <w:rPr>
                <w:rFonts w:ascii="Arial" w:cs="Arial" w:eastAsia="Arial" w:hAnsi="Arial"/>
                <w:sz w:val="16"/>
                <w:szCs w:val="16"/>
                <w:color w:val="auto"/>
              </w:rPr>
              <w:t>Amount recognized in balance sheet: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Long-term assets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6080" w:type="dxa"/>
            <w:vAlign w:val="bottom"/>
            <w:gridSpan w:val="4"/>
          </w:tcPr>
          <w:p>
            <w:pPr>
              <w:ind w:left="18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Long-term liabilities</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80" w:type="dxa"/>
            <w:vAlign w:val="bottom"/>
            <w:gridSpan w:val="4"/>
          </w:tcPr>
          <w:p>
            <w:pPr>
              <w:ind w:left="180"/>
              <w:spacing w:after="0"/>
              <w:rPr>
                <w:sz w:val="20"/>
                <w:szCs w:val="20"/>
                <w:color w:val="auto"/>
              </w:rPr>
            </w:pPr>
            <w:r>
              <w:rPr>
                <w:rFonts w:ascii="Arial" w:cs="Arial" w:eastAsia="Arial" w:hAnsi="Arial"/>
                <w:sz w:val="16"/>
                <w:szCs w:val="16"/>
                <w:color w:val="auto"/>
              </w:rPr>
              <w:t>Net pension asset (liability) recognized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6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5"/>
                <w:szCs w:val="15"/>
                <w:color w:val="auto"/>
              </w:rPr>
              <w:t>Plans with projected and accumulated benefit obligation in excess</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of plan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gridSpan w:val="4"/>
          </w:tcPr>
          <w:p>
            <w:pPr>
              <w:ind w:left="180"/>
              <w:spacing w:after="0"/>
              <w:rPr>
                <w:sz w:val="20"/>
                <w:szCs w:val="20"/>
                <w:color w:val="auto"/>
              </w:rPr>
            </w:pPr>
            <w:r>
              <w:rPr>
                <w:rFonts w:ascii="Arial" w:cs="Arial" w:eastAsia="Arial" w:hAnsi="Arial"/>
                <w:sz w:val="16"/>
                <w:szCs w:val="16"/>
                <w:color w:val="auto"/>
              </w:rPr>
              <w:t>Projected and accumulated benefit obligation</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Fair value of plan assets</w:t>
            </w:r>
          </w:p>
        </w:tc>
        <w:tc>
          <w:tcPr>
            <w:tcW w:w="2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funded status of our qualified plans and non-qualified plans was $88 million and $(78) million, respectively, at December 31, 2020. Qualified plans are eligible for certain beneficial treatment under the Internal Revenue Code (“IRC”), while non-qualified plans do not meet the IRC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299085</wp:posOffset>
            </wp:positionV>
            <wp:extent cx="325755"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amounts included in AOCI that have not yet been recognized in net periodic benefit expense as of December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U.S. Plans</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U.K. Plan</w:t>
            </w:r>
          </w:p>
        </w:tc>
        <w:tc>
          <w:tcPr>
            <w:tcW w:w="860" w:type="dxa"/>
            <w:vAlign w:val="bottom"/>
            <w:tcBorders>
              <w:bottom w:val="single" w:sz="8" w:color="auto"/>
            </w:tcBorders>
          </w:tcPr>
          <w:p>
            <w:pPr>
              <w:spacing w:after="0"/>
              <w:rPr>
                <w:sz w:val="16"/>
                <w:szCs w:val="16"/>
                <w:color w:val="auto"/>
              </w:rPr>
            </w:pPr>
          </w:p>
        </w:tc>
      </w:tr>
      <w:tr>
        <w:trPr>
          <w:trHeight w:val="18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Actuarial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523"/>
              <w:spacing w:after="0"/>
              <w:rPr>
                <w:sz w:val="20"/>
                <w:szCs w:val="20"/>
                <w:color w:val="auto"/>
              </w:rPr>
            </w:pPr>
            <w:r>
              <w:rPr>
                <w:rFonts w:ascii="Arial" w:cs="Arial" w:eastAsia="Arial" w:hAnsi="Arial"/>
                <w:sz w:val="16"/>
                <w:szCs w:val="16"/>
                <w:color w:val="auto"/>
                <w:w w:val="91"/>
              </w:rPr>
              <w:t>(50)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8"/>
              </w:rPr>
              <w:t>(54)</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Prior-service credit</w:t>
            </w:r>
          </w:p>
        </w:tc>
        <w:tc>
          <w:tcPr>
            <w:tcW w:w="280" w:type="dxa"/>
            <w:vAlign w:val="bottom"/>
          </w:tcPr>
          <w:p>
            <w:pPr>
              <w:spacing w:after="0"/>
              <w:rPr>
                <w:sz w:val="18"/>
                <w:szCs w:val="18"/>
                <w:color w:val="auto"/>
              </w:rPr>
            </w:pPr>
          </w:p>
        </w:tc>
        <w:tc>
          <w:tcPr>
            <w:tcW w:w="1060" w:type="dxa"/>
            <w:vAlign w:val="bottom"/>
            <w:gridSpan w:val="2"/>
          </w:tcPr>
          <w:p>
            <w:pPr>
              <w:jc w:val="center"/>
              <w:ind w:left="423"/>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center"/>
              <w:ind w:left="501"/>
              <w:spacing w:after="0"/>
              <w:rPr>
                <w:sz w:val="20"/>
                <w:szCs w:val="20"/>
                <w:color w:val="auto"/>
              </w:rPr>
            </w:pPr>
            <w:r>
              <w:rPr>
                <w:rFonts w:ascii="Arial" w:cs="Arial" w:eastAsia="Arial" w:hAnsi="Arial"/>
                <w:sz w:val="16"/>
                <w:szCs w:val="16"/>
                <w:color w:val="auto"/>
                <w:w w:val="89"/>
              </w:rPr>
              <w:t>18</w:t>
            </w:r>
          </w:p>
        </w:tc>
      </w:tr>
      <w:tr>
        <w:trPr>
          <w:trHeight w:val="41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center"/>
              <w:ind w:left="523"/>
              <w:spacing w:after="0"/>
              <w:rPr>
                <w:sz w:val="20"/>
                <w:szCs w:val="20"/>
                <w:color w:val="auto"/>
              </w:rPr>
            </w:pPr>
            <w:r>
              <w:rPr>
                <w:rFonts w:ascii="Arial" w:cs="Arial" w:eastAsia="Arial" w:hAnsi="Arial"/>
                <w:sz w:val="16"/>
                <w:szCs w:val="16"/>
                <w:color w:val="auto"/>
                <w:w w:val="91"/>
              </w:rPr>
              <w:t>(50)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center"/>
              <w:ind w:left="461"/>
              <w:spacing w:after="0"/>
              <w:rPr>
                <w:sz w:val="20"/>
                <w:szCs w:val="20"/>
                <w:color w:val="auto"/>
              </w:rPr>
            </w:pPr>
            <w:r>
              <w:rPr>
                <w:rFonts w:ascii="Arial" w:cs="Arial" w:eastAsia="Arial" w:hAnsi="Arial"/>
                <w:sz w:val="16"/>
                <w:szCs w:val="16"/>
                <w:color w:val="auto"/>
                <w:w w:val="98"/>
              </w:rPr>
              <w:t>(36)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net periodic benefit cost and amounts recognized in Other comprehensive income (loss) for the years ended December 31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U.S. Plans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U.K. Plan</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(income)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180"/>
              <w:spacing w:after="0"/>
              <w:rPr>
                <w:sz w:val="20"/>
                <w:szCs w:val="20"/>
                <w:color w:val="auto"/>
              </w:rPr>
            </w:pPr>
            <w:r>
              <w:rPr>
                <w:rFonts w:ascii="Arial" w:cs="Arial" w:eastAsia="Arial" w:hAnsi="Arial"/>
                <w:sz w:val="16"/>
                <w:szCs w:val="16"/>
                <w:color w:val="auto"/>
              </w:rPr>
              <w:t>Interest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361"/>
              <w:spacing w:after="0"/>
              <w:rPr>
                <w:sz w:val="20"/>
                <w:szCs w:val="20"/>
                <w:color w:val="auto"/>
              </w:rPr>
            </w:pPr>
            <w:r>
              <w:rPr>
                <w:rFonts w:ascii="Arial" w:cs="Arial" w:eastAsia="Arial" w:hAnsi="Arial"/>
                <w:sz w:val="16"/>
                <w:szCs w:val="16"/>
                <w:color w:val="auto"/>
                <w:w w:val="89"/>
              </w:rPr>
              <w:t>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98"/>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80"/>
              <w:spacing w:after="0"/>
              <w:rPr>
                <w:sz w:val="20"/>
                <w:szCs w:val="20"/>
                <w:color w:val="auto"/>
              </w:rPr>
            </w:pPr>
            <w:r>
              <w:rPr>
                <w:rFonts w:ascii="Arial" w:cs="Arial" w:eastAsia="Arial" w:hAnsi="Arial"/>
                <w:sz w:val="16"/>
                <w:szCs w:val="16"/>
                <w:color w:val="auto"/>
              </w:rPr>
              <w:t>Amortization of prior-service credit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center"/>
              <w:ind w:left="24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562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Net periodic benefit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w w:val="98"/>
              </w:rPr>
              <w:t>(24)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Amounts recognized in Other comprehensive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Actuarial (gain)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98"/>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5620" w:type="dxa"/>
            <w:vAlign w:val="bottom"/>
            <w:gridSpan w:val="2"/>
          </w:tcPr>
          <w:p>
            <w:pPr>
              <w:ind w:left="180"/>
              <w:spacing w:after="0"/>
              <w:rPr>
                <w:sz w:val="20"/>
                <w:szCs w:val="20"/>
                <w:color w:val="auto"/>
              </w:rPr>
            </w:pPr>
            <w:r>
              <w:rPr>
                <w:rFonts w:ascii="Arial" w:cs="Arial" w:eastAsia="Arial" w:hAnsi="Arial"/>
                <w:sz w:val="16"/>
                <w:szCs w:val="16"/>
                <w:color w:val="auto"/>
              </w:rPr>
              <w:t>Prior-service cost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41"/>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9"/>
        </w:trPr>
        <w:tc>
          <w:tcPr>
            <w:tcW w:w="562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6"/>
                <w:szCs w:val="16"/>
                <w:color w:val="auto"/>
              </w:rPr>
              <w:t>Reclassification of prior-service credit to net periodic benefit</w:t>
            </w:r>
          </w:p>
        </w:tc>
        <w:tc>
          <w:tcPr>
            <w:tcW w:w="2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w:t>
            </w:r>
          </w:p>
        </w:tc>
        <w:tc>
          <w:tcPr>
            <w:tcW w:w="2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gridSpan w:val="2"/>
          </w:tcPr>
          <w:p>
            <w:pPr>
              <w:ind w:left="420"/>
              <w:spacing w:after="0"/>
              <w:rPr>
                <w:sz w:val="20"/>
                <w:szCs w:val="20"/>
                <w:color w:val="auto"/>
              </w:rPr>
            </w:pPr>
            <w:r>
              <w:rPr>
                <w:rFonts w:ascii="Arial" w:cs="Arial" w:eastAsia="Arial" w:hAnsi="Arial"/>
                <w:sz w:val="16"/>
                <w:szCs w:val="16"/>
                <w:color w:val="auto"/>
              </w:rPr>
              <w:t>(Gain) loss recognized in Other comprehensive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center"/>
              <w:ind w:left="321"/>
              <w:spacing w:after="0"/>
              <w:rPr>
                <w:sz w:val="20"/>
                <w:szCs w:val="20"/>
                <w:color w:val="auto"/>
              </w:rPr>
            </w:pPr>
            <w:r>
              <w:rPr>
                <w:rFonts w:ascii="Arial" w:cs="Arial" w:eastAsia="Arial" w:hAnsi="Arial"/>
                <w:sz w:val="16"/>
                <w:szCs w:val="16"/>
                <w:color w:val="auto"/>
                <w:w w:val="98"/>
              </w:rPr>
              <w:t>(49)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weighted-average assumptions used to determine the net periodic benefit costs and benefit obligations for the year ended December 31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2"/>
              </w:rPr>
              <w:t>U.S. Qualified Plans</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5"/>
          </w:tcPr>
          <w:p>
            <w:pPr>
              <w:jc w:val="center"/>
              <w:ind w:left="482"/>
              <w:spacing w:after="0"/>
              <w:rPr>
                <w:sz w:val="20"/>
                <w:szCs w:val="20"/>
                <w:color w:val="auto"/>
              </w:rPr>
            </w:pPr>
            <w:r>
              <w:rPr>
                <w:rFonts w:ascii="Arial" w:cs="Arial" w:eastAsia="Arial" w:hAnsi="Arial"/>
                <w:sz w:val="14"/>
                <w:szCs w:val="14"/>
                <w:b w:val="1"/>
                <w:bCs w:val="1"/>
                <w:color w:val="auto"/>
                <w:w w:val="93"/>
              </w:rPr>
              <w:t>U.S. Non-Qualified Plans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U.K. Plan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Discount rate - net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3.14% -</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2.40% -</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3.65%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w w:val="97"/>
              </w:rPr>
              <w:t>2.84%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periodic benefit costs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Discount rate - benefit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14"/>
                <w:szCs w:val="14"/>
                <w:color w:val="auto"/>
              </w:rPr>
            </w:pPr>
          </w:p>
        </w:tc>
        <w:tc>
          <w:tcPr>
            <w:tcW w:w="840" w:type="dxa"/>
            <w:vAlign w:val="bottom"/>
          </w:tcPr>
          <w:p>
            <w:pPr>
              <w:ind w:left="20"/>
              <w:spacing w:after="0" w:line="166" w:lineRule="exact"/>
              <w:rPr>
                <w:sz w:val="20"/>
                <w:szCs w:val="20"/>
                <w:color w:val="auto"/>
              </w:rPr>
            </w:pPr>
            <w:r>
              <w:rPr>
                <w:rFonts w:ascii="Arial" w:cs="Arial" w:eastAsia="Arial" w:hAnsi="Arial"/>
                <w:sz w:val="16"/>
                <w:szCs w:val="16"/>
                <w:color w:val="auto"/>
              </w:rPr>
              <w:t>4.18% -</w:t>
            </w:r>
          </w:p>
        </w:tc>
        <w:tc>
          <w:tcPr>
            <w:tcW w:w="1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1.62% -</w:t>
            </w:r>
          </w:p>
        </w:tc>
        <w:tc>
          <w:tcPr>
            <w:tcW w:w="1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2.72%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w w:val="97"/>
              </w:rPr>
              <w:t>3.93%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09"/>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obligations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Expected long-term rate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3.00% -</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4.85 %</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4.95 %</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 return on plan assets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rate of compensation increase was assumed as the plans are frozen to additional participant benefit accruals.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Expected benefit payments for the defined benefit pension plans are summarized below. These estimates are based on assumptions about future events.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benefit payments may vary from these estimates.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U.S. Plans</w:t>
            </w:r>
          </w:p>
        </w:tc>
        <w:tc>
          <w:tcPr>
            <w:tcW w:w="28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U.K. Plan</w:t>
            </w:r>
          </w:p>
        </w:tc>
      </w:tr>
      <w:tr>
        <w:trPr>
          <w:trHeight w:val="229"/>
        </w:trPr>
        <w:tc>
          <w:tcPr>
            <w:tcW w:w="78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tcPr>
          <w:p>
            <w:pPr>
              <w:ind w:left="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860" w:type="dxa"/>
            <w:vAlign w:val="bottom"/>
          </w:tcPr>
          <w:p>
            <w:pPr>
              <w:ind w:left="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860" w:type="dxa"/>
            <w:vAlign w:val="bottom"/>
          </w:tcPr>
          <w:p>
            <w:pPr>
              <w:ind w:left="8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2026-2030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Plans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manage the assets in the U.S. plans using a long-term liability-driven investment strategy that seeks to mitigate the funded status volatility by increasing participation in fixed income investments as the plan’s funded status increases. We developed this strategy by analyzing a variety of diversified asset-class combinations with the projected liabilities.</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current investment strategy is to achieve an investment mix of approximately 85% in fixed income securities and 15% of investments in equity securities. The fixed income allocation consists primarily of domestic fixed income securities and targets to hedge more than 92% of domestic projected liabilities. The target allocations for equity securities includes approximately 55% in U.S. equities and approximately 45% in non-U.S. equities. Investments in equity and fixed income securities consist of individual securities held in managed separate accounts and commingled investment funds. Generally, our investment strategy does not include an allocation to cash and cash equivalents but a cash allocation may arise periodically in response to timing considerations regarding contributions, investments, and the payment of benefits and eligible plan expenses. We periodically evaluate our defined benefit plans’ asset portfolios for significant concentrations of risk. Types of investment concentration risks that are evaluated include concentrations in a single issuer, specific security, asset class, credit rating, duration, industry/sector, currency, foreign country or individual fund manager. As of December 31, 2020, our defined benefit plan assets had no significant concentrations of risk.</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investment policy does not allow investment managers to use market-timing strategies or financial derivative instruments for speculative purposes but financial derivative instruments are used to manage risk and achieve stated investment objectives for duration, yield curve, credit, foreign exchange and equity exposures. Generally, our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assumption of 5.60% for the overall expected long-term rate of return on plan assets in 2020 was developed using asset allocation and return expectations. The return expectations are created using long-term historical and expected returns and current market expectations for inflation, interest rates and economic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Plan</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U.K. Plan’s assets are separated from our assets and invested by trustees, which include our representatives, with the goal of meeting the U.K. Plan’s projected future pension liabilities. The trustees’ investment objectives are to meet the performance target set in the deficit recovery plan of the U.K. Plan in a risk-controlled framework. The actual asset allocations of the U.K. Plan are in line with the target asset allocations. The trustees have approved a transition in 2021 to a new target strategic asset allocation for the U.K. Plan that consists of approximately 40% matching assets (U.K. gilts and cash) and approximately 60% growth and income assets (consisting of a range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325755</wp:posOffset>
            </wp:positionV>
            <wp:extent cx="32575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pooled funds investing in structured equities, investment grade and high yield bonds and asset-backed securities). The target asset allocations of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include acceptable ranges for each asset class.</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Collateral assets consist of U.K. fixed-interest gilts, index-linked gilts and cash, which are used to back derivative positions that hedge the sensitivity of the liabilities to changes in interest rates and inflation. On the U.K. Plan Actuary’s Technical Provisions funding basis, approximately 95% of the liability interest rate sensitivity and 105% of the liability inflation sensitivity were hedged as of December 31, 2020. The expected long-term rate of return on plan assets in 2020 was 4.40%. Our approach to determine the expected long-term rate of return on plan assets is consistent with the one we used for the U.S. Plans.</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values of investments held in the pension plans by major asset category as of December 31, 2020 and 2019, and the percentage that each asset category comprises of total plan assets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Not Subject</w:t>
            </w:r>
          </w:p>
        </w:tc>
        <w:tc>
          <w:tcPr>
            <w:tcW w:w="26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5"/>
              </w:rPr>
              <w:t>Percentage of Plan</w:t>
            </w:r>
          </w:p>
        </w:tc>
        <w:tc>
          <w:tcPr>
            <w:tcW w:w="0" w:type="dxa"/>
            <w:vAlign w:val="bottom"/>
          </w:tcPr>
          <w:p>
            <w:pPr>
              <w:spacing w:after="0"/>
              <w:rPr>
                <w:sz w:val="1"/>
                <w:szCs w:val="1"/>
                <w:color w:val="auto"/>
              </w:rPr>
            </w:pPr>
          </w:p>
        </w:tc>
      </w:tr>
      <w:tr>
        <w:trPr>
          <w:trHeight w:val="189"/>
        </w:trPr>
        <w:tc>
          <w:tcPr>
            <w:tcW w:w="4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88"/>
              </w:rPr>
              <w:t xml:space="preserve">to Leveling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 (U.S. Qualified Plans)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 fund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large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U.S. small companies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U.S.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category (U.K. Plan)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93.3 %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U.K.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328"/>
        <w:spacing w:after="0" w:line="312" w:lineRule="auto"/>
        <w:tabs>
          <w:tab w:leader="none" w:pos="648"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305435</wp:posOffset>
            </wp:positionV>
            <wp:extent cx="32575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December 31, 2019</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Not Subject</w:t>
            </w:r>
          </w:p>
        </w:tc>
        <w:tc>
          <w:tcPr>
            <w:tcW w:w="260" w:type="dxa"/>
            <w:vAlign w:val="bottom"/>
          </w:tcPr>
          <w:p>
            <w:pPr>
              <w:spacing w:after="0"/>
              <w:rPr>
                <w:sz w:val="11"/>
                <w:szCs w:val="11"/>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5"/>
              </w:rPr>
              <w:t>Percentage of Plan</w:t>
            </w:r>
          </w:p>
        </w:tc>
        <w:tc>
          <w:tcPr>
            <w:tcW w:w="0" w:type="dxa"/>
            <w:vAlign w:val="bottom"/>
          </w:tcPr>
          <w:p>
            <w:pPr>
              <w:spacing w:after="0"/>
              <w:rPr>
                <w:sz w:val="1"/>
                <w:szCs w:val="1"/>
                <w:color w:val="auto"/>
              </w:rPr>
            </w:pPr>
          </w:p>
        </w:tc>
      </w:tr>
      <w:tr>
        <w:trPr>
          <w:trHeight w:val="189"/>
        </w:trPr>
        <w:tc>
          <w:tcPr>
            <w:tcW w:w="4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88"/>
              </w:rPr>
              <w:t xml:space="preserve">to Leveling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 (U.S. Qualified Plans)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 fund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large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U.S. small companies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U.S.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category (U.K. Plan)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U.K.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328"/>
        <w:spacing w:after="0" w:line="312" w:lineRule="auto"/>
        <w:tabs>
          <w:tab w:leader="none" w:pos="648"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0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the periods ended December 31, 2020 and 2019, we had no investments held in the pension plans within Level 3 of the fair value hierarchy. Our common stock was not a plan asset as of December 31, 2020 or 2019. The U.S. Non-Qualified Pension Plans are unfunded.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funding practice is to evaluate our tax and cash position, and the funded status of our plans, in determining our planned contributions. We estimate that we will contribute $5 million to our U.S. non-qualified plans and $1 million to our U.K. plan in 2021 but this could change based on variations in interest rates, asset returns and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costs for defined contribution retirement plans were $71 million, $70 million and $66 million for the years ended December 31, 2020,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provide health benefits through a postretirement medical plan for eligible employees hired before 1993 (the “Postretirement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 of Postretirement Medical Plan</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reconciliation of the changes in the plan’s benefit obligation and the determination of the amounts recognized on our Consolidated Balance Sheets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 (gain)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Projected and accumulated benefit obligation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of the plan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Amounts recognized in the balance sheet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Long-term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Discount rate assumption as of December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2.20 %</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amounts included in AOCI that have not yet been recognized in net periodic benefit income (expense) and the net periodic benefit income (expense) for the postretirement plan were not material in any of the periods presented. The discount rates assumptions used to calculate the interest cost were 2.66% - 3.22%, 3.87% - 4.36% and 3.11% - 3.67% for the years ended December 31, 2020, 2019 and 2018, respectively.</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Expected benefit payments, which reflect expected future service, as appropriate, are summarized below. These estimates are based on assumptions about future events. Actual benefit payments may vary from these estimates.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Benefit Payments</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2026-2030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Board of Directors is authorized to establish one or more series of preferred stock. At December 31, 2020 and 2019, only our Series A Convertible Perpetual Preferred Stock is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Perpetual Preferred Stock and Warrants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issued 75,000 shares of the Series A Preferred Stock with an initial liquidation preference of $1,000 per share which are convertible into shares of our common stock at a conversion price of $7.00 per common share (subject to customary anti-dilution adjustments). We also issued warrants exercisable for shares of our common stock at an initial exercise price of $7.00 per common share (subject to customary anti-dilution adjustments). Our preferred stock ranks senior to our common stock with respect to dividend and liquidation rights. Our preferred stock pays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314960</wp:posOffset>
            </wp:positionV>
            <wp:extent cx="32575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quarterly cash dividends equal to the greater of: (i) the “as-converted” dividends on our underlying common stock for the relevant quarter and (ii) 4% of the then-applicable liquidation preference per annum. Our preferred stock is not redeemable.</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69,445 shares were exchanged, and we issued 9.9 million shares of common stock and paid $22 million of cash. The $22 million has been reflected as a preferred stock conversion charge in the accompanying consolidated financial statements. With respect to the warrants, 0.3 million warrants were exchanged, and we issued 0.3 million shares of common stock. Additional commitments were made with respect to 9.6 million warrants, which are expected to be converted into 9.1 million shares of common stock in the first quarter of 2021.</w:t>
      </w:r>
    </w:p>
    <w:p>
      <w:pPr>
        <w:spacing w:after="0" w:line="13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2020, our remaining outstanding preferred stock is convertible into 0.1 million shares of our common stock, and our outstanding warrants are exercisable for an aggregate of 9.8 million shares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Sales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2018, we settled forward sales in full that were included in a 2017 registered underwritten offering by delivering six million shares of our common stock to the counterparties in the agreements and received $349 million of net cash proceeds. We used these net cash proceeds to repay our Senior Notes due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which was completed in the first quarter of 2019. The share repurchases were funded by our Unsecured Credit Facility and available cash.</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2019, our Board of Directors authorized additional repurchases of up to $1.5 billion of our common stock.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this program have been funded by our available cash and proceeds from our 2019 debt offerings.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gridSpan w:val="4"/>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400" w:type="dxa"/>
            <w:vAlign w:val="bottom"/>
          </w:tcPr>
          <w:p>
            <w:pPr>
              <w:spacing w:after="0"/>
              <w:rPr>
                <w:sz w:val="16"/>
                <w:szCs w:val="16"/>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400" w:type="dxa"/>
            <w:vAlign w:val="bottom"/>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4"/>
          </w:tcPr>
          <w:p>
            <w:pPr>
              <w:ind w:left="20"/>
              <w:spacing w:after="0"/>
              <w:rPr>
                <w:sz w:val="20"/>
                <w:szCs w:val="20"/>
                <w:color w:val="auto"/>
              </w:rPr>
            </w:pPr>
            <w:r>
              <w:rPr>
                <w:rFonts w:ascii="Arial" w:cs="Arial" w:eastAsia="Arial" w:hAnsi="Arial"/>
                <w:sz w:val="18"/>
                <w:szCs w:val="18"/>
                <w:color w:val="auto"/>
              </w:rPr>
              <w:t>Aggregate value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w:t>
            </w:r>
          </w:p>
        </w:tc>
        <w:tc>
          <w:tcPr>
            <w:tcW w:w="5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4"/>
          </w:tcPr>
          <w:p>
            <w:pPr>
              <w:ind w:left="20"/>
              <w:spacing w:after="0"/>
              <w:rPr>
                <w:sz w:val="20"/>
                <w:szCs w:val="20"/>
                <w:color w:val="auto"/>
              </w:rPr>
            </w:pPr>
            <w:r>
              <w:rPr>
                <w:rFonts w:ascii="Arial" w:cs="Arial" w:eastAsia="Arial" w:hAnsi="Arial"/>
                <w:sz w:val="18"/>
                <w:szCs w:val="18"/>
                <w:color w:val="auto"/>
              </w:rPr>
              <w:t>Remaining authorization</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CC0000"/>
            </w:tcBorders>
            <w:shd w:val="clear" w:color="auto" w:fill="CC0000"/>
          </w:tcPr>
          <w:p>
            <w:pPr>
              <w:spacing w:after="0"/>
              <w:rPr>
                <w:sz w:val="14"/>
                <w:szCs w:val="14"/>
                <w:color w:val="auto"/>
              </w:rPr>
            </w:pPr>
          </w:p>
        </w:tc>
        <w:tc>
          <w:tcPr>
            <w:tcW w:w="40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w w:val="99"/>
              </w:rPr>
              <w:t>91</w:t>
            </w: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CC0000"/>
            </w:tcBorders>
            <w:shd w:val="clear" w:color="auto" w:fill="CC0000"/>
          </w:tcPr>
          <w:p>
            <w:pPr>
              <w:spacing w:after="0"/>
              <w:rPr>
                <w:sz w:val="10"/>
                <w:szCs w:val="10"/>
                <w:color w:val="auto"/>
              </w:rPr>
            </w:pPr>
          </w:p>
        </w:tc>
        <w:tc>
          <w:tcPr>
            <w:tcW w:w="40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grant various types of stock-based compensation awards to directors, officers and key employees under our 2016 incentive plan. These awards include stock options, restricted stock, restricted stock units, performance-based units, cash incentive awards and other equity-related awards (collectively, “Awards”).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2016 plan authorizes the issuance of up to 6.6 million shares of our common stock as Awards. Shares awarded may consist of authorized and unissued shares or treasury shares. The 2016 plan will terminate on May 15, 2029, unless terminated earlier by our Board of Directors. As of December 31, 2020, 1.8 million shares of our common stock were available for the grant of Awards under the 2016 plan.</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employee stock purchase plan offers eligible employees, excluding our executive officers and directors, the right to purchase our common stock up to 10% of each employee’s compensation. Shares are purchased at 5% below fair market value on the last trading day of each six-month offering period. The plan authorizes the purchase of up to two million shares of our common stock. The plan will terminate in October 2027, unless terminated earlier by our Board of Directors. We do not recognize stock-based compensation expense as the plan is non-compensatory. At December 31, 2020, two million shares of our common stock were available for purchase under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stock-based compensation expense is recorded in SG&amp;A on our Consolidated Statements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Cash-settled performance-based restricted stock units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on stock-based compensation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stock options typically vest over three to five years after the grant date for our employees and officers and one year after the grant date for our Board of Directors. The stock options have a 10-year contractual term and the exercise price equals our stock price on the grant date. We have not granted stock options since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 activity for the year ended December 31, 2020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Stock Options</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 Stock Options</w:t>
            </w:r>
          </w:p>
        </w:tc>
        <w:tc>
          <w:tcPr>
            <w:tcW w:w="20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2.47</w:t>
            </w:r>
          </w:p>
        </w:tc>
        <w:tc>
          <w:tcPr>
            <w:tcW w:w="0" w:type="dxa"/>
            <w:vAlign w:val="bottom"/>
          </w:tcPr>
          <w:p>
            <w:pPr>
              <w:spacing w:after="0"/>
              <w:rPr>
                <w:sz w:val="1"/>
                <w:szCs w:val="1"/>
                <w:color w:val="auto"/>
              </w:rPr>
            </w:pPr>
          </w:p>
        </w:tc>
      </w:tr>
      <w:tr>
        <w:trPr>
          <w:trHeight w:val="230"/>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Options exercisable as of December 31, 2020</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vMerge w:val="continue"/>
          </w:tcPr>
          <w:p>
            <w:pPr>
              <w:spacing w:after="0"/>
              <w:rPr>
                <w:sz w:val="17"/>
                <w:szCs w:val="17"/>
                <w:color w:val="auto"/>
              </w:rPr>
            </w:pPr>
          </w:p>
        </w:tc>
        <w:tc>
          <w:tcPr>
            <w:tcW w:w="1680" w:type="dxa"/>
            <w:vAlign w:val="bottom"/>
          </w:tcPr>
          <w:p>
            <w:pPr>
              <w:jc w:val="right"/>
              <w:spacing w:after="0" w:line="204" w:lineRule="exact"/>
              <w:rPr>
                <w:sz w:val="20"/>
                <w:szCs w:val="20"/>
                <w:color w:val="auto"/>
              </w:rPr>
            </w:pPr>
            <w:r>
              <w:rPr>
                <w:rFonts w:ascii="Arial" w:cs="Arial" w:eastAsia="Arial" w:hAnsi="Arial"/>
                <w:sz w:val="18"/>
                <w:szCs w:val="18"/>
                <w:color w:val="auto"/>
              </w:rPr>
              <w:t>42,755</w:t>
            </w:r>
          </w:p>
        </w:tc>
        <w:tc>
          <w:tcPr>
            <w:tcW w:w="100" w:type="dxa"/>
            <w:vAlign w:val="bottom"/>
          </w:tcPr>
          <w:p>
            <w:pPr>
              <w:spacing w:after="0"/>
              <w:rPr>
                <w:sz w:val="17"/>
                <w:szCs w:val="17"/>
                <w:color w:val="auto"/>
              </w:rPr>
            </w:pPr>
          </w:p>
        </w:tc>
        <w:tc>
          <w:tcPr>
            <w:tcW w:w="20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4" w:lineRule="exact"/>
              <w:rPr>
                <w:sz w:val="20"/>
                <w:szCs w:val="20"/>
                <w:color w:val="auto"/>
              </w:rPr>
            </w:pPr>
            <w:r>
              <w:rPr>
                <w:rFonts w:ascii="Arial" w:cs="Arial" w:eastAsia="Arial" w:hAnsi="Arial"/>
                <w:sz w:val="18"/>
                <w:szCs w:val="18"/>
                <w:color w:val="auto"/>
              </w:rPr>
              <w:t>21.01</w:t>
            </w:r>
          </w:p>
        </w:tc>
        <w:tc>
          <w:tcPr>
            <w:tcW w:w="100" w:type="dxa"/>
            <w:vAlign w:val="bottom"/>
          </w:tcPr>
          <w:p>
            <w:pPr>
              <w:spacing w:after="0"/>
              <w:rPr>
                <w:sz w:val="17"/>
                <w:szCs w:val="17"/>
                <w:color w:val="auto"/>
              </w:rPr>
            </w:pPr>
          </w:p>
        </w:tc>
        <w:tc>
          <w:tcPr>
            <w:tcW w:w="1680" w:type="dxa"/>
            <w:vAlign w:val="bottom"/>
          </w:tcPr>
          <w:p>
            <w:pPr>
              <w:jc w:val="center"/>
              <w:spacing w:after="0" w:line="204" w:lineRule="exact"/>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outstanding and exercisable as of December 31, 2020 was $4 million.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during 2020, 2019 and 2018 was $56 million, $6 million and $11 million, respectively. The total cash received from options exercised during 2020, 2019 and 2018 was less than $1 million, $1 million and $1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Restricted Stock Units and Performance-Based Restricted Stock Units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grant RSUs and PRSUs to our key employees, officers and directors with various vesting requirements. RSUs generally vest based on the passage of time (service conditions) and PRSUs generally vest based on the achievement of our financial targets (performance conditions). PRSUs may also be subject to stock price (market conditions), employment conditions and other non-financial conditions. The holders of the RSUs and PRSUs do not have the rights of a stockholder and do not have voting rights until the shares are issued and delivered in settlement of the awards.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2020, we granted approximately 0.2 million shares of fully vested restricted stock to some of our employees that have sale and transfer restrictions for two years from grant date. The restricted stock had a weighted-average grant date fair value of $48.05 and was determined based on the fair market value of the shares at the grant date less a discount associated with transferability restrictions. The assumptions used to fair value the restricted stock included a risk-free interest rate of 0.20% and volatility of 61.0%.</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number of RSUs and PRSUs vested includes shares of our common stock that we withheld on behalf of our employees to satisfy the minimum tax withholdings. Non-cash financing activities for the year ended December 31, 2020 included $21 million related to tax withholdings for restricted shares that were paid in 2021. We estimate the fair value of PRSUs subject to market-based vesting conditions using a Monte Carlo simulation lattice model, with the following weighted-average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7"/>
        </w:trPr>
        <w:tc>
          <w:tcPr>
            <w:tcW w:w="7600" w:type="dxa"/>
            <w:vAlign w:val="bottom"/>
            <w:gridSpan w:val="7"/>
          </w:tcPr>
          <w:p>
            <w:pPr>
              <w:spacing w:after="0"/>
              <w:rPr>
                <w:sz w:val="20"/>
                <w:szCs w:val="20"/>
                <w:color w:val="auto"/>
              </w:rPr>
            </w:pPr>
            <w:r>
              <w:rPr>
                <w:rFonts w:ascii="Arial" w:cs="Arial" w:eastAsia="Arial" w:hAnsi="Arial"/>
                <w:sz w:val="18"/>
                <w:szCs w:val="18"/>
                <w:color w:val="auto"/>
                <w:w w:val="91"/>
              </w:rPr>
              <w:t>A summary of RSU and PRSU award activity for the year ended December 31, 2020 is presented below:</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RSUs</w:t>
            </w: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PRSUs</w:t>
            </w: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Number of</w:t>
            </w:r>
          </w:p>
        </w:tc>
        <w:tc>
          <w:tcPr>
            <w:tcW w:w="2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Weighted-Average Grant Date</w:t>
            </w:r>
          </w:p>
        </w:tc>
        <w:tc>
          <w:tcPr>
            <w:tcW w:w="120" w:type="dxa"/>
            <w:vAlign w:val="bottom"/>
          </w:tcPr>
          <w:p>
            <w:pPr>
              <w:spacing w:after="0"/>
              <w:rPr>
                <w:sz w:val="11"/>
                <w:szCs w:val="11"/>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Number of PRSUs</w:t>
            </w:r>
          </w:p>
        </w:tc>
        <w:tc>
          <w:tcPr>
            <w:tcW w:w="100" w:type="dxa"/>
            <w:vAlign w:val="bottom"/>
          </w:tcPr>
          <w:p>
            <w:pPr>
              <w:spacing w:after="0"/>
              <w:rPr>
                <w:sz w:val="11"/>
                <w:szCs w:val="11"/>
                <w:color w:val="auto"/>
              </w:rPr>
            </w:pPr>
          </w:p>
        </w:tc>
        <w:tc>
          <w:tcPr>
            <w:tcW w:w="20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Weighted-Average Grant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RSUs</w:t>
            </w:r>
          </w:p>
        </w:tc>
        <w:tc>
          <w:tcPr>
            <w:tcW w:w="52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1,729,415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1,584,265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1,053,211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77.49</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504,951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Forfeited and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(128,921)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1,615,812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1,856,561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fair value of RSUs that vested during 2020, 2019 and 2018 was $64 million, $13 million and $30 million, respectively. All of the outstanding RSUs as of December 31, 2020 vest subject to service conditions.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total fair value of PRSUs that vested during 2020, 2019 and 2018 was $8 million, $23 million and $96 million, respectively. Of the outstanding PRSUs as of December 31, 2020, 1,447,359 vest subject to service and a combination of market and performance conditions, 395,891 vest subject to service and performance conditions and 13,311 vest subject to service and market conditions.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unrecognized compensation cost related to non-vested RSUs and PRSUs of $78 million is anticipated to be recognized over a weighted-average period of approximately 2.34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Cash-Settled Performance-Based Restricted Stock Units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previously granted cash-settled PRSUs to some key employees and executive officers. The PRSUs vested based on the passage of time and are settled in cash either ratably over a two to four year period or cliff vest at the end of three to four years. The awards were also subject to the achievement of performance targets and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conditions. The awards were classified as liabilities and the fair value was based on the closing price of our common stock at grant date and was re-measured each reporting date until settlement. We recognized compensation expense for cash-settled PRSUs over the performance periods based on the probability of achieving the performance conditions and the closing price of our common stock. As of December 31, 2019, we had recognized accrued liabilities of $30 million using a fair value per PRSU of $79.70.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cash-settled PRSU award activity for the year ended December 31, 2020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4"/>
              </w:rPr>
              <w:t>Number of Cash-Settled PRSUs</w:t>
            </w:r>
          </w:p>
        </w:tc>
        <w:tc>
          <w:tcPr>
            <w:tcW w:w="0" w:type="dxa"/>
            <w:vAlign w:val="bottom"/>
          </w:tcPr>
          <w:p>
            <w:pPr>
              <w:spacing w:after="0"/>
              <w:rPr>
                <w:sz w:val="1"/>
                <w:szCs w:val="1"/>
                <w:color w:val="auto"/>
              </w:rPr>
            </w:pPr>
          </w:p>
        </w:tc>
      </w:tr>
      <w:tr>
        <w:trPr>
          <w:trHeight w:val="229"/>
        </w:trPr>
        <w:tc>
          <w:tcPr>
            <w:tcW w:w="6320" w:type="dxa"/>
            <w:vAlign w:val="bottom"/>
            <w:tcBorders>
              <w:top w:val="single" w:sz="8" w:color="auto"/>
            </w:tcBorders>
            <w:gridSpan w:val="7"/>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7"/>
          </w:tcPr>
          <w:p>
            <w:pPr>
              <w:ind w:left="1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7"/>
          </w:tcPr>
          <w:p>
            <w:pPr>
              <w:ind w:left="140"/>
              <w:spacing w:after="0"/>
              <w:rPr>
                <w:sz w:val="20"/>
                <w:szCs w:val="20"/>
                <w:color w:val="auto"/>
              </w:rPr>
            </w:pPr>
            <w:r>
              <w:rPr>
                <w:rFonts w:ascii="Arial" w:cs="Arial" w:eastAsia="Arial" w:hAnsi="Arial"/>
                <w:sz w:val="18"/>
                <w:szCs w:val="18"/>
                <w:color w:val="auto"/>
              </w:rPr>
              <w:t>Forfeited and canceled</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b w:val="1"/>
                <w:bCs w:val="1"/>
                <w:color w:val="auto"/>
              </w:rPr>
              <w:t>16. Income Taxes</w:t>
            </w: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32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7"/>
          </w:tcPr>
          <w:p>
            <w:pPr>
              <w:spacing w:after="0"/>
              <w:rPr>
                <w:sz w:val="20"/>
                <w:szCs w:val="20"/>
                <w:color w:val="auto"/>
              </w:rPr>
            </w:pPr>
            <w:r>
              <w:rPr>
                <w:rFonts w:ascii="Arial" w:cs="Arial" w:eastAsia="Arial" w:hAnsi="Arial"/>
                <w:sz w:val="18"/>
                <w:szCs w:val="18"/>
                <w:color w:val="auto"/>
              </w:rPr>
              <w:t>Income before taxes related to our U.S. and foreign operations was as follows: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Years Ended December 31,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60" w:type="dxa"/>
            <w:vAlign w:val="bottom"/>
            <w:gridSpan w:val="5"/>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gridSpan w:val="7"/>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Income before income tax provision</w:t>
            </w: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The income tax provision (benefit) is comprised of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2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320" w:type="dxa"/>
            <w:vAlign w:val="bottom"/>
            <w:gridSpan w:val="7"/>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tcBorders>
              <w:top w:val="single" w:sz="8" w:color="auto"/>
            </w:tcBorders>
            <w:gridSpan w:val="6"/>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7"/>
          </w:tcPr>
          <w:p>
            <w:pPr>
              <w:ind w:left="360"/>
              <w:spacing w:after="0"/>
              <w:rPr>
                <w:sz w:val="20"/>
                <w:szCs w:val="20"/>
                <w:color w:val="auto"/>
              </w:rPr>
            </w:pPr>
            <w:r>
              <w:rPr>
                <w:rFonts w:ascii="Arial" w:cs="Arial" w:eastAsia="Arial" w:hAnsi="Arial"/>
                <w:sz w:val="18"/>
                <w:szCs w:val="18"/>
                <w:color w:val="auto"/>
              </w:rPr>
              <w:t>U.S. Federal</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520" w:type="dxa"/>
            <w:vAlign w:val="bottom"/>
            <w:gridSpan w:val="4"/>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7"/>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gridSpan w:val="7"/>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7"/>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7"/>
          </w:tcPr>
          <w:p>
            <w:pPr>
              <w:ind w:left="360"/>
              <w:spacing w:after="0"/>
              <w:rPr>
                <w:sz w:val="20"/>
                <w:szCs w:val="20"/>
                <w:color w:val="auto"/>
              </w:rPr>
            </w:pPr>
            <w:r>
              <w:rPr>
                <w:rFonts w:ascii="Arial" w:cs="Arial" w:eastAsia="Arial" w:hAnsi="Arial"/>
                <w:sz w:val="18"/>
                <w:szCs w:val="18"/>
                <w:color w:val="auto"/>
              </w:rPr>
              <w:t>Total deferred income tax provision (benefit)</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94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reconciliations were as follows:</w:t>
      </w:r>
    </w:p>
    <w:p>
      <w:pPr>
        <w:spacing w:after="0" w:line="203"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gridSpan w:val="2"/>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State taxes, net of U.S. federal benefit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29"/>
        </w:trPr>
        <w:tc>
          <w:tcPr>
            <w:tcW w:w="7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rate differential</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30"/>
        </w:trPr>
        <w:tc>
          <w:tcPr>
            <w:tcW w:w="7160" w:type="dxa"/>
            <w:vAlign w:val="bottom"/>
            <w:gridSpan w:val="3"/>
          </w:tcPr>
          <w:p>
            <w:pPr>
              <w:ind w:left="360"/>
              <w:spacing w:after="0" w:line="230" w:lineRule="exact"/>
              <w:rPr>
                <w:sz w:val="20"/>
                <w:szCs w:val="20"/>
                <w:color w:val="auto"/>
              </w:rPr>
            </w:pPr>
            <w:r>
              <w:rPr>
                <w:rFonts w:ascii="Arial" w:cs="Arial" w:eastAsia="Arial" w:hAnsi="Arial"/>
                <w:sz w:val="18"/>
                <w:szCs w:val="18"/>
                <w:color w:val="auto"/>
              </w:rPr>
              <w:t xml:space="preserve">Foreign operations </w:t>
            </w:r>
            <w:r>
              <w:rPr>
                <w:rFonts w:ascii="Arial" w:cs="Arial" w:eastAsia="Arial" w:hAnsi="Arial"/>
                <w:sz w:val="23"/>
                <w:szCs w:val="23"/>
                <w:color w:val="auto"/>
                <w:vertAlign w:val="superscript"/>
              </w:rPr>
              <w:t>(1)</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6.1</w:t>
            </w:r>
          </w:p>
        </w:tc>
      </w:tr>
      <w:tr>
        <w:trPr>
          <w:trHeight w:val="229"/>
        </w:trPr>
        <w:tc>
          <w:tcPr>
            <w:tcW w:w="7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Contribution- and margin-based taxes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r>
      <w:tr>
        <w:trPr>
          <w:trHeight w:val="229"/>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Valuation allowances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(3.7)</w:t>
            </w:r>
          </w:p>
        </w:tc>
      </w:tr>
      <w:tr>
        <w:trPr>
          <w:trHeight w:val="230"/>
        </w:trPr>
        <w:tc>
          <w:tcPr>
            <w:tcW w:w="7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Changes in uncertain tax positions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(3.8)</w:t>
            </w:r>
          </w:p>
        </w:tc>
      </w:tr>
      <w:tr>
        <w:trPr>
          <w:trHeight w:val="229"/>
        </w:trPr>
        <w:tc>
          <w:tcPr>
            <w:tcW w:w="7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21.1 %</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21.6 %</w:t>
            </w:r>
          </w:p>
        </w:tc>
      </w:tr>
      <w:tr>
        <w:trPr>
          <w:trHeight w:val="21"/>
        </w:trPr>
        <w:tc>
          <w:tcPr>
            <w:tcW w:w="5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200" w:hanging="328"/>
        <w:spacing w:after="0" w:line="273" w:lineRule="auto"/>
        <w:tabs>
          <w:tab w:leader="none" w:pos="648"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7980" w:type="dxa"/>
            <w:vAlign w:val="bottom"/>
            <w:gridSpan w:val="2"/>
          </w:tcPr>
          <w:p>
            <w:pPr>
              <w:ind w:left="30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980" w:type="dxa"/>
            <w:vAlign w:val="bottom"/>
            <w:gridSpan w:val="2"/>
          </w:tcPr>
          <w:p>
            <w:pPr>
              <w:ind w:left="30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9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deferred tax asset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7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9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30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7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79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and deferred tax liability above are reflected on our Consolidated Balance Sheets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Deferred tax liability</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95</w:t>
            </w:r>
          </w:p>
        </w:tc>
        <w:tc>
          <w:tcPr>
            <w:tcW w:w="10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apply a partial indefinite reversal assertion to pre-2018 earnings and profits that have been invested back into the foreign businesses. We do not apply an indefinite reversal assertion on all 2018 and future years’ earnings and profits.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loss and tax credit carryforwards were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Expiration Date</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5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89"/>
              </w:rPr>
              <w:t>2033</w:t>
            </w:r>
          </w:p>
        </w:tc>
        <w:tc>
          <w:tcPr>
            <w:tcW w:w="17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- 2037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(including those of minority owned subsidiaries)</w:t>
            </w:r>
          </w:p>
        </w:tc>
        <w:tc>
          <w:tcPr>
            <w:tcW w:w="4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2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losses</w:t>
            </w:r>
          </w:p>
        </w:tc>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1780" w:type="dxa"/>
            <w:vAlign w:val="bottom"/>
          </w:tcPr>
          <w:p>
            <w:pPr>
              <w:ind w:lef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228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68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2033</w:t>
            </w:r>
          </w:p>
        </w:tc>
        <w:tc>
          <w:tcPr>
            <w:tcW w:w="1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8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 tax credit carryforward</w:t>
            </w:r>
          </w:p>
        </w:tc>
        <w:tc>
          <w:tcPr>
            <w:tcW w:w="22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680" w:type="dxa"/>
            <w:vAlign w:val="bottom"/>
            <w:gridSpan w:val="2"/>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1780" w:type="dxa"/>
            <w:vAlign w:val="bottom"/>
          </w:tcPr>
          <w:p>
            <w:pPr>
              <w:ind w:lef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28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taxable income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1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Some credits and losses have unlimited carryforward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established a valuation allowance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 has been provided on these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activity related to our valuation allowance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580" w:type="dxa"/>
            <w:vAlign w:val="bottom"/>
            <w:gridSpan w:val="5"/>
          </w:tcPr>
          <w:p>
            <w:pPr>
              <w:ind w:left="60"/>
              <w:spacing w:after="0"/>
              <w:rPr>
                <w:sz w:val="20"/>
                <w:szCs w:val="20"/>
                <w:color w:val="auto"/>
              </w:rPr>
            </w:pPr>
            <w:r>
              <w:rPr>
                <w:rFonts w:ascii="Arial" w:cs="Arial" w:eastAsia="Arial" w:hAnsi="Arial"/>
                <w:sz w:val="14"/>
                <w:szCs w:val="14"/>
                <w:b w:val="1"/>
                <w:bCs w:val="1"/>
                <w:color w:val="auto"/>
              </w:rPr>
              <w:t>Beginning Balance</w:t>
            </w:r>
          </w:p>
        </w:tc>
        <w:tc>
          <w:tcPr>
            <w:tcW w:w="30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6"/>
                <w:szCs w:val="16"/>
                <w:color w:val="auto"/>
              </w:rPr>
            </w:pPr>
          </w:p>
        </w:tc>
        <w:tc>
          <w:tcPr>
            <w:tcW w:w="16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Reductions</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Ending Balance</w:t>
            </w:r>
          </w:p>
        </w:tc>
        <w:tc>
          <w:tcPr>
            <w:tcW w:w="0" w:type="dxa"/>
            <w:vAlign w:val="bottom"/>
          </w:tcPr>
          <w:p>
            <w:pPr>
              <w:spacing w:after="0"/>
              <w:rPr>
                <w:sz w:val="1"/>
                <w:szCs w:val="1"/>
                <w:color w:val="auto"/>
              </w:rPr>
            </w:pPr>
          </w:p>
        </w:tc>
      </w:tr>
      <w:tr>
        <w:trPr>
          <w:trHeight w:val="229"/>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Year Ended December 31, 2019</w:t>
            </w:r>
          </w:p>
        </w:tc>
        <w:tc>
          <w:tcPr>
            <w:tcW w:w="18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18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527"/>
        </w:trPr>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96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Additions for tax positions of the current period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Settlements with tax authorities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Currency translation adjustment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Gross unrecognized tax benefits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56"/>
        </w:trPr>
        <w:tc>
          <w:tcPr>
            <w:tcW w:w="64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unrecognized tax benefits that, if recognized, would impact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the effective income tax rate as of the end of the year</w:t>
            </w: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could reflect a reduction to unrecognized tax benefits of up to $15 million over the next 12 months due to the statute of limitations lapsing on positions or because tax positions are sustained on audit.</w:t>
      </w:r>
    </w:p>
    <w:p>
      <w:pPr>
        <w:spacing w:after="0" w:line="11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2020, we have no tax years under examination by the IRS. We have various U.S. state and local examinations and non-U.S. examinations in process. The U.S. federal tax returns after 2008, state and local returns after 2012, and non-U.S. returns after 2009 are open under relevant statutes of limitations and are subject to audit.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compute basic and diluted earnings per share using the two-class method, which allocates earnings to participating securities. The participating securities consist of our Series A Convertible Perpetual Preferred Stock. The undistributed earnings are allocated between common shares and participating securities as if all earnings had been distributed during the period. Losses are not allocated to the preferred shares. As discussed in Note 14—Stockholders’ Equity, we recorded a preferred stock conversion charge in December 2020 in connection with the conversion of our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306070</wp:posOffset>
            </wp:positionV>
            <wp:extent cx="325755"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280"/>
              <w:spacing w:after="0"/>
              <w:rPr>
                <w:sz w:val="20"/>
                <w:szCs w:val="20"/>
                <w:color w:val="auto"/>
              </w:rPr>
            </w:pPr>
            <w:r>
              <w:rPr>
                <w:rFonts w:ascii="Arial" w:cs="Arial" w:eastAsia="Arial" w:hAnsi="Arial"/>
                <w:sz w:val="18"/>
                <w:szCs w:val="18"/>
                <w:color w:val="auto"/>
              </w:rPr>
              <w:t>Net income attributable to XPO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conversion charge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80"/>
              <w:spacing w:after="0"/>
              <w:rPr>
                <w:sz w:val="20"/>
                <w:szCs w:val="20"/>
                <w:color w:val="auto"/>
              </w:rPr>
            </w:pPr>
            <w:r>
              <w:rPr>
                <w:rFonts w:ascii="Arial" w:cs="Arial" w:eastAsia="Arial" w:hAnsi="Arial"/>
                <w:sz w:val="18"/>
                <w:szCs w:val="18"/>
                <w:color w:val="auto"/>
              </w:rPr>
              <w:t>Series A preferred stock dividends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Non-cash allocation of undistributed earnings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shares, basic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Basic weighted-average common shares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70"/>
        </w:trPr>
        <w:tc>
          <w:tcPr>
            <w:tcW w:w="6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shares,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6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Basic weighted-average common shares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Dilutive effect of warrants and stock-based awards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 weighted-average common shares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6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0.78</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0"/>
        </w:trPr>
        <w:tc>
          <w:tcPr>
            <w:tcW w:w="6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Potential common shares excluded</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per share because the effect was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involving claims that our owner-operators or contract carriers should be treated as employees, rather than independent contractors (“misclassification claims”). These lawsuits and proceedings may seek substantial monetary damages (including claims for unpaid wages, overtime, failure to provide meal and rest breaks, unreimbursed business expenses penalties and other items), injunctive relief, or both.</w:t>
      </w:r>
    </w:p>
    <w:p>
      <w:pPr>
        <w:spacing w:after="0" w:line="1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January 2021, our XPO Logistics Europe subsidiary acquired the majority of Kuehne + Nagel’s contract logistics operations in the United Kingdom, which generated annual revenues in 2020 of approximately £450 million ($585 million). The operations, which provide a range of logistics services, including inbound and outbound distribution, reverse logistics management and inventory management, will be included in our Logistics segment.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Also in January 2021, we redeemed our outstanding Senior Notes due 2022. The redemption price for the Senior Notes due 2022 was 100.0% of the principal amount, plus accrued and unpaid interest. We paid for the redemption with available cash. We expect to record a debt extinguishment loss of approximately $5 million in our first quarter of 2021 results of operations due to this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648335</wp:posOffset>
            </wp:positionV>
            <wp:extent cx="325755"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FFFFF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200"/>
        <w:spacing w:after="0" w:line="470"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pursuant to Rule 13a-15(e) and Rule</w:t>
      </w:r>
    </w:p>
    <w:p>
      <w:pPr>
        <w:ind w:right="80"/>
        <w:spacing w:after="0" w:line="253" w:lineRule="auto"/>
        <w:rPr>
          <w:sz w:val="20"/>
          <w:szCs w:val="20"/>
          <w:color w:val="auto"/>
        </w:rPr>
      </w:pPr>
      <w:r>
        <w:rPr>
          <w:rFonts w:ascii="Arial" w:cs="Arial" w:eastAsia="Arial" w:hAnsi="Arial"/>
          <w:sz w:val="18"/>
          <w:szCs w:val="18"/>
          <w:color w:val="auto"/>
        </w:rPr>
        <w:t>15d-15(e) under the Securities Exchange Act of 1934, as amended, as of December 31, 2020. Based on that evaluation, our CEO and CFO concluded that our disclosure controls and procedures were effective as of December 31, 2020, such that the information required to be included in our SEC reports is: (i) recorded, processed, summarized and reported within the time periods specified in SEC rules and forms relating to XPO, including our consolidated subsidiaries; and (ii) accumulated and communicated to our management, including our CEO and CFO,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chief executive officer and chief financial officer, we conducted an evaluation of the effectiveness of our internal control over financial reporting as of December 31, 2020,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evaluation, we concluded that our internal control over financial reporting was effective as of December 31, 2020.</w:t>
      </w:r>
    </w:p>
    <w:p>
      <w:pPr>
        <w:spacing w:after="0" w:line="1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KPMG LLP, the independent registered public accounting firm that audited the financial statements included in this Annual Report on Form 10-K, has issued an audit report, which is included elsewhere within this Form 10-K, on the effectiveness of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December 31, 2020 that have materially affected, or are reasonably likely to materially affect, our internal control over financial reporting.</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by Item 10 of Part III of Form 10-K (other than certain information required by Item 401 of Regulation S-K with respect to our executive officers, which is provided under Item 1 of Part I of this Annual Report on Form 10-K) will be set forth in our definitive Proxy Statement for the 2021 Annual Meeting of Stockholders and is incorporated herein by reference.</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adopted a Code of Business Ethics (the “Code”), which is applicable to our principal executive officer, principal financial officer, principal accounting officer and other senior officers. The Code is available on our website at </w:t>
      </w:r>
      <w:r>
        <w:rPr>
          <w:rFonts w:ascii="Arial" w:cs="Arial" w:eastAsia="Arial" w:hAnsi="Arial"/>
          <w:sz w:val="17"/>
          <w:szCs w:val="17"/>
          <w:u w:val="single" w:color="auto"/>
          <w:color w:val="auto"/>
        </w:rPr>
        <w:t>www.xpo.com</w:t>
      </w:r>
      <w:r>
        <w:rPr>
          <w:rFonts w:ascii="Arial" w:cs="Arial" w:eastAsia="Arial" w:hAnsi="Arial"/>
          <w:sz w:val="17"/>
          <w:szCs w:val="17"/>
          <w:color w:val="auto"/>
        </w:rPr>
        <w:t>, under the heading “Corporate Governance” within the “Investors” tab.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Item 11 of Part III of Form 10-K will be set forth in our Proxy Statement for the 2021 Annual Meeting of Stockholders and is incorporated herein by reference.</w:t>
      </w:r>
    </w:p>
    <w:p>
      <w:pPr>
        <w:spacing w:after="0" w:line="22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2021 Annual Meeting of Stockholders and is incorporated herein by reference.</w:t>
      </w:r>
    </w:p>
    <w:p>
      <w:pPr>
        <w:spacing w:after="0" w:line="2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2021 Annual Meeting of Stockholders and is incorporated herein by reference.</w:t>
      </w: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14 of Part III of Form 10-K will be set forth in our Proxy Statement for the 2021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list of Consolidated Financial Statements provided in the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2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3"/>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2.1</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0"/>
              </w:rPr>
            </w:pPr>
            <w:hyperlink r:id="rId299">
              <w:r>
                <w:rPr>
                  <w:rFonts w:ascii="Arial" w:cs="Arial" w:eastAsia="Arial" w:hAnsi="Arial"/>
                  <w:sz w:val="18"/>
                  <w:szCs w:val="18"/>
                  <w:color w:val="0000FF"/>
                  <w:w w:val="90"/>
                </w:rPr>
                <w:t>Investment Agreement, dated June 13, 2011, by and among Jacobs Private Equity, LLC (“JPE”), each of the other investors party thereto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299">
              <w:r>
                <w:rPr>
                  <w:rFonts w:ascii="Arial" w:cs="Arial" w:eastAsia="Arial" w:hAnsi="Arial"/>
                  <w:sz w:val="18"/>
                  <w:szCs w:val="18"/>
                  <w:color w:val="0000FF"/>
                  <w:w w:val="92"/>
                </w:rPr>
                <w:t>and the registrant (incorporated herein by reference to Exhibit 2.1 to the registrant’s Current Report on Form 8-K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99">
              <w:r>
                <w:rPr>
                  <w:rFonts w:ascii="Arial" w:cs="Arial" w:eastAsia="Arial" w:hAnsi="Arial"/>
                  <w:sz w:val="18"/>
                  <w:szCs w:val="18"/>
                  <w:color w:val="0000FF"/>
                </w:rPr>
                <w:t>June 14, 2011).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3.1</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3"/>
              </w:rPr>
            </w:pPr>
            <w:hyperlink r:id="rId300">
              <w:r>
                <w:rPr>
                  <w:rFonts w:ascii="Arial" w:cs="Arial" w:eastAsia="Arial" w:hAnsi="Arial"/>
                  <w:sz w:val="18"/>
                  <w:szCs w:val="18"/>
                  <w:color w:val="0000FF"/>
                  <w:w w:val="93"/>
                </w:rPr>
                <w:t>Amended and Restated Certificate of Incorporation of the registrant, dated May 17, 2005 (incorporated herein by reference to Exhibit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300">
              <w:r>
                <w:rPr>
                  <w:rFonts w:ascii="Arial" w:cs="Arial" w:eastAsia="Arial" w:hAnsi="Arial"/>
                  <w:sz w:val="18"/>
                  <w:szCs w:val="18"/>
                  <w:color w:val="0000FF"/>
                  <w:w w:val="90"/>
                </w:rPr>
                <w:t>3.</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registrant’s Annual Report on Form 10-K for the fiscal year ended December 31, 2007).</w:t>
              </w:r>
            </w:hyperlink>
          </w:p>
        </w:tc>
        <w:tc>
          <w:tcPr>
            <w:tcW w:w="256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3.2</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1"/>
              </w:rPr>
            </w:pPr>
            <w:hyperlink r:id="rId301">
              <w:r>
                <w:rPr>
                  <w:rFonts w:ascii="Arial" w:cs="Arial" w:eastAsia="Arial" w:hAnsi="Arial"/>
                  <w:sz w:val="18"/>
                  <w:szCs w:val="18"/>
                  <w:color w:val="0000FF"/>
                  <w:w w:val="91"/>
                </w:rPr>
                <w:t>Certificate of Amendment to the Amended and Restated Certificate of Incorporation of the registrant, dated May 31, 2006 (incorporated</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herein by reference to Exhibit 3 to the registrant’s Current Report on Form 8-K filed with the SEC on June 7, 2006).</w:t>
              </w:r>
            </w:hyperlink>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3.3</w:t>
            </w:r>
          </w:p>
        </w:tc>
        <w:tc>
          <w:tcPr>
            <w:tcW w:w="480" w:type="dxa"/>
            <w:vAlign w:val="bottom"/>
          </w:tcPr>
          <w:p>
            <w:pPr>
              <w:spacing w:after="0"/>
              <w:rPr>
                <w:sz w:val="18"/>
                <w:szCs w:val="18"/>
                <w:color w:val="auto"/>
              </w:rPr>
            </w:pPr>
          </w:p>
        </w:tc>
        <w:tc>
          <w:tcPr>
            <w:tcW w:w="9880" w:type="dxa"/>
            <w:vAlign w:val="bottom"/>
            <w:gridSpan w:val="27"/>
          </w:tcPr>
          <w:p>
            <w:pPr>
              <w:spacing w:after="0"/>
              <w:rPr>
                <w:rFonts w:ascii="Arial" w:cs="Arial" w:eastAsia="Arial" w:hAnsi="Arial"/>
                <w:sz w:val="18"/>
                <w:szCs w:val="18"/>
                <w:color w:val="0000FF"/>
                <w:w w:val="91"/>
              </w:rPr>
            </w:pPr>
            <w:hyperlink r:id="rId302">
              <w:r>
                <w:rPr>
                  <w:rFonts w:ascii="Arial" w:cs="Arial" w:eastAsia="Arial" w:hAnsi="Arial"/>
                  <w:sz w:val="18"/>
                  <w:szCs w:val="18"/>
                  <w:color w:val="0000FF"/>
                  <w:w w:val="91"/>
                </w:rPr>
                <w:t>Certificate of Amendment to the Amended and Restated Certificate of Incorporation of the registrant, dated June 20, 2007 (incorporated</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herein by reference to Exhibit 3(i) to the registrant’s Quarterly Report on Form 10-Q for the quarter ended June 30, 2007).</w:t>
              </w:r>
            </w:hyperlink>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3.4</w:t>
            </w:r>
          </w:p>
        </w:tc>
        <w:tc>
          <w:tcPr>
            <w:tcW w:w="480" w:type="dxa"/>
            <w:vAlign w:val="bottom"/>
          </w:tcPr>
          <w:p>
            <w:pPr>
              <w:spacing w:after="0"/>
              <w:rPr>
                <w:sz w:val="18"/>
                <w:szCs w:val="18"/>
                <w:color w:val="auto"/>
              </w:rPr>
            </w:pPr>
          </w:p>
        </w:tc>
        <w:tc>
          <w:tcPr>
            <w:tcW w:w="9880" w:type="dxa"/>
            <w:vAlign w:val="bottom"/>
            <w:gridSpan w:val="27"/>
          </w:tcPr>
          <w:p>
            <w:pPr>
              <w:spacing w:after="0"/>
              <w:rPr>
                <w:rFonts w:ascii="Arial" w:cs="Arial" w:eastAsia="Arial" w:hAnsi="Arial"/>
                <w:sz w:val="18"/>
                <w:szCs w:val="18"/>
                <w:color w:val="0000FF"/>
                <w:w w:val="97"/>
              </w:rPr>
            </w:pPr>
            <w:hyperlink r:id="rId303">
              <w:r>
                <w:rPr>
                  <w:rFonts w:ascii="Arial" w:cs="Arial" w:eastAsia="Arial" w:hAnsi="Arial"/>
                  <w:sz w:val="18"/>
                  <w:szCs w:val="18"/>
                  <w:color w:val="0000FF"/>
                  <w:w w:val="97"/>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303">
              <w:r>
                <w:rPr>
                  <w:rFonts w:ascii="Arial" w:cs="Arial" w:eastAsia="Arial" w:hAnsi="Arial"/>
                  <w:sz w:val="18"/>
                  <w:szCs w:val="18"/>
                  <w:color w:val="0000FF"/>
                  <w:w w:val="90"/>
                </w:rPr>
                <w:t>(incorporated herein by reference to Exhibit 3.1 to the registrant’s Current Report on Form 8-K filed with the SEC on September</w:t>
              </w:r>
            </w:hyperlink>
          </w:p>
        </w:tc>
        <w:tc>
          <w:tcPr>
            <w:tcW w:w="740" w:type="dxa"/>
            <w:vAlign w:val="bottom"/>
            <w:gridSpan w:val="12"/>
          </w:tcPr>
          <w:p>
            <w:pPr>
              <w:ind w:left="160"/>
              <w:spacing w:after="0" w:line="156" w:lineRule="exact"/>
              <w:rPr>
                <w:rFonts w:ascii="Arial" w:cs="Arial" w:eastAsia="Arial" w:hAnsi="Arial"/>
                <w:sz w:val="18"/>
                <w:szCs w:val="18"/>
                <w:color w:val="0000FF"/>
                <w:w w:val="93"/>
              </w:rPr>
            </w:pPr>
            <w:hyperlink r:id="rId303">
              <w:r>
                <w:rPr>
                  <w:rFonts w:ascii="Arial" w:cs="Arial" w:eastAsia="Arial" w:hAnsi="Arial"/>
                  <w:sz w:val="18"/>
                  <w:szCs w:val="18"/>
                  <w:color w:val="0000FF"/>
                  <w:w w:val="93"/>
                </w:rPr>
                <w:t>6, 2011</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303">
              <w:r>
                <w:rPr>
                  <w:rFonts w:ascii="Arial" w:cs="Arial" w:eastAsia="Arial" w:hAnsi="Arial"/>
                  <w:sz w:val="18"/>
                  <w:szCs w:val="18"/>
                  <w:color w:val="0000FF"/>
                  <w:w w:val="92"/>
                </w:rPr>
                <w:t>(the “September 2011 Form 8-K”)).</w:t>
              </w:r>
            </w:hyperlink>
          </w:p>
        </w:tc>
        <w:tc>
          <w:tcPr>
            <w:tcW w:w="72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3.5</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1"/>
              </w:rPr>
            </w:pPr>
            <w:hyperlink r:id="rId304">
              <w:r>
                <w:rPr>
                  <w:rFonts w:ascii="Arial" w:cs="Arial" w:eastAsia="Arial" w:hAnsi="Arial"/>
                  <w:sz w:val="18"/>
                  <w:szCs w:val="18"/>
                  <w:color w:val="0000FF"/>
                  <w:w w:val="91"/>
                </w:rPr>
                <w:t>Certificate of Amendment to the Amended and Restated Certificate of Incorporation of the registrant, dated May 20, 2015 (incorporated</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0" w:type="dxa"/>
            <w:vAlign w:val="bottom"/>
            <w:tcBorders>
              <w:top w:val="single" w:sz="8" w:color="0000FF"/>
            </w:tcBorders>
            <w:gridSpan w:val="24"/>
          </w:tcPr>
          <w:p>
            <w:pPr>
              <w:spacing w:after="0"/>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herein by reference to Exhibit 3.1 to the registrant’s Current Report on Form 8-K filed with the SEC on May 21, 2015).</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3.6</w:t>
            </w:r>
          </w:p>
        </w:tc>
        <w:tc>
          <w:tcPr>
            <w:tcW w:w="480" w:type="dxa"/>
            <w:vAlign w:val="bottom"/>
          </w:tcPr>
          <w:p>
            <w:pPr>
              <w:spacing w:after="0"/>
              <w:rPr>
                <w:sz w:val="18"/>
                <w:szCs w:val="18"/>
                <w:color w:val="auto"/>
              </w:rPr>
            </w:pPr>
          </w:p>
        </w:tc>
        <w:tc>
          <w:tcPr>
            <w:tcW w:w="9880" w:type="dxa"/>
            <w:vAlign w:val="bottom"/>
            <w:gridSpan w:val="27"/>
          </w:tcPr>
          <w:p>
            <w:pPr>
              <w:spacing w:after="0"/>
              <w:rPr>
                <w:rFonts w:ascii="Arial" w:cs="Arial" w:eastAsia="Arial" w:hAnsi="Arial"/>
                <w:sz w:val="18"/>
                <w:szCs w:val="18"/>
                <w:color w:val="0000FF"/>
                <w:w w:val="97"/>
              </w:rPr>
            </w:pPr>
            <w:hyperlink r:id="rId305">
              <w:r>
                <w:rPr>
                  <w:rFonts w:ascii="Arial" w:cs="Arial" w:eastAsia="Arial" w:hAnsi="Arial"/>
                  <w:sz w:val="18"/>
                  <w:szCs w:val="18"/>
                  <w:color w:val="0000FF"/>
                  <w:w w:val="97"/>
                </w:rPr>
                <w:t>Certificate of Amendment to the Amended and Restated Certificate of Incorporation of the registrant, dated September 8, 2015</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305">
              <w:r>
                <w:rPr>
                  <w:rFonts w:ascii="Arial" w:cs="Arial" w:eastAsia="Arial" w:hAnsi="Arial"/>
                  <w:sz w:val="18"/>
                  <w:szCs w:val="18"/>
                  <w:color w:val="0000FF"/>
                  <w:w w:val="90"/>
                </w:rPr>
                <w:t>(incorporated herein by reference to Exhibit 3.1 to the registrant’s Current Report on Form 8-K filed with the SEC on September</w:t>
              </w:r>
            </w:hyperlink>
          </w:p>
        </w:tc>
        <w:tc>
          <w:tcPr>
            <w:tcW w:w="300" w:type="dxa"/>
            <w:vAlign w:val="bottom"/>
            <w:gridSpan w:val="3"/>
          </w:tcPr>
          <w:p>
            <w:pPr>
              <w:ind w:left="140"/>
              <w:spacing w:after="0" w:line="156" w:lineRule="exact"/>
              <w:rPr>
                <w:rFonts w:ascii="Arial" w:cs="Arial" w:eastAsia="Arial" w:hAnsi="Arial"/>
                <w:sz w:val="18"/>
                <w:szCs w:val="18"/>
                <w:color w:val="0000FF"/>
                <w:w w:val="92"/>
              </w:rPr>
            </w:pPr>
            <w:hyperlink r:id="rId305">
              <w:r>
                <w:rPr>
                  <w:rFonts w:ascii="Arial" w:cs="Arial" w:eastAsia="Arial" w:hAnsi="Arial"/>
                  <w:sz w:val="18"/>
                  <w:szCs w:val="18"/>
                  <w:color w:val="0000FF"/>
                  <w:w w:val="92"/>
                </w:rPr>
                <w:t>8,</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05">
              <w:r>
                <w:rPr>
                  <w:rFonts w:ascii="Arial" w:cs="Arial" w:eastAsia="Arial" w:hAnsi="Arial"/>
                  <w:sz w:val="18"/>
                  <w:szCs w:val="18"/>
                  <w:color w:val="0000FF"/>
                  <w:w w:val="86"/>
                </w:rPr>
                <w:t>2015).</w:t>
              </w:r>
            </w:hyperlink>
          </w:p>
        </w:tc>
        <w:tc>
          <w:tcPr>
            <w:tcW w:w="6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3.7</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4"/>
              </w:rPr>
            </w:pPr>
            <w:hyperlink r:id="rId306">
              <w:r>
                <w:rPr>
                  <w:rFonts w:ascii="Arial" w:cs="Arial" w:eastAsia="Arial" w:hAnsi="Arial"/>
                  <w:sz w:val="18"/>
                  <w:szCs w:val="18"/>
                  <w:color w:val="0000FF"/>
                  <w:w w:val="94"/>
                </w:rPr>
                <w:t>2nd Amended and Restated Bylaws of the registrant, dated August 30, 2007 (incorporated herein by reference to Exhibit 3(ii)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306">
              <w:r>
                <w:rPr>
                  <w:rFonts w:ascii="Arial" w:cs="Arial" w:eastAsia="Arial" w:hAnsi="Arial"/>
                  <w:sz w:val="18"/>
                  <w:szCs w:val="18"/>
                  <w:color w:val="0000FF"/>
                  <w:w w:val="91"/>
                </w:rPr>
                <w:t>registrant’s Current Report on Form 8-K/A filed with the SEC on September 14, 2007).</w:t>
              </w:r>
            </w:hyperlink>
          </w:p>
        </w:tc>
        <w:tc>
          <w:tcPr>
            <w:tcW w:w="3180" w:type="dxa"/>
            <w:vAlign w:val="bottom"/>
            <w:tcBorders>
              <w:top w:val="single" w:sz="8" w:color="0000FF"/>
            </w:tcBorders>
            <w:gridSpan w:val="8"/>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3.8</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2"/>
              </w:rPr>
            </w:pPr>
            <w:hyperlink r:id="rId307">
              <w:r>
                <w:rPr>
                  <w:rFonts w:ascii="Arial" w:cs="Arial" w:eastAsia="Arial" w:hAnsi="Arial"/>
                  <w:sz w:val="18"/>
                  <w:szCs w:val="18"/>
                  <w:color w:val="0000FF"/>
                  <w:w w:val="92"/>
                </w:rPr>
                <w:t>Text of Amendments to the 2nd Amended and Restated Bylaws of the registrant (incorporated herein by reference to Exhibit 3.2 to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307">
              <w:r>
                <w:rPr>
                  <w:rFonts w:ascii="Arial" w:cs="Arial" w:eastAsia="Arial" w:hAnsi="Arial"/>
                  <w:sz w:val="18"/>
                  <w:szCs w:val="18"/>
                  <w:color w:val="0000FF"/>
                  <w:w w:val="92"/>
                </w:rPr>
                <w:t>registrant’s Current Report on Form 8-K filed with the SEC on May 21, 2015).</w:t>
              </w:r>
            </w:hyperlink>
          </w:p>
        </w:tc>
        <w:tc>
          <w:tcPr>
            <w:tcW w:w="4020" w:type="dxa"/>
            <w:vAlign w:val="bottom"/>
            <w:tcBorders>
              <w:top w:val="single" w:sz="8" w:color="0000FF"/>
            </w:tcBorders>
            <w:gridSpan w:val="1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3.9</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8"/>
              </w:rPr>
            </w:pPr>
            <w:hyperlink r:id="rId308">
              <w:r>
                <w:rPr>
                  <w:rFonts w:ascii="Arial" w:cs="Arial" w:eastAsia="Arial" w:hAnsi="Arial"/>
                  <w:sz w:val="18"/>
                  <w:szCs w:val="18"/>
                  <w:color w:val="0000FF"/>
                  <w:w w:val="98"/>
                </w:rPr>
                <w:t>Amendment to the 2nd Amended and Restated Bylaws of the registrant (incorporated herein by reference to Exhibit 3.1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308">
              <w:r>
                <w:rPr>
                  <w:rFonts w:ascii="Arial" w:cs="Arial" w:eastAsia="Arial" w:hAnsi="Arial"/>
                  <w:sz w:val="18"/>
                  <w:szCs w:val="18"/>
                  <w:color w:val="0000FF"/>
                  <w:w w:val="92"/>
                </w:rPr>
                <w:t>registrant’s Current Report on Form 8-K filed with the SEC on March 17, 2017).</w:t>
              </w:r>
            </w:hyperlink>
          </w:p>
        </w:tc>
        <w:tc>
          <w:tcPr>
            <w:tcW w:w="3240" w:type="dxa"/>
            <w:vAlign w:val="bottom"/>
            <w:tcBorders>
              <w:top w:val="single" w:sz="8" w:color="0000FF"/>
            </w:tcBorders>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4.1</w:t>
            </w:r>
          </w:p>
        </w:tc>
        <w:tc>
          <w:tcPr>
            <w:tcW w:w="480" w:type="dxa"/>
            <w:vAlign w:val="bottom"/>
          </w:tcPr>
          <w:p>
            <w:pPr>
              <w:spacing w:after="0"/>
              <w:rPr>
                <w:sz w:val="22"/>
                <w:szCs w:val="22"/>
                <w:color w:val="auto"/>
              </w:rPr>
            </w:pPr>
          </w:p>
        </w:tc>
        <w:tc>
          <w:tcPr>
            <w:tcW w:w="9880" w:type="dxa"/>
            <w:vAlign w:val="bottom"/>
            <w:gridSpan w:val="27"/>
          </w:tcPr>
          <w:p>
            <w:pPr>
              <w:spacing w:after="0"/>
              <w:rPr>
                <w:rFonts w:ascii="Arial" w:cs="Arial" w:eastAsia="Arial" w:hAnsi="Arial"/>
                <w:sz w:val="18"/>
                <w:szCs w:val="18"/>
                <w:color w:val="0000FF"/>
                <w:w w:val="96"/>
              </w:rPr>
            </w:pPr>
            <w:hyperlink r:id="rId309">
              <w:r>
                <w:rPr>
                  <w:rFonts w:ascii="Arial" w:cs="Arial" w:eastAsia="Arial" w:hAnsi="Arial"/>
                  <w:sz w:val="18"/>
                  <w:szCs w:val="18"/>
                  <w:color w:val="0000FF"/>
                  <w:w w:val="96"/>
                </w:rPr>
                <w:t>Certificate of Designation of Series A Convertible Perpetual Preferred Stock of the registrant (incorporated herein by reference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Exhibit 4.1 to the September 2011 Form 8-K).</w:t>
              </w:r>
            </w:hyperlink>
          </w:p>
        </w:tc>
        <w:tc>
          <w:tcPr>
            <w:tcW w:w="120" w:type="dxa"/>
            <w:vAlign w:val="bottom"/>
            <w:gridSpan w:val="2"/>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40" w:type="dxa"/>
            <w:vAlign w:val="bottom"/>
            <w:gridSpan w:val="11"/>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4.2</w:t>
            </w:r>
          </w:p>
        </w:tc>
        <w:tc>
          <w:tcPr>
            <w:tcW w:w="480" w:type="dxa"/>
            <w:vAlign w:val="bottom"/>
          </w:tcPr>
          <w:p>
            <w:pPr>
              <w:spacing w:after="0"/>
              <w:rPr>
                <w:sz w:val="24"/>
                <w:szCs w:val="24"/>
                <w:color w:val="auto"/>
              </w:rPr>
            </w:pPr>
          </w:p>
        </w:tc>
        <w:tc>
          <w:tcPr>
            <w:tcW w:w="9880" w:type="dxa"/>
            <w:vAlign w:val="bottom"/>
            <w:gridSpan w:val="27"/>
          </w:tcPr>
          <w:p>
            <w:pPr>
              <w:spacing w:after="0"/>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Form of Warrant Certificate (incorporated herein by reference to Exhibit 4.2 to the September 2011 Form 8-K).</w:t>
              </w:r>
            </w:hyperlink>
          </w:p>
        </w:tc>
        <w:tc>
          <w:tcPr>
            <w:tcW w:w="0" w:type="dxa"/>
            <w:vAlign w:val="bottom"/>
          </w:tcPr>
          <w:p>
            <w:pPr>
              <w:spacing w:after="0"/>
              <w:rPr>
                <w:sz w:val="1"/>
                <w:szCs w:val="1"/>
                <w:color w:val="auto"/>
              </w:rPr>
            </w:pPr>
          </w:p>
        </w:tc>
      </w:tr>
      <w:tr>
        <w:trPr>
          <w:trHeight w:val="67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Arial" w:cs="Arial" w:eastAsia="Arial" w:hAnsi="Arial"/>
                <w:sz w:val="18"/>
                <w:szCs w:val="18"/>
                <w:color w:val="FFFFFF"/>
              </w:rPr>
              <w:t>102</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15" w:lineRule="exact"/>
              <w:rPr>
                <w:sz w:val="20"/>
                <w:szCs w:val="20"/>
                <w:color w:val="auto"/>
              </w:rPr>
            </w:pPr>
            <w:r>
              <w:rPr>
                <w:rFonts w:ascii="Arial" w:cs="Arial" w:eastAsia="Arial" w:hAnsi="Arial"/>
                <w:sz w:val="13"/>
                <w:szCs w:val="13"/>
                <w:b w:val="1"/>
                <w:bCs w:val="1"/>
                <w:color w:val="auto"/>
                <w:w w:val="89"/>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6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4.3</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0"/>
              </w:rPr>
            </w:pPr>
            <w:hyperlink r:id="rId313">
              <w:r>
                <w:rPr>
                  <w:rFonts w:ascii="Arial" w:cs="Arial" w:eastAsia="Arial" w:hAnsi="Arial"/>
                  <w:sz w:val="18"/>
                  <w:szCs w:val="18"/>
                  <w:color w:val="0000FF"/>
                  <w:w w:val="90"/>
                </w:rPr>
                <w:t>Registration Rights Agreement, dated September 2, 2011, by and among JPE, each of the other holders and designated secured lenders</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00" w:type="dxa"/>
            <w:vAlign w:val="bottom"/>
            <w:tcBorders>
              <w:top w:val="single" w:sz="8" w:color="0000FF"/>
            </w:tcBorders>
            <w:gridSpan w:val="31"/>
          </w:tcPr>
          <w:p>
            <w:pPr>
              <w:spacing w:after="0"/>
              <w:rPr>
                <w:rFonts w:ascii="Arial" w:cs="Arial" w:eastAsia="Arial" w:hAnsi="Arial"/>
                <w:sz w:val="18"/>
                <w:szCs w:val="18"/>
                <w:u w:val="single" w:color="auto"/>
                <w:color w:val="0000FF"/>
              </w:rPr>
            </w:pPr>
            <w:hyperlink r:id="rId313">
              <w:r>
                <w:rPr>
                  <w:rFonts w:ascii="Arial" w:cs="Arial" w:eastAsia="Arial" w:hAnsi="Arial"/>
                  <w:sz w:val="18"/>
                  <w:szCs w:val="18"/>
                  <w:u w:val="single" w:color="auto"/>
                  <w:color w:val="0000FF"/>
                </w:rPr>
                <w:t>party thereto and the registrant (incorporated herein by reference to Exhibit 4.3 to the September 2011 Form 8-K).</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4.4</w:t>
            </w:r>
          </w:p>
        </w:tc>
        <w:tc>
          <w:tcPr>
            <w:tcW w:w="480" w:type="dxa"/>
            <w:vAlign w:val="bottom"/>
          </w:tcPr>
          <w:p>
            <w:pPr>
              <w:spacing w:after="0"/>
              <w:rPr>
                <w:sz w:val="18"/>
                <w:szCs w:val="18"/>
                <w:color w:val="auto"/>
              </w:rPr>
            </w:pPr>
          </w:p>
        </w:tc>
        <w:tc>
          <w:tcPr>
            <w:tcW w:w="9880" w:type="dxa"/>
            <w:vAlign w:val="bottom"/>
            <w:gridSpan w:val="37"/>
          </w:tcPr>
          <w:p>
            <w:pPr>
              <w:spacing w:after="0"/>
              <w:rPr>
                <w:rFonts w:ascii="Arial" w:cs="Arial" w:eastAsia="Arial" w:hAnsi="Arial"/>
                <w:sz w:val="18"/>
                <w:szCs w:val="18"/>
                <w:color w:val="0000FF"/>
                <w:w w:val="92"/>
              </w:rPr>
            </w:pPr>
            <w:hyperlink r:id="rId314">
              <w:r>
                <w:rPr>
                  <w:rFonts w:ascii="Arial" w:cs="Arial" w:eastAsia="Arial" w:hAnsi="Arial"/>
                  <w:sz w:val="18"/>
                  <w:szCs w:val="18"/>
                  <w:color w:val="0000FF"/>
                  <w:w w:val="92"/>
                </w:rPr>
                <w:t>Certificate of Designation of Series B Convertible Perpetual Preferred Stock of the registrant, dated September 16, 2014 (incorporated</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80" w:type="dxa"/>
            <w:vAlign w:val="bottom"/>
            <w:tcBorders>
              <w:top w:val="single" w:sz="8" w:color="0000FF"/>
            </w:tcBorders>
            <w:gridSpan w:val="30"/>
          </w:tcPr>
          <w:p>
            <w:pPr>
              <w:spacing w:after="0"/>
              <w:rPr>
                <w:rFonts w:ascii="Arial" w:cs="Arial" w:eastAsia="Arial" w:hAnsi="Arial"/>
                <w:sz w:val="18"/>
                <w:szCs w:val="18"/>
                <w:u w:val="single" w:color="auto"/>
                <w:color w:val="0000FF"/>
                <w:w w:val="97"/>
              </w:rPr>
            </w:pPr>
            <w:hyperlink r:id="rId314">
              <w:r>
                <w:rPr>
                  <w:rFonts w:ascii="Arial" w:cs="Arial" w:eastAsia="Arial" w:hAnsi="Arial"/>
                  <w:sz w:val="18"/>
                  <w:szCs w:val="18"/>
                  <w:u w:val="single" w:color="auto"/>
                  <w:color w:val="0000FF"/>
                  <w:w w:val="97"/>
                </w:rPr>
                <w:t>herein by reference to Exhibit 4.1 to the registrant’s Current Report on Form 8-K filed with the SEC on September 18, 2014).</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4.5</w:t>
            </w:r>
          </w:p>
        </w:tc>
        <w:tc>
          <w:tcPr>
            <w:tcW w:w="480" w:type="dxa"/>
            <w:vAlign w:val="bottom"/>
          </w:tcPr>
          <w:p>
            <w:pPr>
              <w:spacing w:after="0"/>
              <w:rPr>
                <w:sz w:val="18"/>
                <w:szCs w:val="18"/>
                <w:color w:val="auto"/>
              </w:rPr>
            </w:pPr>
          </w:p>
        </w:tc>
        <w:tc>
          <w:tcPr>
            <w:tcW w:w="9880" w:type="dxa"/>
            <w:vAlign w:val="bottom"/>
            <w:gridSpan w:val="37"/>
          </w:tcPr>
          <w:p>
            <w:pPr>
              <w:spacing w:after="0"/>
              <w:rPr>
                <w:rFonts w:ascii="Arial" w:cs="Arial" w:eastAsia="Arial" w:hAnsi="Arial"/>
                <w:sz w:val="18"/>
                <w:szCs w:val="18"/>
                <w:color w:val="0000FF"/>
                <w:w w:val="90"/>
              </w:rPr>
            </w:pPr>
            <w:hyperlink r:id="rId315">
              <w:r>
                <w:rPr>
                  <w:rFonts w:ascii="Arial" w:cs="Arial" w:eastAsia="Arial" w:hAnsi="Arial"/>
                  <w:sz w:val="18"/>
                  <w:szCs w:val="18"/>
                  <w:color w:val="0000FF"/>
                  <w:w w:val="90"/>
                </w:rPr>
                <w:t>Certificate of Designation of Series C Convertible Perpetual Preferred Stock of the registrant, dated June 3, 2015 (incorporated herein by</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60" w:type="dxa"/>
            <w:vAlign w:val="bottom"/>
            <w:tcBorders>
              <w:top w:val="single" w:sz="8" w:color="0000FF"/>
            </w:tcBorders>
            <w:gridSpan w:val="36"/>
          </w:tcPr>
          <w:p>
            <w:pPr>
              <w:spacing w:after="0"/>
              <w:rPr>
                <w:rFonts w:ascii="Arial" w:cs="Arial" w:eastAsia="Arial" w:hAnsi="Arial"/>
                <w:sz w:val="18"/>
                <w:szCs w:val="18"/>
                <w:u w:val="single" w:color="auto"/>
                <w:color w:val="0000FF"/>
                <w:w w:val="94"/>
              </w:rPr>
            </w:pPr>
            <w:hyperlink r:id="rId315">
              <w:r>
                <w:rPr>
                  <w:rFonts w:ascii="Arial" w:cs="Arial" w:eastAsia="Arial" w:hAnsi="Arial"/>
                  <w:sz w:val="18"/>
                  <w:szCs w:val="18"/>
                  <w:u w:val="single" w:color="auto"/>
                  <w:color w:val="0000FF"/>
                  <w:w w:val="94"/>
                </w:rPr>
                <w:t>reference to Exhibit 4.2 to the registrant’s Amendment No. 1 to Current Report on Form 8-K/A filed with the SEC on June 26, 2015).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4.6</w:t>
            </w:r>
          </w:p>
        </w:tc>
        <w:tc>
          <w:tcPr>
            <w:tcW w:w="480" w:type="dxa"/>
            <w:vAlign w:val="bottom"/>
          </w:tcPr>
          <w:p>
            <w:pPr>
              <w:spacing w:after="0"/>
              <w:rPr>
                <w:sz w:val="18"/>
                <w:szCs w:val="18"/>
                <w:color w:val="auto"/>
              </w:rPr>
            </w:pPr>
          </w:p>
        </w:tc>
        <w:tc>
          <w:tcPr>
            <w:tcW w:w="9880" w:type="dxa"/>
            <w:vAlign w:val="bottom"/>
            <w:gridSpan w:val="37"/>
          </w:tcPr>
          <w:p>
            <w:pPr>
              <w:spacing w:after="0"/>
              <w:rPr>
                <w:rFonts w:ascii="Arial" w:cs="Arial" w:eastAsia="Arial" w:hAnsi="Arial"/>
                <w:sz w:val="18"/>
                <w:szCs w:val="18"/>
                <w:color w:val="0000FF"/>
                <w:w w:val="95"/>
              </w:rPr>
            </w:pPr>
            <w:hyperlink r:id="rId316">
              <w:r>
                <w:rPr>
                  <w:rFonts w:ascii="Arial" w:cs="Arial" w:eastAsia="Arial" w:hAnsi="Arial"/>
                  <w:sz w:val="18"/>
                  <w:szCs w:val="18"/>
                  <w:color w:val="0000FF"/>
                  <w:w w:val="95"/>
                </w:rPr>
                <w:t>Description of Common Stock (incorporated herein by reference to Exhibit 4.9 to the registrant’s Annual Report on Form 10-K filed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with the SEC on February 10, 2020).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4.7</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7"/>
              </w:rPr>
            </w:pPr>
            <w:hyperlink r:id="rId317">
              <w:r>
                <w:rPr>
                  <w:rFonts w:ascii="Arial" w:cs="Arial" w:eastAsia="Arial" w:hAnsi="Arial"/>
                  <w:sz w:val="18"/>
                  <w:szCs w:val="18"/>
                  <w:color w:val="0000FF"/>
                  <w:w w:val="97"/>
                </w:rPr>
                <w:t>Indenture, dated August 25, 2016, between the registrant, the guarantors party thereto and The Bank of New York Mellon Trust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317">
              <w:r>
                <w:rPr>
                  <w:rFonts w:ascii="Arial" w:cs="Arial" w:eastAsia="Arial" w:hAnsi="Arial"/>
                  <w:sz w:val="18"/>
                  <w:szCs w:val="18"/>
                  <w:color w:val="0000FF"/>
                  <w:w w:val="90"/>
                </w:rPr>
                <w:t>Company, N.A., as Trustee (incorporated herein by reference to Exhibit 4.1 to the registrant’s Current Report on Form 8-K filed</w:t>
              </w:r>
            </w:hyperlink>
          </w:p>
        </w:tc>
        <w:tc>
          <w:tcPr>
            <w:tcW w:w="20" w:type="dxa"/>
            <w:vAlign w:val="bottom"/>
          </w:tcPr>
          <w:p>
            <w:pPr>
              <w:spacing w:after="0"/>
              <w:rPr>
                <w:sz w:val="13"/>
                <w:szCs w:val="13"/>
                <w:color w:val="auto"/>
              </w:rPr>
            </w:pPr>
          </w:p>
        </w:tc>
        <w:tc>
          <w:tcPr>
            <w:tcW w:w="680" w:type="dxa"/>
            <w:vAlign w:val="bottom"/>
            <w:gridSpan w:val="16"/>
          </w:tcPr>
          <w:p>
            <w:pPr>
              <w:ind w:left="60"/>
              <w:spacing w:after="0" w:line="156" w:lineRule="exact"/>
              <w:rPr>
                <w:rFonts w:ascii="Arial" w:cs="Arial" w:eastAsia="Arial" w:hAnsi="Arial"/>
                <w:sz w:val="18"/>
                <w:szCs w:val="18"/>
                <w:color w:val="0000FF"/>
                <w:w w:val="96"/>
              </w:rPr>
            </w:pPr>
            <w:hyperlink r:id="rId317">
              <w:r>
                <w:rPr>
                  <w:rFonts w:ascii="Arial" w:cs="Arial" w:eastAsia="Arial" w:hAnsi="Arial"/>
                  <w:sz w:val="18"/>
                  <w:szCs w:val="18"/>
                  <w:color w:val="0000FF"/>
                  <w:w w:val="96"/>
                </w:rPr>
                <w:t>with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SEC on August 26, 2016).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4.8</w:t>
            </w:r>
          </w:p>
        </w:tc>
        <w:tc>
          <w:tcPr>
            <w:tcW w:w="480" w:type="dxa"/>
            <w:vAlign w:val="bottom"/>
          </w:tcPr>
          <w:p>
            <w:pPr>
              <w:spacing w:after="0"/>
              <w:rPr>
                <w:sz w:val="22"/>
                <w:szCs w:val="22"/>
                <w:color w:val="auto"/>
              </w:rPr>
            </w:pP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r:id="rId318">
              <w:r>
                <w:rPr>
                  <w:rFonts w:ascii="Arial" w:cs="Arial" w:eastAsia="Arial" w:hAnsi="Arial"/>
                  <w:sz w:val="18"/>
                  <w:szCs w:val="18"/>
                  <w:color w:val="0000FF"/>
                  <w:w w:val="89"/>
                </w:rPr>
                <w:t>Indenture, dated February 22, 2019, by and among the registrant, the guarantors party thereto and Wells Fargo Bank, National</w:t>
              </w:r>
            </w:hyperlink>
          </w:p>
        </w:tc>
        <w:tc>
          <w:tcPr>
            <w:tcW w:w="8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Arial" w:cs="Arial" w:eastAsia="Arial" w:hAnsi="Arial"/>
                <w:sz w:val="18"/>
                <w:szCs w:val="18"/>
                <w:color w:val="0000FF"/>
                <w:w w:val="94"/>
              </w:rPr>
            </w:pPr>
            <w:hyperlink r:id="rId318">
              <w:r>
                <w:rPr>
                  <w:rFonts w:ascii="Arial" w:cs="Arial" w:eastAsia="Arial" w:hAnsi="Arial"/>
                  <w:sz w:val="18"/>
                  <w:szCs w:val="18"/>
                  <w:color w:val="0000FF"/>
                  <w:w w:val="94"/>
                </w:rPr>
                <w:t>Association, as Trustee (incorporated herein by reference to Exhibit 4.1 to the registrant’s Current Report on Form 8-K filed with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318">
              <w:r>
                <w:rPr>
                  <w:rFonts w:ascii="Arial" w:cs="Arial" w:eastAsia="Arial" w:hAnsi="Arial"/>
                  <w:sz w:val="18"/>
                  <w:szCs w:val="18"/>
                  <w:color w:val="0000FF"/>
                  <w:w w:val="89"/>
                </w:rPr>
                <w:t>SEC on February 22, 2019).</w:t>
              </w:r>
            </w:hyperlink>
          </w:p>
        </w:tc>
        <w:tc>
          <w:tcPr>
            <w:tcW w:w="7520" w:type="dxa"/>
            <w:vAlign w:val="bottom"/>
            <w:tcBorders>
              <w:top w:val="single" w:sz="8" w:color="0000FF"/>
            </w:tcBorders>
            <w:gridSpan w:val="2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4.9</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3"/>
              </w:rPr>
            </w:pPr>
            <w:hyperlink r:id="rId319">
              <w:r>
                <w:rPr>
                  <w:rFonts w:ascii="Arial" w:cs="Arial" w:eastAsia="Arial" w:hAnsi="Arial"/>
                  <w:sz w:val="18"/>
                  <w:szCs w:val="18"/>
                  <w:color w:val="0000FF"/>
                  <w:w w:val="93"/>
                </w:rPr>
                <w:t>Indenture, dated April 28, 2020, between the registrant, the guarantors party thereto and Wells Fargo Bank, National Association, as</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Arial" w:cs="Arial" w:eastAsia="Arial" w:hAnsi="Arial"/>
                <w:sz w:val="18"/>
                <w:szCs w:val="18"/>
                <w:color w:val="0000FF"/>
                <w:w w:val="94"/>
              </w:rPr>
            </w:pPr>
            <w:hyperlink r:id="rId319">
              <w:r>
                <w:rPr>
                  <w:rFonts w:ascii="Arial" w:cs="Arial" w:eastAsia="Arial" w:hAnsi="Arial"/>
                  <w:sz w:val="18"/>
                  <w:szCs w:val="18"/>
                  <w:color w:val="0000FF"/>
                  <w:w w:val="94"/>
                </w:rPr>
                <w:t>Trustee (incorporated herein by reference to Exhibit 4.1 to the registrant’s current report on Form 8-K filed with the SEC on April 28,</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19">
              <w:r>
                <w:rPr>
                  <w:rFonts w:ascii="Arial" w:cs="Arial" w:eastAsia="Arial" w:hAnsi="Arial"/>
                  <w:sz w:val="18"/>
                  <w:szCs w:val="18"/>
                  <w:color w:val="0000FF"/>
                  <w:w w:val="86"/>
                </w:rPr>
                <w:t>2020).</w:t>
              </w:r>
            </w:hyperlink>
          </w:p>
        </w:tc>
        <w:tc>
          <w:tcPr>
            <w:tcW w:w="1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10.1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5"/>
              </w:rPr>
            </w:pPr>
            <w:hyperlink r:id="rId299">
              <w:r>
                <w:rPr>
                  <w:rFonts w:ascii="Arial" w:cs="Arial" w:eastAsia="Arial" w:hAnsi="Arial"/>
                  <w:sz w:val="18"/>
                  <w:szCs w:val="18"/>
                  <w:color w:val="0000FF"/>
                  <w:w w:val="95"/>
                </w:rPr>
                <w:t>2011 Omnibus Incentive Compensation Plan (incorporated herein by reference to Exhibit D to Exhibit 2.1 to the registrant’s current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99">
              <w:r>
                <w:rPr>
                  <w:rFonts w:ascii="Arial" w:cs="Arial" w:eastAsia="Arial" w:hAnsi="Arial"/>
                  <w:sz w:val="18"/>
                  <w:szCs w:val="18"/>
                  <w:color w:val="0000FF"/>
                </w:rPr>
                <w:t>report on Form 8-K filed with the SEC on June 14, 2011).</w:t>
              </w:r>
            </w:hyperlink>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10.2 +</w:t>
            </w:r>
          </w:p>
        </w:tc>
        <w:tc>
          <w:tcPr>
            <w:tcW w:w="480" w:type="dxa"/>
            <w:vAlign w:val="bottom"/>
          </w:tcPr>
          <w:p>
            <w:pPr>
              <w:spacing w:after="0"/>
              <w:rPr>
                <w:sz w:val="21"/>
                <w:szCs w:val="21"/>
                <w:color w:val="auto"/>
              </w:rPr>
            </w:pPr>
          </w:p>
        </w:tc>
        <w:tc>
          <w:tcPr>
            <w:tcW w:w="9880" w:type="dxa"/>
            <w:vAlign w:val="bottom"/>
            <w:gridSpan w:val="37"/>
          </w:tcPr>
          <w:p>
            <w:pPr>
              <w:spacing w:after="0"/>
              <w:rPr>
                <w:rFonts w:ascii="Arial" w:cs="Arial" w:eastAsia="Arial" w:hAnsi="Arial"/>
                <w:sz w:val="18"/>
                <w:szCs w:val="18"/>
                <w:u w:val="single" w:color="auto"/>
                <w:color w:val="0000FF"/>
                <w:w w:val="92"/>
              </w:rPr>
            </w:pPr>
            <w:hyperlink r:id="rId320">
              <w:r>
                <w:rPr>
                  <w:rFonts w:ascii="Arial" w:cs="Arial" w:eastAsia="Arial" w:hAnsi="Arial"/>
                  <w:sz w:val="18"/>
                  <w:szCs w:val="18"/>
                  <w:u w:val="single" w:color="auto"/>
                  <w:color w:val="0000FF"/>
                  <w:w w:val="92"/>
                </w:rPr>
                <w:t>Form of Option Award Agreement (2011 Omnibus Incentive Compensation Plan) (incorporated herein by reference to Exhibit 10.20 to</w:t>
              </w:r>
            </w:hyperlink>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gridSpan w:val="37"/>
          </w:tcPr>
          <w:p>
            <w:pPr>
              <w:spacing w:after="0" w:line="189" w:lineRule="exact"/>
              <w:rPr>
                <w:rFonts w:ascii="Arial" w:cs="Arial" w:eastAsia="Arial" w:hAnsi="Arial"/>
                <w:sz w:val="18"/>
                <w:szCs w:val="18"/>
                <w:color w:val="0000FF"/>
                <w:w w:val="98"/>
              </w:rPr>
            </w:pPr>
            <w:hyperlink r:id="rId320">
              <w:r>
                <w:rPr>
                  <w:rFonts w:ascii="Arial" w:cs="Arial" w:eastAsia="Arial" w:hAnsi="Arial"/>
                  <w:sz w:val="18"/>
                  <w:szCs w:val="18"/>
                  <w:u w:val="single" w:color="auto"/>
                  <w:color w:val="0000FF"/>
                  <w:w w:val="98"/>
                </w:rPr>
                <w:t>the registrants Annual Report on Form 10-K for the fiscal year</w:t>
              </w:r>
              <w:r>
                <w:rPr>
                  <w:rFonts w:ascii="Arial" w:cs="Arial" w:eastAsia="Arial" w:hAnsi="Arial"/>
                  <w:sz w:val="18"/>
                  <w:szCs w:val="18"/>
                  <w:color w:val="0000FF"/>
                  <w:w w:val="98"/>
                </w:rPr>
                <w:t xml:space="preserve"> </w:t>
              </w:r>
            </w:hyperlink>
            <w:r>
              <w:rPr>
                <w:rFonts w:ascii="Arial" w:cs="Arial" w:eastAsia="Arial" w:hAnsi="Arial"/>
                <w:sz w:val="18"/>
                <w:szCs w:val="18"/>
                <w:color w:val="0000FF"/>
                <w:w w:val="98"/>
              </w:rPr>
              <w:t xml:space="preserve">ended </w:t>
            </w:r>
            <w:hyperlink r:id="rId320">
              <w:r>
                <w:rPr>
                  <w:rFonts w:ascii="Arial" w:cs="Arial" w:eastAsia="Arial" w:hAnsi="Arial"/>
                  <w:sz w:val="18"/>
                  <w:szCs w:val="18"/>
                  <w:u w:val="single" w:color="auto"/>
                  <w:color w:val="0000FF"/>
                  <w:w w:val="98"/>
                </w:rPr>
                <w:t>December 31, 2011 (the “Fiscal Year 2011 Form 10-</w:t>
              </w:r>
            </w:hyperlink>
            <w:r>
              <w:rPr>
                <w:rFonts w:ascii="Arial" w:cs="Arial" w:eastAsia="Arial" w:hAnsi="Arial"/>
                <w:sz w:val="18"/>
                <w:szCs w:val="18"/>
                <w:color w:val="0000FF"/>
                <w:w w:val="98"/>
              </w:rPr>
              <w:t>K”</w:t>
            </w:r>
            <w:hyperlink r:id="rId320">
              <w:r>
                <w:rPr>
                  <w:rFonts w:ascii="Arial" w:cs="Arial" w:eastAsia="Arial" w:hAnsi="Arial"/>
                  <w:sz w:val="18"/>
                  <w:szCs w:val="18"/>
                  <w:u w:val="single" w:color="auto"/>
                  <w:color w:val="0000FF"/>
                  <w:w w:val="98"/>
                </w:rPr>
                <w:t>)).</w:t>
              </w:r>
            </w:hyperlink>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10.3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rPr>
            </w:pPr>
            <w:hyperlink r:id="rId321">
              <w:r>
                <w:rPr>
                  <w:rFonts w:ascii="Arial" w:cs="Arial" w:eastAsia="Arial" w:hAnsi="Arial"/>
                  <w:sz w:val="18"/>
                  <w:szCs w:val="18"/>
                  <w:color w:val="0000FF"/>
                </w:rPr>
                <w:t>Form of Restricted Stock Unit Award Agreement for Non-Employee Directors (2011 Omnibus Incentive Compensation Plan)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21">
              <w:r>
                <w:rPr>
                  <w:rFonts w:ascii="Arial" w:cs="Arial" w:eastAsia="Arial" w:hAnsi="Arial"/>
                  <w:sz w:val="18"/>
                  <w:szCs w:val="18"/>
                  <w:color w:val="0000FF"/>
                </w:rPr>
                <w:t>(incorporated herein by reference to Exhibit 10.21 to the Fiscal Year 2011 Form 10-K).</w:t>
              </w:r>
            </w:hyperlink>
          </w:p>
        </w:tc>
        <w:tc>
          <w:tcPr>
            <w:tcW w:w="2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10.4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2"/>
              </w:rPr>
            </w:pPr>
            <w:hyperlink r:id="rId322">
              <w:r>
                <w:rPr>
                  <w:rFonts w:ascii="Arial" w:cs="Arial" w:eastAsia="Arial" w:hAnsi="Arial"/>
                  <w:sz w:val="18"/>
                  <w:szCs w:val="18"/>
                  <w:color w:val="0000FF"/>
                  <w:w w:val="92"/>
                </w:rPr>
                <w:t>Amended and Restated 2011 Omnibus Incentive Compensation Plan (incorporated herein by reference to Exhibit A to the registrant’s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22">
              <w:r>
                <w:rPr>
                  <w:rFonts w:ascii="Arial" w:cs="Arial" w:eastAsia="Arial" w:hAnsi="Arial"/>
                  <w:sz w:val="18"/>
                  <w:szCs w:val="18"/>
                  <w:color w:val="0000FF"/>
                </w:rPr>
                <w:t>definitive proxy statement on Schedule 14A filed with the SEC on April 27, 2012).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10.5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2"/>
              </w:rPr>
            </w:pPr>
            <w:hyperlink r:id="rId323">
              <w:r>
                <w:rPr>
                  <w:rFonts w:ascii="Arial" w:cs="Arial" w:eastAsia="Arial" w:hAnsi="Arial"/>
                  <w:sz w:val="18"/>
                  <w:szCs w:val="18"/>
                  <w:color w:val="0000FF"/>
                  <w:w w:val="92"/>
                </w:rPr>
                <w:t>Form of Restricted Stock Unit Award Agreement (Amended and Restated 2011 Omnibus Incentive Compensation Plan) (incorporated</w:t>
              </w:r>
            </w:hyperlink>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60" w:type="dxa"/>
            <w:vAlign w:val="bottom"/>
            <w:tcBorders>
              <w:top w:val="single" w:sz="8" w:color="0000FF"/>
            </w:tcBorders>
            <w:gridSpan w:val="29"/>
          </w:tcPr>
          <w:p>
            <w:pPr>
              <w:spacing w:after="0"/>
              <w:rPr>
                <w:rFonts w:ascii="Arial" w:cs="Arial" w:eastAsia="Arial" w:hAnsi="Arial"/>
                <w:sz w:val="18"/>
                <w:szCs w:val="18"/>
                <w:u w:val="single" w:color="auto"/>
                <w:color w:val="0000FF"/>
              </w:rPr>
            </w:pPr>
            <w:hyperlink r:id="rId323">
              <w:r>
                <w:rPr>
                  <w:rFonts w:ascii="Arial" w:cs="Arial" w:eastAsia="Arial" w:hAnsi="Arial"/>
                  <w:sz w:val="18"/>
                  <w:szCs w:val="18"/>
                  <w:u w:val="single" w:color="auto"/>
                  <w:color w:val="0000FF"/>
                </w:rPr>
                <w:t>herein by reference to Exhibit 10.2 to the registrant’s Current Report on Form 8-K filed with the SEC on March 20, 2014).</w:t>
              </w:r>
            </w:hyperlink>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10.6 +</w:t>
            </w:r>
          </w:p>
        </w:tc>
        <w:tc>
          <w:tcPr>
            <w:tcW w:w="480" w:type="dxa"/>
            <w:vAlign w:val="bottom"/>
          </w:tcPr>
          <w:p>
            <w:pPr>
              <w:spacing w:after="0"/>
              <w:rPr>
                <w:sz w:val="18"/>
                <w:szCs w:val="18"/>
                <w:color w:val="auto"/>
              </w:rPr>
            </w:pPr>
          </w:p>
        </w:tc>
        <w:tc>
          <w:tcPr>
            <w:tcW w:w="9880" w:type="dxa"/>
            <w:vAlign w:val="bottom"/>
            <w:gridSpan w:val="37"/>
          </w:tcPr>
          <w:p>
            <w:pPr>
              <w:spacing w:after="0"/>
              <w:rPr>
                <w:rFonts w:ascii="Arial" w:cs="Arial" w:eastAsia="Arial" w:hAnsi="Arial"/>
                <w:sz w:val="18"/>
                <w:szCs w:val="18"/>
                <w:color w:val="0000FF"/>
                <w:w w:val="91"/>
              </w:rPr>
            </w:pPr>
            <w:hyperlink r:id="rId324">
              <w:r>
                <w:rPr>
                  <w:rFonts w:ascii="Arial" w:cs="Arial" w:eastAsia="Arial" w:hAnsi="Arial"/>
                  <w:sz w:val="18"/>
                  <w:szCs w:val="18"/>
                  <w:color w:val="0000FF"/>
                  <w:w w:val="91"/>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324">
              <w:r>
                <w:rPr>
                  <w:rFonts w:ascii="Arial" w:cs="Arial" w:eastAsia="Arial" w:hAnsi="Arial"/>
                  <w:sz w:val="18"/>
                  <w:szCs w:val="18"/>
                  <w:color w:val="0000FF"/>
                  <w:w w:val="91"/>
                </w:rPr>
                <w:t>on Schedule 14A filed with the SEC on November 21, 2016).</w:t>
              </w:r>
            </w:hyperlink>
          </w:p>
        </w:tc>
        <w:tc>
          <w:tcPr>
            <w:tcW w:w="5360" w:type="dxa"/>
            <w:vAlign w:val="bottom"/>
            <w:tcBorders>
              <w:top w:val="single" w:sz="8" w:color="0000FF"/>
            </w:tcBorders>
            <w:gridSpan w:val="26"/>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10.7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2"/>
              </w:rPr>
            </w:pPr>
            <w:hyperlink r:id="rId325">
              <w:r>
                <w:rPr>
                  <w:rFonts w:ascii="Arial" w:cs="Arial" w:eastAsia="Arial" w:hAnsi="Arial"/>
                  <w:sz w:val="18"/>
                  <w:szCs w:val="18"/>
                  <w:color w:val="0000FF"/>
                  <w:w w:val="92"/>
                </w:rPr>
                <w:t>Form of Restricted Stock Unit Award Agreement (Service-Vesting) (2016 Omnibus Incentive Compensation Plan) (incorporated herein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6" w:lineRule="exact"/>
              <w:rPr>
                <w:rFonts w:ascii="Arial" w:cs="Arial" w:eastAsia="Arial" w:hAnsi="Arial"/>
                <w:sz w:val="18"/>
                <w:szCs w:val="18"/>
                <w:color w:val="0000FF"/>
                <w:w w:val="91"/>
              </w:rPr>
            </w:pPr>
            <w:hyperlink r:id="rId325">
              <w:r>
                <w:rPr>
                  <w:rFonts w:ascii="Arial" w:cs="Arial" w:eastAsia="Arial" w:hAnsi="Arial"/>
                  <w:sz w:val="18"/>
                  <w:szCs w:val="18"/>
                  <w:color w:val="0000FF"/>
                  <w:w w:val="91"/>
                </w:rPr>
                <w:t>by reference to Exhibit 10.15 to the registrant’s Annual Report on Form 10-K for the fiscal year ended December 31, 2016 (the “Fiscal</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325">
              <w:r>
                <w:rPr>
                  <w:rFonts w:ascii="Arial" w:cs="Arial" w:eastAsia="Arial" w:hAnsi="Arial"/>
                  <w:sz w:val="18"/>
                  <w:szCs w:val="18"/>
                  <w:color w:val="0000FF"/>
                  <w:w w:val="94"/>
                </w:rPr>
                <w:t>Year 2016 Form 10-K”)).</w:t>
              </w:r>
            </w:hyperlink>
          </w:p>
        </w:tc>
        <w:tc>
          <w:tcPr>
            <w:tcW w:w="7820" w:type="dxa"/>
            <w:vAlign w:val="bottom"/>
            <w:tcBorders>
              <w:top w:val="single" w:sz="8" w:color="0000FF"/>
            </w:tcBorders>
            <w:gridSpan w:val="30"/>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10.8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w w:val="95"/>
              </w:rPr>
            </w:pPr>
            <w:hyperlink r:id="rId326">
              <w:r>
                <w:rPr>
                  <w:rFonts w:ascii="Arial" w:cs="Arial" w:eastAsia="Arial" w:hAnsi="Arial"/>
                  <w:sz w:val="18"/>
                  <w:szCs w:val="18"/>
                  <w:color w:val="0000FF"/>
                  <w:w w:val="95"/>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herein by reference to Exhibit 10.16 to the Fiscal Year 2016 Form 10-K).</w:t>
              </w:r>
            </w:hyperlink>
          </w:p>
        </w:tc>
        <w:tc>
          <w:tcPr>
            <w:tcW w:w="40" w:type="dxa"/>
            <w:vAlign w:val="bottom"/>
          </w:tcPr>
          <w:p>
            <w:pPr>
              <w:spacing w:after="0"/>
              <w:rPr>
                <w:sz w:val="13"/>
                <w:szCs w:val="13"/>
                <w:color w:val="auto"/>
              </w:rPr>
            </w:pPr>
          </w:p>
        </w:tc>
        <w:tc>
          <w:tcPr>
            <w:tcW w:w="4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10.9 +</w:t>
            </w:r>
          </w:p>
        </w:tc>
        <w:tc>
          <w:tcPr>
            <w:tcW w:w="480" w:type="dxa"/>
            <w:vAlign w:val="bottom"/>
          </w:tcPr>
          <w:p>
            <w:pPr>
              <w:spacing w:after="0"/>
              <w:rPr>
                <w:sz w:val="22"/>
                <w:szCs w:val="22"/>
                <w:color w:val="auto"/>
              </w:rPr>
            </w:pPr>
          </w:p>
        </w:tc>
        <w:tc>
          <w:tcPr>
            <w:tcW w:w="9880" w:type="dxa"/>
            <w:vAlign w:val="bottom"/>
            <w:gridSpan w:val="37"/>
          </w:tcPr>
          <w:p>
            <w:pPr>
              <w:spacing w:after="0"/>
              <w:rPr>
                <w:rFonts w:ascii="Arial" w:cs="Arial" w:eastAsia="Arial" w:hAnsi="Arial"/>
                <w:sz w:val="18"/>
                <w:szCs w:val="18"/>
                <w:color w:val="0000FF"/>
              </w:rPr>
            </w:pPr>
            <w:hyperlink r:id="rId327">
              <w:r>
                <w:rPr>
                  <w:rFonts w:ascii="Arial" w:cs="Arial" w:eastAsia="Arial" w:hAnsi="Arial"/>
                  <w:sz w:val="18"/>
                  <w:szCs w:val="18"/>
                  <w:color w:val="0000FF"/>
                </w:rPr>
                <w:t>Form of Restricted Stock Unit Award Agreement for Non-Employee Directors (2016 Omnibus Incentive Compensation Plan)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(incorporated herein by reference to Exhibit 10.17 to the Fiscal Year 2016 Form 10-K).</w:t>
              </w:r>
            </w:hyperlink>
          </w:p>
        </w:tc>
        <w:tc>
          <w:tcPr>
            <w:tcW w:w="400" w:type="dxa"/>
            <w:vAlign w:val="bottom"/>
            <w:gridSpan w:val="5"/>
          </w:tcPr>
          <w:p>
            <w:pPr>
              <w:spacing w:after="0"/>
              <w:rPr>
                <w:sz w:val="13"/>
                <w:szCs w:val="13"/>
                <w:color w:val="auto"/>
              </w:rPr>
            </w:pPr>
          </w:p>
        </w:tc>
        <w:tc>
          <w:tcPr>
            <w:tcW w:w="4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64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5"/>
          </w:tcPr>
          <w:p>
            <w:pPr>
              <w:spacing w:after="0"/>
              <w:rPr>
                <w:sz w:val="24"/>
                <w:szCs w:val="24"/>
                <w:color w:val="auto"/>
              </w:rPr>
            </w:pPr>
          </w:p>
        </w:tc>
        <w:tc>
          <w:tcPr>
            <w:tcW w:w="540" w:type="dxa"/>
            <w:vAlign w:val="bottom"/>
            <w:tcBorders>
              <w:top w:val="single" w:sz="8" w:color="0000FF"/>
            </w:tcBorders>
            <w:gridSpan w:val="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CC0000"/>
            </w:tcBorders>
            <w:gridSpan w:val="2"/>
            <w:vMerge w:val="restart"/>
            <w:shd w:val="clear" w:color="auto" w:fill="CC0000"/>
          </w:tcPr>
          <w:p>
            <w:pPr>
              <w:jc w:val="right"/>
              <w:ind w:right="40"/>
              <w:spacing w:after="0"/>
              <w:rPr>
                <w:sz w:val="20"/>
                <w:szCs w:val="20"/>
                <w:color w:val="auto"/>
              </w:rPr>
            </w:pPr>
            <w:r>
              <w:rPr>
                <w:rFonts w:ascii="Arial" w:cs="Arial" w:eastAsia="Arial" w:hAnsi="Arial"/>
                <w:sz w:val="18"/>
                <w:szCs w:val="18"/>
                <w:color w:val="FFFFFF"/>
              </w:rPr>
              <w:t>103</w:t>
            </w:r>
          </w:p>
        </w:tc>
        <w:tc>
          <w:tcPr>
            <w:tcW w:w="80" w:type="dxa"/>
            <w:vAlign w:val="bottom"/>
            <w:tcBorders>
              <w:bottom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CC0000"/>
            </w:tcBorders>
            <w:gridSpan w:val="2"/>
            <w:vMerge w:val="continue"/>
            <w:shd w:val="clear" w:color="auto" w:fill="CC0000"/>
          </w:tcPr>
          <w:p>
            <w:pPr>
              <w:spacing w:after="0"/>
              <w:rPr>
                <w:sz w:val="10"/>
                <w:szCs w:val="10"/>
                <w:color w:val="auto"/>
              </w:rPr>
            </w:pPr>
          </w:p>
        </w:tc>
        <w:tc>
          <w:tcPr>
            <w:tcW w:w="80" w:type="dxa"/>
            <w:vAlign w:val="bottom"/>
            <w:tcBorders>
              <w:bottom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b w:val="1"/>
                <w:bCs w:val="1"/>
                <w:color w:val="auto"/>
                <w:w w:val="93"/>
              </w:rPr>
              <w:t>Number</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36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10.10 +</w:t>
            </w:r>
          </w:p>
        </w:tc>
        <w:tc>
          <w:tcPr>
            <w:tcW w:w="9400" w:type="dxa"/>
            <w:vAlign w:val="bottom"/>
            <w:tcBorders>
              <w:bottom w:val="single" w:sz="8" w:color="0000FF"/>
            </w:tcBorders>
            <w:gridSpan w:val="23"/>
          </w:tcPr>
          <w:p>
            <w:pPr>
              <w:spacing w:after="0"/>
              <w:rPr>
                <w:rFonts w:ascii="Arial" w:cs="Arial" w:eastAsia="Arial" w:hAnsi="Arial"/>
                <w:sz w:val="18"/>
                <w:szCs w:val="18"/>
                <w:color w:val="0000FF"/>
                <w:w w:val="90"/>
              </w:rPr>
            </w:pPr>
            <w:hyperlink r:id="rId330">
              <w:r>
                <w:rPr>
                  <w:rFonts w:ascii="Arial" w:cs="Arial" w:eastAsia="Arial" w:hAnsi="Arial"/>
                  <w:sz w:val="18"/>
                  <w:szCs w:val="18"/>
                  <w:color w:val="0000FF"/>
                  <w:w w:val="90"/>
                </w:rPr>
                <w:t>Form of Performance-Based Restricted Stock Unit Award Agreement (2016 Omnibus Incentive Compensation Plan) (incorporated</w:t>
              </w:r>
            </w:hyperlink>
          </w:p>
        </w:tc>
        <w:tc>
          <w:tcPr>
            <w:tcW w:w="4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60" w:type="dxa"/>
            <w:vAlign w:val="bottom"/>
            <w:gridSpan w:val="40"/>
          </w:tcPr>
          <w:p>
            <w:pPr>
              <w:spacing w:after="0" w:line="156" w:lineRule="exact"/>
              <w:rPr>
                <w:rFonts w:ascii="Arial" w:cs="Arial" w:eastAsia="Arial" w:hAnsi="Arial"/>
                <w:sz w:val="18"/>
                <w:szCs w:val="18"/>
                <w:color w:val="0000FF"/>
                <w:w w:val="93"/>
              </w:rPr>
            </w:pPr>
            <w:hyperlink r:id="rId330">
              <w:r>
                <w:rPr>
                  <w:rFonts w:ascii="Arial" w:cs="Arial" w:eastAsia="Arial" w:hAnsi="Arial"/>
                  <w:sz w:val="18"/>
                  <w:szCs w:val="18"/>
                  <w:color w:val="0000FF"/>
                  <w:w w:val="93"/>
                </w:rPr>
                <w:t>herein by reference to Exhibit 10.4 to the registrant’s Quarterly Report on Form 10-Q for the quarter ended September 30, 2018 filed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30">
              <w:r>
                <w:rPr>
                  <w:rFonts w:ascii="Arial" w:cs="Arial" w:eastAsia="Arial" w:hAnsi="Arial"/>
                  <w:sz w:val="18"/>
                  <w:szCs w:val="18"/>
                  <w:color w:val="0000FF"/>
                </w:rPr>
                <w:t>with the SEC on November 5, 2018).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80" w:type="dxa"/>
            <w:vAlign w:val="bottom"/>
            <w:gridSpan w:val="6"/>
          </w:tcPr>
          <w:p>
            <w:pPr>
              <w:jc w:val="center"/>
              <w:ind w:right="160"/>
              <w:spacing w:after="0"/>
              <w:rPr>
                <w:sz w:val="20"/>
                <w:szCs w:val="20"/>
                <w:color w:val="auto"/>
              </w:rPr>
            </w:pPr>
            <w:r>
              <w:rPr>
                <w:rFonts w:ascii="Arial" w:cs="Arial" w:eastAsia="Arial" w:hAnsi="Arial"/>
                <w:sz w:val="18"/>
                <w:szCs w:val="18"/>
                <w:color w:val="auto"/>
                <w:w w:val="89"/>
              </w:rPr>
              <w:t>10.11 +</w:t>
            </w:r>
          </w:p>
        </w:tc>
        <w:tc>
          <w:tcPr>
            <w:tcW w:w="9860" w:type="dxa"/>
            <w:vAlign w:val="bottom"/>
            <w:gridSpan w:val="40"/>
          </w:tcPr>
          <w:p>
            <w:pPr>
              <w:spacing w:after="0"/>
              <w:rPr>
                <w:rFonts w:ascii="Arial" w:cs="Arial" w:eastAsia="Arial" w:hAnsi="Arial"/>
                <w:sz w:val="18"/>
                <w:szCs w:val="18"/>
                <w:color w:val="0000FF"/>
                <w:w w:val="91"/>
              </w:rPr>
            </w:pPr>
            <w:hyperlink r:id="rId331">
              <w:r>
                <w:rPr>
                  <w:rFonts w:ascii="Arial" w:cs="Arial" w:eastAsia="Arial" w:hAnsi="Arial"/>
                  <w:sz w:val="18"/>
                  <w:szCs w:val="18"/>
                  <w:color w:val="0000FF"/>
                  <w:w w:val="91"/>
                </w:rPr>
                <w:t>Amendment No. 1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31">
              <w:r>
                <w:rPr>
                  <w:rFonts w:ascii="Arial" w:cs="Arial" w:eastAsia="Arial" w:hAnsi="Arial"/>
                  <w:sz w:val="18"/>
                  <w:szCs w:val="18"/>
                  <w:color w:val="0000FF"/>
                  <w:w w:val="91"/>
                </w:rPr>
                <w:t>to the registrant’s definitive proxy statement on Schedule 14A filed with the SEC on April 22, 2019).</w:t>
              </w:r>
            </w:hyperlink>
          </w:p>
        </w:tc>
        <w:tc>
          <w:tcPr>
            <w:tcW w:w="25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10.12 +</w:t>
            </w:r>
          </w:p>
        </w:tc>
        <w:tc>
          <w:tcPr>
            <w:tcW w:w="9860" w:type="dxa"/>
            <w:vAlign w:val="bottom"/>
            <w:gridSpan w:val="40"/>
          </w:tcPr>
          <w:p>
            <w:pPr>
              <w:spacing w:after="0"/>
              <w:rPr>
                <w:rFonts w:ascii="Arial" w:cs="Arial" w:eastAsia="Arial" w:hAnsi="Arial"/>
                <w:sz w:val="18"/>
                <w:szCs w:val="18"/>
                <w:color w:val="0000FF"/>
                <w:w w:val="92"/>
              </w:rPr>
            </w:pPr>
            <w:hyperlink r:id="rId332">
              <w:r>
                <w:rPr>
                  <w:rFonts w:ascii="Arial" w:cs="Arial" w:eastAsia="Arial" w:hAnsi="Arial"/>
                  <w:sz w:val="18"/>
                  <w:szCs w:val="18"/>
                  <w:u w:val="single" w:color="auto"/>
                  <w:color w:val="0000FF"/>
                  <w:w w:val="92"/>
                </w:rPr>
                <w:t>Form of Performance-Based Restricted Unit Award Agreement</w:t>
              </w:r>
              <w:r>
                <w:rPr>
                  <w:rFonts w:ascii="Arial" w:cs="Arial" w:eastAsia="Arial" w:hAnsi="Arial"/>
                  <w:sz w:val="18"/>
                  <w:szCs w:val="18"/>
                  <w:color w:val="0000FF"/>
                  <w:w w:val="92"/>
                </w:rPr>
                <w:t xml:space="preserve"> (2016 Omnibus Incentive Compensation Plan)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40" w:type="dxa"/>
            <w:vAlign w:val="bottom"/>
            <w:gridSpan w:val="13"/>
          </w:tcPr>
          <w:p>
            <w:pPr>
              <w:spacing w:after="0" w:line="156" w:lineRule="exact"/>
              <w:rPr>
                <w:rFonts w:ascii="Arial" w:cs="Arial" w:eastAsia="Arial" w:hAnsi="Arial"/>
                <w:sz w:val="18"/>
                <w:szCs w:val="18"/>
                <w:color w:val="0000FF"/>
                <w:w w:val="91"/>
              </w:rPr>
            </w:pPr>
            <w:hyperlink r:id="rId332">
              <w:r>
                <w:rPr>
                  <w:rFonts w:ascii="Arial" w:cs="Arial" w:eastAsia="Arial" w:hAnsi="Arial"/>
                  <w:sz w:val="18"/>
                  <w:szCs w:val="18"/>
                  <w:color w:val="0000FF"/>
                  <w:w w:val="91"/>
                </w:rPr>
                <w:t>reference to Exhibit 10.7 to the registrant’s Quarterly Report on</w:t>
              </w:r>
            </w:hyperlink>
          </w:p>
        </w:tc>
        <w:tc>
          <w:tcPr>
            <w:tcW w:w="502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Form 10-Q for the quarter ended June 30, 2019 filed with the SEC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332">
              <w:r>
                <w:rPr>
                  <w:rFonts w:ascii="Arial" w:cs="Arial" w:eastAsia="Arial" w:hAnsi="Arial"/>
                  <w:sz w:val="18"/>
                  <w:szCs w:val="18"/>
                  <w:color w:val="0000FF"/>
                  <w:w w:val="89"/>
                </w:rPr>
                <w:t>August 1, 2019).</w:t>
              </w:r>
            </w:hyperlink>
          </w:p>
        </w:tc>
        <w:tc>
          <w:tcPr>
            <w:tcW w:w="84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10.13 +</w:t>
            </w:r>
          </w:p>
        </w:tc>
        <w:tc>
          <w:tcPr>
            <w:tcW w:w="9860" w:type="dxa"/>
            <w:vAlign w:val="bottom"/>
            <w:gridSpan w:val="40"/>
          </w:tcPr>
          <w:p>
            <w:pPr>
              <w:spacing w:after="0"/>
              <w:rPr>
                <w:rFonts w:ascii="Arial" w:cs="Arial" w:eastAsia="Arial" w:hAnsi="Arial"/>
                <w:sz w:val="18"/>
                <w:szCs w:val="18"/>
                <w:color w:val="0000FF"/>
                <w:w w:val="91"/>
              </w:rPr>
            </w:pPr>
            <w:hyperlink r:id="rId333">
              <w:r>
                <w:rPr>
                  <w:rFonts w:ascii="Arial" w:cs="Arial" w:eastAsia="Arial" w:hAnsi="Arial"/>
                  <w:sz w:val="18"/>
                  <w:szCs w:val="18"/>
                  <w:color w:val="0000FF"/>
                  <w:w w:val="91"/>
                </w:rPr>
                <w:t>Amendment No. 2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33">
              <w:r>
                <w:rPr>
                  <w:rFonts w:ascii="Arial" w:cs="Arial" w:eastAsia="Arial" w:hAnsi="Arial"/>
                  <w:sz w:val="18"/>
                  <w:szCs w:val="18"/>
                  <w:color w:val="0000FF"/>
                  <w:w w:val="91"/>
                </w:rPr>
                <w:t>to the registrant’s definitive proxy statement on Schedule 14A filed with the SEC on April 21, 2020).</w:t>
              </w:r>
            </w:hyperlink>
          </w:p>
        </w:tc>
        <w:tc>
          <w:tcPr>
            <w:tcW w:w="25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10.14 +</w:t>
            </w:r>
          </w:p>
        </w:tc>
        <w:tc>
          <w:tcPr>
            <w:tcW w:w="9860" w:type="dxa"/>
            <w:vAlign w:val="bottom"/>
            <w:gridSpan w:val="40"/>
          </w:tcPr>
          <w:p>
            <w:pPr>
              <w:spacing w:after="0"/>
              <w:rPr>
                <w:rFonts w:ascii="Arial" w:cs="Arial" w:eastAsia="Arial" w:hAnsi="Arial"/>
                <w:sz w:val="18"/>
                <w:szCs w:val="18"/>
                <w:color w:val="0000FF"/>
                <w:w w:val="94"/>
              </w:rPr>
            </w:pPr>
            <w:hyperlink r:id="rId334">
              <w:r>
                <w:rPr>
                  <w:rFonts w:ascii="Arial" w:cs="Arial" w:eastAsia="Arial" w:hAnsi="Arial"/>
                  <w:sz w:val="18"/>
                  <w:szCs w:val="18"/>
                  <w:u w:val="single" w:color="auto"/>
                  <w:color w:val="0000FF"/>
                  <w:w w:val="94"/>
                </w:rPr>
                <w:t>Form of Cash Long-Term Incentive Award Agreement</w:t>
              </w:r>
              <w:r>
                <w:rPr>
                  <w:rFonts w:ascii="Arial" w:cs="Arial" w:eastAsia="Arial" w:hAnsi="Arial"/>
                  <w:sz w:val="18"/>
                  <w:szCs w:val="18"/>
                  <w:color w:val="0000FF"/>
                  <w:w w:val="94"/>
                </w:rPr>
                <w:t xml:space="preserve"> (incorporated herein by reference to Exhibit 10.8 to the registrant’s Quarterly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60" w:type="dxa"/>
            <w:vAlign w:val="bottom"/>
            <w:gridSpan w:val="8"/>
          </w:tcPr>
          <w:p>
            <w:pPr>
              <w:spacing w:after="0" w:line="156" w:lineRule="exact"/>
              <w:rPr>
                <w:rFonts w:ascii="Arial" w:cs="Arial" w:eastAsia="Arial" w:hAnsi="Arial"/>
                <w:sz w:val="18"/>
                <w:szCs w:val="18"/>
                <w:color w:val="0000FF"/>
                <w:w w:val="92"/>
              </w:rPr>
            </w:pPr>
            <w:hyperlink r:id="rId334">
              <w:r>
                <w:rPr>
                  <w:rFonts w:ascii="Arial" w:cs="Arial" w:eastAsia="Arial" w:hAnsi="Arial"/>
                  <w:sz w:val="18"/>
                  <w:szCs w:val="18"/>
                  <w:color w:val="0000FF"/>
                  <w:w w:val="92"/>
                </w:rPr>
                <w:t>Report on Form 10-Q filed with the SEC on August 3,</w:t>
              </w:r>
            </w:hyperlink>
          </w:p>
        </w:tc>
        <w:tc>
          <w:tcPr>
            <w:tcW w:w="540" w:type="dxa"/>
            <w:vAlign w:val="bottom"/>
            <w:tcBorders>
              <w:top w:val="single" w:sz="8" w:color="0000FF"/>
            </w:tcBorders>
            <w:gridSpan w:val="4"/>
          </w:tcPr>
          <w:p>
            <w:pPr>
              <w:jc w:val="right"/>
              <w:ind w:right="100"/>
              <w:spacing w:after="0" w:line="156" w:lineRule="exact"/>
              <w:rPr>
                <w:rFonts w:ascii="Arial" w:cs="Arial" w:eastAsia="Arial" w:hAnsi="Arial"/>
                <w:sz w:val="18"/>
                <w:szCs w:val="18"/>
                <w:color w:val="0000FF"/>
                <w:w w:val="82"/>
              </w:rPr>
            </w:pPr>
            <w:hyperlink r:id="rId334">
              <w:r>
                <w:rPr>
                  <w:rFonts w:ascii="Arial" w:cs="Arial" w:eastAsia="Arial" w:hAnsi="Arial"/>
                  <w:sz w:val="18"/>
                  <w:szCs w:val="18"/>
                  <w:color w:val="0000FF"/>
                  <w:w w:val="82"/>
                </w:rPr>
                <w:t>2020).</w:t>
              </w:r>
            </w:hyperlink>
          </w:p>
        </w:tc>
        <w:tc>
          <w:tcPr>
            <w:tcW w:w="1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gridSpan w:val="2"/>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10.15 +</w:t>
            </w:r>
          </w:p>
        </w:tc>
        <w:tc>
          <w:tcPr>
            <w:tcW w:w="9860" w:type="dxa"/>
            <w:vAlign w:val="bottom"/>
            <w:gridSpan w:val="40"/>
          </w:tcPr>
          <w:p>
            <w:pPr>
              <w:spacing w:after="0"/>
              <w:rPr>
                <w:rFonts w:ascii="Arial" w:cs="Arial" w:eastAsia="Arial" w:hAnsi="Arial"/>
                <w:sz w:val="18"/>
                <w:szCs w:val="18"/>
                <w:color w:val="0000FF"/>
                <w:w w:val="93"/>
              </w:rPr>
            </w:pPr>
            <w:hyperlink r:id="rId335">
              <w:r>
                <w:rPr>
                  <w:rFonts w:ascii="Arial" w:cs="Arial" w:eastAsia="Arial" w:hAnsi="Arial"/>
                  <w:sz w:val="18"/>
                  <w:szCs w:val="18"/>
                  <w:color w:val="0000FF"/>
                  <w:w w:val="93"/>
                </w:rPr>
                <w:t>Performance-Based Restricted Stock Unit Award Agreement, dated August 9, 2018, between the registrant and Sarah J.S. Glickman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335">
              <w:r>
                <w:rPr>
                  <w:rFonts w:ascii="Arial" w:cs="Arial" w:eastAsia="Arial" w:hAnsi="Arial"/>
                  <w:sz w:val="18"/>
                  <w:szCs w:val="18"/>
                  <w:color w:val="0000FF"/>
                  <w:w w:val="90"/>
                </w:rPr>
                <w:t>(incorporated herein by reference to Exhibit 10.3 to the registrant’s Quarterly Report on Form 10-Q for the quarter ended September</w:t>
              </w:r>
            </w:hyperlink>
          </w:p>
        </w:tc>
        <w:tc>
          <w:tcPr>
            <w:tcW w:w="320" w:type="dxa"/>
            <w:vAlign w:val="bottom"/>
            <w:tcBorders>
              <w:bottom w:val="single" w:sz="8" w:color="0000FF"/>
            </w:tcBorders>
            <w:gridSpan w:val="12"/>
          </w:tcPr>
          <w:p>
            <w:pPr>
              <w:jc w:val="right"/>
              <w:ind w:right="20"/>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30,</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0" w:type="dxa"/>
            <w:vAlign w:val="bottom"/>
            <w:gridSpan w:val="38"/>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2018 filed with the SEC on November 5, 2018).</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10.16 +</w:t>
            </w:r>
          </w:p>
        </w:tc>
        <w:tc>
          <w:tcPr>
            <w:tcW w:w="9860" w:type="dxa"/>
            <w:vAlign w:val="bottom"/>
            <w:gridSpan w:val="40"/>
          </w:tcPr>
          <w:p>
            <w:pPr>
              <w:spacing w:after="0"/>
              <w:rPr>
                <w:rFonts w:ascii="Arial" w:cs="Arial" w:eastAsia="Arial" w:hAnsi="Arial"/>
                <w:sz w:val="18"/>
                <w:szCs w:val="18"/>
                <w:color w:val="0000FF"/>
                <w:w w:val="91"/>
              </w:rPr>
            </w:pPr>
            <w:hyperlink r:id="rId336">
              <w:r>
                <w:rPr>
                  <w:rFonts w:ascii="Arial" w:cs="Arial" w:eastAsia="Arial" w:hAnsi="Arial"/>
                  <w:sz w:val="18"/>
                  <w:szCs w:val="18"/>
                  <w:color w:val="0000FF"/>
                  <w:w w:val="91"/>
                </w:rPr>
                <w:t>Form of Employment Agreement, dated February 9, 2016, (incorporated herein by reference to Exhibit 10.1 to the February 2016 Form</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8-K).</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10.17 +</w:t>
            </w:r>
          </w:p>
        </w:tc>
        <w:tc>
          <w:tcPr>
            <w:tcW w:w="9860" w:type="dxa"/>
            <w:vAlign w:val="bottom"/>
            <w:gridSpan w:val="40"/>
          </w:tcPr>
          <w:p>
            <w:pPr>
              <w:spacing w:after="0"/>
              <w:rPr>
                <w:rFonts w:ascii="Arial" w:cs="Arial" w:eastAsia="Arial" w:hAnsi="Arial"/>
                <w:sz w:val="18"/>
                <w:szCs w:val="18"/>
                <w:color w:val="0000FF"/>
                <w:w w:val="96"/>
              </w:rPr>
            </w:pPr>
            <w:hyperlink r:id="rId337">
              <w:r>
                <w:rPr>
                  <w:rFonts w:ascii="Arial" w:cs="Arial" w:eastAsia="Arial" w:hAnsi="Arial"/>
                  <w:sz w:val="18"/>
                  <w:szCs w:val="18"/>
                  <w:u w:val="single" w:color="auto"/>
                  <w:color w:val="0000FF"/>
                  <w:w w:val="96"/>
                </w:rPr>
                <w:t>Exhibit A to Employment Agreement, dated February 9, 2016, between the registrant and John J. Hardig</w:t>
              </w:r>
              <w:r>
                <w:rPr>
                  <w:rFonts w:ascii="Arial" w:cs="Arial" w:eastAsia="Arial" w:hAnsi="Arial"/>
                  <w:sz w:val="18"/>
                  <w:szCs w:val="18"/>
                  <w:color w:val="0000FF"/>
                  <w:w w:val="96"/>
                </w:rPr>
                <w:t xml:space="preserve">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gridSpan w:val="19"/>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reference to Exhibit 10.4 to the February 2016 Form 8-K).</w:t>
              </w:r>
            </w:hyperlink>
          </w:p>
        </w:tc>
        <w:tc>
          <w:tcPr>
            <w:tcW w:w="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10.18 +</w:t>
            </w:r>
          </w:p>
        </w:tc>
        <w:tc>
          <w:tcPr>
            <w:tcW w:w="9860" w:type="dxa"/>
            <w:vAlign w:val="bottom"/>
            <w:gridSpan w:val="40"/>
          </w:tcPr>
          <w:p>
            <w:pPr>
              <w:spacing w:after="0"/>
              <w:rPr>
                <w:rFonts w:ascii="Arial" w:cs="Arial" w:eastAsia="Arial" w:hAnsi="Arial"/>
                <w:sz w:val="18"/>
                <w:szCs w:val="18"/>
                <w:color w:val="0000FF"/>
                <w:w w:val="96"/>
              </w:rPr>
            </w:pPr>
            <w:hyperlink r:id="rId338">
              <w:r>
                <w:rPr>
                  <w:rFonts w:ascii="Arial" w:cs="Arial" w:eastAsia="Arial" w:hAnsi="Arial"/>
                  <w:sz w:val="18"/>
                  <w:szCs w:val="18"/>
                  <w:u w:val="single" w:color="auto"/>
                  <w:color w:val="0000FF"/>
                  <w:w w:val="96"/>
                </w:rPr>
                <w:t>Exhibit A to Employment Agreement, dated February 9, 2016, between the registrant and Scott B. Malat</w:t>
              </w:r>
              <w:r>
                <w:rPr>
                  <w:rFonts w:ascii="Arial" w:cs="Arial" w:eastAsia="Arial" w:hAnsi="Arial"/>
                  <w:sz w:val="18"/>
                  <w:szCs w:val="18"/>
                  <w:color w:val="0000FF"/>
                  <w:w w:val="96"/>
                </w:rPr>
                <w:t xml:space="preserve">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gridSpan w:val="19"/>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reference to Exhibit 10.6 to the February 2016 Form 8-K).</w:t>
              </w:r>
            </w:hyperlink>
          </w:p>
        </w:tc>
        <w:tc>
          <w:tcPr>
            <w:tcW w:w="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10.19 +</w:t>
            </w:r>
          </w:p>
        </w:tc>
        <w:tc>
          <w:tcPr>
            <w:tcW w:w="9860" w:type="dxa"/>
            <w:vAlign w:val="bottom"/>
            <w:gridSpan w:val="40"/>
          </w:tcPr>
          <w:p>
            <w:pPr>
              <w:spacing w:after="0"/>
              <w:rPr>
                <w:rFonts w:ascii="Arial" w:cs="Arial" w:eastAsia="Arial" w:hAnsi="Arial"/>
                <w:sz w:val="18"/>
                <w:szCs w:val="18"/>
                <w:color w:val="0000FF"/>
                <w:w w:val="92"/>
              </w:rPr>
            </w:pPr>
            <w:hyperlink r:id="rId339">
              <w:r>
                <w:rPr>
                  <w:rFonts w:ascii="Arial" w:cs="Arial" w:eastAsia="Arial" w:hAnsi="Arial"/>
                  <w:sz w:val="18"/>
                  <w:szCs w:val="18"/>
                  <w:color w:val="0000FF"/>
                  <w:w w:val="92"/>
                </w:rPr>
                <w:t>Employment Agreement, dated April 19, 2018, between the registrant and Kenneth R. Wagers III (incorporated herein by reference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Exhibit 10.1 to the registrant’s Current Report on Form 8-K filed with the SEC on April 24, 2018).</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10.20 +</w:t>
            </w:r>
          </w:p>
        </w:tc>
        <w:tc>
          <w:tcPr>
            <w:tcW w:w="9860" w:type="dxa"/>
            <w:vAlign w:val="bottom"/>
            <w:gridSpan w:val="40"/>
          </w:tcPr>
          <w:p>
            <w:pPr>
              <w:spacing w:after="0"/>
              <w:rPr>
                <w:rFonts w:ascii="Arial" w:cs="Arial" w:eastAsia="Arial" w:hAnsi="Arial"/>
                <w:sz w:val="18"/>
                <w:szCs w:val="18"/>
                <w:color w:val="0000FF"/>
                <w:w w:val="94"/>
              </w:rPr>
            </w:pPr>
            <w:hyperlink r:id="rId340">
              <w:r>
                <w:rPr>
                  <w:rFonts w:ascii="Arial" w:cs="Arial" w:eastAsia="Arial" w:hAnsi="Arial"/>
                  <w:sz w:val="18"/>
                  <w:szCs w:val="18"/>
                  <w:color w:val="0000FF"/>
                  <w:w w:val="94"/>
                </w:rPr>
                <w:t>Employment Agreement, dated June 5, 2019, between the registrant and Sarah J.S. Glickman (incorporated herein by reference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340">
              <w:r>
                <w:rPr>
                  <w:rFonts w:ascii="Arial" w:cs="Arial" w:eastAsia="Arial" w:hAnsi="Arial"/>
                  <w:sz w:val="18"/>
                  <w:szCs w:val="18"/>
                  <w:color w:val="0000FF"/>
                  <w:w w:val="91"/>
                </w:rPr>
                <w:t>Exhibit 10.6 to the registrant’s Quarterly Report on Form 10-Q for the quarter ended June 30, 2019 filed with the SEC on August</w:t>
              </w:r>
            </w:hyperlink>
          </w:p>
        </w:tc>
        <w:tc>
          <w:tcPr>
            <w:tcW w:w="280" w:type="dxa"/>
            <w:vAlign w:val="bottom"/>
            <w:gridSpan w:val="7"/>
          </w:tcPr>
          <w:p>
            <w:pPr>
              <w:jc w:val="right"/>
              <w:ind w:right="140"/>
              <w:spacing w:after="0" w:line="156" w:lineRule="exact"/>
              <w:rPr>
                <w:rFonts w:ascii="Arial" w:cs="Arial" w:eastAsia="Arial" w:hAnsi="Arial"/>
                <w:sz w:val="18"/>
                <w:szCs w:val="18"/>
                <w:color w:val="0000FF"/>
                <w:w w:val="79"/>
              </w:rPr>
            </w:pPr>
            <w:hyperlink r:id="rId340">
              <w:r>
                <w:rPr>
                  <w:rFonts w:ascii="Arial" w:cs="Arial" w:eastAsia="Arial" w:hAnsi="Arial"/>
                  <w:sz w:val="18"/>
                  <w:szCs w:val="18"/>
                  <w:color w:val="0000FF"/>
                  <w:w w:val="79"/>
                </w:rPr>
                <w:t>1,</w:t>
              </w:r>
            </w:hyperlink>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2"/>
              </w:rPr>
            </w:pPr>
            <w:hyperlink r:id="rId340">
              <w:r>
                <w:rPr>
                  <w:rFonts w:ascii="Arial" w:cs="Arial" w:eastAsia="Arial" w:hAnsi="Arial"/>
                  <w:sz w:val="18"/>
                  <w:szCs w:val="18"/>
                  <w:color w:val="0000FF"/>
                  <w:w w:val="82"/>
                </w:rPr>
                <w:t>2019).</w:t>
              </w:r>
            </w:hyperlink>
          </w:p>
        </w:tc>
        <w:tc>
          <w:tcPr>
            <w:tcW w:w="7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10.21 +</w:t>
            </w:r>
          </w:p>
        </w:tc>
        <w:tc>
          <w:tcPr>
            <w:tcW w:w="9860" w:type="dxa"/>
            <w:vAlign w:val="bottom"/>
            <w:gridSpan w:val="40"/>
          </w:tcPr>
          <w:p>
            <w:pPr>
              <w:spacing w:after="0"/>
              <w:rPr>
                <w:rFonts w:ascii="Arial" w:cs="Arial" w:eastAsia="Arial" w:hAnsi="Arial"/>
                <w:sz w:val="18"/>
                <w:szCs w:val="18"/>
                <w:color w:val="0000FF"/>
                <w:w w:val="93"/>
              </w:rPr>
            </w:pPr>
            <w:hyperlink r:id="rId341">
              <w:r>
                <w:rPr>
                  <w:rFonts w:ascii="Arial" w:cs="Arial" w:eastAsia="Arial" w:hAnsi="Arial"/>
                  <w:sz w:val="18"/>
                  <w:szCs w:val="18"/>
                  <w:color w:val="0000FF"/>
                  <w:w w:val="93"/>
                </w:rPr>
                <w:t>Employment Agreement, effective as of February 3, 2020, and Amendment to Employment Agreement, dated April 7, 2020, between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341">
              <w:r>
                <w:rPr>
                  <w:rFonts w:ascii="Arial" w:cs="Arial" w:eastAsia="Arial" w:hAnsi="Arial"/>
                  <w:sz w:val="18"/>
                  <w:szCs w:val="18"/>
                  <w:color w:val="0000FF"/>
                  <w:w w:val="89"/>
                </w:rPr>
                <w:t>the registrant and Kurt M. Rogers.</w:t>
              </w:r>
            </w:hyperlink>
          </w:p>
        </w:tc>
        <w:tc>
          <w:tcPr>
            <w:tcW w:w="714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60" w:type="dxa"/>
            <w:vAlign w:val="bottom"/>
            <w:gridSpan w:val="40"/>
          </w:tcPr>
          <w:p>
            <w:pPr>
              <w:spacing w:after="0"/>
              <w:rPr>
                <w:sz w:val="20"/>
                <w:szCs w:val="20"/>
                <w:color w:val="auto"/>
              </w:rPr>
            </w:pPr>
            <w:r>
              <w:rPr>
                <w:rFonts w:ascii="Arial" w:cs="Arial" w:eastAsia="Arial" w:hAnsi="Arial"/>
                <w:sz w:val="18"/>
                <w:szCs w:val="18"/>
                <w:color w:val="auto"/>
              </w:rPr>
              <w:t>Agreement, dated April 7, 2020, between the registrant and Kurt M. Rogers.</w:t>
            </w:r>
          </w:p>
        </w:tc>
        <w:tc>
          <w:tcPr>
            <w:tcW w:w="0" w:type="dxa"/>
            <w:vAlign w:val="bottom"/>
          </w:tcPr>
          <w:p>
            <w:pPr>
              <w:spacing w:after="0"/>
              <w:rPr>
                <w:sz w:val="1"/>
                <w:szCs w:val="1"/>
                <w:color w:val="auto"/>
              </w:rPr>
            </w:pPr>
          </w:p>
        </w:tc>
      </w:tr>
      <w:tr>
        <w:trPr>
          <w:trHeight w:val="190"/>
        </w:trPr>
        <w:tc>
          <w:tcPr>
            <w:tcW w:w="1380" w:type="dxa"/>
            <w:vAlign w:val="bottom"/>
            <w:gridSpan w:val="6"/>
          </w:tcPr>
          <w:p>
            <w:pPr>
              <w:jc w:val="center"/>
              <w:ind w:right="140"/>
              <w:spacing w:after="0" w:line="190" w:lineRule="exact"/>
              <w:rPr>
                <w:sz w:val="20"/>
                <w:szCs w:val="20"/>
                <w:color w:val="auto"/>
              </w:rPr>
            </w:pPr>
            <w:r>
              <w:rPr>
                <w:rFonts w:ascii="Arial" w:cs="Arial" w:eastAsia="Arial" w:hAnsi="Arial"/>
                <w:sz w:val="18"/>
                <w:szCs w:val="18"/>
                <w:color w:val="auto"/>
                <w:w w:val="92"/>
              </w:rPr>
              <w:t>10.22 +</w:t>
            </w:r>
          </w:p>
        </w:tc>
        <w:tc>
          <w:tcPr>
            <w:tcW w:w="9860" w:type="dxa"/>
            <w:vAlign w:val="bottom"/>
            <w:gridSpan w:val="40"/>
          </w:tcPr>
          <w:p>
            <w:pPr>
              <w:spacing w:after="0" w:line="190" w:lineRule="exact"/>
              <w:rPr>
                <w:rFonts w:ascii="Arial" w:cs="Arial" w:eastAsia="Arial" w:hAnsi="Arial"/>
                <w:sz w:val="18"/>
                <w:szCs w:val="18"/>
                <w:color w:val="0000FF"/>
                <w:w w:val="91"/>
              </w:rPr>
            </w:pPr>
            <w:hyperlink r:id="rId342">
              <w:r>
                <w:rPr>
                  <w:rFonts w:ascii="Arial" w:cs="Arial" w:eastAsia="Arial" w:hAnsi="Arial"/>
                  <w:sz w:val="18"/>
                  <w:szCs w:val="18"/>
                  <w:color w:val="0000FF"/>
                  <w:w w:val="91"/>
                </w:rPr>
                <w:t>Employment Agreement, effective as of March 2, 2020, between the registrant and David B. Wyshner (incorporated herein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342">
              <w:r>
                <w:rPr>
                  <w:rFonts w:ascii="Arial" w:cs="Arial" w:eastAsia="Arial" w:hAnsi="Arial"/>
                  <w:sz w:val="18"/>
                  <w:szCs w:val="18"/>
                  <w:color w:val="0000FF"/>
                </w:rPr>
                <w:t>to Exhibit 10.2 to the registrant’s Quarterly Report on Form 10-Q filed with the SEC on May 5, 2020).</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10.23 +</w:t>
            </w:r>
          </w:p>
        </w:tc>
        <w:tc>
          <w:tcPr>
            <w:tcW w:w="9860" w:type="dxa"/>
            <w:vAlign w:val="bottom"/>
            <w:gridSpan w:val="40"/>
          </w:tcPr>
          <w:p>
            <w:pPr>
              <w:spacing w:after="0"/>
              <w:rPr>
                <w:rFonts w:ascii="Arial" w:cs="Arial" w:eastAsia="Arial" w:hAnsi="Arial"/>
                <w:sz w:val="18"/>
                <w:szCs w:val="18"/>
                <w:color w:val="0000FF"/>
                <w:w w:val="90"/>
              </w:rPr>
            </w:pPr>
            <w:hyperlink r:id="rId343">
              <w:r>
                <w:rPr>
                  <w:rFonts w:ascii="Arial" w:cs="Arial" w:eastAsia="Arial" w:hAnsi="Arial"/>
                  <w:sz w:val="18"/>
                  <w:szCs w:val="18"/>
                  <w:color w:val="0000FF"/>
                  <w:w w:val="90"/>
                </w:rPr>
                <w:t>Separation Agreement, dated May 4, 2020, between the registrant and Sarah J.S. Glickman (incorporated herein by reference to Exhibit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343">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current report on Form 8-K filed with the SEC on May 8, 2020).</w:t>
              </w:r>
            </w:hyperlink>
          </w:p>
        </w:tc>
        <w:tc>
          <w:tcPr>
            <w:tcW w:w="3460" w:type="dxa"/>
            <w:vAlign w:val="bottom"/>
            <w:tcBorders>
              <w:top w:val="single" w:sz="8" w:color="0000FF"/>
            </w:tcBorders>
            <w:gridSpan w:val="20"/>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10.24 +</w:t>
            </w:r>
          </w:p>
        </w:tc>
        <w:tc>
          <w:tcPr>
            <w:tcW w:w="9860" w:type="dxa"/>
            <w:vAlign w:val="bottom"/>
            <w:gridSpan w:val="40"/>
          </w:tcPr>
          <w:p>
            <w:pPr>
              <w:spacing w:after="0"/>
              <w:rPr>
                <w:rFonts w:ascii="Arial" w:cs="Arial" w:eastAsia="Arial" w:hAnsi="Arial"/>
                <w:sz w:val="18"/>
                <w:szCs w:val="18"/>
                <w:color w:val="0000FF"/>
                <w:w w:val="91"/>
              </w:rPr>
            </w:pPr>
            <w:hyperlink r:id="rId344">
              <w:r>
                <w:rPr>
                  <w:rFonts w:ascii="Arial" w:cs="Arial" w:eastAsia="Arial" w:hAnsi="Arial"/>
                  <w:sz w:val="18"/>
                  <w:szCs w:val="18"/>
                  <w:color w:val="0000FF"/>
                  <w:w w:val="91"/>
                </w:rPr>
                <w:t>Employment Agreement, effective as of July 31, 2020, between the registrant and Bradley S. Jacobs. (incorporated herein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344">
              <w:r>
                <w:rPr>
                  <w:rFonts w:ascii="Arial" w:cs="Arial" w:eastAsia="Arial" w:hAnsi="Arial"/>
                  <w:sz w:val="18"/>
                  <w:szCs w:val="18"/>
                  <w:color w:val="0000FF"/>
                  <w:w w:val="91"/>
                </w:rPr>
                <w:t>to Exhibit 10.5 to the registrant’s Quarterly Report on Form 10-Q filed with the SEC on August 3, 2020).</w:t>
              </w:r>
            </w:hyperlink>
          </w:p>
        </w:tc>
        <w:tc>
          <w:tcPr>
            <w:tcW w:w="21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10.25 +</w:t>
            </w:r>
          </w:p>
        </w:tc>
        <w:tc>
          <w:tcPr>
            <w:tcW w:w="9860" w:type="dxa"/>
            <w:vAlign w:val="bottom"/>
            <w:gridSpan w:val="40"/>
          </w:tcPr>
          <w:p>
            <w:pPr>
              <w:spacing w:after="0"/>
              <w:rPr>
                <w:rFonts w:ascii="Arial" w:cs="Arial" w:eastAsia="Arial" w:hAnsi="Arial"/>
                <w:sz w:val="18"/>
                <w:szCs w:val="18"/>
                <w:color w:val="0000FF"/>
                <w:w w:val="91"/>
              </w:rPr>
            </w:pPr>
            <w:hyperlink r:id="rId345">
              <w:r>
                <w:rPr>
                  <w:rFonts w:ascii="Arial" w:cs="Arial" w:eastAsia="Arial" w:hAnsi="Arial"/>
                  <w:sz w:val="18"/>
                  <w:szCs w:val="18"/>
                  <w:color w:val="0000FF"/>
                  <w:w w:val="91"/>
                </w:rPr>
                <w:t>Employment Agreement, effective as of July 31, 2020, between the registrant and Troy A. Cooper. (incorporated herein by reference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345">
              <w:r>
                <w:rPr>
                  <w:rFonts w:ascii="Arial" w:cs="Arial" w:eastAsia="Arial" w:hAnsi="Arial"/>
                  <w:sz w:val="18"/>
                  <w:szCs w:val="18"/>
                  <w:color w:val="0000FF"/>
                </w:rPr>
                <w:t>Exhibit 10.6 to the registrant’s Quarterly Report on Form 10-Q filed with the SEC on August 3, 2020).</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80" w:type="dxa"/>
            <w:vAlign w:val="bottom"/>
            <w:tcBorders>
              <w:top w:val="single" w:sz="8" w:color="0000FF"/>
            </w:tcBorders>
            <w:gridSpan w:val="7"/>
          </w:tcPr>
          <w:p>
            <w:pPr>
              <w:spacing w:after="0"/>
              <w:rPr>
                <w:sz w:val="24"/>
                <w:szCs w:val="24"/>
                <w:color w:val="auto"/>
              </w:rPr>
            </w:pPr>
          </w:p>
        </w:tc>
        <w:tc>
          <w:tcPr>
            <w:tcW w:w="520" w:type="dxa"/>
            <w:vAlign w:val="bottom"/>
            <w:tcBorders>
              <w:top w:val="single" w:sz="8" w:color="0000FF"/>
            </w:tcBorders>
            <w:gridSpan w:val="4"/>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7"/>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tcBorders>
              <w:bottom w:val="single" w:sz="8" w:color="CC0000"/>
            </w:tcBorders>
            <w:gridSpan w:val="2"/>
            <w:vMerge w:val="restart"/>
            <w:shd w:val="clear" w:color="auto" w:fill="CC0000"/>
          </w:tcPr>
          <w:p>
            <w:pPr>
              <w:jc w:val="right"/>
              <w:ind w:right="20"/>
              <w:spacing w:after="0"/>
              <w:rPr>
                <w:sz w:val="20"/>
                <w:szCs w:val="20"/>
                <w:color w:val="auto"/>
              </w:rPr>
            </w:pPr>
            <w:r>
              <w:rPr>
                <w:rFonts w:ascii="Arial" w:cs="Arial" w:eastAsia="Arial" w:hAnsi="Arial"/>
                <w:sz w:val="18"/>
                <w:szCs w:val="18"/>
                <w:color w:val="FFFFFF"/>
              </w:rPr>
              <w:t>104</w:t>
            </w:r>
          </w:p>
        </w:tc>
        <w:tc>
          <w:tcPr>
            <w:tcW w:w="100" w:type="dxa"/>
            <w:vAlign w:val="bottom"/>
            <w:tcBorders>
              <w:bottom w:val="single" w:sz="8" w:color="CC0000"/>
            </w:tcBorders>
            <w:shd w:val="clear" w:color="auto" w:fill="CC0000"/>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bottom w:val="single" w:sz="8" w:color="CC0000"/>
            </w:tcBorders>
            <w:gridSpan w:val="2"/>
            <w:vMerge w:val="continue"/>
            <w:shd w:val="clear" w:color="auto" w:fill="CC0000"/>
          </w:tcPr>
          <w:p>
            <w:pPr>
              <w:spacing w:after="0"/>
              <w:rPr>
                <w:sz w:val="10"/>
                <w:szCs w:val="10"/>
                <w:color w:val="auto"/>
              </w:rPr>
            </w:pPr>
          </w:p>
        </w:tc>
        <w:tc>
          <w:tcPr>
            <w:tcW w:w="100" w:type="dxa"/>
            <w:vAlign w:val="bottom"/>
            <w:tcBorders>
              <w:bottom w:val="single" w:sz="8" w:color="CC0000"/>
            </w:tcBorders>
            <w:shd w:val="clear" w:color="auto" w:fill="CC0000"/>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40" w:type="dxa"/>
            <w:vAlign w:val="bottom"/>
            <w:gridSpan w:val="2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89"/>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34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10.26 +</w:t>
            </w:r>
          </w:p>
        </w:tc>
        <w:tc>
          <w:tcPr>
            <w:tcW w:w="9880" w:type="dxa"/>
            <w:vAlign w:val="bottom"/>
            <w:gridSpan w:val="31"/>
          </w:tcPr>
          <w:p>
            <w:pPr>
              <w:spacing w:after="0"/>
              <w:rPr>
                <w:rFonts w:ascii="Arial" w:cs="Arial" w:eastAsia="Arial" w:hAnsi="Arial"/>
                <w:sz w:val="18"/>
                <w:szCs w:val="18"/>
                <w:color w:val="0000FF"/>
                <w:w w:val="92"/>
              </w:rPr>
            </w:pPr>
            <w:hyperlink r:id="rId348">
              <w:r>
                <w:rPr>
                  <w:rFonts w:ascii="Arial" w:cs="Arial" w:eastAsia="Arial" w:hAnsi="Arial"/>
                  <w:sz w:val="18"/>
                  <w:szCs w:val="18"/>
                  <w:color w:val="0000FF"/>
                  <w:w w:val="92"/>
                </w:rPr>
                <w:t>Employment Agreement, effective as of July 31, 2020, between the registrant and Mario A. Harik. (incorporated herein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48">
              <w:r>
                <w:rPr>
                  <w:rFonts w:ascii="Arial" w:cs="Arial" w:eastAsia="Arial" w:hAnsi="Arial"/>
                  <w:sz w:val="18"/>
                  <w:szCs w:val="18"/>
                  <w:color w:val="0000FF"/>
                </w:rPr>
                <w:t>Exhibit 10.7 to the registrant’s Quarterly Report on Form 10-Q filed with the SEC on August 3,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10.27</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4"/>
              </w:rPr>
            </w:pPr>
            <w:hyperlink r:id="rId349">
              <w:r>
                <w:rPr>
                  <w:rFonts w:ascii="Arial" w:cs="Arial" w:eastAsia="Arial" w:hAnsi="Arial"/>
                  <w:sz w:val="18"/>
                  <w:szCs w:val="18"/>
                  <w:color w:val="0000FF"/>
                  <w:w w:val="94"/>
                </w:rPr>
                <w:t>XPO Logistics, Inc. Employee Stock Purchase Plan (incorporated herein by reference to Annex A to the registrant’s definitive proxy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49">
              <w:r>
                <w:rPr>
                  <w:rFonts w:ascii="Arial" w:cs="Arial" w:eastAsia="Arial" w:hAnsi="Arial"/>
                  <w:sz w:val="18"/>
                  <w:szCs w:val="18"/>
                  <w:color w:val="0000FF"/>
                </w:rPr>
                <w:t>statement on Schedule 14A filed with the SEC on November 20, 2017).</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10.28</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7"/>
              </w:rPr>
            </w:pPr>
            <w:hyperlink r:id="rId350">
              <w:r>
                <w:rPr>
                  <w:rFonts w:ascii="Arial" w:cs="Arial" w:eastAsia="Arial" w:hAnsi="Arial"/>
                  <w:sz w:val="18"/>
                  <w:szCs w:val="18"/>
                  <w:color w:val="0000FF"/>
                  <w:w w:val="97"/>
                </w:rPr>
                <w:t>Amendment No. 1, dated December 4, 2018, to the XPO Logistics, Inc. Employee Stock Purchase Plan (incorporated herein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350">
              <w:r>
                <w:rPr>
                  <w:rFonts w:ascii="Arial" w:cs="Arial" w:eastAsia="Arial" w:hAnsi="Arial"/>
                  <w:sz w:val="18"/>
                  <w:szCs w:val="18"/>
                  <w:color w:val="0000FF"/>
                </w:rPr>
                <w:t>reference to Exhibit 10.18 to the Fiscal Year 2018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10.29</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89"/>
              </w:rPr>
            </w:pPr>
            <w:hyperlink r:id="rId351">
              <w:r>
                <w:rPr>
                  <w:rFonts w:ascii="Arial" w:cs="Arial" w:eastAsia="Arial" w:hAnsi="Arial"/>
                  <w:sz w:val="18"/>
                  <w:szCs w:val="18"/>
                  <w:color w:val="0000FF"/>
                  <w:w w:val="89"/>
                </w:rPr>
                <w:t>Second Amended and Restated Revolving Loan Credit Agreement, dated October 30, 2015, by and among the registrant and certain</w:t>
              </w:r>
            </w:hyperlink>
          </w:p>
        </w:tc>
        <w:tc>
          <w:tcPr>
            <w:tcW w:w="3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bottom w:val="single" w:sz="8" w:color="0000FF"/>
            </w:tcBorders>
            <w:gridSpan w:val="23"/>
          </w:tcPr>
          <w:p>
            <w:pPr>
              <w:spacing w:after="0" w:line="156" w:lineRule="exact"/>
              <w:rPr>
                <w:rFonts w:ascii="Arial" w:cs="Arial" w:eastAsia="Arial" w:hAnsi="Arial"/>
                <w:sz w:val="18"/>
                <w:szCs w:val="18"/>
                <w:color w:val="0000FF"/>
                <w:w w:val="89"/>
              </w:rPr>
            </w:pPr>
            <w:hyperlink r:id="rId351">
              <w:r>
                <w:rPr>
                  <w:rFonts w:ascii="Arial" w:cs="Arial" w:eastAsia="Arial" w:hAnsi="Arial"/>
                  <w:sz w:val="18"/>
                  <w:szCs w:val="18"/>
                  <w:color w:val="0000FF"/>
                  <w:w w:val="89"/>
                </w:rPr>
                <w:t>subsidiaries signatory thereto, as borrowers, other credit parties signatory thereto, Morgan Stanley Senior Funding, Inc., as agent, and</w:t>
              </w:r>
            </w:hyperlink>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1"/>
          </w:tcPr>
          <w:p>
            <w:pPr>
              <w:spacing w:after="0" w:line="156" w:lineRule="exact"/>
              <w:rPr>
                <w:rFonts w:ascii="Arial" w:cs="Arial" w:eastAsia="Arial" w:hAnsi="Arial"/>
                <w:sz w:val="18"/>
                <w:szCs w:val="18"/>
                <w:color w:val="0000FF"/>
                <w:w w:val="92"/>
              </w:rPr>
            </w:pPr>
            <w:hyperlink r:id="rId351">
              <w:r>
                <w:rPr>
                  <w:rFonts w:ascii="Arial" w:cs="Arial" w:eastAsia="Arial" w:hAnsi="Arial"/>
                  <w:sz w:val="18"/>
                  <w:szCs w:val="18"/>
                  <w:color w:val="0000FF"/>
                  <w:w w:val="92"/>
                </w:rPr>
                <w:t>the Lenders from time to time party thereto (incorporated herein by reference to Exhibit 10.1 to the registrant’s Current Report on Form</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51">
              <w:r>
                <w:rPr>
                  <w:rFonts w:ascii="Arial" w:cs="Arial" w:eastAsia="Arial" w:hAnsi="Arial"/>
                  <w:sz w:val="18"/>
                  <w:szCs w:val="18"/>
                  <w:color w:val="0000FF"/>
                </w:rPr>
                <w:t>8-K filed with the SEC on November 2, 2015).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6"/>
              </w:rPr>
            </w:pPr>
            <w:hyperlink r:id="rId352">
              <w:r>
                <w:rPr>
                  <w:rFonts w:ascii="Arial" w:cs="Arial" w:eastAsia="Arial" w:hAnsi="Arial"/>
                  <w:sz w:val="18"/>
                  <w:szCs w:val="18"/>
                  <w:color w:val="0000FF"/>
                  <w:w w:val="96"/>
                </w:rPr>
                <w:t>Amendment No. 1 to Second Amended and Restated Revolving Loan Credit Agreement, dated July 19, 2017,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9"/>
              </w:rPr>
            </w:pPr>
            <w:hyperlink r:id="rId352">
              <w:r>
                <w:rPr>
                  <w:rFonts w:ascii="Arial" w:cs="Arial" w:eastAsia="Arial" w:hAnsi="Arial"/>
                  <w:sz w:val="18"/>
                  <w:szCs w:val="18"/>
                  <w:color w:val="0000FF"/>
                  <w:w w:val="89"/>
                </w:rPr>
                <w:t>registrant and certain subsidiaries signatory thereto, Morgan Stanley Senior Funding, Inc., as agent, and the Lenders party thereto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FF"/>
                <w:w w:val="93"/>
              </w:rPr>
            </w:pPr>
            <w:hyperlink r:id="rId352">
              <w:r>
                <w:rPr>
                  <w:rFonts w:ascii="Arial" w:cs="Arial" w:eastAsia="Arial" w:hAnsi="Arial"/>
                  <w:sz w:val="18"/>
                  <w:szCs w:val="18"/>
                  <w:u w:val="single" w:color="auto"/>
                  <w:color w:val="0000FF"/>
                  <w:w w:val="93"/>
                </w:rPr>
                <w:t>(incorporated herein by reference to Exhibit 10.1 to the registrant’s Current Report on Form 8-K filed with the SEC on July 25, 2017).</w:t>
              </w:r>
            </w:hyperlink>
          </w:p>
        </w:tc>
        <w:tc>
          <w:tcPr>
            <w:tcW w:w="0" w:type="dxa"/>
            <w:vAlign w:val="bottom"/>
          </w:tcPr>
          <w:p>
            <w:pPr>
              <w:spacing w:after="0"/>
              <w:rPr>
                <w:sz w:val="1"/>
                <w:szCs w:val="1"/>
                <w:color w:val="auto"/>
              </w:rPr>
            </w:pPr>
          </w:p>
        </w:tc>
      </w:tr>
      <w:tr>
        <w:trPr>
          <w:trHeight w:val="215"/>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10.31</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gridSpan w:val="31"/>
          </w:tcPr>
          <w:p>
            <w:pPr>
              <w:spacing w:after="0"/>
              <w:rPr>
                <w:rFonts w:ascii="Arial" w:cs="Arial" w:eastAsia="Arial" w:hAnsi="Arial"/>
                <w:sz w:val="18"/>
                <w:szCs w:val="18"/>
                <w:color w:val="0000FF"/>
                <w:w w:val="94"/>
              </w:rPr>
            </w:pPr>
            <w:hyperlink r:id="rId353">
              <w:r>
                <w:rPr>
                  <w:rFonts w:ascii="Arial" w:cs="Arial" w:eastAsia="Arial" w:hAnsi="Arial"/>
                  <w:sz w:val="18"/>
                  <w:szCs w:val="18"/>
                  <w:color w:val="0000FF"/>
                  <w:w w:val="94"/>
                </w:rPr>
                <w:t>Amendment No. 2 to Second Amended and Restated Revolving Loan Credit Agreement, dated March 22, 2018, by and among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1"/>
          </w:tcPr>
          <w:p>
            <w:pPr>
              <w:spacing w:after="0" w:line="156" w:lineRule="exact"/>
              <w:rPr>
                <w:rFonts w:ascii="Arial" w:cs="Arial" w:eastAsia="Arial" w:hAnsi="Arial"/>
                <w:sz w:val="18"/>
                <w:szCs w:val="18"/>
                <w:color w:val="0000FF"/>
                <w:w w:val="90"/>
              </w:rPr>
            </w:pPr>
            <w:hyperlink r:id="rId353">
              <w:r>
                <w:rPr>
                  <w:rFonts w:ascii="Arial" w:cs="Arial" w:eastAsia="Arial" w:hAnsi="Arial"/>
                  <w:sz w:val="18"/>
                  <w:szCs w:val="18"/>
                  <w:color w:val="0000FF"/>
                  <w:w w:val="90"/>
                </w:rPr>
                <w:t>registrant and certain subsidiaries signatory thereto, the lenders party thereto and Morgan Stanley Senior Funding, Inc., as administrative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353">
              <w:r>
                <w:rPr>
                  <w:rFonts w:ascii="Arial" w:cs="Arial" w:eastAsia="Arial" w:hAnsi="Arial"/>
                  <w:sz w:val="18"/>
                  <w:szCs w:val="18"/>
                  <w:color w:val="0000FF"/>
                  <w:w w:val="92"/>
                </w:rPr>
                <w:t>agent (incorporated herein by reference to Exhibit 10.2 to the registrant’s Quarterly Report on Form 10-Q for the quarter ended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53">
              <w:r>
                <w:rPr>
                  <w:rFonts w:ascii="Arial" w:cs="Arial" w:eastAsia="Arial" w:hAnsi="Arial"/>
                  <w:sz w:val="18"/>
                  <w:szCs w:val="18"/>
                  <w:color w:val="0000FF"/>
                </w:rPr>
                <w:t>31, 2018 filed with the SEC on May 7, 2018).</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6"/>
              </w:rPr>
            </w:pPr>
            <w:hyperlink r:id="rId354">
              <w:r>
                <w:rPr>
                  <w:rFonts w:ascii="Arial" w:cs="Arial" w:eastAsia="Arial" w:hAnsi="Arial"/>
                  <w:sz w:val="18"/>
                  <w:szCs w:val="18"/>
                  <w:color w:val="0000FF"/>
                  <w:w w:val="96"/>
                </w:rPr>
                <w:t>Amendment No. 3 to Second Amended and Restated Revolving Loan Credit Agreement, dated April 30, 2019,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354">
              <w:r>
                <w:rPr>
                  <w:rFonts w:ascii="Arial" w:cs="Arial" w:eastAsia="Arial" w:hAnsi="Arial"/>
                  <w:sz w:val="18"/>
                  <w:szCs w:val="18"/>
                  <w:color w:val="0000FF"/>
                  <w:w w:val="93"/>
                </w:rPr>
                <w:t>registrant, certain subsidiaries signatory thereto, the lenders party thereto and Morgan Stanley Senior Funding, Inc., as agent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940" w:type="dxa"/>
            <w:vAlign w:val="bottom"/>
            <w:tcBorders>
              <w:top w:val="single" w:sz="8" w:color="0000FF"/>
            </w:tcBorders>
            <w:gridSpan w:val="11"/>
          </w:tcPr>
          <w:p>
            <w:pPr>
              <w:spacing w:after="0"/>
              <w:rPr>
                <w:rFonts w:ascii="Arial" w:cs="Arial" w:eastAsia="Arial" w:hAnsi="Arial"/>
                <w:sz w:val="18"/>
                <w:szCs w:val="18"/>
                <w:u w:val="single" w:color="auto"/>
                <w:color w:val="0000FF"/>
                <w:w w:val="92"/>
              </w:rPr>
            </w:pPr>
            <w:hyperlink r:id="rId354">
              <w:r>
                <w:rPr>
                  <w:rFonts w:ascii="Arial" w:cs="Arial" w:eastAsia="Arial" w:hAnsi="Arial"/>
                  <w:sz w:val="18"/>
                  <w:szCs w:val="18"/>
                  <w:u w:val="single" w:color="auto"/>
                  <w:color w:val="0000FF"/>
                  <w:w w:val="92"/>
                </w:rPr>
                <w:t>(incorporated herein by reference to Exhibit 10.1 to the registrant’s Current Report on Form 8-K filed with the SEC on May</w:t>
              </w:r>
            </w:hyperlink>
          </w:p>
        </w:tc>
        <w:tc>
          <w:tcPr>
            <w:tcW w:w="760" w:type="dxa"/>
            <w:vAlign w:val="bottom"/>
            <w:gridSpan w:val="14"/>
          </w:tcPr>
          <w:p>
            <w:pPr>
              <w:jc w:val="right"/>
              <w:ind w:right="100"/>
              <w:spacing w:after="0"/>
              <w:rPr>
                <w:rFonts w:ascii="Arial" w:cs="Arial" w:eastAsia="Arial" w:hAnsi="Arial"/>
                <w:sz w:val="18"/>
                <w:szCs w:val="18"/>
                <w:color w:val="0000FF"/>
                <w:w w:val="90"/>
              </w:rPr>
            </w:pPr>
            <w:hyperlink r:id="rId354">
              <w:r>
                <w:rPr>
                  <w:rFonts w:ascii="Arial" w:cs="Arial" w:eastAsia="Arial" w:hAnsi="Arial"/>
                  <w:sz w:val="18"/>
                  <w:szCs w:val="18"/>
                  <w:u w:val="single" w:color="auto"/>
                  <w:color w:val="0000FF"/>
                  <w:w w:val="90"/>
                </w:rPr>
                <w:t>1, 2019)</w:t>
              </w:r>
              <w:r>
                <w:rPr>
                  <w:rFonts w:ascii="Arial" w:cs="Arial" w:eastAsia="Arial" w:hAnsi="Arial"/>
                  <w:sz w:val="18"/>
                  <w:szCs w:val="18"/>
                  <w:color w:val="0000FF"/>
                  <w:w w:val="90"/>
                </w:rPr>
                <w:t>.</w:t>
              </w:r>
            </w:hyperlink>
          </w:p>
        </w:tc>
        <w:tc>
          <w:tcPr>
            <w:tcW w:w="80" w:type="dxa"/>
            <w:vAlign w:val="bottom"/>
            <w:gridSpan w:val="3"/>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gridSpan w:val="31"/>
          </w:tcPr>
          <w:p>
            <w:pPr>
              <w:spacing w:after="0"/>
              <w:rPr>
                <w:rFonts w:ascii="Arial" w:cs="Arial" w:eastAsia="Arial" w:hAnsi="Arial"/>
                <w:sz w:val="18"/>
                <w:szCs w:val="18"/>
                <w:color w:val="0000FF"/>
                <w:w w:val="97"/>
              </w:rPr>
            </w:pPr>
            <w:hyperlink r:id="rId355">
              <w:r>
                <w:rPr>
                  <w:rFonts w:ascii="Arial" w:cs="Arial" w:eastAsia="Arial" w:hAnsi="Arial"/>
                  <w:sz w:val="18"/>
                  <w:szCs w:val="18"/>
                  <w:color w:val="0000FF"/>
                  <w:w w:val="97"/>
                </w:rPr>
                <w:t>Amendment No. 4 to Second Amended and Restated Revolving Loan Credit Agreement, dated April 3, 2020,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355">
              <w:r>
                <w:rPr>
                  <w:rFonts w:ascii="Arial" w:cs="Arial" w:eastAsia="Arial" w:hAnsi="Arial"/>
                  <w:sz w:val="18"/>
                  <w:szCs w:val="18"/>
                  <w:color w:val="0000FF"/>
                  <w:w w:val="89"/>
                </w:rPr>
                <w:t>registrant, certain subsidiaries signatory thereto, the lenders party thereto and Morgan Stanley Senior Funding Inc., as agent.</w:t>
              </w:r>
            </w:hyperlink>
          </w:p>
        </w:tc>
        <w:tc>
          <w:tcPr>
            <w:tcW w:w="2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1"/>
          </w:tcPr>
          <w:p>
            <w:pPr>
              <w:spacing w:after="0" w:line="156" w:lineRule="exact"/>
              <w:rPr>
                <w:rFonts w:ascii="Arial" w:cs="Arial" w:eastAsia="Arial" w:hAnsi="Arial"/>
                <w:sz w:val="18"/>
                <w:szCs w:val="18"/>
                <w:color w:val="0000FF"/>
                <w:w w:val="95"/>
              </w:rPr>
            </w:pPr>
            <w:hyperlink r:id="rId355">
              <w:r>
                <w:rPr>
                  <w:rFonts w:ascii="Arial" w:cs="Arial" w:eastAsia="Arial" w:hAnsi="Arial"/>
                  <w:sz w:val="18"/>
                  <w:szCs w:val="18"/>
                  <w:color w:val="0000FF"/>
                  <w:w w:val="95"/>
                </w:rPr>
                <w:t>(incorporated herein by reference to Exhibit 10.1 to the registrant’s Quarterly Report on Form 10-Q filed with the SEC on August 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355">
              <w:r>
                <w:rPr>
                  <w:rFonts w:ascii="Arial" w:cs="Arial" w:eastAsia="Arial" w:hAnsi="Arial"/>
                  <w:sz w:val="18"/>
                  <w:szCs w:val="18"/>
                  <w:color w:val="0000FF"/>
                  <w:w w:val="87"/>
                </w:rPr>
                <w:t>2020).+</w:t>
              </w:r>
            </w:hyperlink>
          </w:p>
        </w:tc>
        <w:tc>
          <w:tcPr>
            <w:tcW w:w="2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10.34</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5"/>
              </w:rPr>
            </w:pPr>
            <w:hyperlink r:id="rId356">
              <w:r>
                <w:rPr>
                  <w:rFonts w:ascii="Arial" w:cs="Arial" w:eastAsia="Arial" w:hAnsi="Arial"/>
                  <w:sz w:val="18"/>
                  <w:szCs w:val="18"/>
                  <w:color w:val="0000FF"/>
                  <w:w w:val="95"/>
                </w:rPr>
                <w:t>Amendment No. 5 to Second Amended and Restated Revolving Loan Credit Agreement, dated June 29, 2020,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356">
              <w:r>
                <w:rPr>
                  <w:rFonts w:ascii="Arial" w:cs="Arial" w:eastAsia="Arial" w:hAnsi="Arial"/>
                  <w:sz w:val="18"/>
                  <w:szCs w:val="18"/>
                  <w:color w:val="0000FF"/>
                  <w:w w:val="89"/>
                </w:rPr>
                <w:t>registrant, certain subsidiaries signatory thereto, the lenders party thereto and Morgan Stanley Senior Funding Inc., as agent.</w:t>
              </w:r>
            </w:hyperlink>
          </w:p>
        </w:tc>
        <w:tc>
          <w:tcPr>
            <w:tcW w:w="30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1"/>
          </w:tcPr>
          <w:p>
            <w:pPr>
              <w:spacing w:after="0" w:line="156" w:lineRule="exact"/>
              <w:rPr>
                <w:rFonts w:ascii="Arial" w:cs="Arial" w:eastAsia="Arial" w:hAnsi="Arial"/>
                <w:sz w:val="18"/>
                <w:szCs w:val="18"/>
                <w:color w:val="0000FF"/>
                <w:w w:val="95"/>
              </w:rPr>
            </w:pPr>
            <w:hyperlink r:id="rId356">
              <w:r>
                <w:rPr>
                  <w:rFonts w:ascii="Arial" w:cs="Arial" w:eastAsia="Arial" w:hAnsi="Arial"/>
                  <w:sz w:val="18"/>
                  <w:szCs w:val="18"/>
                  <w:color w:val="0000FF"/>
                  <w:w w:val="95"/>
                </w:rPr>
                <w:t>(incorporated herein by reference to Exhibit 10.4 to the registrant’s Quarterly Report on Form 10-Q filed with the SEC on August 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56">
              <w:r>
                <w:rPr>
                  <w:rFonts w:ascii="Arial" w:cs="Arial" w:eastAsia="Arial" w:hAnsi="Arial"/>
                  <w:sz w:val="18"/>
                  <w:szCs w:val="18"/>
                  <w:color w:val="0000FF"/>
                  <w:w w:val="86"/>
                </w:rPr>
                <w:t>2020).</w:t>
              </w:r>
            </w:hyperlink>
          </w:p>
        </w:tc>
        <w:tc>
          <w:tcPr>
            <w:tcW w:w="10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gridSpan w:val="31"/>
          </w:tcPr>
          <w:p>
            <w:pPr>
              <w:spacing w:after="0"/>
              <w:rPr>
                <w:rFonts w:ascii="Arial" w:cs="Arial" w:eastAsia="Arial" w:hAnsi="Arial"/>
                <w:sz w:val="18"/>
                <w:szCs w:val="18"/>
                <w:color w:val="0000FF"/>
                <w:w w:val="95"/>
              </w:rPr>
            </w:pPr>
            <w:hyperlink r:id="rId357">
              <w:r>
                <w:rPr>
                  <w:rFonts w:ascii="Arial" w:cs="Arial" w:eastAsia="Arial" w:hAnsi="Arial"/>
                  <w:sz w:val="18"/>
                  <w:szCs w:val="18"/>
                  <w:color w:val="0000FF"/>
                  <w:w w:val="95"/>
                </w:rPr>
                <w:t>Senior Secured Term Loan Credit Agreement, dated October 30, 2015, by and among the registrant, certain subsidiaries signatory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357">
              <w:r>
                <w:rPr>
                  <w:rFonts w:ascii="Arial" w:cs="Arial" w:eastAsia="Arial" w:hAnsi="Arial"/>
                  <w:sz w:val="18"/>
                  <w:szCs w:val="18"/>
                  <w:color w:val="0000FF"/>
                  <w:w w:val="92"/>
                </w:rPr>
                <w:t>thereto, Morgan Stanley Senior Funding, Inc., as agent, and the Lenders from time to time party thereto (incorporated herein by</w:t>
              </w:r>
            </w:hyperlink>
          </w:p>
        </w:tc>
        <w:tc>
          <w:tcPr>
            <w:tcW w:w="60" w:type="dxa"/>
            <w:vAlign w:val="bottom"/>
          </w:tcPr>
          <w:p>
            <w:pPr>
              <w:spacing w:after="0"/>
              <w:rPr>
                <w:sz w:val="13"/>
                <w:szCs w:val="13"/>
                <w:color w:val="auto"/>
              </w:rPr>
            </w:pPr>
          </w:p>
        </w:tc>
        <w:tc>
          <w:tcPr>
            <w:tcW w:w="3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357">
              <w:r>
                <w:rPr>
                  <w:rFonts w:ascii="Arial" w:cs="Arial" w:eastAsia="Arial" w:hAnsi="Arial"/>
                  <w:sz w:val="18"/>
                  <w:szCs w:val="18"/>
                  <w:u w:val="single" w:color="auto"/>
                  <w:color w:val="0000FF"/>
                </w:rPr>
                <w:t>reference to Exhibit 10.2 to the registrant’s Current Report on Form 8-K filed with the SEC on November 2, 2015).</w:t>
              </w:r>
            </w:hyperlink>
          </w:p>
        </w:tc>
        <w:tc>
          <w:tcPr>
            <w:tcW w:w="200" w:type="dxa"/>
            <w:vAlign w:val="bottom"/>
            <w:gridSpan w:val="6"/>
          </w:tcPr>
          <w:p>
            <w:pPr>
              <w:spacing w:after="0"/>
              <w:rPr>
                <w:sz w:val="19"/>
                <w:szCs w:val="19"/>
                <w:color w:val="auto"/>
              </w:rPr>
            </w:pPr>
          </w:p>
        </w:tc>
        <w:tc>
          <w:tcPr>
            <w:tcW w:w="300" w:type="dxa"/>
            <w:vAlign w:val="bottom"/>
            <w:gridSpan w:val="5"/>
          </w:tcPr>
          <w:p>
            <w:pPr>
              <w:spacing w:after="0"/>
              <w:rPr>
                <w:sz w:val="19"/>
                <w:szCs w:val="19"/>
                <w:color w:val="auto"/>
              </w:rPr>
            </w:pPr>
          </w:p>
        </w:tc>
        <w:tc>
          <w:tcPr>
            <w:tcW w:w="80" w:type="dxa"/>
            <w:vAlign w:val="bottom"/>
            <w:gridSpan w:val="3"/>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10.36</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gridSpan w:val="31"/>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Incremental and Refinancing Amendment (Amendment No. 1 to Senior Secured Term Loan Credit Agreement), dated August 25, 2016,</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358">
              <w:r>
                <w:rPr>
                  <w:rFonts w:ascii="Arial" w:cs="Arial" w:eastAsia="Arial" w:hAnsi="Arial"/>
                  <w:sz w:val="18"/>
                  <w:szCs w:val="18"/>
                  <w:color w:val="0000FF"/>
                  <w:w w:val="93"/>
                </w:rPr>
                <w:t>by and among the registrant, the subsidiaries signatory thereto, as guarantors, the lenders party thereto and Morgan Stanley Senior</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358">
              <w:r>
                <w:rPr>
                  <w:rFonts w:ascii="Arial" w:cs="Arial" w:eastAsia="Arial" w:hAnsi="Arial"/>
                  <w:sz w:val="18"/>
                  <w:szCs w:val="18"/>
                  <w:color w:val="0000FF"/>
                  <w:w w:val="91"/>
                </w:rPr>
                <w:t>Funding, Inc., as administrative agent (incorporated herein by reference to Exhibit 10.1 to the registrant’s Current Report on Form</w:t>
              </w:r>
            </w:hyperlink>
          </w:p>
        </w:tc>
        <w:tc>
          <w:tcPr>
            <w:tcW w:w="480" w:type="dxa"/>
            <w:vAlign w:val="bottom"/>
            <w:gridSpan w:val="11"/>
          </w:tcPr>
          <w:p>
            <w:pPr>
              <w:ind w:left="20"/>
              <w:spacing w:after="0" w:line="156" w:lineRule="exact"/>
              <w:rPr>
                <w:rFonts w:ascii="Arial" w:cs="Arial" w:eastAsia="Arial" w:hAnsi="Arial"/>
                <w:sz w:val="18"/>
                <w:szCs w:val="18"/>
                <w:color w:val="0000FF"/>
              </w:rPr>
            </w:pPr>
            <w:hyperlink r:id="rId358">
              <w:r>
                <w:rPr>
                  <w:rFonts w:ascii="Arial" w:cs="Arial" w:eastAsia="Arial" w:hAnsi="Arial"/>
                  <w:sz w:val="18"/>
                  <w:szCs w:val="18"/>
                  <w:color w:val="0000FF"/>
                </w:rPr>
                <w:t>8-K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58">
              <w:r>
                <w:rPr>
                  <w:rFonts w:ascii="Arial" w:cs="Arial" w:eastAsia="Arial" w:hAnsi="Arial"/>
                  <w:sz w:val="18"/>
                  <w:szCs w:val="18"/>
                  <w:color w:val="0000FF"/>
                </w:rPr>
                <w:t>filed with the SEC on August 26, 2016).</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6960" w:type="dxa"/>
            <w:vAlign w:val="bottom"/>
            <w:gridSpan w:val="2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Arial" w:cs="Arial" w:eastAsia="Arial" w:hAnsi="Arial"/>
                <w:sz w:val="18"/>
                <w:szCs w:val="18"/>
                <w:color w:val="auto"/>
                <w:w w:val="88"/>
              </w:rPr>
              <w:t>10.37</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1"/>
          </w:tcPr>
          <w:p>
            <w:pPr>
              <w:spacing w:after="0"/>
              <w:rPr>
                <w:rFonts w:ascii="Arial" w:cs="Arial" w:eastAsia="Arial" w:hAnsi="Arial"/>
                <w:sz w:val="18"/>
                <w:szCs w:val="18"/>
                <w:color w:val="0000FF"/>
                <w:w w:val="90"/>
              </w:rPr>
            </w:pPr>
            <w:hyperlink r:id="rId359">
              <w:r>
                <w:rPr>
                  <w:rFonts w:ascii="Arial" w:cs="Arial" w:eastAsia="Arial" w:hAnsi="Arial"/>
                  <w:sz w:val="18"/>
                  <w:szCs w:val="18"/>
                  <w:color w:val="0000FF"/>
                  <w:w w:val="90"/>
                </w:rPr>
                <w:t>Refinancing Amendment (Amendment No. 2 to Senior Secured Term Loan Credit Agreement), dated March 10, 2017, by and among the</w:t>
              </w:r>
            </w:hyperlink>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7" w:lineRule="exact"/>
              <w:rPr>
                <w:rFonts w:ascii="Arial" w:cs="Arial" w:eastAsia="Arial" w:hAnsi="Arial"/>
                <w:sz w:val="18"/>
                <w:szCs w:val="18"/>
                <w:u w:val="single" w:color="auto"/>
                <w:color w:val="0000FF"/>
                <w:w w:val="95"/>
              </w:rPr>
            </w:pPr>
            <w:hyperlink r:id="rId359">
              <w:r>
                <w:rPr>
                  <w:rFonts w:ascii="Arial" w:cs="Arial" w:eastAsia="Arial" w:hAnsi="Arial"/>
                  <w:sz w:val="18"/>
                  <w:szCs w:val="18"/>
                  <w:u w:val="single" w:color="auto"/>
                  <w:color w:val="0000FF"/>
                  <w:w w:val="95"/>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60" w:right="40"/>
        <w:spacing w:after="0" w:line="226" w:lineRule="auto"/>
        <w:rPr>
          <w:rFonts w:ascii="Arial" w:cs="Arial" w:eastAsia="Arial" w:hAnsi="Arial"/>
          <w:sz w:val="18"/>
          <w:szCs w:val="18"/>
          <w:u w:val="single" w:color="auto"/>
          <w:color w:val="0000FF"/>
        </w:rPr>
      </w:pPr>
      <w:hyperlink r:id="rId359">
        <w:r>
          <w:rPr>
            <w:rFonts w:ascii="Arial" w:cs="Arial" w:eastAsia="Arial" w:hAnsi="Arial"/>
            <w:sz w:val="18"/>
            <w:szCs w:val="18"/>
            <w:u w:val="single" w:color="auto"/>
            <w:color w:val="0000FF"/>
          </w:rPr>
          <w:t>administrative agent (incorporated herein by reference to Exhibit 10.1 to the registrant’s Current Report on Form 8-K filed with the SEC</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on March 13,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428625</wp:posOffset>
            </wp:positionV>
            <wp:extent cx="325755" cy="205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0" w:type="dxa"/>
            <w:vAlign w:val="bottom"/>
            <w:gridSpan w:val="19"/>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3"/>
              </w:rPr>
              <w:t>Number</w:t>
            </w:r>
          </w:p>
        </w:tc>
        <w:tc>
          <w:tcPr>
            <w:tcW w:w="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0" w:type="dxa"/>
            <w:vAlign w:val="bottom"/>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8"/>
              </w:rPr>
              <w:t>10.38</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w w:val="91"/>
              </w:rPr>
            </w:pPr>
            <w:hyperlink r:id="rId363">
              <w:r>
                <w:rPr>
                  <w:rFonts w:ascii="Arial" w:cs="Arial" w:eastAsia="Arial" w:hAnsi="Arial"/>
                  <w:sz w:val="18"/>
                  <w:szCs w:val="18"/>
                  <w:color w:val="0000FF"/>
                  <w:w w:val="91"/>
                </w:rPr>
                <w:t>Refinancing Amendment (Amendment No. 3 to Senior Secured Term Loan Credit Agreement), dated February 23, 2018, by and among</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363">
              <w:r>
                <w:rPr>
                  <w:rFonts w:ascii="Arial" w:cs="Arial" w:eastAsia="Arial" w:hAnsi="Arial"/>
                  <w:sz w:val="18"/>
                  <w:szCs w:val="18"/>
                  <w:color w:val="0000FF"/>
                  <w:w w:val="89"/>
                </w:rPr>
                <w:t>the registrant and certain subsidiaries signatory thereto, the lenders party thereto and Morgan Stanley Senior Funding, Inc., as</w:t>
              </w:r>
            </w:hyperlink>
          </w:p>
        </w:tc>
        <w:tc>
          <w:tcPr>
            <w:tcW w:w="7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22"/>
          </w:tcPr>
          <w:p>
            <w:pPr>
              <w:spacing w:after="0" w:line="156" w:lineRule="exact"/>
              <w:rPr>
                <w:rFonts w:ascii="Arial" w:cs="Arial" w:eastAsia="Arial" w:hAnsi="Arial"/>
                <w:sz w:val="18"/>
                <w:szCs w:val="18"/>
                <w:color w:val="0000FF"/>
                <w:w w:val="92"/>
              </w:rPr>
            </w:pPr>
            <w:hyperlink r:id="rId363">
              <w:r>
                <w:rPr>
                  <w:rFonts w:ascii="Arial" w:cs="Arial" w:eastAsia="Arial" w:hAnsi="Arial"/>
                  <w:sz w:val="18"/>
                  <w:szCs w:val="18"/>
                  <w:color w:val="0000FF"/>
                  <w:w w:val="92"/>
                </w:rPr>
                <w:t>administrative agent (incorporated herein by reference to Exhibit 10.1 of the registrant’s Current Report on Form 8-K filed with the SEC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363">
              <w:r>
                <w:rPr>
                  <w:rFonts w:ascii="Arial" w:cs="Arial" w:eastAsia="Arial" w:hAnsi="Arial"/>
                  <w:sz w:val="18"/>
                  <w:szCs w:val="18"/>
                  <w:color w:val="0000FF"/>
                  <w:w w:val="89"/>
                </w:rPr>
                <w:t>on February 26, 2018).</w:t>
              </w:r>
            </w:hyperlink>
          </w:p>
        </w:tc>
        <w:tc>
          <w:tcPr>
            <w:tcW w:w="81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10.39</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w w:val="95"/>
              </w:rPr>
            </w:pPr>
            <w:hyperlink r:id="rId364">
              <w:r>
                <w:rPr>
                  <w:rFonts w:ascii="Arial" w:cs="Arial" w:eastAsia="Arial" w:hAnsi="Arial"/>
                  <w:sz w:val="18"/>
                  <w:szCs w:val="18"/>
                  <w:u w:val="single" w:color="auto"/>
                  <w:color w:val="0000FF"/>
                  <w:w w:val="95"/>
                </w:rPr>
                <w:t>Amendment No. 4 to Senior Secured Term Loan Credit Agreement, dated March 7,</w:t>
              </w:r>
              <w:r>
                <w:rPr>
                  <w:rFonts w:ascii="Arial" w:cs="Arial" w:eastAsia="Arial" w:hAnsi="Arial"/>
                  <w:sz w:val="18"/>
                  <w:szCs w:val="18"/>
                  <w:color w:val="0000FF"/>
                  <w:w w:val="95"/>
                </w:rPr>
                <w:t xml:space="preserve"> 2019, by and among the registrant and certain</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22"/>
          </w:tcPr>
          <w:p>
            <w:pPr>
              <w:spacing w:after="0" w:line="156" w:lineRule="exact"/>
              <w:rPr>
                <w:rFonts w:ascii="Arial" w:cs="Arial" w:eastAsia="Arial" w:hAnsi="Arial"/>
                <w:sz w:val="18"/>
                <w:szCs w:val="18"/>
                <w:color w:val="0000FF"/>
                <w:w w:val="91"/>
              </w:rPr>
            </w:pPr>
            <w:hyperlink r:id="rId364">
              <w:r>
                <w:rPr>
                  <w:rFonts w:ascii="Arial" w:cs="Arial" w:eastAsia="Arial" w:hAnsi="Arial"/>
                  <w:sz w:val="18"/>
                  <w:szCs w:val="18"/>
                  <w:color w:val="0000FF"/>
                  <w:w w:val="91"/>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364">
              <w:r>
                <w:rPr>
                  <w:rFonts w:ascii="Arial" w:cs="Arial" w:eastAsia="Arial" w:hAnsi="Arial"/>
                  <w:sz w:val="18"/>
                  <w:szCs w:val="18"/>
                  <w:color w:val="0000FF"/>
                  <w:w w:val="92"/>
                </w:rPr>
                <w:t>herein by reference to Exhibit 10.1 to the registrant’s Quarterly Report on Form 10-Q for the quarter ended March 30, 2019 filed with</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364">
              <w:r>
                <w:rPr>
                  <w:rFonts w:ascii="Arial" w:cs="Arial" w:eastAsia="Arial" w:hAnsi="Arial"/>
                  <w:sz w:val="18"/>
                  <w:szCs w:val="18"/>
                  <w:color w:val="0000FF"/>
                </w:rPr>
                <w:t>the SEC on May 1, 2019).</w:t>
              </w:r>
            </w:hyperlink>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10.40</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w w:val="90"/>
              </w:rPr>
            </w:pPr>
            <w:hyperlink r:id="rId365">
              <w:r>
                <w:rPr>
                  <w:rFonts w:ascii="Arial" w:cs="Arial" w:eastAsia="Arial" w:hAnsi="Arial"/>
                  <w:sz w:val="18"/>
                  <w:szCs w:val="18"/>
                  <w:color w:val="0000FF"/>
                  <w:w w:val="90"/>
                </w:rPr>
                <w:t>Incremental Amendment (Amendment No. 5 to Senior Secured Term Loan Credit Agreement), dated March 18, 2019, by and among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365">
              <w:r>
                <w:rPr>
                  <w:rFonts w:ascii="Arial" w:cs="Arial" w:eastAsia="Arial" w:hAnsi="Arial"/>
                  <w:sz w:val="18"/>
                  <w:szCs w:val="18"/>
                  <w:color w:val="0000FF"/>
                  <w:w w:val="95"/>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22"/>
          </w:tcPr>
          <w:p>
            <w:pPr>
              <w:spacing w:after="0" w:line="156" w:lineRule="exact"/>
              <w:rPr>
                <w:rFonts w:ascii="Arial" w:cs="Arial" w:eastAsia="Arial" w:hAnsi="Arial"/>
                <w:sz w:val="18"/>
                <w:szCs w:val="18"/>
                <w:color w:val="0000FF"/>
                <w:w w:val="92"/>
              </w:rPr>
            </w:pPr>
            <w:hyperlink r:id="rId365">
              <w:r>
                <w:rPr>
                  <w:rFonts w:ascii="Arial" w:cs="Arial" w:eastAsia="Arial" w:hAnsi="Arial"/>
                  <w:sz w:val="18"/>
                  <w:szCs w:val="18"/>
                  <w:color w:val="0000FF"/>
                  <w:w w:val="92"/>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365">
              <w:r>
                <w:rPr>
                  <w:rFonts w:ascii="Arial" w:cs="Arial" w:eastAsia="Arial" w:hAnsi="Arial"/>
                  <w:sz w:val="18"/>
                  <w:szCs w:val="18"/>
                  <w:color w:val="0000FF"/>
                  <w:w w:val="90"/>
                </w:rPr>
                <w:t>on March 18, 2019).</w:t>
              </w:r>
            </w:hyperlink>
          </w:p>
        </w:tc>
        <w:tc>
          <w:tcPr>
            <w:tcW w:w="834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21 *</w:t>
            </w:r>
          </w:p>
        </w:tc>
        <w:tc>
          <w:tcPr>
            <w:tcW w:w="48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Subsidiaries of the registrant.</w:t>
              </w:r>
            </w:hyperlink>
          </w:p>
        </w:tc>
        <w:tc>
          <w:tcPr>
            <w:tcW w:w="0" w:type="dxa"/>
            <w:vAlign w:val="bottom"/>
          </w:tcPr>
          <w:p>
            <w:pPr>
              <w:spacing w:after="0"/>
              <w:rPr>
                <w:sz w:val="1"/>
                <w:szCs w:val="1"/>
                <w:color w:val="auto"/>
              </w:rPr>
            </w:pPr>
          </w:p>
        </w:tc>
      </w:tr>
      <w:tr>
        <w:trPr>
          <w:trHeight w:val="283"/>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23 *</w:t>
            </w:r>
          </w:p>
        </w:tc>
        <w:tc>
          <w:tcPr>
            <w:tcW w:w="48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Consent of KPMG LLP, Independent Registered Public Accounting Firm.</w:t>
              </w:r>
            </w:hyperlink>
          </w:p>
        </w:tc>
        <w:tc>
          <w:tcPr>
            <w:tcW w:w="0" w:type="dxa"/>
            <w:vAlign w:val="bottom"/>
          </w:tcPr>
          <w:p>
            <w:pPr>
              <w:spacing w:after="0"/>
              <w:rPr>
                <w:sz w:val="1"/>
                <w:szCs w:val="1"/>
                <w:color w:val="auto"/>
              </w:rPr>
            </w:pPr>
          </w:p>
        </w:tc>
      </w:tr>
      <w:tr>
        <w:trPr>
          <w:trHeight w:val="243"/>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3"/>
              </w:rPr>
              <w:t>31.1 *</w:t>
            </w:r>
          </w:p>
        </w:tc>
        <w:tc>
          <w:tcPr>
            <w:tcW w:w="480" w:type="dxa"/>
            <w:vAlign w:val="bottom"/>
          </w:tcPr>
          <w:p>
            <w:pPr>
              <w:spacing w:after="0"/>
              <w:rPr>
                <w:sz w:val="21"/>
                <w:szCs w:val="21"/>
                <w:color w:val="auto"/>
              </w:rPr>
            </w:pPr>
          </w:p>
        </w:tc>
        <w:tc>
          <w:tcPr>
            <w:tcW w:w="9880" w:type="dxa"/>
            <w:vAlign w:val="bottom"/>
            <w:gridSpan w:val="22"/>
          </w:tcPr>
          <w:p>
            <w:pPr>
              <w:spacing w:after="0"/>
              <w:rPr>
                <w:rFonts w:ascii="Arial" w:cs="Arial" w:eastAsia="Arial" w:hAnsi="Arial"/>
                <w:sz w:val="18"/>
                <w:szCs w:val="18"/>
                <w:color w:val="0000FF"/>
                <w:w w:val="99"/>
              </w:rPr>
            </w:pPr>
            <w:hyperlink w:anchor="page110">
              <w:r>
                <w:rPr>
                  <w:rFonts w:ascii="Arial" w:cs="Arial" w:eastAsia="Arial" w:hAnsi="Arial"/>
                  <w:sz w:val="18"/>
                  <w:szCs w:val="18"/>
                  <w:color w:val="0000FF"/>
                  <w:w w:val="99"/>
                </w:rPr>
                <w:t>Certification of the Principal Executive Officer pursuant to Section 302 of the Sarbanes-Oxley Act of 2002, with respect to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110">
              <w:r>
                <w:rPr>
                  <w:rFonts w:ascii="Arial" w:cs="Arial" w:eastAsia="Arial" w:hAnsi="Arial"/>
                  <w:sz w:val="18"/>
                  <w:szCs w:val="18"/>
                  <w:color w:val="0000FF"/>
                  <w:w w:val="91"/>
                </w:rPr>
                <w:t>registrant’s Annual Report on Form 10-K for the fiscal year ended December 31, 2019.</w:t>
              </w:r>
            </w:hyperlink>
          </w:p>
        </w:tc>
        <w:tc>
          <w:tcPr>
            <w:tcW w:w="2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0" w:type="dxa"/>
            <w:vAlign w:val="bottom"/>
            <w:gridSpan w:val="3"/>
          </w:tcPr>
          <w:p>
            <w:pPr>
              <w:jc w:val="center"/>
              <w:ind w:left="50"/>
              <w:spacing w:after="0"/>
              <w:rPr>
                <w:sz w:val="20"/>
                <w:szCs w:val="20"/>
                <w:color w:val="auto"/>
              </w:rPr>
            </w:pPr>
            <w:r>
              <w:rPr>
                <w:rFonts w:ascii="Arial" w:cs="Arial" w:eastAsia="Arial" w:hAnsi="Arial"/>
                <w:sz w:val="18"/>
                <w:szCs w:val="18"/>
                <w:color w:val="auto"/>
                <w:w w:val="93"/>
              </w:rPr>
              <w:t>31.2 *</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of the Principal Financial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registrant’s Annual Report on Form 10-K for the fiscal year ended December 31, 2019.</w:t>
              </w:r>
            </w:hyperlink>
          </w:p>
        </w:tc>
        <w:tc>
          <w:tcPr>
            <w:tcW w:w="27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3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w w:val="99"/>
              </w:rPr>
            </w:pPr>
            <w:hyperlink w:anchor="page112">
              <w:r>
                <w:rPr>
                  <w:rFonts w:ascii="Arial" w:cs="Arial" w:eastAsia="Arial" w:hAnsi="Arial"/>
                  <w:sz w:val="18"/>
                  <w:szCs w:val="18"/>
                  <w:color w:val="0000FF"/>
                  <w:w w:val="99"/>
                </w:rPr>
                <w:t>Certification of the Principal Executive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registrant’s Annual Report on Form 10-K for the fiscal year ended December 31, 2019.</w:t>
              </w:r>
            </w:hyperlink>
          </w:p>
        </w:tc>
        <w:tc>
          <w:tcPr>
            <w:tcW w:w="2840" w:type="dxa"/>
            <w:vAlign w:val="bottom"/>
            <w:tcBorders>
              <w:top w:val="single" w:sz="8" w:color="0000FF"/>
            </w:tcBorders>
            <w:gridSpan w:val="6"/>
          </w:tcPr>
          <w:p>
            <w:pPr>
              <w:spacing w:after="0"/>
              <w:rPr>
                <w:sz w:val="13"/>
                <w:szCs w:val="13"/>
                <w:color w:val="auto"/>
              </w:rPr>
            </w:pPr>
          </w:p>
        </w:tc>
        <w:tc>
          <w:tcPr>
            <w:tcW w:w="7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3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2"/>
                <w:szCs w:val="22"/>
                <w:color w:val="auto"/>
              </w:rPr>
            </w:pPr>
          </w:p>
        </w:tc>
        <w:tc>
          <w:tcPr>
            <w:tcW w:w="9880" w:type="dxa"/>
            <w:vAlign w:val="bottom"/>
            <w:gridSpan w:val="22"/>
          </w:tcPr>
          <w:p>
            <w:pPr>
              <w:spacing w:after="0"/>
              <w:rPr>
                <w:rFonts w:ascii="Arial" w:cs="Arial" w:eastAsia="Arial" w:hAnsi="Arial"/>
                <w:sz w:val="18"/>
                <w:szCs w:val="18"/>
                <w:color w:val="0000FF"/>
                <w:w w:val="99"/>
              </w:rPr>
            </w:pPr>
            <w:hyperlink w:anchor="page113">
              <w:r>
                <w:rPr>
                  <w:rFonts w:ascii="Arial" w:cs="Arial" w:eastAsia="Arial" w:hAnsi="Arial"/>
                  <w:sz w:val="18"/>
                  <w:szCs w:val="18"/>
                  <w:color w:val="0000FF"/>
                  <w:w w:val="99"/>
                </w:rPr>
                <w:t>Certification of the Principal Financial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registrant’s Annual Report on Form 10-K for the fiscal year ended December 31, 2019.</w:t>
              </w:r>
            </w:hyperlink>
          </w:p>
        </w:tc>
        <w:tc>
          <w:tcPr>
            <w:tcW w:w="2800" w:type="dxa"/>
            <w:vAlign w:val="bottom"/>
            <w:tcBorders>
              <w:top w:val="single" w:sz="8" w:color="0000FF"/>
            </w:tcBorders>
            <w:gridSpan w:val="5"/>
          </w:tcPr>
          <w:p>
            <w:pPr>
              <w:spacing w:after="0"/>
              <w:rPr>
                <w:sz w:val="13"/>
                <w:szCs w:val="13"/>
                <w:color w:val="auto"/>
              </w:rPr>
            </w:pPr>
          </w:p>
        </w:tc>
        <w:tc>
          <w:tcPr>
            <w:tcW w:w="8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40" w:type="dxa"/>
            <w:vAlign w:val="bottom"/>
            <w:gridSpan w:val="4"/>
          </w:tcPr>
          <w:p>
            <w:pPr>
              <w:jc w:val="center"/>
              <w:ind w:right="360"/>
              <w:spacing w:after="0"/>
              <w:rPr>
                <w:sz w:val="20"/>
                <w:szCs w:val="20"/>
                <w:color w:val="auto"/>
              </w:rPr>
            </w:pPr>
            <w:r>
              <w:rPr>
                <w:rFonts w:ascii="Arial" w:cs="Arial" w:eastAsia="Arial" w:hAnsi="Arial"/>
                <w:sz w:val="18"/>
                <w:szCs w:val="18"/>
                <w:color w:val="auto"/>
                <w:w w:val="95"/>
              </w:rPr>
              <w:t>101.INS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40"/>
              <w:spacing w:after="0"/>
              <w:rPr>
                <w:sz w:val="20"/>
                <w:szCs w:val="20"/>
                <w:color w:val="auto"/>
              </w:rPr>
            </w:pPr>
            <w:r>
              <w:rPr>
                <w:rFonts w:ascii="Arial" w:cs="Arial" w:eastAsia="Arial" w:hAnsi="Arial"/>
                <w:sz w:val="18"/>
                <w:szCs w:val="18"/>
                <w:color w:val="auto"/>
                <w:w w:val="94"/>
              </w:rPr>
              <w:t>101.SCH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Arial" w:cs="Arial" w:eastAsia="Arial" w:hAnsi="Arial"/>
                <w:sz w:val="18"/>
                <w:szCs w:val="18"/>
                <w:color w:val="auto"/>
                <w:w w:val="97"/>
              </w:rPr>
              <w:t>101.CAL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Arial" w:cs="Arial" w:eastAsia="Arial" w:hAnsi="Arial"/>
                <w:sz w:val="18"/>
                <w:szCs w:val="18"/>
                <w:color w:val="auto"/>
                <w:w w:val="96"/>
              </w:rPr>
              <w:t>101.DEF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40"/>
              <w:spacing w:after="0"/>
              <w:rPr>
                <w:sz w:val="20"/>
                <w:szCs w:val="20"/>
                <w:color w:val="auto"/>
              </w:rPr>
            </w:pPr>
            <w:r>
              <w:rPr>
                <w:rFonts w:ascii="Arial" w:cs="Arial" w:eastAsia="Arial" w:hAnsi="Arial"/>
                <w:sz w:val="18"/>
                <w:szCs w:val="18"/>
                <w:color w:val="auto"/>
                <w:w w:val="98"/>
              </w:rPr>
              <w:t>101.LAB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101.PRE *</w:t>
            </w:r>
          </w:p>
        </w:tc>
        <w:tc>
          <w:tcPr>
            <w:tcW w:w="988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77" w:lineRule="exact"/>
        <w:rPr>
          <w:sz w:val="20"/>
          <w:szCs w:val="20"/>
          <w:color w:val="auto"/>
        </w:rPr>
      </w:pPr>
    </w:p>
    <w:p>
      <w:pPr>
        <w:ind w:left="1360" w:hanging="24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1360" w:hanging="335"/>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exhibit is a management contract or compensatory plan or arrangement.</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50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Jacobs</w:t>
            </w:r>
          </w:p>
        </w:tc>
      </w:tr>
      <w:tr>
        <w:trPr>
          <w:trHeight w:val="222"/>
        </w:trPr>
        <w:tc>
          <w:tcPr>
            <w:tcW w:w="7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Brad Jacobs</w:t>
            </w:r>
          </w:p>
        </w:tc>
      </w:t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49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Wyshner</w:t>
            </w:r>
          </w:p>
        </w:tc>
      </w:tr>
      <w:tr>
        <w:trPr>
          <w:trHeight w:val="222"/>
        </w:trPr>
        <w:tc>
          <w:tcPr>
            <w:tcW w:w="7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David Wyshner</w:t>
            </w:r>
          </w:p>
        </w:tc>
      </w:t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67" w:lineRule="exact"/>
        <w:rPr>
          <w:sz w:val="20"/>
          <w:szCs w:val="20"/>
          <w:color w:val="auto"/>
        </w:rPr>
      </w:pPr>
    </w:p>
    <w:p>
      <w:pPr>
        <w:ind w:left="2060"/>
        <w:spacing w:after="0"/>
        <w:tabs>
          <w:tab w:leader="none" w:pos="6680" w:val="left"/>
          <w:tab w:leader="none" w:pos="9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80" w:type="dxa"/>
            <w:vAlign w:val="bottom"/>
            <w:gridSpan w:val="5"/>
          </w:tcPr>
          <w:p>
            <w:pPr>
              <w:jc w:val="center"/>
              <w:spacing w:after="0"/>
              <w:rPr>
                <w:sz w:val="20"/>
                <w:szCs w:val="20"/>
                <w:color w:val="auto"/>
              </w:rPr>
            </w:pPr>
            <w:r>
              <w:rPr>
                <w:rFonts w:ascii="Arial" w:cs="Arial" w:eastAsia="Arial" w:hAnsi="Arial"/>
                <w:sz w:val="18"/>
                <w:szCs w:val="18"/>
                <w:color w:val="auto"/>
                <w:w w:val="92"/>
              </w:rPr>
              <w:t>Chairman of the Board of Directors and Chief</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88"/>
              </w:rPr>
              <w:t>/s/ 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jc w:val="center"/>
              <w:ind w:right="1190"/>
              <w:spacing w:after="0" w:line="176" w:lineRule="exact"/>
              <w:rPr>
                <w:sz w:val="20"/>
                <w:szCs w:val="20"/>
                <w:color w:val="auto"/>
              </w:rPr>
            </w:pPr>
            <w:r>
              <w:rPr>
                <w:rFonts w:ascii="Arial" w:cs="Arial" w:eastAsia="Arial" w:hAnsi="Arial"/>
                <w:sz w:val="18"/>
                <w:szCs w:val="18"/>
                <w:color w:val="auto"/>
                <w:w w:val="94"/>
              </w:rPr>
              <w:t>Executive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4"/>
              </w:rPr>
              <w:t>(Principal Executive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91"/>
              </w:rPr>
              <w:t>/s/ David Wyshner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jc w:val="center"/>
              <w:ind w:right="1190"/>
              <w:spacing w:after="0" w:line="178" w:lineRule="exact"/>
              <w:rPr>
                <w:sz w:val="20"/>
                <w:szCs w:val="20"/>
                <w:color w:val="auto"/>
              </w:rPr>
            </w:pPr>
            <w:r>
              <w:rPr>
                <w:rFonts w:ascii="Arial" w:cs="Arial" w:eastAsia="Arial" w:hAnsi="Arial"/>
                <w:sz w:val="18"/>
                <w:szCs w:val="18"/>
                <w:color w:val="auto"/>
                <w:w w:val="94"/>
              </w:rPr>
              <w:t>Chief Financial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70"/>
              <w:spacing w:after="0"/>
              <w:rPr>
                <w:sz w:val="20"/>
                <w:szCs w:val="20"/>
                <w:color w:val="auto"/>
              </w:rPr>
            </w:pPr>
            <w:r>
              <w:rPr>
                <w:rFonts w:ascii="Arial" w:cs="Arial" w:eastAsia="Arial" w:hAnsi="Arial"/>
                <w:sz w:val="18"/>
                <w:szCs w:val="18"/>
                <w:color w:val="auto"/>
                <w:w w:val="94"/>
              </w:rPr>
              <w:t>(Principal Financial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David Wyshner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89"/>
              </w:rPr>
              <w:t>/s/ Lance Robinson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00" w:type="dxa"/>
            <w:vAlign w:val="bottom"/>
            <w:gridSpan w:val="2"/>
          </w:tcPr>
          <w:p>
            <w:pPr>
              <w:jc w:val="center"/>
              <w:ind w:right="1090"/>
              <w:spacing w:after="0" w:line="178" w:lineRule="exact"/>
              <w:rPr>
                <w:sz w:val="20"/>
                <w:szCs w:val="20"/>
                <w:color w:val="auto"/>
              </w:rPr>
            </w:pPr>
            <w:r>
              <w:rPr>
                <w:rFonts w:ascii="Arial" w:cs="Arial" w:eastAsia="Arial" w:hAnsi="Arial"/>
                <w:sz w:val="18"/>
                <w:szCs w:val="18"/>
                <w:color w:val="auto"/>
                <w:w w:val="94"/>
              </w:rPr>
              <w:t>Chief Accounting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229"/>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5"/>
              </w:rPr>
              <w:t>(Principal Accounting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89"/>
              </w:rPr>
              <w:t>Lance Robinson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2"/>
              </w:rPr>
              <w:t>/s/ AnnaMaria DeSalva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2"/>
              </w:rPr>
              <w:t>Vice Chairman of the Board of Directors</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AnnaMaria DeSalva</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9"/>
              </w:rPr>
              <w:t>/s/ Gena Ashe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0"/>
              </w:rPr>
              <w:t>Gena Ashe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2"/>
              </w:rPr>
              <w:t>/s/ Marlene Colucci</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4"/>
              </w:rPr>
              <w:t>Marlene Colucci</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7"/>
              </w:rPr>
              <w:t>/s/ Michael Jesselson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1"/>
              </w:rPr>
              <w:t>Lead Independent 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89"/>
              </w:rPr>
              <w:t>Michael Jesselson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3"/>
              </w:rPr>
              <w:t>/s/ Adrian Kingshott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Adrian Kingshott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6"/>
              </w:rPr>
              <w:t>/s/ Jason Papastavrou</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39"/>
              <w:spacing w:after="0"/>
              <w:rPr>
                <w:sz w:val="20"/>
                <w:szCs w:val="20"/>
                <w:color w:val="auto"/>
              </w:rPr>
            </w:pPr>
            <w:r>
              <w:rPr>
                <w:rFonts w:ascii="Arial" w:cs="Arial" w:eastAsia="Arial" w:hAnsi="Arial"/>
                <w:sz w:val="14"/>
                <w:szCs w:val="14"/>
                <w:b w:val="1"/>
                <w:bCs w:val="1"/>
                <w:color w:val="auto"/>
                <w:w w:val="90"/>
              </w:rPr>
              <w:t>Jason Papastavrou</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9"/>
              </w:rPr>
              <w:t>/s/ Oren Shaffer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12, 2021</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Oren Shaffer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4"/>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Arial" w:cs="Arial" w:eastAsia="Arial" w:hAnsi="Arial"/>
                <w:sz w:val="18"/>
                <w:szCs w:val="18"/>
                <w:color w:val="FFFFFF"/>
              </w:rPr>
              <w:t>107</w:t>
            </w:r>
          </w:p>
        </w:tc>
        <w:tc>
          <w:tcPr>
            <w:tcW w:w="10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shd w:val="clear" w:color="auto" w:fill="CC0000"/>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shd w:val="clear" w:color="auto" w:fill="CC0000"/>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7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XPO Logistics, Inc. maintains approximately 260 subsidiaries. Set forth below are the names of certain wholly owned or at least 90% owned subsidiaries of XPO Logistics, Inc., as of December 31, 2020, that provide transportation and logistics services. The names of certain consolidated wholly or at least 90% owned subsidiaries that carry on the same line of business have been omitted.</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Arial" w:cs="Arial" w:eastAsia="Arial" w:hAnsi="Arial"/>
                <w:sz w:val="18"/>
                <w:szCs w:val="18"/>
                <w:color w:val="auto"/>
                <w:w w:val="87"/>
              </w:rPr>
              <w:t>Name</w:t>
            </w:r>
          </w:p>
        </w:tc>
        <w:tc>
          <w:tcPr>
            <w:tcW w:w="8700" w:type="dxa"/>
            <w:vAlign w:val="bottom"/>
            <w:vMerge w:val="restart"/>
          </w:tcPr>
          <w:p>
            <w:pPr>
              <w:spacing w:after="0"/>
              <w:rPr>
                <w:sz w:val="17"/>
                <w:szCs w:val="17"/>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Country and/or State of</w:t>
            </w:r>
          </w:p>
        </w:tc>
        <w:tc>
          <w:tcPr>
            <w:tcW w:w="0" w:type="dxa"/>
            <w:vAlign w:val="bottom"/>
          </w:tcPr>
          <w:p>
            <w:pPr>
              <w:spacing w:after="0"/>
              <w:rPr>
                <w:sz w:val="1"/>
                <w:szCs w:val="1"/>
                <w:color w:val="auto"/>
              </w:rPr>
            </w:pPr>
          </w:p>
        </w:tc>
      </w:tr>
      <w:tr>
        <w:trPr>
          <w:trHeight w:val="156"/>
        </w:trPr>
        <w:tc>
          <w:tcPr>
            <w:tcW w:w="44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1700" w:type="dxa"/>
            <w:vAlign w:val="bottom"/>
            <w:gridSpan w:val="2"/>
          </w:tcPr>
          <w:p>
            <w:pPr>
              <w:spacing w:after="0" w:line="156" w:lineRule="exact"/>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140" w:type="dxa"/>
            <w:vAlign w:val="bottom"/>
            <w:gridSpan w:val="2"/>
          </w:tcPr>
          <w:p>
            <w:pPr>
              <w:spacing w:after="0"/>
              <w:rPr>
                <w:sz w:val="20"/>
                <w:szCs w:val="20"/>
                <w:color w:val="auto"/>
              </w:rPr>
            </w:pPr>
            <w:r>
              <w:rPr>
                <w:rFonts w:ascii="Arial" w:cs="Arial" w:eastAsia="Arial" w:hAnsi="Arial"/>
                <w:sz w:val="18"/>
                <w:szCs w:val="18"/>
                <w:color w:val="auto"/>
              </w:rPr>
              <w:t>XPO Logistics,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CNW,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Freight,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Worldwide,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XPO Logistics Managed Transportation,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Intermodal,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Global Forwarding,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Last Mile Holding,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Last Mile,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Logistics,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Express,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Logistics France</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Europe</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XPO Global Forwarding International</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XPO Holding Transport Solutions Europe</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XPO Supply Chain International</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Logistics Supply Chain Holding Company</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Supply Chain,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200" w:lineRule="exact"/>
        <w:rPr>
          <w:sz w:val="20"/>
          <w:szCs w:val="20"/>
          <w:color w:val="auto"/>
        </w:rPr>
      </w:pPr>
    </w:p>
    <w:p>
      <w:pPr>
        <w:spacing w:after="0" w:line="25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202748 and 333-112899) on Form S-3 and (No. 333</w:t>
      </w:r>
      <w:r>
        <w:rPr>
          <w:rFonts w:ascii="MS PGothic" w:cs="MS PGothic" w:eastAsia="MS PGothic" w:hAnsi="MS PGothic"/>
          <w:sz w:val="18"/>
          <w:szCs w:val="18"/>
          <w:color w:val="auto"/>
        </w:rPr>
        <w:t>‑</w:t>
      </w:r>
      <w:r>
        <w:rPr>
          <w:rFonts w:ascii="Arial" w:cs="Arial" w:eastAsia="Arial" w:hAnsi="Arial"/>
          <w:sz w:val="18"/>
          <w:szCs w:val="18"/>
          <w:color w:val="auto"/>
        </w:rPr>
        <w:t>240288, 333-232964, 333-222985, 333-216334, 333-207708 and 333-183648) on Form S-8 of XPO Logistics, Inc. of our report dated February 12, 2021, with respect to the consolidated balance sheets of XPO Logistics, Inc. as of December 31, 2020 and 2019, the related consolidated statements of income, comprehensive income, cash flows and changes in equity for each of the years in the three-year period ended December 31, 2020, and the related notes, and the effectiveness of internal control over financial reporting as of December 31, 2020, which reports appears in the December 31, 2020 annual report on Form 10-K of XPO Logistics, Inc.</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leases in 2019 due to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its related amendments (Topic 842).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ectPr>
          <w:pgSz w:w="11900" w:h="16838" w:orient="portrait"/>
          <w:cols w:equalWidth="0" w:num="1">
            <w:col w:w="11240"/>
          </w:cols>
          <w:pgMar w:left="320" w:top="1053"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Brad Jacobs, certify that:</w:t>
      </w:r>
    </w:p>
    <w:p>
      <w:pPr>
        <w:spacing w:after="0" w:line="117" w:lineRule="exact"/>
        <w:rPr>
          <w:sz w:val="20"/>
          <w:szCs w:val="20"/>
          <w:color w:val="auto"/>
        </w:rPr>
      </w:pPr>
    </w:p>
    <w:p>
      <w:pPr>
        <w:ind w:left="1080" w:hanging="181"/>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XPO Logistics, Inc.;</w:t>
      </w:r>
    </w:p>
    <w:p>
      <w:pPr>
        <w:spacing w:after="0" w:line="117" w:lineRule="exact"/>
        <w:rPr>
          <w:rFonts w:ascii="Arial" w:cs="Arial" w:eastAsia="Arial" w:hAnsi="Arial"/>
          <w:sz w:val="18"/>
          <w:szCs w:val="18"/>
          <w:color w:val="auto"/>
        </w:rPr>
      </w:pPr>
    </w:p>
    <w:p>
      <w:pPr>
        <w:ind w:right="80" w:firstLine="899"/>
        <w:spacing w:after="0" w:line="263" w:lineRule="auto"/>
        <w:tabs>
          <w:tab w:leader="none" w:pos="10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540" w:firstLine="899"/>
        <w:spacing w:after="0" w:line="342" w:lineRule="auto"/>
        <w:tabs>
          <w:tab w:leader="none" w:pos="10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360" w:firstLine="899"/>
        <w:spacing w:after="0" w:line="291" w:lineRule="auto"/>
        <w:tabs>
          <w:tab w:leader="none" w:pos="10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firstLine="1466"/>
        <w:spacing w:after="0" w:line="263" w:lineRule="auto"/>
        <w:tabs>
          <w:tab w:leader="none" w:pos="17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40" w:firstLine="1466"/>
        <w:spacing w:after="0" w:line="263" w:lineRule="auto"/>
        <w:tabs>
          <w:tab w:leader="none" w:pos="1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466"/>
        <w:spacing w:after="0" w:line="342" w:lineRule="auto"/>
        <w:tabs>
          <w:tab w:leader="none" w:pos="170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80" w:firstLine="1466"/>
        <w:spacing w:after="0" w:line="263" w:lineRule="auto"/>
        <w:tabs>
          <w:tab w:leader="none" w:pos="1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600" w:firstLine="899"/>
        <w:spacing w:after="0" w:line="342" w:lineRule="auto"/>
        <w:tabs>
          <w:tab w:leader="none" w:pos="10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0" w:firstLine="1466"/>
        <w:spacing w:after="0" w:line="308" w:lineRule="auto"/>
        <w:tabs>
          <w:tab w:leader="none" w:pos="170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1466"/>
        <w:spacing w:after="0" w:line="277" w:lineRule="auto"/>
        <w:tabs>
          <w:tab w:leader="none" w:pos="17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9">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12, 2021</w:t>
      </w:r>
    </w:p>
    <w:p>
      <w:pPr>
        <w:sectPr>
          <w:pgSz w:w="11900" w:h="16838" w:orient="portrait"/>
          <w:cols w:equalWidth="0" w:num="1">
            <w:col w:w="11240"/>
          </w:cols>
          <w:pgMar w:left="320" w:top="105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David Wyshner, certify that:</w:t>
      </w:r>
    </w:p>
    <w:p>
      <w:pPr>
        <w:spacing w:after="0" w:line="117" w:lineRule="exact"/>
        <w:rPr>
          <w:sz w:val="20"/>
          <w:szCs w:val="20"/>
          <w:color w:val="auto"/>
        </w:rPr>
      </w:pPr>
    </w:p>
    <w:p>
      <w:pPr>
        <w:ind w:left="1080" w:hanging="181"/>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XPO Logistics, Inc.;</w:t>
      </w:r>
    </w:p>
    <w:p>
      <w:pPr>
        <w:spacing w:after="0" w:line="117" w:lineRule="exact"/>
        <w:rPr>
          <w:rFonts w:ascii="Arial" w:cs="Arial" w:eastAsia="Arial" w:hAnsi="Arial"/>
          <w:sz w:val="18"/>
          <w:szCs w:val="18"/>
          <w:color w:val="auto"/>
        </w:rPr>
      </w:pPr>
    </w:p>
    <w:p>
      <w:pPr>
        <w:ind w:right="80" w:firstLine="899"/>
        <w:spacing w:after="0" w:line="263" w:lineRule="auto"/>
        <w:tabs>
          <w:tab w:leader="none" w:pos="10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540" w:firstLine="899"/>
        <w:spacing w:after="0" w:line="342" w:lineRule="auto"/>
        <w:tabs>
          <w:tab w:leader="none" w:pos="10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360" w:firstLine="899"/>
        <w:spacing w:after="0" w:line="291" w:lineRule="auto"/>
        <w:tabs>
          <w:tab w:leader="none" w:pos="10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firstLine="1466"/>
        <w:spacing w:after="0" w:line="263" w:lineRule="auto"/>
        <w:tabs>
          <w:tab w:leader="none" w:pos="170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40" w:firstLine="1466"/>
        <w:spacing w:after="0" w:line="263" w:lineRule="auto"/>
        <w:tabs>
          <w:tab w:leader="none" w:pos="17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466"/>
        <w:spacing w:after="0" w:line="342" w:lineRule="auto"/>
        <w:tabs>
          <w:tab w:leader="none" w:pos="170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80" w:firstLine="1466"/>
        <w:spacing w:after="0" w:line="263" w:lineRule="auto"/>
        <w:tabs>
          <w:tab w:leader="none" w:pos="17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600" w:firstLine="899"/>
        <w:spacing w:after="0" w:line="342" w:lineRule="auto"/>
        <w:tabs>
          <w:tab w:leader="none" w:pos="10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0" w:firstLine="1466"/>
        <w:spacing w:after="0" w:line="308" w:lineRule="auto"/>
        <w:tabs>
          <w:tab w:leader="none" w:pos="170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1466"/>
        <w:spacing w:after="0" w:line="277" w:lineRule="auto"/>
        <w:tabs>
          <w:tab w:leader="none" w:pos="17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0">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David Wyshner</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12, 2021</w:t>
      </w:r>
    </w:p>
    <w:p>
      <w:pPr>
        <w:sectPr>
          <w:pgSz w:w="11900" w:h="16838" w:orient="portrait"/>
          <w:cols w:equalWidth="0" w:num="1">
            <w:col w:w="11240"/>
          </w:cols>
          <w:pgMar w:left="320" w:top="105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Annual Report on Form 10-K of the Company for the year ended December 31,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1">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12, 2021</w:t>
      </w:r>
    </w:p>
    <w:p>
      <w:pPr>
        <w:sectPr>
          <w:pgSz w:w="11900" w:h="16838" w:orient="portrait"/>
          <w:cols w:equalWidth="0" w:num="1">
            <w:col w:w="11240"/>
          </w:cols>
          <w:pgMar w:left="320" w:top="105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Annual Report on Form 10-K of the Company for the year ended December 31,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2">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David Wyshner</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12, 2021</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3"/>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lvl w:ilvl="1">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6" Type="http://schemas.openxmlformats.org/officeDocument/2006/relationships/image" Target="media/image301.png"/><Relationship Id="rId367" Type="http://schemas.openxmlformats.org/officeDocument/2006/relationships/image" Target="media/image302.png"/><Relationship Id="rId368" Type="http://schemas.openxmlformats.org/officeDocument/2006/relationships/image" Target="media/image303.png"/><Relationship Id="rId369" Type="http://schemas.openxmlformats.org/officeDocument/2006/relationships/image" Target="media/image304.png"/><Relationship Id="rId370" Type="http://schemas.openxmlformats.org/officeDocument/2006/relationships/image" Target="media/image305.png"/><Relationship Id="rId371" Type="http://schemas.openxmlformats.org/officeDocument/2006/relationships/image" Target="media/image306.png"/><Relationship Id="rId372" Type="http://schemas.openxmlformats.org/officeDocument/2006/relationships/image" Target="media/image307.png"/><Relationship Id="rId299" Type="http://schemas.openxmlformats.org/officeDocument/2006/relationships/hyperlink" Target="http://www.sec.gov/Archives/edgar/data/1166003/000095012311058838/k50502exv2w1.htm" TargetMode="External"/><Relationship Id="rId300" Type="http://schemas.openxmlformats.org/officeDocument/2006/relationships/hyperlink" Target="http://www.sec.gov/Archives/edgar/data/1166003/000095012408001571/k25117exv3w1.htm" TargetMode="External"/><Relationship Id="rId301" Type="http://schemas.openxmlformats.org/officeDocument/2006/relationships/hyperlink" Target="http://www.sec.gov/Archives/edgar/data/1166003/000095012406003167/k05874exv3.htm" TargetMode="External"/><Relationship Id="rId302" Type="http://schemas.openxmlformats.org/officeDocument/2006/relationships/hyperlink" Target="http://www.sec.gov/Archives/edgar/data/1166003/000095012407004281/k17740exv3wxiy.htm" TargetMode="External"/><Relationship Id="rId303" Type="http://schemas.openxmlformats.org/officeDocument/2006/relationships/hyperlink" Target="http://www.sec.gov/Archives/edgar/data/1166003/000095012311082522/k50709exv3w1.htm" TargetMode="External"/><Relationship Id="rId304" Type="http://schemas.openxmlformats.org/officeDocument/2006/relationships/hyperlink" Target="http://www.sec.gov/Archives/edgar/data/1166003/000116600315000025/form8k05202015ex31.htm" TargetMode="External"/><Relationship Id="rId305" Type="http://schemas.openxmlformats.org/officeDocument/2006/relationships/hyperlink" Target="http://www.sec.gov/Archives/edgar/data/1166003/000116600315000054/form8k09082015ex31.htm" TargetMode="External"/><Relationship Id="rId306" Type="http://schemas.openxmlformats.org/officeDocument/2006/relationships/hyperlink" Target="http://www.sec.gov/Archives/edgar/data/1166003/000095012407004729/k18616a1exv3wxiiy.htm" TargetMode="External"/><Relationship Id="rId307" Type="http://schemas.openxmlformats.org/officeDocument/2006/relationships/hyperlink" Target="http://www.sec.gov/Archives/edgar/data/1166003/000116600315000025/form8k05202015ex32.htm" TargetMode="External"/><Relationship Id="rId308" Type="http://schemas.openxmlformats.org/officeDocument/2006/relationships/hyperlink" Target="http://www.sec.gov/Archives/edgar/data/1166003/000119312517087392/d349438dex31.htm" TargetMode="External"/><Relationship Id="rId309" Type="http://schemas.openxmlformats.org/officeDocument/2006/relationships/hyperlink" Target="http://www.sec.gov/Archives/edgar/data/1166003/000095012311082522/k50709exv4w1.htm" TargetMode="External"/><Relationship Id="rId310" Type="http://schemas.openxmlformats.org/officeDocument/2006/relationships/hyperlink" Target="http://www.sec.gov/Archives/edgar/data/1166003/000095012311082522/k50709exv4w2.htm" TargetMode="External"/><Relationship Id="rId313" Type="http://schemas.openxmlformats.org/officeDocument/2006/relationships/hyperlink" Target="http://www.sec.gov/Archives/edgar/data/1166003/000095012311082522/k50709exv4w3.htm" TargetMode="External"/><Relationship Id="rId314" Type="http://schemas.openxmlformats.org/officeDocument/2006/relationships/hyperlink" Target="http://www.sec.gov/Archives/edgar/data/1166003/000119312514344903/d791796dex41.htm" TargetMode="External"/><Relationship Id="rId315" Type="http://schemas.openxmlformats.org/officeDocument/2006/relationships/hyperlink" Target="http://www.sec.gov/Archives/edgar/data/1166003/000119312515237429/d947974dex42.htm" TargetMode="External"/><Relationship Id="rId316" Type="http://schemas.openxmlformats.org/officeDocument/2006/relationships/hyperlink" Target="http://www.sec.gov/Archives/edgar/data/1166003/000116600320000028/xpo201910-kexx49.htm" TargetMode="External"/><Relationship Id="rId317" Type="http://schemas.openxmlformats.org/officeDocument/2006/relationships/hyperlink" Target="http://www.sec.gov/Archives/edgar/data/1166003/000119312516693998/d231200dex41.htm" TargetMode="External"/><Relationship Id="rId318" Type="http://schemas.openxmlformats.org/officeDocument/2006/relationships/hyperlink" Target="http://www.sec.gov/Archives/edgar/data/1166003/000110465919010097/a19-4802_3ex4d1.htm" TargetMode="External"/><Relationship Id="rId319" Type="http://schemas.openxmlformats.org/officeDocument/2006/relationships/hyperlink" Target="http://www.sec.gov/Archives/edgar/data/1166003/000110465920052459/tm2016461d5_ex4-1.htm" TargetMode="External"/><Relationship Id="rId320" Type="http://schemas.openxmlformats.org/officeDocument/2006/relationships/hyperlink" Target="http://www.sec.gov/Archives/edgar/data/1166003/000119312512090969/d306070dex1020.htm" TargetMode="External"/><Relationship Id="rId321" Type="http://schemas.openxmlformats.org/officeDocument/2006/relationships/hyperlink" Target="http://www.sec.gov/Archives/edgar/data/1166003/000119312512090969/d306070dex1021.htm" TargetMode="External"/><Relationship Id="rId322" Type="http://schemas.openxmlformats.org/officeDocument/2006/relationships/hyperlink" Target="http://www.sec.gov/Archives/edgar/data/1166003/000119312512191107/d287575ddef14a.htm#toc287575_36" TargetMode="External"/><Relationship Id="rId323" Type="http://schemas.openxmlformats.org/officeDocument/2006/relationships/hyperlink" Target="http://www.sec.gov/Archives/edgar/data/1166003/000119312514106715/d696124dex102.htm" TargetMode="External"/><Relationship Id="rId324" Type="http://schemas.openxmlformats.org/officeDocument/2006/relationships/hyperlink" Target="http://www.sec.gov/Archives/edgar/data/1166003/000119312516773830/d256720ddef14a.htm#proxy256720_12" TargetMode="External"/><Relationship Id="rId325" Type="http://schemas.openxmlformats.org/officeDocument/2006/relationships/hyperlink" Target="http://www.sec.gov/Archives/edgar/data/1166003/000162828017001912/xpo201610-kexx1015.htm" TargetMode="External"/><Relationship Id="rId326" Type="http://schemas.openxmlformats.org/officeDocument/2006/relationships/hyperlink" Target="http://www.sec.gov/Archives/edgar/data/1166003/000162828017001912/xpo201610-kexx1016.htm" TargetMode="External"/><Relationship Id="rId327" Type="http://schemas.openxmlformats.org/officeDocument/2006/relationships/hyperlink" Target="http://www.sec.gov/Archives/edgar/data/1166003/000162828017001912/xpo201610-kexx1017.htm" TargetMode="External"/><Relationship Id="rId330" Type="http://schemas.openxmlformats.org/officeDocument/2006/relationships/hyperlink" Target="http://www.sec.gov/Archives/edgar/data/1166003/000116600318000063/xpo2018q310-qexx104.htm" TargetMode="External"/><Relationship Id="rId331" Type="http://schemas.openxmlformats.org/officeDocument/2006/relationships/hyperlink" Target="http://www.sec.gov/Archives/edgar/data/1166003/000104746919002443/a2238430zdef14a.htm" TargetMode="External"/><Relationship Id="rId332" Type="http://schemas.openxmlformats.org/officeDocument/2006/relationships/hyperlink" Target="http://www.sec.gov/Archives/edgar/data/1166003/000116600319000041/xpo2019q210-qexx107.htm" TargetMode="External"/><Relationship Id="rId333" Type="http://schemas.openxmlformats.org/officeDocument/2006/relationships/hyperlink" Target="http://www.sec.gov/Archives/edgar/data/1166003/000104746920002482/a2241399zdef14a.htm#ek75601_annex_b_-_amendment_to_the_xpo__ann03140" TargetMode="External"/><Relationship Id="rId334" Type="http://schemas.openxmlformats.org/officeDocument/2006/relationships/hyperlink" Target="http://www.sec.gov/Archives/edgar/data/1166003/000116600320000047/xpo2020q2ex-108.htm" TargetMode="External"/><Relationship Id="rId335" Type="http://schemas.openxmlformats.org/officeDocument/2006/relationships/hyperlink" Target="http://www.sec.gov/Archives/edgar/data/1166003/000116600318000063/xpo2018q310-qexx103.htm" TargetMode="External"/><Relationship Id="rId336" Type="http://schemas.openxmlformats.org/officeDocument/2006/relationships/hyperlink" Target="http://www.sec.gov/Archives/edgar/data/1166003/000119312516460107/d139871dex101.htm" TargetMode="External"/><Relationship Id="rId337" Type="http://schemas.openxmlformats.org/officeDocument/2006/relationships/hyperlink" Target="http://www.sec.gov/Archives/edgar/data/1166003/000119312516460107/d139871dex104.htm" TargetMode="External"/><Relationship Id="rId338" Type="http://schemas.openxmlformats.org/officeDocument/2006/relationships/hyperlink" Target="http://www.sec.gov/Archives/edgar/data/1166003/000119312516460107/d139871dex106.htm" TargetMode="External"/><Relationship Id="rId339" Type="http://schemas.openxmlformats.org/officeDocument/2006/relationships/hyperlink" Target="http://www.sec.gov/Archives/edgar/data/1166003/000119312518129005/d575000dex101.htm" TargetMode="External"/><Relationship Id="rId340" Type="http://schemas.openxmlformats.org/officeDocument/2006/relationships/hyperlink" Target="http://www.sec.gov/Archives/edgar/data/1166003/000116600319000041/xpo2019q210-qexx106.htm" TargetMode="External"/><Relationship Id="rId341" Type="http://schemas.openxmlformats.org/officeDocument/2006/relationships/hyperlink" Target="http://www.sec.gov/Archives/edgar/data/1166003/000116600320000039/xpo2020q110-qexx101.htm" TargetMode="External"/><Relationship Id="rId342" Type="http://schemas.openxmlformats.org/officeDocument/2006/relationships/hyperlink" Target="http://www.sec.gov/Archives/edgar/data/1166003/000116600320000039/xpo2020q110-qexx102.htm" TargetMode="External"/><Relationship Id="rId343" Type="http://schemas.openxmlformats.org/officeDocument/2006/relationships/hyperlink" Target="http://www.sec.gov/Archives/edgar/data/1166003/000110465920058377/tm2016461d9_ex99-1.htm" TargetMode="External"/><Relationship Id="rId344" Type="http://schemas.openxmlformats.org/officeDocument/2006/relationships/hyperlink" Target="http://www.sec.gov/Archives/edgar/data/1166003/000116600320000047/xpo2020q2ex-105.htm" TargetMode="External"/><Relationship Id="rId345" Type="http://schemas.openxmlformats.org/officeDocument/2006/relationships/hyperlink" Target="http://www.sec.gov/Archives/edgar/data/1166003/000116600320000047/xpo2020q2ex-106.htm" TargetMode="External"/><Relationship Id="rId348" Type="http://schemas.openxmlformats.org/officeDocument/2006/relationships/hyperlink" Target="http://www.sec.gov/Archives/edgar/data/1166003/000116600320000047/xpo2020q2ex-107.htm" TargetMode="External"/><Relationship Id="rId349" Type="http://schemas.openxmlformats.org/officeDocument/2006/relationships/hyperlink" Target="http://www.sec.gov/Archives/edgar/data/1166003/000119312517348204/d427065ddef14a.htm" TargetMode="External"/><Relationship Id="rId350" Type="http://schemas.openxmlformats.org/officeDocument/2006/relationships/hyperlink" Target="http://www.sec.gov/Archives/edgar/data/1166003/000116600319000021/xpo201810-kexx1018.htm" TargetMode="External"/><Relationship Id="rId351" Type="http://schemas.openxmlformats.org/officeDocument/2006/relationships/hyperlink" Target="http://www.sec.gov/Archives/edgar/data/1166003/000119312515361214/d57363dex101.htm" TargetMode="External"/><Relationship Id="rId352" Type="http://schemas.openxmlformats.org/officeDocument/2006/relationships/hyperlink" Target="http://www.sec.gov/Archives/edgar/data/1166003/000119312517235079/d415421dex101.htm" TargetMode="External"/><Relationship Id="rId353" Type="http://schemas.openxmlformats.org/officeDocument/2006/relationships/hyperlink" Target="http://www.sec.gov/Archives/edgar/data/1166003/000116600318000047/xpo2018q110-qexx102.htm" TargetMode="External"/><Relationship Id="rId354" Type="http://schemas.openxmlformats.org/officeDocument/2006/relationships/hyperlink" Target="http://www.sec.gov/Archives/edgar/data/1166003/000110465919026060/a19-9119_1ex10d1.htm" TargetMode="External"/><Relationship Id="rId355" Type="http://schemas.openxmlformats.org/officeDocument/2006/relationships/hyperlink" Target="http://www.sec.gov/Archives/edgar/data/1166003/000116600320000047/xpo2020q2ex-101.htm" TargetMode="External"/><Relationship Id="rId356" Type="http://schemas.openxmlformats.org/officeDocument/2006/relationships/hyperlink" Target="http://www.sec.gov/Archives/edgar/data/1166003/000116600320000047/xpo2020q2ex-104.htm" TargetMode="External"/><Relationship Id="rId357" Type="http://schemas.openxmlformats.org/officeDocument/2006/relationships/hyperlink" Target="http://www.sec.gov/Archives/edgar/data/1166003/000119312515361214/d57363dex102.htm" TargetMode="External"/><Relationship Id="rId358" Type="http://schemas.openxmlformats.org/officeDocument/2006/relationships/hyperlink" Target="http://www.sec.gov/Archives/edgar/data/1166003/000119312516693998/d231200dex101.htm" TargetMode="External"/><Relationship Id="rId359" Type="http://schemas.openxmlformats.org/officeDocument/2006/relationships/hyperlink" Target="http://www.sec.gov/Archives/edgar/data/1166003/000119312517079664/d325309dex101.htm" TargetMode="External"/><Relationship Id="rId363" Type="http://schemas.openxmlformats.org/officeDocument/2006/relationships/hyperlink" Target="http://www.sec.gov/Archives/edgar/data/1166003/000119312518058662/d542963dex101.htm" TargetMode="External"/><Relationship Id="rId364" Type="http://schemas.openxmlformats.org/officeDocument/2006/relationships/hyperlink" Target="http://www.sec.gov/Archives/edgar/data/1166003/000116600319000030/xpo2019q110-qexx101.htm" TargetMode="External"/><Relationship Id="rId365" Type="http://schemas.openxmlformats.org/officeDocument/2006/relationships/hyperlink" Target="http://www.sec.gov/Archives/edgar/data/1166003/000110465919015585/a19-672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2021-02-12T06:05:07Z</dcterms:created>
  <dcterms:modified xsi:type="dcterms:W3CDTF">2021-02-12T06:05:07Z</dcterms:modified>
</cp:coreProperties>
</file>