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0"/>
        <w:spacing w:after="0"/>
        <w:rPr>
          <w:sz w:val="20"/>
          <w:szCs w:val="20"/>
          <w:color w:val="auto"/>
        </w:rPr>
      </w:pPr>
      <w:r>
        <w:rPr>
          <w:rFonts w:ascii="Arial" w:cs="Arial" w:eastAsia="Arial" w:hAnsi="Arial"/>
          <w:sz w:val="22"/>
          <w:szCs w:val="22"/>
          <w:b w:val="1"/>
          <w:bCs w:val="1"/>
          <w:color w:val="auto"/>
        </w:rPr>
        <w:t>SCHEDULE 13G/A</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u w:val="single" w:color="auto"/>
          <w:color w:val="auto"/>
        </w:rPr>
        <w:t>983793100</w:t>
      </w:r>
    </w:p>
    <w:p>
      <w:pPr>
        <w:spacing w:after="0" w:line="200" w:lineRule="exact"/>
        <w:rPr>
          <w:sz w:val="24"/>
          <w:szCs w:val="24"/>
          <w:color w:val="auto"/>
        </w:rPr>
      </w:pPr>
    </w:p>
    <w:p>
      <w:pPr>
        <w:ind w:right="20"/>
        <w:spacing w:after="0" w:line="256" w:lineRule="auto"/>
        <w:rPr>
          <w:sz w:val="20"/>
          <w:szCs w:val="20"/>
          <w:color w:val="auto"/>
        </w:rPr>
      </w:pPr>
      <w:r>
        <w:rPr>
          <w:rFonts w:ascii="Arial" w:cs="Arial" w:eastAsia="Arial" w:hAnsi="Arial"/>
          <w:sz w:val="22"/>
          <w:szCs w:val="22"/>
          <w:color w:val="auto"/>
        </w:rPr>
        <w:t>1)</w:t>
      </w:r>
      <w:r>
        <w:rPr>
          <w:rFonts w:ascii="Arial" w:cs="Arial" w:eastAsia="Arial" w:hAnsi="Arial"/>
          <w:sz w:val="22"/>
          <w:szCs w:val="22"/>
          <w:b w:val="1"/>
          <w:bCs w:val="1"/>
          <w:color w:val="auto"/>
        </w:rPr>
        <w:t>NAME OF REPORTING PERSON S.S. OR I.R.S. IDENTIFICATION NO. OF ABOVE PERSON:</w:t>
      </w:r>
      <w:r>
        <w:rPr>
          <w:rFonts w:ascii="Arial" w:cs="Arial" w:eastAsia="Arial" w:hAnsi="Arial"/>
          <w:sz w:val="22"/>
          <w:szCs w:val="22"/>
          <w:color w:val="auto"/>
        </w:rPr>
        <w:t xml:space="preserve"> </w:t>
      </w:r>
      <w:r>
        <w:rPr>
          <w:rFonts w:ascii="Arial" w:cs="Arial" w:eastAsia="Arial" w:hAnsi="Arial"/>
          <w:sz w:val="22"/>
          <w:szCs w:val="22"/>
          <w:u w:val="single" w:color="auto"/>
          <w:color w:val="auto"/>
        </w:rPr>
        <w:t>Lazard Asset</w:t>
      </w:r>
      <w:r>
        <w:rPr>
          <w:rFonts w:ascii="Arial" w:cs="Arial" w:eastAsia="Arial" w:hAnsi="Arial"/>
          <w:sz w:val="22"/>
          <w:szCs w:val="22"/>
          <w:color w:val="auto"/>
        </w:rPr>
        <w:t xml:space="preserve"> </w:t>
      </w:r>
      <w:r>
        <w:rPr>
          <w:rFonts w:ascii="Arial" w:cs="Arial" w:eastAsia="Arial" w:hAnsi="Arial"/>
          <w:sz w:val="22"/>
          <w:szCs w:val="22"/>
          <w:u w:val="single" w:color="auto"/>
          <w:color w:val="auto"/>
        </w:rPr>
        <w:t>Management LLC</w:t>
      </w:r>
    </w:p>
    <w:p>
      <w:pPr>
        <w:spacing w:after="0" w:line="163" w:lineRule="exact"/>
        <w:rPr>
          <w:sz w:val="24"/>
          <w:szCs w:val="24"/>
          <w:color w:val="auto"/>
        </w:rPr>
      </w:pPr>
    </w:p>
    <w:p>
      <w:pPr>
        <w:spacing w:after="0"/>
        <w:rPr>
          <w:sz w:val="20"/>
          <w:szCs w:val="20"/>
          <w:color w:val="auto"/>
        </w:rPr>
      </w:pPr>
      <w:r>
        <w:rPr>
          <w:rFonts w:ascii="Arial" w:cs="Arial" w:eastAsia="Arial" w:hAnsi="Arial"/>
          <w:sz w:val="22"/>
          <w:szCs w:val="22"/>
          <w:color w:val="auto"/>
        </w:rPr>
        <w:t>2)</w:t>
      </w: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 xml:space="preserve"> (a)o (b)o</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3)</w:t>
      </w:r>
      <w:r>
        <w:rPr>
          <w:rFonts w:ascii="Arial" w:cs="Arial" w:eastAsia="Arial" w:hAnsi="Arial"/>
          <w:sz w:val="22"/>
          <w:szCs w:val="22"/>
          <w:b w:val="1"/>
          <w:bCs w:val="1"/>
          <w:color w:val="auto"/>
        </w:rPr>
        <w:t>SEC USE ONLY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4)</w:t>
      </w: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Delaware</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p>
    <w:p>
      <w:pPr>
        <w:spacing w:after="0" w:line="206" w:lineRule="exact"/>
        <w:rPr>
          <w:sz w:val="24"/>
          <w:szCs w:val="24"/>
          <w:color w:val="auto"/>
        </w:rPr>
      </w:pPr>
    </w:p>
    <w:p>
      <w:pPr>
        <w:ind w:left="1080"/>
        <w:spacing w:after="0"/>
        <w:rPr>
          <w:sz w:val="20"/>
          <w:szCs w:val="20"/>
          <w:color w:val="auto"/>
        </w:rPr>
      </w:pPr>
      <w:r>
        <w:rPr>
          <w:rFonts w:ascii="Arial" w:cs="Arial" w:eastAsia="Arial" w:hAnsi="Arial"/>
          <w:sz w:val="22"/>
          <w:szCs w:val="22"/>
          <w:color w:val="auto"/>
        </w:rPr>
        <w:t>5)</w:t>
      </w:r>
      <w:r>
        <w:rPr>
          <w:rFonts w:ascii="Arial" w:cs="Arial" w:eastAsia="Arial" w:hAnsi="Arial"/>
          <w:sz w:val="22"/>
          <w:szCs w:val="22"/>
          <w:b w:val="1"/>
          <w:bCs w:val="1"/>
          <w:color w:val="auto"/>
        </w:rPr>
        <w:t>SOLE VOTING POWER:</w:t>
      </w:r>
      <w:r>
        <w:rPr>
          <w:rFonts w:ascii="Arial" w:cs="Arial" w:eastAsia="Arial" w:hAnsi="Arial"/>
          <w:sz w:val="22"/>
          <w:szCs w:val="22"/>
          <w:color w:val="auto"/>
        </w:rPr>
        <w:t xml:space="preserve"> </w:t>
      </w:r>
      <w:r>
        <w:rPr>
          <w:rFonts w:ascii="Arial" w:cs="Arial" w:eastAsia="Arial" w:hAnsi="Arial"/>
          <w:sz w:val="22"/>
          <w:szCs w:val="22"/>
          <w:u w:val="single" w:color="auto"/>
          <w:color w:val="auto"/>
        </w:rPr>
        <w:t>1,469,413</w:t>
      </w:r>
    </w:p>
    <w:p>
      <w:pPr>
        <w:spacing w:after="0" w:line="206" w:lineRule="exact"/>
        <w:rPr>
          <w:sz w:val="24"/>
          <w:szCs w:val="24"/>
          <w:color w:val="auto"/>
        </w:rPr>
      </w:pPr>
    </w:p>
    <w:p>
      <w:pPr>
        <w:ind w:left="1080"/>
        <w:spacing w:after="0"/>
        <w:rPr>
          <w:sz w:val="20"/>
          <w:szCs w:val="20"/>
          <w:color w:val="auto"/>
        </w:rPr>
      </w:pPr>
      <w:r>
        <w:rPr>
          <w:rFonts w:ascii="Arial" w:cs="Arial" w:eastAsia="Arial" w:hAnsi="Arial"/>
          <w:sz w:val="22"/>
          <w:szCs w:val="22"/>
          <w:color w:val="auto"/>
        </w:rPr>
        <w:t>6)</w:t>
      </w:r>
      <w:r>
        <w:rPr>
          <w:rFonts w:ascii="Arial" w:cs="Arial" w:eastAsia="Arial" w:hAnsi="Arial"/>
          <w:sz w:val="22"/>
          <w:szCs w:val="22"/>
          <w:b w:val="1"/>
          <w:bCs w:val="1"/>
          <w:color w:val="auto"/>
        </w:rPr>
        <w:t>SHARED VOTING POWER:</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p>
    <w:p>
      <w:pPr>
        <w:spacing w:after="0" w:line="206" w:lineRule="exact"/>
        <w:rPr>
          <w:sz w:val="24"/>
          <w:szCs w:val="24"/>
          <w:color w:val="auto"/>
        </w:rPr>
      </w:pPr>
    </w:p>
    <w:p>
      <w:pPr>
        <w:ind w:left="1080"/>
        <w:spacing w:after="0"/>
        <w:rPr>
          <w:sz w:val="20"/>
          <w:szCs w:val="20"/>
          <w:color w:val="auto"/>
        </w:rPr>
      </w:pPr>
      <w:r>
        <w:rPr>
          <w:rFonts w:ascii="Arial" w:cs="Arial" w:eastAsia="Arial" w:hAnsi="Arial"/>
          <w:sz w:val="22"/>
          <w:szCs w:val="22"/>
          <w:color w:val="auto"/>
        </w:rPr>
        <w:t>7)</w:t>
      </w:r>
      <w:r>
        <w:rPr>
          <w:rFonts w:ascii="Arial" w:cs="Arial" w:eastAsia="Arial" w:hAnsi="Arial"/>
          <w:sz w:val="22"/>
          <w:szCs w:val="22"/>
          <w:b w:val="1"/>
          <w:bCs w:val="1"/>
          <w:color w:val="auto"/>
        </w:rPr>
        <w:t>SOLE DISPOSITIVE POWER:</w:t>
      </w:r>
      <w:r>
        <w:rPr>
          <w:rFonts w:ascii="Arial" w:cs="Arial" w:eastAsia="Arial" w:hAnsi="Arial"/>
          <w:sz w:val="22"/>
          <w:szCs w:val="22"/>
          <w:color w:val="auto"/>
        </w:rPr>
        <w:t xml:space="preserve"> </w:t>
      </w:r>
      <w:r>
        <w:rPr>
          <w:rFonts w:ascii="Arial" w:cs="Arial" w:eastAsia="Arial" w:hAnsi="Arial"/>
          <w:sz w:val="22"/>
          <w:szCs w:val="22"/>
          <w:u w:val="single" w:color="auto"/>
          <w:color w:val="auto"/>
        </w:rPr>
        <w:t>1,562,181</w:t>
      </w:r>
    </w:p>
    <w:p>
      <w:pPr>
        <w:spacing w:after="0" w:line="206" w:lineRule="exact"/>
        <w:rPr>
          <w:sz w:val="24"/>
          <w:szCs w:val="24"/>
          <w:color w:val="auto"/>
        </w:rPr>
      </w:pPr>
    </w:p>
    <w:p>
      <w:pPr>
        <w:ind w:left="1080"/>
        <w:spacing w:after="0"/>
        <w:rPr>
          <w:sz w:val="20"/>
          <w:szCs w:val="20"/>
          <w:color w:val="auto"/>
        </w:rPr>
      </w:pPr>
      <w:r>
        <w:rPr>
          <w:rFonts w:ascii="Arial" w:cs="Arial" w:eastAsia="Arial" w:hAnsi="Arial"/>
          <w:sz w:val="22"/>
          <w:szCs w:val="22"/>
          <w:color w:val="auto"/>
        </w:rPr>
        <w:t>8)</w:t>
      </w:r>
      <w:r>
        <w:rPr>
          <w:rFonts w:ascii="Arial" w:cs="Arial" w:eastAsia="Arial" w:hAnsi="Arial"/>
          <w:sz w:val="22"/>
          <w:szCs w:val="22"/>
          <w:b w:val="1"/>
          <w:bCs w:val="1"/>
          <w:color w:val="auto"/>
        </w:rPr>
        <w:t>SHARED DISPOSITIVE POWER:</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p>
    <w:p>
      <w:pPr>
        <w:spacing w:after="0" w:line="206" w:lineRule="exact"/>
        <w:rPr>
          <w:sz w:val="24"/>
          <w:szCs w:val="24"/>
          <w:color w:val="auto"/>
        </w:rPr>
      </w:pPr>
    </w:p>
    <w:p>
      <w:pPr>
        <w:ind w:left="1080"/>
        <w:spacing w:after="0"/>
        <w:rPr>
          <w:sz w:val="20"/>
          <w:szCs w:val="20"/>
          <w:color w:val="auto"/>
        </w:rPr>
      </w:pPr>
      <w:r>
        <w:rPr>
          <w:rFonts w:ascii="Arial" w:cs="Arial" w:eastAsia="Arial" w:hAnsi="Arial"/>
          <w:sz w:val="21"/>
          <w:szCs w:val="21"/>
          <w:color w:val="auto"/>
        </w:rPr>
        <w:t>9)</w:t>
      </w:r>
      <w:r>
        <w:rPr>
          <w:rFonts w:ascii="Arial" w:cs="Arial" w:eastAsia="Arial" w:hAnsi="Arial"/>
          <w:sz w:val="21"/>
          <w:szCs w:val="21"/>
          <w:b w:val="1"/>
          <w:bCs w:val="1"/>
          <w:color w:val="auto"/>
        </w:rPr>
        <w:t>AGGREGATE AMOUNT BENEFICIALLY OWNED BY EACH REPORTING PERSON</w:t>
      </w:r>
      <w:r>
        <w:rPr>
          <w:rFonts w:ascii="Arial" w:cs="Arial" w:eastAsia="Arial" w:hAnsi="Arial"/>
          <w:sz w:val="21"/>
          <w:szCs w:val="21"/>
          <w:u w:val="single" w:color="auto"/>
          <w:color w:val="auto"/>
        </w:rPr>
        <w:t>: 1,562,181</w:t>
      </w:r>
    </w:p>
    <w:p>
      <w:pPr>
        <w:spacing w:after="0" w:line="218" w:lineRule="exact"/>
        <w:rPr>
          <w:sz w:val="24"/>
          <w:szCs w:val="24"/>
          <w:color w:val="auto"/>
        </w:rPr>
      </w:pPr>
    </w:p>
    <w:p>
      <w:pPr>
        <w:ind w:left="1080"/>
        <w:spacing w:after="0"/>
        <w:rPr>
          <w:sz w:val="20"/>
          <w:szCs w:val="20"/>
          <w:color w:val="auto"/>
        </w:rPr>
      </w:pPr>
      <w:r>
        <w:rPr>
          <w:rFonts w:ascii="Arial" w:cs="Arial" w:eastAsia="Arial" w:hAnsi="Arial"/>
          <w:sz w:val="21"/>
          <w:szCs w:val="21"/>
          <w:color w:val="auto"/>
        </w:rPr>
        <w:t>10)</w:t>
      </w:r>
      <w:r>
        <w:rPr>
          <w:rFonts w:ascii="Arial" w:cs="Arial" w:eastAsia="Arial" w:hAnsi="Arial"/>
          <w:sz w:val="21"/>
          <w:szCs w:val="21"/>
          <w:b w:val="1"/>
          <w:bCs w:val="1"/>
          <w:color w:val="auto"/>
        </w:rPr>
        <w:t>CHECK BOX IF THE AGGREGATE AMOUNT IN ROW (9) EXCLUDES CERTAIN SHARES</w:t>
      </w:r>
      <w:r>
        <w:rPr>
          <w:rFonts w:ascii="Arial" w:cs="Arial" w:eastAsia="Arial" w:hAnsi="Arial"/>
          <w:sz w:val="21"/>
          <w:szCs w:val="21"/>
          <w:color w:val="auto"/>
        </w:rPr>
        <w:t xml:space="preserve"> o</w:t>
      </w:r>
    </w:p>
    <w:p>
      <w:pPr>
        <w:spacing w:after="0" w:line="218" w:lineRule="exact"/>
        <w:rPr>
          <w:sz w:val="24"/>
          <w:szCs w:val="24"/>
          <w:color w:val="auto"/>
        </w:rPr>
      </w:pPr>
    </w:p>
    <w:p>
      <w:pPr>
        <w:ind w:left="1080"/>
        <w:spacing w:after="0"/>
        <w:rPr>
          <w:sz w:val="20"/>
          <w:szCs w:val="20"/>
          <w:color w:val="auto"/>
        </w:rPr>
      </w:pPr>
      <w:r>
        <w:rPr>
          <w:rFonts w:ascii="Arial" w:cs="Arial" w:eastAsia="Arial" w:hAnsi="Arial"/>
          <w:sz w:val="22"/>
          <w:szCs w:val="22"/>
          <w:color w:val="auto"/>
        </w:rPr>
        <w:t>11)</w:t>
      </w: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xml:space="preserve"> </w:t>
      </w:r>
      <w:r>
        <w:rPr>
          <w:rFonts w:ascii="Arial" w:cs="Arial" w:eastAsia="Arial" w:hAnsi="Arial"/>
          <w:sz w:val="22"/>
          <w:szCs w:val="22"/>
          <w:u w:val="single" w:color="auto"/>
          <w:color w:val="auto"/>
        </w:rPr>
        <w:t>2.90%</w:t>
      </w:r>
    </w:p>
    <w:p>
      <w:pPr>
        <w:spacing w:after="0" w:line="206" w:lineRule="exact"/>
        <w:rPr>
          <w:sz w:val="24"/>
          <w:szCs w:val="24"/>
          <w:color w:val="auto"/>
        </w:rPr>
      </w:pPr>
    </w:p>
    <w:p>
      <w:pPr>
        <w:ind w:left="1080"/>
        <w:spacing w:after="0"/>
        <w:rPr>
          <w:sz w:val="20"/>
          <w:szCs w:val="20"/>
          <w:color w:val="auto"/>
        </w:rPr>
      </w:pPr>
      <w:r>
        <w:rPr>
          <w:rFonts w:ascii="Arial" w:cs="Arial" w:eastAsia="Arial" w:hAnsi="Arial"/>
          <w:sz w:val="22"/>
          <w:szCs w:val="22"/>
          <w:color w:val="auto"/>
        </w:rPr>
        <w:t>12)</w:t>
      </w:r>
      <w:r>
        <w:rPr>
          <w:rFonts w:ascii="Arial" w:cs="Arial" w:eastAsia="Arial" w:hAnsi="Arial"/>
          <w:sz w:val="22"/>
          <w:szCs w:val="22"/>
          <w:b w:val="1"/>
          <w:bCs w:val="1"/>
          <w:color w:val="auto"/>
        </w:rPr>
        <w:t>TYPE OF REPORTING PERSON:</w:t>
      </w:r>
      <w:r>
        <w:rPr>
          <w:rFonts w:ascii="Arial" w:cs="Arial" w:eastAsia="Arial" w:hAnsi="Arial"/>
          <w:sz w:val="22"/>
          <w:szCs w:val="22"/>
          <w:color w:val="auto"/>
        </w:rPr>
        <w:t xml:space="preserve"> </w:t>
      </w:r>
      <w:r>
        <w:rPr>
          <w:rFonts w:ascii="Arial" w:cs="Arial" w:eastAsia="Arial" w:hAnsi="Arial"/>
          <w:sz w:val="22"/>
          <w:szCs w:val="22"/>
          <w:u w:val="single" w:color="auto"/>
          <w:color w:val="auto"/>
        </w:rPr>
        <w:t>IA</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1(a). Name of Issuer:</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XPO Logistics Inc.</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1(b). Address of Issuer's Principal Executive Offices:</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5 Greenwich Office Park</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Greenwich, CT 06831</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 xml:space="preserve">Item 2(a). Name of Person Filing: </w:t>
      </w:r>
      <w:r>
        <w:rPr>
          <w:rFonts w:ascii="Arial" w:cs="Arial" w:eastAsia="Arial" w:hAnsi="Arial"/>
          <w:sz w:val="22"/>
          <w:szCs w:val="22"/>
          <w:u w:val="single" w:color="auto"/>
          <w:color w:val="auto"/>
        </w:rPr>
        <w:t>Lazard Asset Management LLC</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2(b). Address of Principal Business Office or, if None, Residence:</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30 Rockefeller Plaza</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New York, New York 10112</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 xml:space="preserve">Item 2(c):Citizenship: </w:t>
      </w:r>
      <w:r>
        <w:rPr>
          <w:rFonts w:ascii="Arial" w:cs="Arial" w:eastAsia="Arial" w:hAnsi="Arial"/>
          <w:sz w:val="22"/>
          <w:szCs w:val="22"/>
          <w:u w:val="single" w:color="auto"/>
          <w:color w:val="auto"/>
        </w:rPr>
        <w:t>Delaware Limited Liability Company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 xml:space="preserve">Item 2(d):Title of Class of Securities: </w:t>
      </w:r>
      <w:r>
        <w:rPr>
          <w:rFonts w:ascii="Arial" w:cs="Arial" w:eastAsia="Arial" w:hAnsi="Arial"/>
          <w:sz w:val="22"/>
          <w:szCs w:val="22"/>
          <w:u w:val="single" w:color="auto"/>
          <w:color w:val="auto"/>
        </w:rPr>
        <w:t>Common Stock</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 xml:space="preserve">Item 2(e):CUSIP Number: </w:t>
      </w:r>
      <w:r>
        <w:rPr>
          <w:rFonts w:ascii="Arial" w:cs="Arial" w:eastAsia="Arial" w:hAnsi="Arial"/>
          <w:sz w:val="22"/>
          <w:szCs w:val="22"/>
          <w:u w:val="single" w:color="auto"/>
          <w:color w:val="auto"/>
        </w:rPr>
        <w:t>983793100</w:t>
      </w:r>
    </w:p>
    <w:p>
      <w:pPr>
        <w:spacing w:after="0" w:line="20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Item 3:If this statement is filed pursuant to Rules 13d-1(b), or 13d-2(b), check whether the person filing is 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o (a) Broker or Dealer Registered Under Section 15 of the Act</w:t>
      </w:r>
    </w:p>
    <w:p>
      <w:pPr>
        <w:spacing w:after="0" w:line="206" w:lineRule="exact"/>
        <w:rPr>
          <w:sz w:val="24"/>
          <w:szCs w:val="24"/>
          <w:color w:val="auto"/>
        </w:rPr>
      </w:pPr>
    </w:p>
    <w:p>
      <w:pPr>
        <w:ind w:left="1080"/>
        <w:spacing w:after="0"/>
        <w:rPr>
          <w:sz w:val="20"/>
          <w:szCs w:val="20"/>
          <w:color w:val="auto"/>
        </w:rPr>
      </w:pPr>
      <w:r>
        <w:rPr>
          <w:rFonts w:ascii="Arial" w:cs="Arial" w:eastAsia="Arial" w:hAnsi="Arial"/>
          <w:sz w:val="22"/>
          <w:szCs w:val="22"/>
          <w:color w:val="auto"/>
        </w:rPr>
        <w:t>(e) Investment Adviser registered under section 203 of the Investment Advisers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2" w:lineRule="exact"/>
        <w:rPr>
          <w:sz w:val="24"/>
          <w:szCs w:val="24"/>
          <w:color w:val="auto"/>
        </w:rPr>
      </w:pPr>
    </w:p>
    <w:p>
      <w:pPr>
        <w:ind w:left="1620"/>
        <w:spacing w:after="0"/>
        <w:rPr>
          <w:sz w:val="20"/>
          <w:szCs w:val="20"/>
          <w:color w:val="auto"/>
        </w:rPr>
      </w:pPr>
      <w:r>
        <w:rPr>
          <w:rFonts w:ascii="Arial" w:cs="Arial" w:eastAsia="Arial" w:hAnsi="Arial"/>
          <w:sz w:val="22"/>
          <w:szCs w:val="22"/>
          <w:color w:val="auto"/>
        </w:rPr>
        <w:t xml:space="preserve">(a)Amount beneficially owned: </w:t>
      </w:r>
      <w:r>
        <w:rPr>
          <w:rFonts w:ascii="Arial" w:cs="Arial" w:eastAsia="Arial" w:hAnsi="Arial"/>
          <w:sz w:val="22"/>
          <w:szCs w:val="22"/>
          <w:u w:val="single" w:color="auto"/>
          <w:color w:val="auto"/>
        </w:rPr>
        <w:t>1,562,181</w:t>
      </w:r>
    </w:p>
    <w:p>
      <w:pPr>
        <w:spacing w:after="0" w:line="206" w:lineRule="exact"/>
        <w:rPr>
          <w:sz w:val="24"/>
          <w:szCs w:val="24"/>
          <w:color w:val="auto"/>
        </w:rPr>
      </w:pPr>
    </w:p>
    <w:p>
      <w:pPr>
        <w:ind w:left="1620"/>
        <w:spacing w:after="0"/>
        <w:rPr>
          <w:sz w:val="20"/>
          <w:szCs w:val="20"/>
          <w:color w:val="auto"/>
        </w:rPr>
      </w:pPr>
      <w:r>
        <w:rPr>
          <w:rFonts w:ascii="Arial" w:cs="Arial" w:eastAsia="Arial" w:hAnsi="Arial"/>
          <w:sz w:val="22"/>
          <w:szCs w:val="22"/>
          <w:color w:val="auto"/>
        </w:rPr>
        <w:t xml:space="preserve">(b)percent of class: </w:t>
      </w:r>
      <w:r>
        <w:rPr>
          <w:rFonts w:ascii="Arial" w:cs="Arial" w:eastAsia="Arial" w:hAnsi="Arial"/>
          <w:sz w:val="22"/>
          <w:szCs w:val="22"/>
          <w:u w:val="single" w:color="auto"/>
          <w:color w:val="auto"/>
        </w:rPr>
        <w:t>2.90%</w:t>
      </w:r>
    </w:p>
    <w:p>
      <w:pPr>
        <w:spacing w:after="0" w:line="206" w:lineRule="exact"/>
        <w:rPr>
          <w:sz w:val="24"/>
          <w:szCs w:val="24"/>
          <w:color w:val="auto"/>
        </w:rPr>
      </w:pPr>
    </w:p>
    <w:p>
      <w:pPr>
        <w:ind w:left="1620"/>
        <w:spacing w:after="0"/>
        <w:rPr>
          <w:sz w:val="20"/>
          <w:szCs w:val="20"/>
          <w:color w:val="auto"/>
        </w:rPr>
      </w:pPr>
      <w:r>
        <w:rPr>
          <w:rFonts w:ascii="Arial" w:cs="Arial" w:eastAsia="Arial" w:hAnsi="Arial"/>
          <w:sz w:val="22"/>
          <w:szCs w:val="22"/>
          <w:color w:val="auto"/>
        </w:rPr>
        <w:t>(c)Number of shares as to which such person has:</w:t>
      </w:r>
    </w:p>
    <w:p>
      <w:pPr>
        <w:spacing w:after="0" w:line="206" w:lineRule="exact"/>
        <w:rPr>
          <w:sz w:val="24"/>
          <w:szCs w:val="24"/>
          <w:color w:val="auto"/>
        </w:rPr>
      </w:pPr>
    </w:p>
    <w:p>
      <w:pPr>
        <w:ind w:left="3240"/>
        <w:spacing w:after="0"/>
        <w:rPr>
          <w:sz w:val="20"/>
          <w:szCs w:val="20"/>
          <w:color w:val="auto"/>
        </w:rPr>
      </w:pPr>
      <w:r>
        <w:rPr>
          <w:rFonts w:ascii="Arial" w:cs="Arial" w:eastAsia="Arial" w:hAnsi="Arial"/>
          <w:sz w:val="22"/>
          <w:szCs w:val="22"/>
          <w:color w:val="auto"/>
        </w:rPr>
        <w:t xml:space="preserve">(i)Sole power to vote or to direct the vote: </w:t>
      </w:r>
      <w:r>
        <w:rPr>
          <w:rFonts w:ascii="Arial" w:cs="Arial" w:eastAsia="Arial" w:hAnsi="Arial"/>
          <w:sz w:val="22"/>
          <w:szCs w:val="22"/>
          <w:u w:val="single" w:color="auto"/>
          <w:color w:val="auto"/>
        </w:rPr>
        <w:t>1,469,413</w:t>
      </w:r>
    </w:p>
    <w:p>
      <w:pPr>
        <w:sectPr>
          <w:pgSz w:w="11900" w:h="16838" w:orient="portrait"/>
          <w:cols w:equalWidth="0" w:num="1">
            <w:col w:w="10560"/>
          </w:cols>
          <w:pgMar w:left="240" w:top="220" w:right="1099" w:bottom="0" w:gutter="0" w:footer="0" w:header="0"/>
        </w:sectPr>
      </w:pPr>
    </w:p>
    <w:bookmarkStart w:id="1" w:name="page2"/>
    <w:bookmarkEnd w:id="1"/>
    <w:p>
      <w:pPr>
        <w:ind w:left="3240"/>
        <w:spacing w:after="0"/>
        <w:rPr>
          <w:sz w:val="20"/>
          <w:szCs w:val="20"/>
          <w:color w:val="auto"/>
        </w:rPr>
      </w:pPr>
      <w:r>
        <w:rPr>
          <w:rFonts w:ascii="Arial" w:cs="Arial" w:eastAsia="Arial" w:hAnsi="Arial"/>
          <w:sz w:val="22"/>
          <w:szCs w:val="22"/>
          <w:color w:val="auto"/>
        </w:rPr>
        <w:t>(ii)Shared power to vote or to direct the vote:</w:t>
      </w:r>
      <w:r>
        <w:rPr>
          <w:rFonts w:ascii="Arial" w:cs="Arial" w:eastAsia="Arial" w:hAnsi="Arial"/>
          <w:sz w:val="22"/>
          <w:szCs w:val="22"/>
          <w:u w:val="single" w:color="auto"/>
          <w:color w:val="auto"/>
        </w:rPr>
        <w:t>-</w:t>
      </w:r>
    </w:p>
    <w:p>
      <w:pPr>
        <w:spacing w:after="0" w:line="20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(iii)Sole power to dispose or to direct the disposition of: </w:t>
      </w:r>
      <w:r>
        <w:rPr>
          <w:rFonts w:ascii="Arial" w:cs="Arial" w:eastAsia="Arial" w:hAnsi="Arial"/>
          <w:sz w:val="22"/>
          <w:szCs w:val="22"/>
          <w:u w:val="single" w:color="auto"/>
          <w:color w:val="auto"/>
        </w:rPr>
        <w:t>1,562,181</w:t>
      </w:r>
    </w:p>
    <w:p>
      <w:pPr>
        <w:spacing w:after="0" w:line="20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(iv)Shared power to dispose or to direct the disposition of:</w:t>
      </w:r>
      <w:r>
        <w:rPr>
          <w:rFonts w:ascii="Arial" w:cs="Arial" w:eastAsia="Arial" w:hAnsi="Arial"/>
          <w:sz w:val="22"/>
          <w:szCs w:val="22"/>
          <w:u w:val="single" w:color="auto"/>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5:Ownership of Five Percent or Less of a Class: </w:t>
      </w:r>
      <w:r>
        <w:rPr>
          <w:rFonts w:ascii="Arial" w:cs="Arial" w:eastAsia="Arial" w:hAnsi="Arial"/>
          <w:sz w:val="22"/>
          <w:szCs w:val="22"/>
          <w:u w:val="single" w:color="auto"/>
          <w:color w:val="auto"/>
        </w:rPr>
        <w:t>Yes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6:Ownership of More than Five Percent on Behalf of Another Person: </w:t>
      </w: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-13970</wp:posOffset>
            </wp:positionV>
            <wp:extent cx="876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76300" cy="8890"/>
                    </a:xfrm>
                    <a:prstGeom prst="rect">
                      <a:avLst/>
                    </a:prstGeom>
                    <a:noFill/>
                  </pic:spPr>
                </pic:pic>
              </a:graphicData>
            </a:graphic>
          </wp:anchor>
        </w:drawing>
      </w:r>
    </w:p>
    <w:p>
      <w:pPr>
        <w:spacing w:after="0" w:line="186" w:lineRule="exact"/>
        <w:rPr>
          <w:sz w:val="20"/>
          <w:szCs w:val="20"/>
          <w:color w:val="auto"/>
        </w:rPr>
      </w:pPr>
    </w:p>
    <w:p>
      <w:pPr>
        <w:ind w:right="180"/>
        <w:spacing w:after="0" w:line="256" w:lineRule="auto"/>
        <w:rPr>
          <w:sz w:val="20"/>
          <w:szCs w:val="20"/>
          <w:color w:val="auto"/>
        </w:rPr>
      </w:pPr>
      <w:r>
        <w:rPr>
          <w:rFonts w:ascii="Arial" w:cs="Arial" w:eastAsia="Arial" w:hAnsi="Arial"/>
          <w:sz w:val="22"/>
          <w:szCs w:val="22"/>
          <w:b w:val="1"/>
          <w:bCs w:val="1"/>
          <w:color w:val="auto"/>
        </w:rPr>
        <w:t xml:space="preserve">Item 7:Identification and Classification of the Subsidiary Which Acquired the Security Being Reported on by the Parent Holding Company: </w:t>
      </w:r>
      <w:r>
        <w:rPr>
          <w:rFonts w:ascii="Arial" w:cs="Arial" w:eastAsia="Arial" w:hAnsi="Arial"/>
          <w:sz w:val="22"/>
          <w:szCs w:val="22"/>
          <w:u w:val="single" w:color="auto"/>
          <w:color w:val="auto"/>
        </w:rPr>
        <w:t>Not applicable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8:Identification and Classification of Members of the Group: </w:t>
      </w:r>
      <w:r>
        <w:rPr>
          <w:rFonts w:ascii="Arial" w:cs="Arial" w:eastAsia="Arial" w:hAnsi="Arial"/>
          <w:sz w:val="22"/>
          <w:szCs w:val="22"/>
          <w:u w:val="single" w:color="auto"/>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9:Notice of Dissolution of Group:</w:t>
      </w:r>
      <w:r>
        <w:rPr>
          <w:rFonts w:ascii="Arial" w:cs="Arial" w:eastAsia="Arial" w:hAnsi="Arial"/>
          <w:sz w:val="22"/>
          <w:szCs w:val="22"/>
          <w:u w:val="single" w:color="auto"/>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10:Certification.</w:t>
      </w:r>
    </w:p>
    <w:p>
      <w:pPr>
        <w:spacing w:after="0" w:line="212" w:lineRule="exact"/>
        <w:rPr>
          <w:sz w:val="20"/>
          <w:szCs w:val="20"/>
          <w:color w:val="auto"/>
        </w:rPr>
      </w:pPr>
    </w:p>
    <w:p>
      <w:pPr>
        <w:jc w:val="both"/>
        <w:ind w:left="1080"/>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SIGNATURE</w:t>
      </w:r>
    </w:p>
    <w:p>
      <w:pPr>
        <w:spacing w:after="0" w:line="212" w:lineRule="exact"/>
        <w:rPr>
          <w:sz w:val="20"/>
          <w:szCs w:val="20"/>
          <w:color w:val="auto"/>
        </w:rPr>
      </w:pPr>
    </w:p>
    <w:p>
      <w:pPr>
        <w:ind w:left="1080" w:right="240"/>
        <w:spacing w:after="0" w:line="251" w:lineRule="auto"/>
        <w:rPr>
          <w:sz w:val="20"/>
          <w:szCs w:val="20"/>
          <w:color w:val="auto"/>
        </w:rPr>
      </w:pPr>
      <w:r>
        <w:rPr>
          <w:rFonts w:ascii="Arial" w:cs="Arial" w:eastAsia="Arial" w:hAnsi="Arial"/>
          <w:sz w:val="22"/>
          <w:szCs w:val="22"/>
          <w:color w:val="auto"/>
        </w:rPr>
        <w:t>After reasonable inquiry and to the best knowledge and belief of the undersigned, the undersigned certifies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 October 8, 2014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Mark Anderson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Chief Compliance Officer</w:t>
      </w:r>
    </w:p>
    <w:sectPr>
      <w:pgSz w:w="11900" w:h="16838" w:orient="portrait"/>
      <w:cols w:equalWidth="0" w:num="1">
        <w:col w:w="11260"/>
      </w:cols>
      <w:pgMar w:left="240" w:top="11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2019-12-07T02:59:03Z</dcterms:created>
  <dcterms:modified xsi:type="dcterms:W3CDTF">2019-12-07T02:59:03Z</dcterms:modified>
</cp:coreProperties>
</file>