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May 27, 2020</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XPO LOGISTICS,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778" w:right="479" w:bottom="1440" w:gutter="0" w:footer="0" w:header="0"/>
        </w:sectPr>
      </w:pPr>
    </w:p>
    <w:p>
      <w:pPr>
        <w:spacing w:after="0" w:line="232"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001-32172</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03-0450326</w:t>
      </w:r>
    </w:p>
    <w:p>
      <w:pPr>
        <w:spacing w:after="0" w:line="86" w:lineRule="exact"/>
        <w:rPr>
          <w:sz w:val="24"/>
          <w:szCs w:val="24"/>
          <w:color w:val="auto"/>
        </w:rPr>
      </w:pPr>
    </w:p>
    <w:p>
      <w:pPr>
        <w:sectPr>
          <w:pgSz w:w="11900" w:h="16838" w:orient="portrait"/>
          <w:cols w:equalWidth="0" w:num="3">
            <w:col w:w="4500" w:space="720"/>
            <w:col w:w="3160" w:space="720"/>
            <w:col w:w="2000"/>
          </w:cols>
          <w:pgMar w:left="320" w:top="778" w:right="479" w:bottom="1440" w:gutter="0" w:footer="0" w:header="0"/>
          <w:type w:val="continuous"/>
        </w:sectPr>
      </w:pPr>
    </w:p>
    <w:p>
      <w:pPr>
        <w:jc w:val="center"/>
        <w:ind w:right="480"/>
        <w:spacing w:after="0"/>
        <w:rPr>
          <w:sz w:val="20"/>
          <w:szCs w:val="20"/>
          <w:color w:val="auto"/>
        </w:rPr>
      </w:pPr>
      <w:r>
        <w:rPr>
          <w:rFonts w:ascii="Arial" w:cs="Arial" w:eastAsia="Arial" w:hAnsi="Arial"/>
          <w:sz w:val="16"/>
          <w:szCs w:val="16"/>
          <w:b w:val="1"/>
          <w:bCs w:val="1"/>
          <w:color w:val="auto"/>
        </w:rPr>
        <w:t>(State or other jurisdiction</w:t>
      </w:r>
    </w:p>
    <w:p>
      <w:pPr>
        <w:spacing w:after="0" w:line="50"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8"/>
          <w:szCs w:val="18"/>
          <w:b w:val="1"/>
          <w:bCs w:val="1"/>
          <w:color w:val="auto"/>
        </w:rPr>
        <w:t>(IRS. Employer</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540" w:space="720"/>
            <w:col w:w="2260"/>
          </w:cols>
          <w:pgMar w:left="320" w:top="778" w:right="479" w:bottom="1440" w:gutter="0" w:footer="0" w:header="0"/>
          <w:type w:val="continuous"/>
        </w:sectPr>
      </w:pPr>
    </w:p>
    <w:p>
      <w:pPr>
        <w:spacing w:after="0" w:line="34" w:lineRule="exact"/>
        <w:rPr>
          <w:sz w:val="24"/>
          <w:szCs w:val="24"/>
          <w:color w:val="auto"/>
        </w:rPr>
      </w:pPr>
    </w:p>
    <w:p>
      <w:pPr>
        <w:ind w:left="2000"/>
        <w:spacing w:after="0"/>
        <w:rPr>
          <w:sz w:val="20"/>
          <w:szCs w:val="20"/>
          <w:color w:val="auto"/>
        </w:rPr>
      </w:pPr>
      <w:r>
        <w:rPr>
          <w:rFonts w:ascii="Arial" w:cs="Arial" w:eastAsia="Arial" w:hAnsi="Arial"/>
          <w:sz w:val="16"/>
          <w:szCs w:val="16"/>
          <w:b w:val="1"/>
          <w:bCs w:val="1"/>
          <w:color w:val="auto"/>
        </w:rPr>
        <w:t>Five American Lane,</w:t>
      </w:r>
    </w:p>
    <w:p>
      <w:pPr>
        <w:spacing w:after="0" w:line="50"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Greenwich, CT</w:t>
      </w:r>
    </w:p>
    <w:p>
      <w:pPr>
        <w:spacing w:after="0" w:line="9"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(Address of principal</w:t>
      </w:r>
    </w:p>
    <w:p>
      <w:pPr>
        <w:spacing w:after="0" w:line="32"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260"/>
        <w:spacing w:after="0"/>
        <w:rPr>
          <w:sz w:val="20"/>
          <w:szCs w:val="20"/>
          <w:color w:val="auto"/>
        </w:rPr>
      </w:pPr>
      <w:r>
        <w:rPr>
          <w:rFonts w:ascii="Arial" w:cs="Arial" w:eastAsia="Arial" w:hAnsi="Arial"/>
          <w:sz w:val="18"/>
          <w:szCs w:val="18"/>
          <w:b w:val="1"/>
          <w:bCs w:val="1"/>
          <w:color w:val="auto"/>
        </w:rPr>
        <w:t>06831</w:t>
      </w:r>
    </w:p>
    <w:p>
      <w:pPr>
        <w:spacing w:after="0" w:line="27"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(Zip Code)</w:t>
      </w:r>
    </w:p>
    <w:p>
      <w:pPr>
        <w:spacing w:after="0" w:line="415" w:lineRule="exact"/>
        <w:rPr>
          <w:sz w:val="24"/>
          <w:szCs w:val="24"/>
          <w:color w:val="auto"/>
        </w:rPr>
      </w:pPr>
    </w:p>
    <w:p>
      <w:pPr>
        <w:sectPr>
          <w:pgSz w:w="11900" w:h="16838" w:orient="portrait"/>
          <w:cols w:equalWidth="0" w:num="2">
            <w:col w:w="7300" w:space="720"/>
            <w:col w:w="3080"/>
          </w:cols>
          <w:pgMar w:left="320" w:top="778" w:right="479" w:bottom="1440" w:gutter="0" w:footer="0" w:header="0"/>
          <w:type w:val="continuous"/>
        </w:sect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(855) 976-6951</w:t>
      </w:r>
    </w:p>
    <w:p>
      <w:pPr>
        <w:spacing w:after="0" w:line="229"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8"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68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Trading symbol(s)</w:t>
            </w:r>
          </w:p>
        </w:tc>
        <w:tc>
          <w:tcPr>
            <w:tcW w:w="330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196"/>
        </w:trPr>
        <w:tc>
          <w:tcPr>
            <w:tcW w:w="86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registered</w:t>
            </w:r>
          </w:p>
        </w:tc>
        <w:tc>
          <w:tcPr>
            <w:tcW w:w="900" w:type="dxa"/>
            <w:vAlign w:val="bottom"/>
            <w:tcBorders>
              <w:top w:val="single" w:sz="8" w:color="auto"/>
            </w:tcBorders>
          </w:tcPr>
          <w:p>
            <w:pPr>
              <w:spacing w:after="0"/>
              <w:rPr>
                <w:sz w:val="17"/>
                <w:szCs w:val="17"/>
                <w:color w:val="auto"/>
              </w:rPr>
            </w:pPr>
          </w:p>
        </w:tc>
      </w:tr>
      <w:tr>
        <w:trPr>
          <w:trHeight w:val="291"/>
        </w:trPr>
        <w:tc>
          <w:tcPr>
            <w:tcW w:w="354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Common stock, par value $0.001 per share</w:t>
            </w:r>
          </w:p>
        </w:tc>
        <w:tc>
          <w:tcPr>
            <w:tcW w:w="460" w:type="dxa"/>
            <w:vAlign w:val="bottom"/>
          </w:tcPr>
          <w:p>
            <w:pPr>
              <w:spacing w:after="0"/>
              <w:rPr>
                <w:sz w:val="24"/>
                <w:szCs w:val="24"/>
                <w:color w:val="auto"/>
              </w:rPr>
            </w:pPr>
          </w:p>
        </w:tc>
        <w:tc>
          <w:tcPr>
            <w:tcW w:w="210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XPO</w:t>
            </w:r>
          </w:p>
        </w:tc>
        <w:tc>
          <w:tcPr>
            <w:tcW w:w="720" w:type="dxa"/>
            <w:vAlign w:val="bottom"/>
          </w:tcPr>
          <w:p>
            <w:pPr>
              <w:spacing w:after="0"/>
              <w:rPr>
                <w:sz w:val="24"/>
                <w:szCs w:val="24"/>
                <w:color w:val="auto"/>
              </w:rPr>
            </w:pPr>
          </w:p>
        </w:tc>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left="40"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6"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lef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78" w:right="47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u w:val="single" w:color="auto"/>
          <w:color w:val="auto"/>
        </w:rPr>
        <w:t>Creation of a Direct Financial Obligation</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May 27, 2020, XPO Logistics, Inc. (“</w:t>
      </w:r>
      <w:r>
        <w:rPr>
          <w:rFonts w:ascii="Arial" w:cs="Arial" w:eastAsia="Arial" w:hAnsi="Arial"/>
          <w:sz w:val="18"/>
          <w:szCs w:val="18"/>
          <w:u w:val="single" w:color="auto"/>
          <w:color w:val="auto"/>
        </w:rPr>
        <w:t>XPO</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completed its previously announced private placement of $300 million aggregate principal amount of 6.250% Senior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 The Notes were issued as an add-on to the Company’s existing 6.250% Senior Notes due 2025, pursuant to the indenture dated as of April 28, 2020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XPO, the guarantors party thereto and Wells Fargo Bank, National Association, as trustee. The aggregate principal amount of 6.250% Senior Notes due 2025 outstanding after the issuance of the Notes is $1.15 billion.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Notes were offered in the United States only to qualified institutional buyers in reliance on Rule 144A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outside the United States, only to non-U.S. investors pursuant to Regulation S under the Securities Act. The offering of the Notes has not been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Notes will bear interest at a rate of 6.250% per annum, payable semiannually in cash in arrears on May 1 and November 1 of each year, commencing November 1, 2020. The Notes will mature on May 1, 2025.</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Notes will be guaranteed by each of XPO’s direct and indirect wholly owned restricted subsidiaries (other than certain excluded subsidiaries) that guarantees or is or becomes a borrower under XPO’s existing secured revolving credit facility or existing secured term loan facility (or certain replacements thereof) or that guarantees certain capital markets indebtedness of XPO or any guarantor of the Notes. The Notes and the guarantees thereof will be unsecured, unsubordinated indebtedness of XPO and the guarantors.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 contains certain customary covenants and events of default (subject in certain cases to customary grace and cure periods).</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Indenture,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This Current Report on Form 8-K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firstLine="648"/>
        <w:spacing w:after="0" w:line="284" w:lineRule="auto"/>
        <w:rPr>
          <w:sz w:val="20"/>
          <w:szCs w:val="20"/>
          <w:color w:val="auto"/>
        </w:rPr>
      </w:pPr>
      <w:r>
        <w:rPr>
          <w:rFonts w:ascii="Arial" w:cs="Arial" w:eastAsia="Arial" w:hAnsi="Arial"/>
          <w:sz w:val="16"/>
          <w:szCs w:val="16"/>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the Company’s filings with the SEC and the following: the severity, magnitude, duration and aftereffects of the COVID-19 pandemic and government responses to the COVID-19 pandemic; public health crises (including COVID-19); economic conditions generally; competition and pricing pressures; the Company’s ability to align its investments in capital assets, including equipment, service centers and warehouses, to its customers’ demands; the Company’s ability to successfully integrate and realize anticipated synergies, cost savings and profit improvement opportunities with respect to acquired companies; the Company’s ability to develop and implement suitable information technology systems and prevent failures in or breaches of such systems; the Company’s substantial indebtedness; the Company’s ability to raise debt and equity capital; the Company’s ability to maintain positive relationships with its network of third-party transportation providers; the Company’s ability to attract and retain qualified drivers; litigation, including litigation related to alleged misclassification of independent contractors and securities class actions; labor matters, including the Company’s ability to manage its subcontractors, and risks associated with labor disputes at the Company’s customers and efforts by labor organizations to organize its employees; risks associated with the Company’s self-insured claims; risks associated with defined benefit plans for the Company’s current and former employees; fluctuations in currency exchange rates; fluctuations in fixed and floating interest rates; fuel price and fuel surcharge changes; issues related to the Company’s intellectual property rights; governmental regulation, including trade compliance laws, as well as changes in international trade policies and tax regimes; governmental or political actions, including the United Kingdom’s exit from the European Union; and natural disasters, terrorist attacks or similar incidents. All forward-looking statements set forth in this Current Report on Form 8-K are qualified by these cautionary statements and there can be no assurance that the actual results or developments anticipated by the Company will be realized or, even if substantially realized, that they will have the expected consequences to, or effects on, the Company or its business or operations. Forward-looking statements set forth in this Current Report on Form 8-K speak only as of the date hereof, and the Company does not undertake any obligation to update forward-looking statements to reflect subsequent events or circumstances, changes in expectations or the occurrence of unanticipated events,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ind w:left="440"/>
              <w:spacing w:after="0"/>
              <w:rPr>
                <w:sz w:val="20"/>
                <w:szCs w:val="20"/>
                <w:color w:val="auto"/>
              </w:rPr>
            </w:pPr>
            <w:r>
              <w:rPr>
                <w:rFonts w:ascii="Arial" w:cs="Arial" w:eastAsia="Arial" w:hAnsi="Arial"/>
                <w:sz w:val="18"/>
                <w:szCs w:val="18"/>
                <w:color w:val="auto"/>
                <w:w w:val="99"/>
              </w:rPr>
              <w:t>(d) Exhibits</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91"/>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24"/>
                <w:szCs w:val="2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Description of Document</w:t>
            </w:r>
          </w:p>
        </w:tc>
        <w:tc>
          <w:tcPr>
            <w:tcW w:w="7960" w:type="dxa"/>
            <w:vAlign w:val="bottom"/>
            <w:gridSpan w:val="2"/>
          </w:tcPr>
          <w:p>
            <w:pPr>
              <w:spacing w:after="0"/>
              <w:rPr>
                <w:sz w:val="24"/>
                <w:szCs w:val="24"/>
                <w:color w:val="auto"/>
              </w:rPr>
            </w:pPr>
          </w:p>
        </w:tc>
      </w:tr>
      <w:tr>
        <w:trPr>
          <w:trHeight w:val="196"/>
        </w:trPr>
        <w:tc>
          <w:tcPr>
            <w:tcW w:w="580" w:type="dxa"/>
            <w:vAlign w:val="bottom"/>
          </w:tcPr>
          <w:p>
            <w:pPr>
              <w:spacing w:after="0" w:line="196" w:lineRule="exact"/>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4.1</w:t>
              </w:r>
            </w:hyperlink>
          </w:p>
        </w:tc>
        <w:tc>
          <w:tcPr>
            <w:tcW w:w="780" w:type="dxa"/>
            <w:vAlign w:val="bottom"/>
          </w:tcPr>
          <w:p>
            <w:pPr>
              <w:spacing w:after="0"/>
              <w:rPr>
                <w:sz w:val="17"/>
                <w:szCs w:val="17"/>
                <w:color w:val="auto"/>
              </w:rPr>
            </w:pPr>
          </w:p>
        </w:tc>
        <w:tc>
          <w:tcPr>
            <w:tcW w:w="9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5">
              <w:r>
                <w:rPr>
                  <w:rFonts w:ascii="Arial" w:cs="Arial" w:eastAsia="Arial" w:hAnsi="Arial"/>
                  <w:sz w:val="18"/>
                  <w:szCs w:val="18"/>
                  <w:color w:val="0000EE"/>
                  <w:w w:val="90"/>
                </w:rPr>
                <w:t>Indenture, dated as of April 28, 2020, among XPO Logistics, Inc., the guarantors party thereto and Wells Fargo Bank, National</w:t>
              </w:r>
            </w:hyperlink>
          </w:p>
        </w:tc>
        <w:tc>
          <w:tcPr>
            <w:tcW w:w="74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Association, as Trustee (incorporated by reference into the Registrant’s Current Report on Form 8-K, dated April 28, 2020 (File No. 001-</w:t>
              </w:r>
            </w:hyperlink>
          </w:p>
        </w:tc>
      </w:tr>
      <w:tr>
        <w:trPr>
          <w:trHeight w:val="196"/>
        </w:trPr>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5">
              <w:r>
                <w:rPr>
                  <w:rFonts w:ascii="Arial" w:cs="Arial" w:eastAsia="Arial" w:hAnsi="Arial"/>
                  <w:sz w:val="18"/>
                  <w:szCs w:val="18"/>
                  <w:color w:val="0000EE"/>
                  <w:w w:val="86"/>
                </w:rPr>
                <w:t>32172)</w:t>
              </w:r>
              <w:r>
                <w:rPr>
                  <w:rFonts w:ascii="Arial" w:cs="Arial" w:eastAsia="Arial" w:hAnsi="Arial"/>
                  <w:sz w:val="18"/>
                  <w:szCs w:val="18"/>
                  <w:u w:val="single" w:color="auto"/>
                  <w:color w:val="0000EE"/>
                  <w:w w:val="86"/>
                </w:rPr>
                <w:t>)</w:t>
              </w:r>
            </w:hyperlink>
          </w:p>
        </w:tc>
        <w:tc>
          <w:tcPr>
            <w:tcW w:w="136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104.1</w:t>
            </w:r>
          </w:p>
        </w:tc>
        <w:tc>
          <w:tcPr>
            <w:tcW w:w="78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27, 2020</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XPO LOGISTICS, INC.</w:t>
            </w:r>
          </w:p>
        </w:tc>
      </w:tr>
      <w:tr>
        <w:trPr>
          <w:trHeight w:val="432"/>
        </w:trPr>
        <w:tc>
          <w:tcPr>
            <w:tcW w:w="356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Karlis P. Kirsis</w:t>
            </w: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Karlis P. Kirsis</w:t>
            </w: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www.sec.gov/Archives/edgar/data/1166003/000110465920052459/tm2016461d5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2020-05-28T05:07:21Z</dcterms:created>
  <dcterms:modified xsi:type="dcterms:W3CDTF">2020-05-28T05:07:21Z</dcterms:modified>
</cp:coreProperties>
</file>