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2015</w:t>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XPO LOGISTICS,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1246"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03-0450326</w:t>
      </w:r>
    </w:p>
    <w:p>
      <w:pPr>
        <w:spacing w:after="0" w:line="92" w:lineRule="exact"/>
        <w:rPr>
          <w:sz w:val="24"/>
          <w:szCs w:val="24"/>
          <w:color w:val="auto"/>
        </w:rPr>
      </w:pPr>
    </w:p>
    <w:p>
      <w:pPr>
        <w:sectPr>
          <w:pgSz w:w="11900" w:h="16838" w:orient="portrait"/>
          <w:cols w:equalWidth="0" w:num="3">
            <w:col w:w="4680" w:space="720"/>
            <w:col w:w="2980" w:space="720"/>
            <w:col w:w="2300"/>
          </w:cols>
          <w:pgMar w:left="240" w:top="1246" w:right="259" w:bottom="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(State or other jurisdiction</w:t>
      </w:r>
    </w:p>
    <w:p>
      <w:pPr>
        <w:spacing w:after="0" w:line="24" w:lineRule="exact"/>
        <w:rPr>
          <w:sz w:val="24"/>
          <w:szCs w:val="24"/>
          <w:color w:val="auto"/>
        </w:rPr>
      </w:pPr>
    </w:p>
    <w:p>
      <w:pPr>
        <w:ind w:left="1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80" w:space="720"/>
            <w:col w:w="3300" w:space="720"/>
            <w:col w:w="2380"/>
          </w:cols>
          <w:pgMar w:left="240" w:top="1246" w:right="259" w:bottom="0" w:gutter="0" w:footer="0" w:header="0"/>
          <w:type w:val="continuous"/>
        </w:sectPr>
      </w:pPr>
    </w:p>
    <w:p>
      <w:pPr>
        <w:spacing w:after="0" w:line="174"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Five Greenwich Office Park</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Greenwich, CT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06831</w:t>
      </w:r>
    </w:p>
    <w:p>
      <w:pPr>
        <w:spacing w:after="0" w:line="91" w:lineRule="exact"/>
        <w:rPr>
          <w:sz w:val="24"/>
          <w:szCs w:val="24"/>
          <w:color w:val="auto"/>
        </w:rPr>
      </w:pPr>
    </w:p>
    <w:p>
      <w:pPr>
        <w:sectPr>
          <w:pgSz w:w="11900" w:h="16838" w:orient="portrait"/>
          <w:cols w:equalWidth="0" w:num="2">
            <w:col w:w="7620" w:space="720"/>
            <w:col w:w="3060"/>
          </w:cols>
          <w:pgMar w:left="240" w:top="1246" w:right="259" w:bottom="0" w:gutter="0" w:footer="0" w:header="0"/>
          <w:type w:val="continuous"/>
        </w:sectPr>
      </w:pPr>
    </w:p>
    <w:p>
      <w:pPr>
        <w:ind w:left="2240"/>
        <w:spacing w:after="0"/>
        <w:rPr>
          <w:sz w:val="20"/>
          <w:szCs w:val="20"/>
          <w:color w:val="auto"/>
        </w:rPr>
      </w:pPr>
      <w:r>
        <w:rPr>
          <w:rFonts w:ascii="Arial" w:cs="Arial" w:eastAsia="Arial" w:hAnsi="Arial"/>
          <w:sz w:val="12"/>
          <w:szCs w:val="12"/>
          <w:b w:val="1"/>
          <w:bCs w:val="1"/>
          <w:color w:val="auto"/>
        </w:rPr>
        <w:t>(Address of principal</w:t>
      </w:r>
    </w:p>
    <w:p>
      <w:pPr>
        <w:spacing w:after="0" w:line="25" w:lineRule="exact"/>
        <w:rPr>
          <w:sz w:val="24"/>
          <w:szCs w:val="24"/>
          <w:color w:val="auto"/>
        </w:rPr>
      </w:pPr>
    </w:p>
    <w:p>
      <w:pPr>
        <w:ind w:left="2380"/>
        <w:spacing w:after="0"/>
        <w:rPr>
          <w:sz w:val="20"/>
          <w:szCs w:val="20"/>
          <w:color w:val="auto"/>
        </w:rPr>
      </w:pPr>
      <w:r>
        <w:rPr>
          <w:rFonts w:ascii="Arial" w:cs="Arial" w:eastAsia="Arial" w:hAnsi="Arial"/>
          <w:sz w:val="12"/>
          <w:szCs w:val="12"/>
          <w:b w:val="1"/>
          <w:bCs w:val="1"/>
          <w:color w:val="auto"/>
        </w:rPr>
        <w:t>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362" w:lineRule="exact"/>
        <w:rPr>
          <w:sz w:val="24"/>
          <w:szCs w:val="24"/>
          <w:color w:val="auto"/>
        </w:rPr>
      </w:pPr>
    </w:p>
    <w:p>
      <w:pPr>
        <w:sectPr>
          <w:pgSz w:w="11900" w:h="16838" w:orient="portrait"/>
          <w:cols w:equalWidth="0" w:num="2">
            <w:col w:w="7540" w:space="720"/>
            <w:col w:w="3140"/>
          </w:cols>
          <w:pgMar w:left="240" w:top="1246" w:right="259" w:bottom="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(855) 976-4636</w:t>
      </w:r>
    </w:p>
    <w:p>
      <w:pPr>
        <w:spacing w:after="0" w:line="200" w:lineRule="exact"/>
        <w:rPr>
          <w:sz w:val="24"/>
          <w:szCs w:val="24"/>
          <w:color w:val="auto"/>
        </w:rPr>
      </w:pPr>
    </w:p>
    <w:p>
      <w:pPr>
        <w:spacing w:after="0" w:line="24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420" w:right="2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Election of Directors</w:t>
      </w:r>
    </w:p>
    <w:p>
      <w:pPr>
        <w:spacing w:after="0" w:line="225"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On December 3, 2015, the Board of Directors of XPO Logistics, Inc. (the “Company” or “XPO”) elected Louis DeJoy as a member of the Company’s Board of Directors, effective immediately. Pursuant to the Company’s bylaws, Mr. DeJoy will serve as a director for an initial term until the Company’s 2016 annual meeting of stockholders. Mr. DeJoy’s election to the Company’s Board of Directors coincides with his retirement from the role of chief executive officer of XPO’s supply chain business in North America.</w:t>
      </w:r>
    </w:p>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As a non-employee director, Mr. DeJoy will be entitled to receive an annual cash retainer (currently $50,000) and an annual restricted stock unit (RSU) grant (currently $175,000 in value), which will be granted on the first business day of each calendar year and will vest on the first anniversary of the grant date. The number of RSUs granted will be determined by dividing $175,000 by the average of the closing price of the company’s common stock on the 10 trading days immediately preceding the grant date.</w:t>
      </w:r>
    </w:p>
    <w:p>
      <w:pPr>
        <w:spacing w:after="0" w:line="187"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In connection with his retirement as the chief executive officer of XPO’s supply chain business in North America, Mr. DeJoy entered into a retirement agreement with the Company pursuant to which he is to receive the following benefits: (i) fully-vested shares of XPO common stock with an initial aggregate value of $2.55 million, and (ii) 23,171 shares of XPO common stock (prior to tax withholdings) in settlement of his outstanding performance-based RSUs.</w:t>
      </w:r>
    </w:p>
    <w:p>
      <w:pPr>
        <w:sectPr>
          <w:pgSz w:w="11900" w:h="16838" w:orient="portrait"/>
          <w:cols w:equalWidth="0" w:num="1">
            <w:col w:w="11400"/>
          </w:cols>
          <w:pgMar w:left="240" w:top="1246" w:right="259" w:bottom="0" w:gutter="0" w:footer="0" w:header="0"/>
          <w:type w:val="continuous"/>
        </w:sectPr>
      </w:pPr>
    </w:p>
    <w:bookmarkStart w:id="1" w:name="page2"/>
    <w:bookmarkEnd w:id="1"/>
    <w:p>
      <w:pPr>
        <w:ind w:right="100"/>
        <w:spacing w:after="0" w:line="308" w:lineRule="auto"/>
        <w:rPr>
          <w:sz w:val="20"/>
          <w:szCs w:val="20"/>
          <w:color w:val="auto"/>
        </w:rPr>
      </w:pPr>
      <w:r>
        <w:rPr>
          <w:rFonts w:ascii="Arial" w:cs="Arial" w:eastAsia="Arial" w:hAnsi="Arial"/>
          <w:sz w:val="17"/>
          <w:szCs w:val="17"/>
          <w:color w:val="auto"/>
        </w:rPr>
        <w:t>All other RSUs held by Mr. DeJoy will be forfeited. The shares of XPO common stock issued to Mr. DeJoy pursuant to the retirement agreement are subject to resale restrictions until at least six months following the conclusion of his service on the Company’s Board of Directors.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stockholder of New Breed Holding Company (“New Breed”), which was acquired by the Company on September 2, 2014, Mr. DeJoy received a cash consideration in connection with the acquisition, pursuant to the Agreement and Plan of Merger dated July 29, 2014, which was filed as an exhibit to the Form 8-K filed by the Company on September 2, 2014. Mr. DeJoy also entered into a subscription agreement with the Company pursuant to which, on September 2, 2014, he invested $30 million of the merger consideration he received in restricted shares of XPO common stock. The shares of XPO common stock acquired by Mr. DeJoy pursuant to the subscription agreement are subject to resale restrictions until September 2, 2016. Pursuant to the retirement agreement, the shares of XPO common stock acquired by Mr. DeJoy pursuant to the subscription agreement will be subject to resale restrictions until the later of six months after his Board service ends or the duration of the original resale restriction.</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New Breed acquisition, XPO and New Breed entered into an amended and restated employment agreement with Mr. DeJoy, which provided for the terms of Mr. DeJoy’s continued employment with XPO following the completion of the merger and until the termination of his employment. Mr. DeJoy received a base salary at a rate of $1.275 million per year from the September 2014 completion of the New Breed acquisition until his retirement date, and was eligible for an annual cash bonus with a target of 100% of his base salary.</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September 2014, in conjunction with the Company’s acquisition of New Breed, the Company, through its subsidiaries, entered into four commercial lease agreements covering a total of approximately 142,991 square feet of office space located in High Point, N.C., with certain entities affiliated with Mr. DeJoy. The details of the lease agreements are as follows: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8"/>
              </w:rPr>
              <w:t>Square</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Lease Term End</w:t>
            </w:r>
          </w:p>
        </w:tc>
        <w:tc>
          <w:tcPr>
            <w:tcW w:w="300" w:type="dxa"/>
            <w:vAlign w:val="bottom"/>
          </w:tcPr>
          <w:p>
            <w:pPr>
              <w:spacing w:after="0"/>
              <w:rPr>
                <w:sz w:val="17"/>
                <w:szCs w:val="17"/>
                <w:color w:val="auto"/>
              </w:rPr>
            </w:pPr>
          </w:p>
        </w:tc>
        <w:tc>
          <w:tcPr>
            <w:tcW w:w="27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8"/>
              </w:rPr>
              <w:t>Aggregate Rent Payments Paid in</w:t>
            </w: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Aggregate Rent Payments Expected</w:t>
            </w:r>
          </w:p>
        </w:tc>
      </w:tr>
      <w:tr>
        <w:trPr>
          <w:trHeight w:val="20"/>
        </w:trPr>
        <w:tc>
          <w:tcPr>
            <w:tcW w:w="32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196"/>
        </w:trPr>
        <w:tc>
          <w:tcPr>
            <w:tcW w:w="3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Leased Property</w:t>
            </w: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77"/>
              </w:rPr>
              <w:t>Footage</w:t>
            </w:r>
          </w:p>
        </w:tc>
        <w:tc>
          <w:tcPr>
            <w:tcW w:w="900" w:type="dxa"/>
            <w:vAlign w:val="bottom"/>
          </w:tcPr>
          <w:p>
            <w:pPr>
              <w:spacing w:after="0"/>
              <w:rPr>
                <w:sz w:val="17"/>
                <w:szCs w:val="17"/>
                <w:color w:val="auto"/>
              </w:rPr>
            </w:pPr>
          </w:p>
        </w:tc>
        <w:tc>
          <w:tcPr>
            <w:tcW w:w="660" w:type="dxa"/>
            <w:vAlign w:val="bottom"/>
            <w:gridSpan w:val="2"/>
          </w:tcPr>
          <w:p>
            <w:pPr>
              <w:jc w:val="right"/>
              <w:ind w:right="300"/>
              <w:spacing w:after="0" w:line="196" w:lineRule="exact"/>
              <w:rPr>
                <w:sz w:val="20"/>
                <w:szCs w:val="20"/>
                <w:color w:val="auto"/>
              </w:rPr>
            </w:pPr>
            <w:r>
              <w:rPr>
                <w:rFonts w:ascii="Arial" w:cs="Arial" w:eastAsia="Arial" w:hAnsi="Arial"/>
                <w:sz w:val="18"/>
                <w:szCs w:val="18"/>
                <w:b w:val="1"/>
                <w:bCs w:val="1"/>
                <w:color w:val="auto"/>
                <w:w w:val="87"/>
              </w:rPr>
              <w:t>Date</w:t>
            </w:r>
          </w:p>
        </w:tc>
        <w:tc>
          <w:tcPr>
            <w:tcW w:w="25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to be Paid in 2015</w:t>
            </w:r>
          </w:p>
        </w:tc>
      </w:tr>
      <w:tr>
        <w:trPr>
          <w:trHeight w:val="20"/>
        </w:trPr>
        <w:tc>
          <w:tcPr>
            <w:tcW w:w="1260" w:type="dxa"/>
            <w:vAlign w:val="bottom"/>
            <w:shd w:val="clear" w:color="auto" w:fill="000000"/>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3280" w:type="dxa"/>
            <w:vAlign w:val="bottom"/>
            <w:gridSpan w:val="2"/>
          </w:tcPr>
          <w:p>
            <w:pPr>
              <w:spacing w:after="0"/>
              <w:rPr>
                <w:sz w:val="20"/>
                <w:szCs w:val="20"/>
                <w:color w:val="auto"/>
              </w:rPr>
            </w:pPr>
            <w:r>
              <w:rPr>
                <w:rFonts w:ascii="Arial" w:cs="Arial" w:eastAsia="Arial" w:hAnsi="Arial"/>
                <w:sz w:val="18"/>
                <w:szCs w:val="18"/>
                <w:color w:val="auto"/>
              </w:rPr>
              <w:t>4000 Piedmont Parkway</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26,809</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1/31/2019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$114,653</w:t>
            </w:r>
          </w:p>
        </w:tc>
        <w:tc>
          <w:tcPr>
            <w:tcW w:w="160" w:type="dxa"/>
            <w:vAlign w:val="bottom"/>
          </w:tcPr>
          <w:p>
            <w:pPr>
              <w:spacing w:after="0"/>
              <w:rPr>
                <w:sz w:val="24"/>
                <w:szCs w:val="24"/>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$348,316</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4035 Piedmont Parkway</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46,082</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9/30/2019</w:t>
            </w:r>
          </w:p>
        </w:tc>
        <w:tc>
          <w:tcPr>
            <w:tcW w:w="2740" w:type="dxa"/>
            <w:vAlign w:val="bottom"/>
            <w:gridSpan w:val="3"/>
          </w:tcPr>
          <w:p>
            <w:pPr>
              <w:jc w:val="right"/>
              <w:ind w:right="160"/>
              <w:spacing w:after="0"/>
              <w:rPr>
                <w:sz w:val="20"/>
                <w:szCs w:val="20"/>
                <w:color w:val="auto"/>
              </w:rPr>
            </w:pPr>
            <w:r>
              <w:rPr>
                <w:rFonts w:ascii="Arial" w:cs="Arial" w:eastAsia="Arial" w:hAnsi="Arial"/>
                <w:sz w:val="18"/>
                <w:szCs w:val="18"/>
                <w:color w:val="auto"/>
              </w:rPr>
              <w:t>$185,480</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$567,989</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4043 Piedmont Parkway</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52,100</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9/30/2019</w:t>
            </w:r>
          </w:p>
        </w:tc>
        <w:tc>
          <w:tcPr>
            <w:tcW w:w="2740" w:type="dxa"/>
            <w:vAlign w:val="bottom"/>
            <w:gridSpan w:val="3"/>
          </w:tcPr>
          <w:p>
            <w:pPr>
              <w:jc w:val="right"/>
              <w:ind w:right="160"/>
              <w:spacing w:after="0"/>
              <w:rPr>
                <w:sz w:val="20"/>
                <w:szCs w:val="20"/>
                <w:color w:val="auto"/>
              </w:rPr>
            </w:pPr>
            <w:r>
              <w:rPr>
                <w:rFonts w:ascii="Arial" w:cs="Arial" w:eastAsia="Arial" w:hAnsi="Arial"/>
                <w:sz w:val="18"/>
                <w:szCs w:val="18"/>
                <w:color w:val="auto"/>
              </w:rPr>
              <w:t>$227,178</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$695,679</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4239 Piedmont Parkway</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18,000</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9/30/2019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23"/>
                <w:szCs w:val="23"/>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$240,000</w:t>
            </w:r>
          </w:p>
        </w:tc>
      </w:tr>
    </w:tbl>
    <w:p>
      <w:pPr>
        <w:sectPr>
          <w:pgSz w:w="11900" w:h="16838" w:orient="portrait"/>
          <w:cols w:equalWidth="0" w:num="1">
            <w:col w:w="11380"/>
          </w:cols>
          <w:pgMar w:left="240" w:top="12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Each lease agreement provides the Company, as tenant, with two five-year option periods to extend the lease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December 7, 2015, the Company issued a press release announcing the election of Mr. DeJoy to the Board of Directors, and further announcing the appointment of Dr. Ashfaque Chowdhury as president of its supply chain business for the Americas and Asia Pacific. Dr. Chowdhury has served in senior positions with the business for more than two decades. The press release is attached as Exhibit 99.1 hereto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Number</w:t>
            </w:r>
          </w:p>
        </w:tc>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1"/>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5420" w:type="dxa"/>
            <w:vAlign w:val="bottom"/>
            <w:gridSpan w:val="2"/>
          </w:tcPr>
          <w:p>
            <w:pPr>
              <w:ind w:left="320"/>
              <w:spacing w:after="0"/>
              <w:rPr>
                <w:sz w:val="20"/>
                <w:szCs w:val="20"/>
                <w:color w:val="auto"/>
              </w:rPr>
            </w:pPr>
            <w:r>
              <w:rPr>
                <w:rFonts w:ascii="Arial" w:cs="Arial" w:eastAsia="Arial" w:hAnsi="Arial"/>
                <w:sz w:val="18"/>
                <w:szCs w:val="18"/>
                <w:color w:val="auto"/>
              </w:rPr>
              <w:t>Press Release of XPO Logistics, Inc. dated December 7, 2015.</w:t>
            </w:r>
          </w:p>
        </w:tc>
      </w:tr>
    </w:tbl>
    <w:p>
      <w:pPr>
        <w:sectPr>
          <w:pgSz w:w="11900" w:h="16838" w:orient="portrait"/>
          <w:cols w:equalWidth="0" w:num="1">
            <w:col w:w="11080"/>
          </w:cols>
          <w:pgMar w:left="240" w:top="800" w:right="5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140"/>
        <w:spacing w:after="0"/>
        <w:tabs>
          <w:tab w:leader="none" w:pos="5680" w:val="left"/>
        </w:tabs>
        <w:rPr>
          <w:sz w:val="20"/>
          <w:szCs w:val="20"/>
          <w:color w:val="auto"/>
        </w:rPr>
      </w:pPr>
      <w:r>
        <w:rPr>
          <w:rFonts w:ascii="Arial" w:cs="Arial" w:eastAsia="Arial" w:hAnsi="Arial"/>
          <w:sz w:val="18"/>
          <w:szCs w:val="18"/>
          <w:color w:val="auto"/>
        </w:rPr>
        <w:t>Dated December 7, 2015</w:t>
      </w:r>
      <w:r>
        <w:rPr>
          <w:sz w:val="20"/>
          <w:szCs w:val="20"/>
          <w:color w:val="auto"/>
        </w:rPr>
        <w:tab/>
      </w:r>
      <w:r>
        <w:rPr>
          <w:rFonts w:ascii="Arial" w:cs="Arial" w:eastAsia="Arial" w:hAnsi="Arial"/>
          <w:sz w:val="17"/>
          <w:szCs w:val="17"/>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0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E. Devens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Gordon E. Devens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940"/>
          </w:cols>
          <w:pgMar w:left="240" w:top="81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gridSpan w:val="2"/>
          </w:tcPr>
          <w:p>
            <w:pPr>
              <w:ind w:left="4040"/>
              <w:spacing w:after="0"/>
              <w:rPr>
                <w:sz w:val="20"/>
                <w:szCs w:val="20"/>
                <w:color w:val="auto"/>
              </w:rPr>
            </w:pPr>
            <w:r>
              <w:rPr>
                <w:rFonts w:ascii="Arial" w:cs="Arial" w:eastAsia="Arial" w:hAnsi="Arial"/>
                <w:sz w:val="16"/>
                <w:szCs w:val="16"/>
                <w:b w:val="1"/>
                <w:bCs w:val="1"/>
                <w:color w:val="auto"/>
              </w:rPr>
              <w:t>EXHIBIT INDEX</w:t>
            </w:r>
          </w:p>
        </w:tc>
      </w:tr>
      <w:tr>
        <w:trPr>
          <w:trHeight w:val="519"/>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Number</w:t>
            </w:r>
          </w:p>
        </w:tc>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1"/>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5420" w:type="dxa"/>
            <w:vAlign w:val="bottom"/>
            <w:gridSpan w:val="2"/>
          </w:tcPr>
          <w:p>
            <w:pPr>
              <w:ind w:left="320"/>
              <w:spacing w:after="0"/>
              <w:rPr>
                <w:sz w:val="20"/>
                <w:szCs w:val="20"/>
                <w:color w:val="auto"/>
              </w:rPr>
            </w:pPr>
            <w:r>
              <w:rPr>
                <w:rFonts w:ascii="Arial" w:cs="Arial" w:eastAsia="Arial" w:hAnsi="Arial"/>
                <w:sz w:val="18"/>
                <w:szCs w:val="18"/>
                <w:color w:val="auto"/>
              </w:rPr>
              <w:t>Press Release of XPO Logistics, Inc. dated December 7, 2015.</w:t>
            </w:r>
          </w:p>
        </w:tc>
      </w:tr>
    </w:tbl>
    <w:p>
      <w:pPr>
        <w:sectPr>
          <w:pgSz w:w="11900" w:h="16838" w:orient="portrait"/>
          <w:cols w:equalWidth="0" w:num="1">
            <w:col w:w="10099"/>
          </w:cols>
          <w:pgMar w:left="360" w:top="77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163195</wp:posOffset>
            </wp:positionV>
            <wp:extent cx="206692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69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Louis DeJoy Appointed to XPO Logistics Board of Directors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XPO supply chain executive DeJoy assumes strategic role post-retirement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Ashfaque Chowdhury promoted to president–supply chain</w:t>
      </w:r>
    </w:p>
    <w:p>
      <w:pPr>
        <w:spacing w:after="0" w:line="200" w:lineRule="exact"/>
        <w:rPr>
          <w:sz w:val="20"/>
          <w:szCs w:val="20"/>
          <w:color w:val="auto"/>
        </w:rPr>
      </w:pPr>
    </w:p>
    <w:p>
      <w:pPr>
        <w:spacing w:after="0" w:line="34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auto"/>
        </w:rPr>
        <w:t xml:space="preserve">GREENWICH, Conn. — December 7, 2015 — </w:t>
      </w:r>
      <w:r>
        <w:rPr>
          <w:rFonts w:ascii="Arial" w:cs="Arial" w:eastAsia="Arial" w:hAnsi="Arial"/>
          <w:sz w:val="20"/>
          <w:szCs w:val="20"/>
          <w:color w:val="auto"/>
        </w:rPr>
        <w:t>XPO Logistics, Inc. (NYSE: XPO) today announced that Louis DeJoy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to the company’s board of directors, coinciding with his retirement from the role of chief executive officer of XPO’s supply chain business in North America. He is succeeded by Ashfaque Chowdhury, Ph.D., who has been appointed president of XPO’s supply chain business in the Americas and Asia Pacific. Dr. Chowdhury has served in senior positions with the company for more than two decades.</w:t>
      </w:r>
    </w:p>
    <w:p>
      <w:pPr>
        <w:spacing w:after="0" w:line="218"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Mr. DeJoy joined XPO Logistics from New Breed Logistics, which was acquired by XPO in 2014. As New Breed’s chairman and chief executive officer from 1983 to 2014, he grew the company from a small, regional operation to a leading U.S. provider of highly engineered, technology-enabled contract logistics. Under Mr. DeJoy’s leadership, XPO’s supply chain network in North America surpassed 50 million square feet of facility space with the integration of high-value-add operations for e-commerce fulfillment, warehousing and distribution.</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9"/>
          <w:szCs w:val="19"/>
          <w:color w:val="auto"/>
        </w:rPr>
        <w:t>Mr. DeJoy is a member of the boards of trustees of Elon University and the PGA Wyndham Championship, and serves on the board of directors for The Fund for American Studies in Washington, DC. He is a past member of the board of trustees of Moses Cone Health System in North Carolina, and was an appointee to the President’s Commission on White House Fellowships.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Dr. Chowdhury previously served as XPO’s executive vice president and chief information officer for supply chain, with responsibility for technology services and advanced solutions. Formerly with New Breed Logistics since 1994, Dr. Chowdhury has been instrumental in implementing sophisticated supply chain solutions for some of the most prestigious companies in the world.</w:t>
      </w:r>
    </w:p>
    <w:p>
      <w:pPr>
        <w:spacing w:after="0" w:line="203" w:lineRule="exact"/>
        <w:rPr>
          <w:sz w:val="20"/>
          <w:szCs w:val="20"/>
          <w:color w:val="auto"/>
        </w:rPr>
      </w:pPr>
    </w:p>
    <w:p>
      <w:pPr>
        <w:jc w:val="both"/>
        <w:ind w:right="240"/>
        <w:spacing w:after="0" w:line="243" w:lineRule="auto"/>
        <w:rPr>
          <w:sz w:val="20"/>
          <w:szCs w:val="20"/>
          <w:color w:val="auto"/>
        </w:rPr>
      </w:pPr>
      <w:r>
        <w:rPr>
          <w:rFonts w:ascii="Arial" w:cs="Arial" w:eastAsia="Arial" w:hAnsi="Arial"/>
          <w:sz w:val="20"/>
          <w:szCs w:val="20"/>
          <w:color w:val="auto"/>
        </w:rPr>
        <w:t>Bradley Jacobs, chairman and chief executive officer of XPO Logistics, said, “Louis built a world-class organization that became the foundation for the growth of our logistics business in North America. I’m extremely grateful for his innumerable contributions, and look forward to his strategic support as a member of our board.”</w:t>
      </w:r>
    </w:p>
    <w:p>
      <w:pPr>
        <w:spacing w:after="0" w:line="22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Mr. Jacobs continued, “In Ashfaque, we have a seasoned supply chain leader with decades of experience in process innovation. Ashfaque is highly regarded by our blue-chip customers, many of whom have worked closely with him for years. The growth of our global organization has served to highlight the value of his expertise.”</w:t>
      </w:r>
    </w:p>
    <w:p>
      <w:pPr>
        <w:spacing w:after="0" w:line="220" w:lineRule="exact"/>
        <w:rPr>
          <w:sz w:val="20"/>
          <w:szCs w:val="20"/>
          <w:color w:val="auto"/>
        </w:rPr>
      </w:pPr>
    </w:p>
    <w:p>
      <w:pPr>
        <w:jc w:val="both"/>
        <w:ind w:right="120"/>
        <w:spacing w:after="0" w:line="262" w:lineRule="auto"/>
        <w:rPr>
          <w:sz w:val="20"/>
          <w:szCs w:val="20"/>
          <w:color w:val="auto"/>
        </w:rPr>
      </w:pPr>
      <w:r>
        <w:rPr>
          <w:rFonts w:ascii="Arial" w:cs="Arial" w:eastAsia="Arial" w:hAnsi="Arial"/>
          <w:sz w:val="19"/>
          <w:szCs w:val="19"/>
          <w:color w:val="auto"/>
        </w:rPr>
        <w:t>Mr. DeJoy said, “XPO has become one of the leading logistics providers in the world, and I’m proud that we’ve accomplished this growth in an efficient and disciplined manner. It has been a privilege to lead this organization and its incredible employees, and to collaborate with Ashfaque on our vision. XPO’s supply chain business is poised for significant growth in the years ahead.”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XPO Logistics, Inc.</w:t>
      </w:r>
    </w:p>
    <w:p>
      <w:pPr>
        <w:spacing w:after="0" w:line="253"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XPO Logistics, Inc. (NYSE: XPO) is a top ten global provider of cutting-edge supply chain solutions to the most successful companies in the world. The company provides services for less-than-truckload transportation, truckload brokerage and transportation, last mile logistics, engineered supply chain solutions, high-value-add warehousing and distribution, ground and air expedite, intermodal, drayage, global forwarding and managed transportation. XPO serves more than 50,000 customers with a highly integrated network of over 84,000 employees and 1,469 locations in 32 countries. XPO's corporate headquarters is in Greenwich, Conn., USA, and its European headquarters is in Lyon, France. www.xpo.com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XPO Logistics, Inc.</w:t>
      </w:r>
    </w:p>
    <w:p>
      <w:pPr>
        <w:spacing w:after="0"/>
        <w:rPr>
          <w:sz w:val="20"/>
          <w:szCs w:val="20"/>
          <w:color w:val="auto"/>
        </w:rPr>
      </w:pPr>
      <w:r>
        <w:rPr>
          <w:rFonts w:ascii="Arial" w:cs="Arial" w:eastAsia="Arial" w:hAnsi="Arial"/>
          <w:sz w:val="20"/>
          <w:szCs w:val="20"/>
          <w:color w:val="auto"/>
        </w:rPr>
        <w:t>Tavio Headley, +1-203-930-1602</w:t>
      </w:r>
    </w:p>
    <w:p>
      <w:pPr>
        <w:spacing w:after="0"/>
        <w:rPr>
          <w:sz w:val="20"/>
          <w:szCs w:val="20"/>
          <w:color w:val="auto"/>
        </w:rPr>
      </w:pPr>
      <w:r>
        <w:rPr>
          <w:rFonts w:ascii="Arial" w:cs="Arial" w:eastAsia="Arial" w:hAnsi="Arial"/>
          <w:sz w:val="20"/>
          <w:szCs w:val="20"/>
          <w:color w:val="auto"/>
        </w:rPr>
        <w:t>tavio.headley@xpo.com</w:t>
      </w:r>
    </w:p>
    <w:p>
      <w:pPr>
        <w:sectPr>
          <w:pgSz w:w="11900" w:h="16838" w:orient="portrait"/>
          <w:cols w:equalWidth="0" w:num="1">
            <w:col w:w="11420"/>
          </w:cols>
          <w:pgMar w:left="240" w:top="355" w:right="239" w:bottom="1440" w:gutter="0" w:footer="0" w:header="0"/>
        </w:sectPr>
      </w:pPr>
    </w:p>
    <w:p>
      <w:pPr>
        <w:spacing w:after="0" w:line="238"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1</w:t>
      </w:r>
    </w:p>
    <w:sectPr>
      <w:pgSz w:w="11900" w:h="16838" w:orient="portrait"/>
      <w:cols w:equalWidth="0" w:num="1">
        <w:col w:w="11420"/>
      </w:cols>
      <w:pgMar w:left="240" w:top="3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2019-12-07T23:28:32Z</dcterms:created>
  <dcterms:modified xsi:type="dcterms:W3CDTF">2019-12-07T23:28:32Z</dcterms:modified>
</cp:coreProperties>
</file>