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23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79"/>
        <w:spacing w:after="0" w:line="22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ind w:left="418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17, 2022</w:t>
      </w:r>
    </w:p>
    <w:p>
      <w:pPr>
        <w:spacing w:after="0" w:line="1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XPO LOGISTICS, INC.</w:t>
      </w:r>
    </w:p>
    <w:p>
      <w:pPr>
        <w:spacing w:after="0" w:line="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580" w:type="dxa"/>
        <w:tblCellMar>
          <w:top w:w="0" w:type="dxa"/>
          <w:left w:w="0" w:type="dxa"/>
          <w:bottom w:w="0" w:type="dxa"/>
          <w:right w:w="0" w:type="dxa"/>
        </w:tblCellMar>
      </w:tblPr>
      <w:tr>
        <w:trPr>
          <w:trHeight w:val="229"/>
        </w:trPr>
        <w:tc>
          <w:tcPr>
            <w:tcW w:w="310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001-32172</w:t>
            </w:r>
          </w:p>
        </w:tc>
        <w:tc>
          <w:tcPr>
            <w:tcW w:w="25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03-0450326</w:t>
            </w:r>
          </w:p>
        </w:tc>
      </w:tr>
      <w:tr>
        <w:trPr>
          <w:trHeight w:val="184"/>
        </w:trPr>
        <w:tc>
          <w:tcPr>
            <w:tcW w:w="31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0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500" w:type="dxa"/>
            <w:vAlign w:val="bottom"/>
          </w:tcPr>
          <w:p>
            <w:pPr>
              <w:jc w:val="center"/>
              <w:ind w:left="9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0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4060" w:type="dxa"/>
            <w:vAlign w:val="bottom"/>
          </w:tcPr>
          <w:p>
            <w:pPr>
              <w:spacing w:after="0"/>
              <w:rPr>
                <w:sz w:val="20"/>
                <w:szCs w:val="20"/>
                <w:color w:val="auto"/>
              </w:rPr>
            </w:pPr>
          </w:p>
        </w:tc>
        <w:tc>
          <w:tcPr>
            <w:tcW w:w="25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Five American Lane, Greenwich, Connecticut 06831</w:t>
      </w:r>
    </w:p>
    <w:p>
      <w:pPr>
        <w:spacing w:after="0" w:line="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35"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3" w:lineRule="exact"/>
        <w:rPr>
          <w:rFonts w:ascii="MS PGothic" w:cs="MS PGothic" w:eastAsia="MS PGothic" w:hAnsi="MS PGothic"/>
          <w:sz w:val="22"/>
          <w:szCs w:val="22"/>
          <w:color w:val="auto"/>
        </w:rPr>
      </w:pPr>
    </w:p>
    <w:p>
      <w:pPr>
        <w:ind w:left="360" w:hanging="334"/>
        <w:spacing w:after="0" w:line="234"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7" w:lineRule="exact"/>
        <w:rPr>
          <w:rFonts w:ascii="MS PGothic" w:cs="MS PGothic" w:eastAsia="MS PGothic" w:hAnsi="MS PGothic"/>
          <w:sz w:val="22"/>
          <w:szCs w:val="22"/>
          <w:color w:val="auto"/>
        </w:rPr>
      </w:pPr>
    </w:p>
    <w:p>
      <w:pPr>
        <w:ind w:left="360" w:hanging="334"/>
        <w:spacing w:after="0" w:line="234"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7" w:lineRule="exact"/>
        <w:rPr>
          <w:rFonts w:ascii="MS PGothic" w:cs="MS PGothic" w:eastAsia="MS PGothic" w:hAnsi="MS PGothic"/>
          <w:sz w:val="22"/>
          <w:szCs w:val="22"/>
          <w:color w:val="auto"/>
        </w:rPr>
      </w:pPr>
    </w:p>
    <w:p>
      <w:pPr>
        <w:ind w:left="360" w:hanging="334"/>
        <w:spacing w:after="0" w:line="234"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35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440" w:type="dxa"/>
            <w:vAlign w:val="bottom"/>
          </w:tcPr>
          <w:p>
            <w:pPr>
              <w:spacing w:after="0"/>
              <w:rPr>
                <w:sz w:val="21"/>
                <w:szCs w:val="21"/>
                <w:color w:val="auto"/>
              </w:rPr>
            </w:pPr>
          </w:p>
        </w:tc>
        <w:tc>
          <w:tcPr>
            <w:tcW w:w="23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w w:val="99"/>
              </w:rPr>
              <w:t>XPO</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5"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1063625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RXO, Inc. (“RXO”) previously filed with the U.S. Securities and Exchange Commission a registration statement on Form 10, initially publicly filed on September 28, 2022 (as amended, the “Registration Statement”), relating to the distribution by XPO Logistics, Inc. (“XPO” or the “company”) of all of the outstanding shares of common stock of RXO, par value $0.01 per share (the “RXO Common Stock”), to XPO stockholders. On October 17, 2022, the Registration Statement became effective. The Registration Statement includes a preliminary information statement that describes the distribution and provides important information regarding RXO’s business and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information statement, dated October 17, 2022 (the “Information Statement”), is attached hereto as Exhibit 99.1.</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further described in the Information Statement, XPO expects to distribute one share of RXO Common Stock for each share of XPO common stock, par value $0.001 per share, held as of the close of business on October 20, 2022, the record date for the distribution. Subject to the satisfaction or waiver of the conditions for the distribution, which are described in the Information Statement, the distribution is expected to occur at 12:01 a.m. Eastern Time on November 1, 2022 (the “Distribution Date”).</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Beginning on or around October 27, 2022, RXO Common Stock will trade on a when-issued basis on the New York Stock Exchange under the ticker symbol “RXO WI”. Subject to the distribution occurring on the Distribution Date, at the close of trading on October 31, 2022, when-issued trading of RXO Common Stock will end and on November 1, 2022, regular way trading under the ticker symbol “RXO” will begin.</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(the “Securities Act”) or the Exchange Act, except as shall be expressly set forth by specific reference in such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183"/>
        </w:trPr>
        <w:tc>
          <w:tcPr>
            <w:tcW w:w="13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4360" w:type="dxa"/>
            <w:vAlign w:val="bottom"/>
            <w:tcBorders>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Information Statement of RXO, Inc. dated October 17, 2022</w:t>
            </w:r>
          </w:p>
        </w:tc>
        <w:tc>
          <w:tcPr>
            <w:tcW w:w="5460" w:type="dxa"/>
            <w:vAlign w:val="bottom"/>
          </w:tcPr>
          <w:p>
            <w:pPr>
              <w:spacing w:after="0"/>
              <w:rPr>
                <w:sz w:val="15"/>
                <w:szCs w:val="15"/>
                <w:color w:val="auto"/>
              </w:rPr>
            </w:pPr>
          </w:p>
        </w:tc>
      </w:tr>
      <w:tr>
        <w:trPr>
          <w:trHeight w:val="25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Section 27A of the Securities Act of 1933 and Section 21E of the Securities Exchange Act of 1934, including statements relating to the planned spin-off, the expected timing of the spin-off and the anticipated benefits of the spin-off.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1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our ability to effect the spin-off of our tech-enabled brokered transportation platform and meet the related conditions of the spin-off, the expected timing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completion of the spin-off and the terms of the spin-off, our ability to achieve the expected benefits of the spin-off, our ability to retain and attract key personnel for the separate businesses, the risks discussed in our filings with the SEC, and the following: economic conditions generally; the severity, magnitude, duration and aftereffects of the COVID-19 pandemic, including supply chain disruptions due to plant and port shutdowns and transportation delays, the global shortage of certain components such as semiconductor chips, strains on production or extraction of raw materials, cost inflation and labor and equipment shortages, which may lower levels of service, including the timeliness, productivity and quality of service, and government responses to these factors; our ability to align our investments in capital assets, including equipment, service centers and warehouses, to our customers’ demands; our ability to implement our cost and revenue initiatives; our ability to benefit from the proposed spin-off; our ability to successfully integrate and realize anticipated synergies, cost savings and profit improvement opportunities with respect to acquired companies; goodwill impairment, including in connection with the proposed spin-off; matters related to our intellectual property rights; fluctuations in currency exchange rates; fuel price and fuel surcharge changes; natural disasters, terrorist attacks, wars or similar incidents, including the conflict between Russia and Ukraine and increased tensions between Taiwan and China; risks and uncertainties regarding the potential timing and expected benefits of the proposed spin-off of our tech-enabled brokered transportation platform, including the risk that the spin-off may not be completed on the terms or timeline currently contemplated, if at all; the impact of the proposed spin-off of our tech-enabled brokered transportation platform on the size and business diversity of our company; the ability of the proposed spin-off of our tech-enabled brokered transportation platform to qualify for tax-free treatment for U.S. federal income tax purposes; our ability to develop and implement suitable information technology systems and prevent failures in or breaches of such systems; our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and independent contractors; litigation, including litigation related to alleged misclassification of independent contractors and securities class actions; risks associated with our self-insured claims; risks associated with defined benefit plans for our current and former employees; the impact of potential sales of common stock by our chairman; governmental regulation, including trade compliance laws, as well as changes in international trade policies, sanctions and tax regimes; governmental or political actions, including the United Kingdom’s exit from the European Union; and competition and pricing pressures.</w:t>
      </w:r>
    </w:p>
    <w:p>
      <w:pPr>
        <w:spacing w:after="0" w:line="1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forward-looking statements set forth in this Current Report on Form 8-K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Current Report on Form 8-K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148" w:lineRule="exact"/>
        <w:rPr>
          <w:sz w:val="20"/>
          <w:szCs w:val="20"/>
          <w:color w:val="auto"/>
        </w:rPr>
      </w:pPr>
    </w:p>
    <w:p>
      <w:pPr>
        <w:ind w:left="20"/>
        <w:spacing w:after="0"/>
        <w:tabs>
          <w:tab w:leader="none" w:pos="4940" w:val="left"/>
        </w:tabs>
        <w:rPr>
          <w:sz w:val="20"/>
          <w:szCs w:val="20"/>
          <w:color w:val="auto"/>
        </w:rPr>
      </w:pPr>
      <w:r>
        <w:rPr>
          <w:rFonts w:ascii="Times New Roman" w:cs="Times New Roman" w:eastAsia="Times New Roman" w:hAnsi="Times New Roman"/>
          <w:sz w:val="18"/>
          <w:szCs w:val="18"/>
          <w:color w:val="auto"/>
        </w:rPr>
        <w:t>Date: October 20, 2022</w:t>
      </w:r>
      <w:r>
        <w:rPr>
          <w:sz w:val="20"/>
          <w:szCs w:val="20"/>
          <w:color w:val="auto"/>
        </w:rPr>
        <w:tab/>
      </w:r>
      <w:r>
        <w:rPr>
          <w:rFonts w:ascii="Times New Roman" w:cs="Times New Roman" w:eastAsia="Times New Roman" w:hAnsi="Times New Roman"/>
          <w:sz w:val="18"/>
          <w:szCs w:val="18"/>
          <w:color w:val="auto"/>
        </w:rPr>
        <w:t>XPO LOGISTICS, INC.</w:t>
      </w:r>
    </w:p>
    <w:p>
      <w:pPr>
        <w:spacing w:after="0" w:line="279" w:lineRule="exact"/>
        <w:rPr>
          <w:sz w:val="20"/>
          <w:szCs w:val="20"/>
          <w:color w:val="auto"/>
        </w:rPr>
      </w:pPr>
    </w:p>
    <w:p>
      <w:pPr>
        <w:ind w:left="4960"/>
        <w:spacing w:after="0"/>
        <w:tabs>
          <w:tab w:leader="none" w:pos="5460" w:val="left"/>
        </w:tabs>
        <w:rPr>
          <w:sz w:val="20"/>
          <w:szCs w:val="20"/>
          <w:color w:val="auto"/>
        </w:rPr>
      </w:pPr>
      <w:r>
        <w:rPr>
          <w:rFonts w:ascii="Times New Roman" w:cs="Times New Roman" w:eastAsia="Times New Roman" w:hAnsi="Times New Roman"/>
          <w:sz w:val="18"/>
          <w:szCs w:val="18"/>
          <w:color w:val="auto"/>
        </w:rPr>
        <w:t>By:</w:t>
        <w:tab/>
        <w:t>/s/ Ravi Tulsyan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3669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Ravi Tulsyan</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1413" w:right="4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1825625"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0833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17,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XPO Logistics Stockholder:</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March, we announced our plan to separate XPO Logistics into two independent transportation companies with vast potential. The separation will occur through a distribution to XPO stockholders of all of the outstanding shares of RXO, Inc. (“RXO”), a newly formed, publicly traded company that will be created by the spin-off of our asset-light, tech-enabled brokered transportation platform. XPO will continue to be a publicly traded company after the separation.</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spin-off, once complete, will create two transportation leaders with distinct investment identities and clearly delineated value propositions in their respective industries: RXO will be the fourth largest broker of full truckload freight transportation in the United States, with a proprietary digital freight marketplace, access to massive truckload capacity and complementary brokered services for managed transportation, last mile and freight forwarding. XPO will be a leading provider of less-than-truckload transportation in North America, with a European transportation business that we plan to divest.</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separate company will be best fit for its purpose, with an independent growth strategy and distinct profit drivers, and will be positioned to effectively manage capital and other resources to best support its strategic priorities. The separate management teams of each company will have more flexibility to tailor decision-making to their company’s strategy, customer requirements, stakeholder interests and employee culture. The separation will also create an independent equity currency for RXO, which will allow each company to structure incentive compensation arrangements that are more closely aligned with the performance of its respective business.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each XPO stockholder as of October 20, 2022, the record date for the distribution, will receive one share of RXO common stock for every share of XPO common stock held as of the close of business on the record date. RXO common stock will be issued in book-entry form only, which means that no physical share certificates will be issued. For U.S. federal income tax purposes, the distribution is intended to be tax-free both to XPO stockholders and to XPO. No vote of XPO stockholders is required for the distribution. You do not need to take any action to receive shares of RXO to which you are entitled as an XPO stockholder, and you do not need to pay any consideration or surrender or exchange your XPO common stock, which will continue to trade on the New York Stock Exchange.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encourage you to read the attached information statement, which is being provided to all XPO stockholders that held shares of XPO on the record date for the distribution. The information statement describes the planned distribution of RXO common stock in detail and contains important business and financial information about RXO.</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believe that the separation will create new opportunities for both companies to realize significant growth, led by management teams with a demonstrated commitment to our investors, customers, employees and communities. As a stockholder of our company, you’ve experienced the benefit of XPO’s decade-long commitment to operational excellence and value creation. We look forward to the potential we expect to unlock with this new separation — for XPO, for RXO and for you, as a stockholder of both companies.</w:t>
      </w:r>
    </w:p>
    <w:p>
      <w:pPr>
        <w:spacing w:after="0" w:line="16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214630</wp:posOffset>
            </wp:positionV>
            <wp:extent cx="840105"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01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Brad Jacobs</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XPO Logistics, Inc.</w:t>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739900"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17,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Future RXO Stockholder:</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 excited to welcome you as a future stockholder of RXO, Inc. (“RXO”), a leader in technology-enabled brokered transportation services in North America. The planned spin-off of RXO from XPO as a standalone company is a compelling prospect for us, and one that we believe will unlock value for all our stakeholders.</w:t>
      </w:r>
    </w:p>
    <w:p>
      <w:pPr>
        <w:spacing w:after="0" w:line="12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The opportunity we see in front of RXO is rooted in years of momentum as part of XPO, during which time our brokerage platform benefited from significant investments in digitization, customer service, talent and scale. As a separate public company, we can build on this strong positioning to capitalize on secular tailwinds in our industry, including the increasing broker penetration of the for-hire truckload industry and the growing shipper and carrier preference for digital brokerage capabilities. Moreover, we’ll be able to deepen our focus on serving our customers by enhancing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our proprietary digital brokerage platform, for our specific end-markets. In doing so, we’ll continue to capitalize on the first-mover technology advantage RXO inherited from XPO and become an increasingly valuable partner to our customers for their transportation needs.</w:t>
      </w:r>
    </w:p>
    <w:p>
      <w:pPr>
        <w:spacing w:after="0" w:line="1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Importantly for you as a stockholder, we’ll be able to intensify our focus on our strategic priorities. RXO will have a simplified business structure, a capital structure tailored to our opportunities and a clearly delineated investment profile. Our standalone stock listing will create an independent equity currency we can use to recruit talent and structure employee incentive compensation arrangements that are more directly tied to our performance, and pursue strategic objectives, including acquisitions. We believe that these and other compelling rationales for the spin-off will amplify our ability to drive profitable growth in our best-in-class truck brokerage business and further leverage our technology advantage in our large and fragmented industry.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RXO’s common stock has been approved for listing on the New York Stock Exchange under the symbol “RXO” when the spin-off is complete.</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vision for the future is clear. As an independent company, we intend to continue to deliver superior value for our customers through operational excellence, innovation and reliable access to massive transportation capacity. We plan to continue to invest in top talent and profitable growth and generate strong cash flows, providing excellent outcomes for our stockholders. For our employees, we’ll build on our cohesive, people-centric culture and engage our team in our vision.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participating in this future with you as a holder of RXO common stock.</w:t>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214630</wp:posOffset>
            </wp:positionV>
            <wp:extent cx="84010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010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Drew Wilkerson</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RXO, Inc.</w:t>
      </w:r>
    </w:p>
    <w:p>
      <w:pPr>
        <w:sectPr>
          <w:pgSz w:w="11900" w:h="16838" w:orient="portrait"/>
          <w:cols w:equalWidth="0" w:num="1">
            <w:col w:w="11200"/>
          </w:cols>
          <w:pgMar w:left="320" w:top="144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RXO,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133350</wp:posOffset>
            </wp:positionV>
            <wp:extent cx="1619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8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This information statement is being furnished in connection with the distribution by XPO Logistics, Inc. (“XPO”) to its stockholders of the outstanding shares of common stock of RXO, Inc. (“RXO”), a wholly owned subsidiary of XPO that will hold the assets and liabilities associated with XPO’s North American truck brokerage business, as well as its services for managed transportation, last mile and freight forwarding (the “RXO Businesses”). To implement the separation, XPO currently plans to distribute all of the shares of RXO common stock on a pro rata basis to XPO stockholders in a distribution that is intended to be tax-free for U.S. federal income tax purposes both to XPO stockholders and to XPO. Immediately after the distribution becomes effective, XPO will own no outstanding shares of our common stock.</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every share of common stock of XPO held of record by you as of the close of business on October 20, 2022, which is the record date for the distribution, you will receive one share of RXO common stock. As discussed under “The Separation and Distribution—Trading Between the Record Date and the Distribution Date,” if you sell your shares of XPO common stock in the “regular-way” market after the record date up to the distribution date, you also will be selling your right to receive shares of RXO common stock in connection with the distribution. We expect the shares of RXO common stock to be distributed by XPO to you at 12:01 a.m., Eastern Time, on November 1, 2022. We refer to the date of the distribution of the RXO common stock as the “distribution date.”</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Until the distribution occurs, RXO will be a wholly owned subsidiary of XPO, and consequently, XPO will have the sole and absolute discretion to determine and change the terms of the separation (or to terminate the separation), including the establishment of the record date for the distribution and the distribution date.</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vote of XPO stockholders is required for the distribution. Therefore, you are not being asked for a proxy, and you are requested not to send XPO a proxy, in connection with the distribution. You do not need to pay any consideration, exchange or surrender your existing shares of XPO common stock or take any other action to receive your shares of RXO common stock.</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current trading market for RXO common stock, although we expect that a limited market, commonly known as a “when-issued” trading market, will develop on or shortly before the distribution date, and we expect “regular-way” trading of RXO common stock to begin on the distribution date. RXO has been approved to list its common stock on the New York Stock Exchange (the “NYSE”) under the symbol “RXO.” Following the distribution, XPO will continue to trade on the NYSE under the symbol “XPO.”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reviewing this information statement, you should carefully consider the matters described in the section titled “Risk Factors” beginning on page </w:t>
      </w:r>
      <w:r>
        <w:rPr>
          <w:rFonts w:ascii="Times New Roman" w:cs="Times New Roman" w:eastAsia="Times New Roman" w:hAnsi="Times New Roman"/>
          <w:sz w:val="18"/>
          <w:szCs w:val="18"/>
          <w:u w:val="single" w:color="auto"/>
          <w:color w:val="0000FF"/>
        </w:rPr>
        <w:t>23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137160</wp:posOffset>
            </wp:positionV>
            <wp:extent cx="1619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information statement is October 17,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information statement was first made available to XPO stockholders on or about October 17, 2022.</w:t>
      </w:r>
    </w:p>
    <w:p>
      <w:pPr>
        <w:sectPr>
          <w:pgSz w:w="11900" w:h="16838" w:orient="portrait"/>
          <w:cols w:equalWidth="0" w:num="1">
            <w:col w:w="11240"/>
          </w:cols>
          <w:pgMar w:left="320" w:top="1089" w:right="339" w:bottom="1440" w:gutter="0" w:footer="0" w:header="0"/>
        </w:sectPr>
      </w:pPr>
    </w:p>
    <w:bookmarkStart w:id="7" w:name="page8"/>
    <w:bookmarkEnd w:id="7"/>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9"/>
              </w:rPr>
              <w:t>Information Statement Summary</w:t>
            </w:r>
          </w:p>
        </w:tc>
        <w:tc>
          <w:tcPr>
            <w:tcW w:w="7860" w:type="dxa"/>
            <w:vAlign w:val="bottom"/>
            <w:gridSpan w:val="10"/>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380" w:type="dxa"/>
            <w:vAlign w:val="bottom"/>
            <w:tcBorders>
              <w:bottom w:val="single" w:sz="8" w:color="0000FF"/>
            </w:tcBorders>
            <w:gridSpan w:val="11"/>
            <w:vMerge w:val="continue"/>
          </w:tcPr>
          <w:p>
            <w:pPr>
              <w:spacing w:after="0"/>
              <w:rPr>
                <w:sz w:val="15"/>
                <w:szCs w:val="15"/>
                <w:color w:val="auto"/>
              </w:rPr>
            </w:pPr>
          </w:p>
        </w:tc>
        <w:tc>
          <w:tcPr>
            <w:tcW w:w="7860" w:type="dxa"/>
            <w:vAlign w:val="bottom"/>
            <w:gridSpan w:val="10"/>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Questions and Answers About the Separation and Distribution</w:t>
            </w:r>
          </w:p>
        </w:tc>
        <w:tc>
          <w:tcPr>
            <w:tcW w:w="5780" w:type="dxa"/>
            <w:vAlign w:val="bottom"/>
            <w:gridSpan w:val="3"/>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Summary Historical and Pro Forma Combined Financial Data</w:t>
            </w:r>
          </w:p>
        </w:tc>
        <w:tc>
          <w:tcPr>
            <w:tcW w:w="5780" w:type="dxa"/>
            <w:vAlign w:val="bottom"/>
            <w:gridSpan w:val="3"/>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3540" w:type="dxa"/>
            <w:vAlign w:val="bottom"/>
            <w:gridSpan w:val="15"/>
          </w:tcPr>
          <w:p>
            <w:pPr>
              <w:spacing w:after="0"/>
              <w:rPr>
                <w:sz w:val="18"/>
                <w:szCs w:val="18"/>
                <w:color w:val="auto"/>
              </w:rPr>
            </w:pPr>
          </w:p>
        </w:tc>
        <w:tc>
          <w:tcPr>
            <w:tcW w:w="5780" w:type="dxa"/>
            <w:vAlign w:val="bottom"/>
            <w:gridSpan w:val="3"/>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080" w:type="dxa"/>
            <w:vAlign w:val="bottom"/>
            <w:gridSpan w:val="4"/>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The Separation and Distribution</w:t>
            </w:r>
          </w:p>
        </w:tc>
        <w:tc>
          <w:tcPr>
            <w:tcW w:w="1840" w:type="dxa"/>
            <w:vAlign w:val="bottom"/>
            <w:gridSpan w:val="7"/>
          </w:tcPr>
          <w:p>
            <w:pPr>
              <w:spacing w:after="0"/>
              <w:rPr>
                <w:sz w:val="18"/>
                <w:szCs w:val="18"/>
                <w:color w:val="auto"/>
              </w:rPr>
            </w:pPr>
          </w:p>
        </w:tc>
        <w:tc>
          <w:tcPr>
            <w:tcW w:w="6080" w:type="dxa"/>
            <w:vAlign w:val="bottom"/>
            <w:gridSpan w:val="4"/>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7920" w:type="dxa"/>
            <w:vAlign w:val="bottom"/>
            <w:gridSpan w:val="11"/>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Capitalization</w:t>
            </w:r>
          </w:p>
        </w:tc>
        <w:tc>
          <w:tcPr>
            <w:tcW w:w="160" w:type="dxa"/>
            <w:vAlign w:val="bottom"/>
          </w:tcPr>
          <w:p>
            <w:pPr>
              <w:spacing w:after="0"/>
              <w:rPr>
                <w:sz w:val="18"/>
                <w:szCs w:val="18"/>
                <w:color w:val="auto"/>
              </w:rPr>
            </w:pPr>
          </w:p>
        </w:tc>
        <w:tc>
          <w:tcPr>
            <w:tcW w:w="9060" w:type="dxa"/>
            <w:vAlign w:val="bottom"/>
            <w:gridSpan w:val="16"/>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20" w:type="dxa"/>
            <w:vAlign w:val="bottom"/>
            <w:gridSpan w:val="2"/>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3780" w:type="dxa"/>
            <w:vAlign w:val="bottom"/>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89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Directors</w:t>
            </w:r>
          </w:p>
        </w:tc>
        <w:tc>
          <w:tcPr>
            <w:tcW w:w="240" w:type="dxa"/>
            <w:vAlign w:val="bottom"/>
          </w:tcPr>
          <w:p>
            <w:pPr>
              <w:spacing w:after="0"/>
              <w:rPr>
                <w:sz w:val="18"/>
                <w:szCs w:val="18"/>
                <w:color w:val="auto"/>
              </w:rPr>
            </w:pPr>
          </w:p>
        </w:tc>
        <w:tc>
          <w:tcPr>
            <w:tcW w:w="9320" w:type="dxa"/>
            <w:vAlign w:val="bottom"/>
            <w:gridSpan w:val="18"/>
          </w:tcPr>
          <w:p>
            <w:pPr>
              <w:spacing w:after="0"/>
              <w:rPr>
                <w:sz w:val="18"/>
                <w:szCs w:val="18"/>
                <w:color w:val="auto"/>
              </w:rPr>
            </w:pP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w w:val="99"/>
              </w:rPr>
              <w:t>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440" w:type="dxa"/>
            <w:vAlign w:val="bottom"/>
            <w:gridSpan w:val="14"/>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RXO 2022 Omnibus Incentive Compensation Plan</w:t>
            </w:r>
          </w:p>
        </w:tc>
        <w:tc>
          <w:tcPr>
            <w:tcW w:w="6580" w:type="dxa"/>
            <w:vAlign w:val="bottom"/>
            <w:gridSpan w:val="6"/>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105</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46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6"/>
              </w:rPr>
              <w:t>110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300" w:type="dxa"/>
            <w:vAlign w:val="bottom"/>
            <w:gridSpan w:val="2"/>
          </w:tcPr>
          <w:p>
            <w:pPr>
              <w:spacing w:after="0"/>
              <w:rPr>
                <w:sz w:val="18"/>
                <w:szCs w:val="18"/>
                <w:color w:val="auto"/>
              </w:rPr>
            </w:pPr>
          </w:p>
        </w:tc>
        <w:tc>
          <w:tcPr>
            <w:tcW w:w="6400" w:type="dxa"/>
            <w:vAlign w:val="bottom"/>
            <w:gridSpan w:val="5"/>
          </w:tcPr>
          <w:p>
            <w:pPr>
              <w:spacing w:after="0"/>
              <w:rPr>
                <w:sz w:val="18"/>
                <w:szCs w:val="18"/>
                <w:color w:val="auto"/>
              </w:rPr>
            </w:pPr>
          </w:p>
        </w:tc>
        <w:tc>
          <w:tcPr>
            <w:tcW w:w="46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6"/>
              </w:rPr>
              <w:t>117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Material Indebtedness</w:t>
            </w:r>
          </w:p>
        </w:tc>
        <w:tc>
          <w:tcPr>
            <w:tcW w:w="860" w:type="dxa"/>
            <w:vAlign w:val="bottom"/>
            <w:gridSpan w:val="2"/>
          </w:tcPr>
          <w:p>
            <w:pPr>
              <w:spacing w:after="0"/>
              <w:rPr>
                <w:sz w:val="18"/>
                <w:szCs w:val="18"/>
                <w:color w:val="auto"/>
              </w:rPr>
            </w:pPr>
          </w:p>
        </w:tc>
        <w:tc>
          <w:tcPr>
            <w:tcW w:w="6700" w:type="dxa"/>
            <w:vAlign w:val="bottom"/>
            <w:gridSpan w:val="7"/>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120</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122</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2760" w:type="dxa"/>
            <w:vAlign w:val="bottom"/>
            <w:gridSpan w:val="11"/>
          </w:tcPr>
          <w:p>
            <w:pPr>
              <w:spacing w:after="0"/>
              <w:rPr>
                <w:sz w:val="18"/>
                <w:szCs w:val="18"/>
                <w:color w:val="auto"/>
              </w:rPr>
            </w:pPr>
          </w:p>
        </w:tc>
        <w:tc>
          <w:tcPr>
            <w:tcW w:w="5420" w:type="dxa"/>
            <w:vAlign w:val="bottom"/>
            <w:gridSpan w:val="2"/>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124</w:t>
            </w:r>
          </w:p>
        </w:tc>
        <w:tc>
          <w:tcPr>
            <w:tcW w:w="0" w:type="dxa"/>
            <w:vAlign w:val="bottom"/>
          </w:tcPr>
          <w:p>
            <w:pPr>
              <w:spacing w:after="0"/>
              <w:rPr>
                <w:sz w:val="1"/>
                <w:szCs w:val="1"/>
                <w:color w:val="auto"/>
              </w:rPr>
            </w:pPr>
          </w:p>
        </w:tc>
      </w:tr>
      <w:tr>
        <w:trPr>
          <w:trHeight w:val="20"/>
        </w:trPr>
        <w:tc>
          <w:tcPr>
            <w:tcW w:w="206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7360" w:type="dxa"/>
            <w:vAlign w:val="bottom"/>
            <w:gridSpan w:val="8"/>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129</w:t>
            </w:r>
          </w:p>
        </w:tc>
        <w:tc>
          <w:tcPr>
            <w:tcW w:w="0" w:type="dxa"/>
            <w:vAlign w:val="bottom"/>
          </w:tcPr>
          <w:p>
            <w:pPr>
              <w:spacing w:after="0"/>
              <w:rPr>
                <w:sz w:val="1"/>
                <w:szCs w:val="1"/>
                <w:color w:val="auto"/>
              </w:rPr>
            </w:pPr>
          </w:p>
        </w:tc>
      </w:tr>
      <w:tr>
        <w:trPr>
          <w:trHeight w:val="209"/>
        </w:trPr>
        <w:tc>
          <w:tcPr>
            <w:tcW w:w="28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Index to Financial Statements</w:t>
            </w:r>
          </w:p>
        </w:tc>
        <w:tc>
          <w:tcPr>
            <w:tcW w:w="736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0"/>
                <w:szCs w:val="10"/>
                <w:color w:val="0000FF"/>
                <w:w w:val="71"/>
              </w:rPr>
              <w:t>F-1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or otherwise specifies:</w:t>
      </w:r>
    </w:p>
    <w:p>
      <w:pPr>
        <w:spacing w:after="0" w:line="171" w:lineRule="exact"/>
        <w:rPr>
          <w:sz w:val="20"/>
          <w:szCs w:val="20"/>
          <w:color w:val="auto"/>
        </w:rPr>
      </w:pPr>
    </w:p>
    <w:p>
      <w:pPr>
        <w:ind w:left="660" w:right="8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in this information statement about RXO, including the Combined Financial Statements of RXO, assumes the completion of all of the transactions referred to in this information statement in connection with the separation and distribution.</w:t>
      </w:r>
    </w:p>
    <w:p>
      <w:pPr>
        <w:spacing w:after="0" w:line="107" w:lineRule="exact"/>
        <w:rPr>
          <w:rFonts w:ascii="Times New Roman" w:cs="Times New Roman" w:eastAsia="Times New Roman" w:hAnsi="Times New Roman"/>
          <w:sz w:val="18"/>
          <w:szCs w:val="18"/>
          <w:color w:val="auto"/>
        </w:rPr>
      </w:pPr>
    </w:p>
    <w:p>
      <w:pPr>
        <w:ind w:left="660" w:right="260" w:hanging="328"/>
        <w:spacing w:after="0" w:line="312"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specified herein, references in this information statement to “RXO,” “we,” “us,” “our,” “our company” and “the company” refer to RXO, Inc. (formerly known as RXO, LLC prior to its conversion into a Delaware corporation) and its combined subsidiaries.</w:t>
      </w:r>
    </w:p>
    <w:p>
      <w:pPr>
        <w:spacing w:after="0" w:line="85"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information statement to the “RXO Businesses” refer to XPO’s North American truck brokerage business, as well as its services for managed transportation, last mile and freight forwarding.</w:t>
      </w:r>
    </w:p>
    <w:p>
      <w:pPr>
        <w:spacing w:after="0" w:line="10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information statement to “XPO” refer to XPO Logistics, Inc., a Delaware corporation, and its subsidiaries, including the RXO Businesses prior to completion of the separation and the distribution and excluding the RXO Businesses following completion of the separation and the distribution.</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information statement to the “separation” or “spin-off” refer to the spin-off of the RXO Businesses from XPO’s other businesses and the creation, as a result of the distribution, of an independent, publicly traded company, RXO, to hold the assets and liabilities associated with the RXO Businesses after the distribution.</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information statement to the “distribution” refer to the pro rata distribution of all of RXO’s issued and outstanding shares of common stock to XPO stockholders as of the close of business on the record date for the distribution.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40"/>
          </w:cols>
          <w:pgMar w:left="320" w:top="1440" w:right="339" w:bottom="1440" w:gutter="0" w:footer="0" w:header="0"/>
          <w:type w:val="continuous"/>
        </w:sectPr>
      </w:pPr>
    </w:p>
    <w:bookmarkStart w:id="8" w:name="page9"/>
    <w:bookmarkEnd w:id="8"/>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information statement to RXO’s per share data assume a distribution ratio of one share of RXO common stock for every share of XPO common stock.</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information statement to RXO’s historical assets, liabilities, products, businesses or activities generally refer to the historical assets, liabilities, products, businesses or activities of the RXO Businesses as the businesses were conducted as part of XPO prior to the completion of the separation.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indicated otherwise, the information concerning the industries and markets in which RXO participates contained in this information statement is based on RXO’s general knowledge of and expectations concerning its operating environment. The market positions, shares, market sizes and growth estimates included in this information statement are based on estimates using RXO’s internal data and estimates, data from various third-party industry analyses, internal research and adjustments, and assumptions that RXO believes to be reasonable. RXO has not independently verified data from industry analyses and cannot guarantee their accuracy or completeness. In addition, RXO believes that data regarding the industry, market positions, shares, market sizes and growth estimates provide general guidance but are inherently imprecise. Further, RXO’s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 Accordingly, investors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1417" w:right="4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487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 SUMMARY</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selected information discussed in this information statement. This summary may not contain all of the details concerning the separation, the distribution or other information that may be important to you. To better understand the separation, the distribution and our business and financial position, you should carefully review this entire information statement. Unless the context otherwise requires, the information included in this information statement about RXO, including the Combined Financial Statements of RXO, assumes the completion of all of the transactions referred to in this information statement in connection with the separation and distribution.</w:t>
      </w:r>
    </w:p>
    <w:p>
      <w:pPr>
        <w:spacing w:after="0" w:line="1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or when otherwise specified, references in this information statement to our historical assets, liabilities, products, businesses or activities of our businesses are generally intended to refer to the historical assets, liabilities, products, businesses or activities of the RXO Businesses as they were conducted as part of XPO prior to completion of the separation and distribution.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RXO is a high-performing brokered transportation platform defined by cutting-edge technology and a nimble, asset-light business model, with the largest component being our core truck brokerage business. We are the fourth largest broker of full truckload freight transportation in the United States, with approximately 4% share of the entire $88 billion brokered truckload industry in 2021. Over 80% of our operating income in 2021 was generated by truck brokerage; the remainder was comprised of our brokered services for managed transportation, last mile and freight forwarding. RXO is led by Drew Wilkerson, chief executive officer, and Jamie Harris, chief financial officer. These executives have deep experience in their respective fields, having previously served in senior roles with industry leaders.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truck brokerage business has a variable cost structure with robust free cash flow conversion and a long track record of generating a high return on invested capital. Shippers create demand for our service, and we place their freight with qualified independent carriers using our technology. We price our service on either a contract or a spot basis.</w:t>
      </w:r>
    </w:p>
    <w:p>
      <w:pPr>
        <w:spacing w:after="0" w:line="12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Notable factors driving growth and margin expansion in our business include our ability to access massive truckload capacity for shippers through our carrier relationships, our proprietary, cutting-edge technology, our strong management expertise and favorable industry tailwinds. As of June 30, 2022, we had approximately 98,000 carriers in our North American truck brokerage network, and access to over one and a half million trucks.</w:t>
      </w:r>
    </w:p>
    <w:p>
      <w:pPr>
        <w:spacing w:after="0" w:line="126"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8"/>
          <w:szCs w:val="18"/>
          <w:color w:val="auto"/>
        </w:rPr>
        <w:t>We provide our customers with highly efficient access to capacity through our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digital brokerage technology. This proprietary platform is a major differentiator for our truck brokerage business, and together with our pricing technology, we believe it can unlock incremental profitable growth well beyond our current levels. All of our services utilize our proprietary platform.</w:t>
      </w:r>
    </w:p>
    <w:p>
      <w:pPr>
        <w:spacing w:after="0" w:line="14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2021, we generated $4.7 billion of revenue. See “Summary Historical and Pro Forma Combined Financial Data” for additional information. As of June 30, 2022, we operated with approximately 7,400 team members (comprised of approximately 5,600 full-time and part-time employees and 1,800 temporary workers) and 196 locations.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Drivers of Value Creation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five key drivers of value creation in our truck brokerage business:</w:t>
      </w:r>
    </w:p>
    <w:p>
      <w:pPr>
        <w:spacing w:after="0" w:line="169" w:lineRule="exact"/>
        <w:rPr>
          <w:sz w:val="20"/>
          <w:szCs w:val="20"/>
          <w:color w:val="auto"/>
        </w:rPr>
      </w:pPr>
    </w:p>
    <w:p>
      <w:pPr>
        <w:ind w:left="640" w:right="180" w:hanging="322"/>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Scale in an Expanding Industry with Low Penetration</w:t>
      </w:r>
      <w:r>
        <w:rPr>
          <w:rFonts w:ascii="Times New Roman" w:cs="Times New Roman" w:eastAsia="Times New Roman" w:hAnsi="Times New Roman"/>
          <w:sz w:val="18"/>
          <w:szCs w:val="18"/>
          <w:color w:val="auto"/>
        </w:rPr>
        <w:t>: We are the fourth largest broker of full truckload freight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in the United States, with a carrier pool that gives us access to vast truck capacity to serve high shipper demand for transportation. We are also well-established as a truckload broker of choice across diversified industry sectors, with a notable presence in the e-commerce and retail sectors. Despite our scale, we have just 4% of the brokered truckload industry revenue, which includes LTL and full truckload transportation provided direct to shippers and via managed transportation providers, and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80"/>
          </w:cols>
          <w:pgMar w:left="1000" w:top="1440" w:right="10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5739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739130"/>
                    </a:xfrm>
                    <a:prstGeom prst="rect">
                      <a:avLst/>
                    </a:prstGeom>
                    <a:noFill/>
                  </pic:spPr>
                </pic:pic>
              </a:graphicData>
            </a:graphic>
          </wp:anchor>
        </w:drawing>
      </w:r>
    </w:p>
    <w:p>
      <w:pPr>
        <w:spacing w:after="0" w:line="277" w:lineRule="exact"/>
        <w:rPr>
          <w:sz w:val="20"/>
          <w:szCs w:val="20"/>
          <w:color w:val="auto"/>
        </w:rPr>
      </w:pPr>
    </w:p>
    <w:p>
      <w:pPr>
        <w:ind w:left="640" w:right="300"/>
        <w:spacing w:after="0" w:line="282" w:lineRule="auto"/>
        <w:rPr>
          <w:sz w:val="20"/>
          <w:szCs w:val="20"/>
          <w:color w:val="auto"/>
        </w:rPr>
      </w:pPr>
      <w:r>
        <w:rPr>
          <w:rFonts w:ascii="Times New Roman" w:cs="Times New Roman" w:eastAsia="Times New Roman" w:hAnsi="Times New Roman"/>
          <w:sz w:val="18"/>
          <w:szCs w:val="18"/>
          <w:color w:val="auto"/>
        </w:rPr>
        <w:t>expect to benefit from both overall industry growth in demand for truckload transportation, and a long runway for increased broker penetration of for-hire trucking.</w:t>
      </w:r>
    </w:p>
    <w:p>
      <w:pPr>
        <w:spacing w:after="0" w:line="106" w:lineRule="exact"/>
        <w:rPr>
          <w:sz w:val="20"/>
          <w:szCs w:val="20"/>
          <w:color w:val="auto"/>
        </w:rPr>
      </w:pPr>
    </w:p>
    <w:p>
      <w:pPr>
        <w:ind w:left="640" w:right="80" w:hanging="322"/>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Proprietary Technology</w:t>
      </w:r>
      <w:r>
        <w:rPr>
          <w:rFonts w:ascii="Times New Roman" w:cs="Times New Roman" w:eastAsia="Times New Roman" w:hAnsi="Times New Roman"/>
          <w:sz w:val="18"/>
          <w:szCs w:val="18"/>
          <w:color w:val="auto"/>
        </w:rPr>
        <w:t>: We believe we are strongly differentiated by our technology as a leading innovator of sophisticated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brokerage solutions that enhance visibility, reliability, speed, accuracy and cost effectiveness, and by the fully automated transactional capabilities of our digital platform. As more and more shippers outsource their road freight needs to brokers, they increasingly prefer brokers that have the digital capabilities we offer.</w:t>
      </w:r>
    </w:p>
    <w:p>
      <w:pPr>
        <w:spacing w:after="0" w:line="125" w:lineRule="exact"/>
        <w:rPr>
          <w:rFonts w:ascii="Times New Roman" w:cs="Times New Roman" w:eastAsia="Times New Roman" w:hAnsi="Times New Roman"/>
          <w:sz w:val="18"/>
          <w:szCs w:val="18"/>
          <w:color w:val="auto"/>
        </w:rPr>
      </w:pPr>
    </w:p>
    <w:p>
      <w:pPr>
        <w:ind w:left="640" w:right="100" w:hanging="322"/>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Long-Tenured, Blue-Chip Customer Relationships in Attractive Verticals</w:t>
      </w:r>
      <w:r>
        <w:rPr>
          <w:rFonts w:ascii="Times New Roman" w:cs="Times New Roman" w:eastAsia="Times New Roman" w:hAnsi="Times New Roman"/>
          <w:sz w:val="18"/>
          <w:szCs w:val="18"/>
          <w:color w:val="auto"/>
        </w:rPr>
        <w:t>: Our customer base includes numerous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market leaders and other world-class companies across a diversified array of customer verticals, with a significant presence in consumer-facing sectors. Our tiered sales organization tailors its approach to each prospective customer based on size and profitability potential.</w:t>
      </w:r>
    </w:p>
    <w:p>
      <w:pPr>
        <w:spacing w:after="0" w:line="125" w:lineRule="exact"/>
        <w:rPr>
          <w:rFonts w:ascii="Times New Roman" w:cs="Times New Roman" w:eastAsia="Times New Roman" w:hAnsi="Times New Roman"/>
          <w:sz w:val="18"/>
          <w:szCs w:val="18"/>
          <w:color w:val="auto"/>
        </w:rPr>
      </w:pPr>
    </w:p>
    <w:p>
      <w:pPr>
        <w:ind w:left="640" w:right="20" w:hanging="322"/>
        <w:spacing w:after="0" w:line="28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Asset-Light Model Generates High Returns and Substantial Free Cash Flow</w:t>
      </w:r>
      <w:r>
        <w:rPr>
          <w:rFonts w:ascii="Times New Roman" w:cs="Times New Roman" w:eastAsia="Times New Roman" w:hAnsi="Times New Roman"/>
          <w:sz w:val="18"/>
          <w:szCs w:val="18"/>
          <w:color w:val="auto"/>
        </w:rPr>
        <w:t>: We utilize an asset-light business model that gives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agility and generates strong free cash flow.</w:t>
      </w:r>
    </w:p>
    <w:p>
      <w:pPr>
        <w:spacing w:after="0" w:line="104" w:lineRule="exact"/>
        <w:rPr>
          <w:rFonts w:ascii="Times New Roman" w:cs="Times New Roman" w:eastAsia="Times New Roman" w:hAnsi="Times New Roman"/>
          <w:sz w:val="18"/>
          <w:szCs w:val="18"/>
          <w:color w:val="auto"/>
        </w:rPr>
      </w:pPr>
    </w:p>
    <w:p>
      <w:pPr>
        <w:ind w:left="640" w:right="20" w:hanging="322"/>
        <w:spacing w:after="0" w:line="26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Experienced and Cohesive Leadership and Strong Company Values</w:t>
      </w:r>
      <w:r>
        <w:rPr>
          <w:rFonts w:ascii="Times New Roman" w:cs="Times New Roman" w:eastAsia="Times New Roman" w:hAnsi="Times New Roman"/>
          <w:sz w:val="18"/>
          <w:szCs w:val="18"/>
          <w:color w:val="auto"/>
        </w:rPr>
        <w:t>: Our business operations are led by highly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who are recognized as leading truck brokerage experts and technologists. These executives have worked together for many years, creating value through operational excellence, data science and a people-centric culture.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Scale in an Expanding Industry with Low Penetration</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truck brokerage business operates in a growing, $88 billion brokered truckload industry in the United States, within a total addressable for-hire trucking opportunity of approximately $400 billion in 2021. The brokered truckload industry size includes $8 billion from managed transportation services, which represents approximately one third of the total managed transportation industry in the United States. We expect that our industry will continue to grow faster than GDP, propelled by strong secular tailwinds, such as a trend toward outsourcing freight transportation, increased brokerage penetration of for-hire truckload transportation and adoption of digital brokerage technologies by shippers and carriers. In addition, given our size in our industry, we see a significant opportunity to increase our market share through ongoing shipper and carrier adoption of our proprietary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w:t>
      </w:r>
    </w:p>
    <w:p>
      <w:pPr>
        <w:spacing w:after="0" w:line="4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Our best-in-class truck brokerage business has a long track record of outperforming our industry and peers in key metrics. For the full year 2021, compared with 2020 and 2019, respectively: our revenue growth in truck brokerage was 63% and 100%, and our load growth was 29% and 40%, including 39% and 112% load growth from our top 20 customers. Additionally, we grew our 2021 margin dollars, which represent our revenue less the cost of transportation and services (exclusive of depreciation and amortization), by 49% and 86% compared with 2020 and 2019, respectively. From 2013 to 2021, our truck brokerage revenue compound annual growth rate (“CAGR”) was 27% — approximately three times the U.S. brokered truckload industry growth rate, and notably, over 90% of our revenue growth over this period was organic. Over the last three years, we increased our productivity, measured by loads per head per day, by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60"/>
          </w:cols>
          <w:pgMar w:left="1000" w:top="1440" w:right="10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326" w:hanging="326"/>
        <w:spacing w:after="0"/>
        <w:tabs>
          <w:tab w:leader="none" w:pos="32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brokered truckload industry size; reflects brokered component of ~$400 billion total addressable truckload opportunity</w:t>
      </w:r>
    </w:p>
    <w:p>
      <w:pPr>
        <w:spacing w:after="0" w:line="168" w:lineRule="exact"/>
        <w:rPr>
          <w:sz w:val="20"/>
          <w:szCs w:val="20"/>
          <w:color w:val="auto"/>
        </w:rPr>
      </w:pPr>
    </w:p>
    <w:p>
      <w:pPr>
        <w:ind w:left="6"/>
        <w:spacing w:after="0" w:line="261" w:lineRule="auto"/>
        <w:rPr>
          <w:sz w:val="20"/>
          <w:szCs w:val="20"/>
          <w:color w:val="auto"/>
        </w:rPr>
      </w:pPr>
      <w:r>
        <w:rPr>
          <w:rFonts w:ascii="Times New Roman" w:cs="Times New Roman" w:eastAsia="Times New Roman" w:hAnsi="Times New Roman"/>
          <w:sz w:val="18"/>
          <w:szCs w:val="18"/>
          <w:color w:val="auto"/>
        </w:rPr>
        <w:t>The growing complexity of supply chains, the advent of brokerage technology and the increase in risk aversion by supply chain operators have encouraged shippers to seek out large, third-party transportation partners with on-demand access to trucks and drivers, real-time pricing and continuous visibility into the movement of their goods. This has led to a sustained shift toward utilizing outsourced transportation brokers such as RXO that have a strong technology offering and provide data for better decision-making.</w:t>
      </w:r>
    </w:p>
    <w:p>
      <w:pPr>
        <w:spacing w:after="0" w:line="126" w:lineRule="exact"/>
        <w:rPr>
          <w:sz w:val="20"/>
          <w:szCs w:val="20"/>
          <w:color w:val="auto"/>
        </w:rPr>
      </w:pPr>
    </w:p>
    <w:p>
      <w:pPr>
        <w:ind w:left="6" w:right="120"/>
        <w:spacing w:after="0" w:line="282" w:lineRule="auto"/>
        <w:rPr>
          <w:sz w:val="20"/>
          <w:szCs w:val="20"/>
          <w:color w:val="auto"/>
        </w:rPr>
      </w:pPr>
      <w:r>
        <w:rPr>
          <w:rFonts w:ascii="Times New Roman" w:cs="Times New Roman" w:eastAsia="Times New Roman" w:hAnsi="Times New Roman"/>
          <w:sz w:val="18"/>
          <w:szCs w:val="18"/>
          <w:color w:val="auto"/>
        </w:rPr>
        <w:t>Broker penetration of for-hire truckload transportation has doubled in the last 15 years, and is still less than 25%. The penetration rate is expected to continue a steady climb, with industry forecasts predicting ongoing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w:t>
      </w:r>
    </w:p>
    <w:p>
      <w:pPr>
        <w:spacing w:after="0" w:line="175" w:lineRule="exact"/>
        <w:rPr>
          <w:sz w:val="20"/>
          <w:szCs w:val="20"/>
          <w:color w:val="auto"/>
        </w:rPr>
      </w:pPr>
    </w:p>
    <w:p>
      <w:pPr>
        <w:ind w:left="6" w:right="120"/>
        <w:spacing w:after="0" w:line="282" w:lineRule="auto"/>
        <w:rPr>
          <w:sz w:val="20"/>
          <w:szCs w:val="20"/>
          <w:color w:val="auto"/>
        </w:rPr>
      </w:pPr>
      <w:r>
        <w:rPr>
          <w:rFonts w:ascii="Times New Roman" w:cs="Times New Roman" w:eastAsia="Times New Roman" w:hAnsi="Times New Roman"/>
          <w:sz w:val="18"/>
          <w:szCs w:val="18"/>
          <w:color w:val="auto"/>
        </w:rPr>
        <w:t>Our first-mover advantage in brokerage technology dates back to the start of XPO in 2011, when we foresaw the technological potential in the brokerage model. RXO is capitalizing on that advantage.</w:t>
      </w:r>
    </w:p>
    <w:p>
      <w:pPr>
        <w:spacing w:after="0" w:line="108" w:lineRule="exact"/>
        <w:rPr>
          <w:sz w:val="20"/>
          <w:szCs w:val="20"/>
          <w:color w:val="auto"/>
        </w:rPr>
      </w:pPr>
    </w:p>
    <w:p>
      <w:pPr>
        <w:ind w:left="6" w:right="100"/>
        <w:spacing w:after="0" w:line="266" w:lineRule="auto"/>
        <w:rPr>
          <w:sz w:val="20"/>
          <w:szCs w:val="20"/>
          <w:color w:val="auto"/>
        </w:rPr>
      </w:pPr>
      <w:r>
        <w:rPr>
          <w:rFonts w:ascii="Times New Roman" w:cs="Times New Roman" w:eastAsia="Times New Roman" w:hAnsi="Times New Roman"/>
          <w:sz w:val="18"/>
          <w:szCs w:val="18"/>
          <w:color w:val="auto"/>
        </w:rPr>
        <w:t>A decade ago, truck brokerage was conducted largely by telephone through manual interactions between customers and brokers. This limited the industry’s ability to realize efficiencies and made it challenging for many brokers to maintain high levels of customer service as they grew in scale.</w:t>
      </w:r>
    </w:p>
    <w:p>
      <w:pPr>
        <w:spacing w:after="0" w:line="122" w:lineRule="exact"/>
        <w:rPr>
          <w:sz w:val="20"/>
          <w:szCs w:val="20"/>
          <w:color w:val="auto"/>
        </w:rPr>
      </w:pPr>
    </w:p>
    <w:p>
      <w:pPr>
        <w:ind w:left="6" w:right="140"/>
        <w:spacing w:after="0" w:line="241" w:lineRule="auto"/>
        <w:rPr>
          <w:sz w:val="20"/>
          <w:szCs w:val="20"/>
          <w:color w:val="auto"/>
        </w:rPr>
      </w:pPr>
      <w:r>
        <w:rPr>
          <w:rFonts w:ascii="Times New Roman" w:cs="Times New Roman" w:eastAsia="Times New Roman" w:hAnsi="Times New Roman"/>
          <w:sz w:val="18"/>
          <w:szCs w:val="18"/>
          <w:color w:val="auto"/>
        </w:rPr>
        <w:t>We established our competitive advantage with significant investments in proprietary brokerage technology that harnesses data science. We began matching shippers to carriers using the visibility provided by our Freight Optimizer system. We then developed our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digital brokerage platform architecture, which incorporates machine learning and fully automates the brokerage process, making transactions more efficient for all parties involved. Over the past 10 years, we have spent approximately $300 million on developing our technology.</w:t>
      </w:r>
    </w:p>
    <w:p>
      <w:pPr>
        <w:spacing w:after="0" w:line="145" w:lineRule="exact"/>
        <w:rPr>
          <w:sz w:val="20"/>
          <w:szCs w:val="20"/>
          <w:color w:val="auto"/>
        </w:rPr>
      </w:pPr>
    </w:p>
    <w:p>
      <w:pPr>
        <w:ind w:left="6" w:right="680"/>
        <w:spacing w:after="0" w:line="282" w:lineRule="auto"/>
        <w:rPr>
          <w:sz w:val="20"/>
          <w:szCs w:val="20"/>
          <w:color w:val="auto"/>
        </w:rPr>
      </w:pPr>
      <w:r>
        <w:rPr>
          <w:rFonts w:ascii="Times New Roman" w:cs="Times New Roman" w:eastAsia="Times New Roman" w:hAnsi="Times New Roman"/>
          <w:sz w:val="18"/>
          <w:szCs w:val="18"/>
          <w:color w:val="auto"/>
        </w:rPr>
        <w:t>Today, digital brokerage platforms are changing the face of the truck brokerage industry and are expected to continue to grow in importance as shippers increasingly value the efficiencies of automation. Approximately 80% of</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6"/>
          </w:cols>
          <w:pgMar w:left="994"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959090"/>
                    </a:xfrm>
                    <a:prstGeom prst="rect">
                      <a:avLst/>
                    </a:prstGeom>
                    <a:noFill/>
                  </pic:spPr>
                </pic:pic>
              </a:graphicData>
            </a:graphic>
          </wp:anchor>
        </w:drawing>
      </w:r>
    </w:p>
    <w:p>
      <w:pPr>
        <w:spacing w:after="0" w:line="277" w:lineRule="exact"/>
        <w:rPr>
          <w:sz w:val="20"/>
          <w:szCs w:val="20"/>
          <w:color w:val="auto"/>
        </w:rPr>
      </w:pPr>
    </w:p>
    <w:p>
      <w:pPr>
        <w:ind w:left="6"/>
        <w:spacing w:after="0" w:line="282" w:lineRule="auto"/>
        <w:rPr>
          <w:sz w:val="20"/>
          <w:szCs w:val="20"/>
          <w:color w:val="auto"/>
        </w:rPr>
      </w:pPr>
      <w:r>
        <w:rPr>
          <w:rFonts w:ascii="Times New Roman" w:cs="Times New Roman" w:eastAsia="Times New Roman" w:hAnsi="Times New Roman"/>
          <w:sz w:val="18"/>
          <w:szCs w:val="18"/>
          <w:color w:val="auto"/>
        </w:rPr>
        <w:t>RXO’s brokerage orders are currently created or covered digitally, and we expect the digital nature of our transactions to increase to 95% or higher over time.</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Long-Tenured, Blue-Chip Customer Relationships in Attractive Verticals</w:t>
      </w:r>
    </w:p>
    <w:p>
      <w:pPr>
        <w:spacing w:after="0" w:line="175" w:lineRule="exact"/>
        <w:rPr>
          <w:sz w:val="20"/>
          <w:szCs w:val="20"/>
          <w:color w:val="auto"/>
        </w:rPr>
      </w:pPr>
    </w:p>
    <w:p>
      <w:pPr>
        <w:ind w:left="6" w:right="80"/>
        <w:spacing w:after="0" w:line="261" w:lineRule="auto"/>
        <w:rPr>
          <w:sz w:val="20"/>
          <w:szCs w:val="20"/>
          <w:color w:val="auto"/>
        </w:rPr>
      </w:pPr>
      <w:r>
        <w:rPr>
          <w:rFonts w:ascii="Times New Roman" w:cs="Times New Roman" w:eastAsia="Times New Roman" w:hAnsi="Times New Roman"/>
          <w:sz w:val="18"/>
          <w:szCs w:val="18"/>
          <w:color w:val="auto"/>
        </w:rPr>
        <w:t>We have a large opportunity to grow our share in key verticals with durable fundamentals, where we have strong partnerships with preeminent customers and extensive expertise. Our revenue is well-diversified across customers with different demand patterns and seasonality, including more than half of the Fortune 100 companies. In 2021, our revenue profile reflected a strong mix of both verticals and customers, with low concentration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326" w:hanging="326"/>
        <w:spacing w:after="0"/>
        <w:tabs>
          <w:tab w:leader="none" w:pos="32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eliminations</w:t>
      </w:r>
    </w:p>
    <w:p>
      <w:pPr>
        <w:spacing w:after="0" w:line="14" w:lineRule="exact"/>
        <w:rPr>
          <w:rFonts w:ascii="Times New Roman" w:cs="Times New Roman" w:eastAsia="Times New Roman" w:hAnsi="Times New Roman"/>
          <w:sz w:val="14"/>
          <w:szCs w:val="14"/>
          <w:color w:val="auto"/>
        </w:rPr>
      </w:pPr>
    </w:p>
    <w:p>
      <w:pPr>
        <w:ind w:left="326" w:right="400" w:hanging="326"/>
        <w:spacing w:after="0" w:line="263" w:lineRule="auto"/>
        <w:tabs>
          <w:tab w:leader="none" w:pos="31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verticals such as agriculture, chemicals, home furnishings, building materials, business and professional services, healthcare and biotechnology, energy, oil and gas, aerospace and defense, and mining.</w:t>
      </w:r>
    </w:p>
    <w:p>
      <w:pPr>
        <w:spacing w:after="0" w:line="138" w:lineRule="exact"/>
        <w:rPr>
          <w:sz w:val="20"/>
          <w:szCs w:val="20"/>
          <w:color w:val="auto"/>
        </w:rPr>
      </w:pPr>
    </w:p>
    <w:p>
      <w:pPr>
        <w:ind w:left="6" w:right="40"/>
        <w:spacing w:after="0" w:line="281" w:lineRule="auto"/>
        <w:rPr>
          <w:sz w:val="20"/>
          <w:szCs w:val="20"/>
          <w:color w:val="auto"/>
        </w:rPr>
      </w:pPr>
      <w:r>
        <w:rPr>
          <w:rFonts w:ascii="Times New Roman" w:cs="Times New Roman" w:eastAsia="Times New Roman" w:hAnsi="Times New Roman"/>
          <w:sz w:val="17"/>
          <w:szCs w:val="17"/>
          <w:color w:val="auto"/>
        </w:rPr>
        <w:t>Our value proposition is a combination of massive carrier capacity, highly efficient technology, deep expertise and the agility to not only solve supply chain challenges, but also proactively improve results — these are benefits that resonate with truck brokerage customers of all sizes. The average relationship tenure of our top 10 customers company-wide, based on revenue, is approximately 16 years, and the average relationship tenures of our top 10 and top 20 truck brokerage customers, based on revenue, are approximately 14 years.</w:t>
      </w:r>
    </w:p>
    <w:p>
      <w:pPr>
        <w:spacing w:after="0" w:line="110" w:lineRule="exact"/>
        <w:rPr>
          <w:sz w:val="20"/>
          <w:szCs w:val="20"/>
          <w:color w:val="auto"/>
        </w:rPr>
      </w:pPr>
    </w:p>
    <w:p>
      <w:pPr>
        <w:ind w:left="6" w:right="40"/>
        <w:spacing w:after="0" w:line="261" w:lineRule="auto"/>
        <w:rPr>
          <w:sz w:val="20"/>
          <w:szCs w:val="20"/>
          <w:color w:val="auto"/>
        </w:rPr>
      </w:pPr>
      <w:r>
        <w:rPr>
          <w:rFonts w:ascii="Times New Roman" w:cs="Times New Roman" w:eastAsia="Times New Roman" w:hAnsi="Times New Roman"/>
          <w:sz w:val="18"/>
          <w:szCs w:val="18"/>
          <w:color w:val="auto"/>
        </w:rPr>
        <w:t>Our tiered sales organization tailors its approach to each prospective customer based on size and profitability potential and has dedicated teams targeting enterprise customers, national customers and emerging growth companies. Our sales organization draws upon vertical-specific experience and leverages internal resources, including the self-service capabilities of RXO Connect™, in order to meet each customer’s needs.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Asset-Light Model Generates High Returns and Substantial Free Cash Flow</w:t>
      </w:r>
    </w:p>
    <w:p>
      <w:pPr>
        <w:spacing w:after="0" w:line="175" w:lineRule="exact"/>
        <w:rPr>
          <w:sz w:val="20"/>
          <w:szCs w:val="20"/>
          <w:color w:val="auto"/>
        </w:rPr>
      </w:pPr>
    </w:p>
    <w:p>
      <w:pPr>
        <w:ind w:left="6" w:right="20"/>
        <w:spacing w:after="0" w:line="289" w:lineRule="auto"/>
        <w:rPr>
          <w:sz w:val="20"/>
          <w:szCs w:val="20"/>
          <w:color w:val="auto"/>
        </w:rPr>
      </w:pPr>
      <w:r>
        <w:rPr>
          <w:rFonts w:ascii="Times New Roman" w:cs="Times New Roman" w:eastAsia="Times New Roman" w:hAnsi="Times New Roman"/>
          <w:sz w:val="17"/>
          <w:szCs w:val="17"/>
          <w:color w:val="auto"/>
        </w:rPr>
        <w:t xml:space="preserve">RXO’s asset-light business model historically has </w:t>
      </w:r>
      <w:r>
        <w:rPr>
          <w:rFonts w:ascii="Times New Roman" w:cs="Times New Roman" w:eastAsia="Times New Roman" w:hAnsi="Times New Roman"/>
          <w:sz w:val="17"/>
          <w:szCs w:val="17"/>
          <w:color w:val="auto"/>
          <w:highlight w:val="white"/>
        </w:rPr>
        <w:t>generated a high return on invested capital across cycles and robust free cash flow.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do not own the great majority of trucks and other </w:t>
      </w:r>
      <w:r>
        <w:rPr>
          <w:rFonts w:ascii="Times New Roman" w:cs="Times New Roman" w:eastAsia="Times New Roman" w:hAnsi="Times New Roman"/>
          <w:sz w:val="17"/>
          <w:szCs w:val="17"/>
          <w:color w:val="auto"/>
        </w:rPr>
        <w:t>assets used to perform our services, and in 2021, only 13% of our costs were fixed.</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This limits our capital requirements and gives our business substantial flexibility, compared with asset-based transportation providers.</w:t>
      </w:r>
    </w:p>
    <w:p>
      <w:pPr>
        <w:spacing w:after="0" w:line="104" w:lineRule="exact"/>
        <w:rPr>
          <w:sz w:val="20"/>
          <w:szCs w:val="20"/>
          <w:color w:val="auto"/>
        </w:rPr>
      </w:pPr>
    </w:p>
    <w:p>
      <w:pPr>
        <w:ind w:left="6" w:right="300"/>
        <w:spacing w:after="0" w:line="266" w:lineRule="auto"/>
        <w:rPr>
          <w:sz w:val="20"/>
          <w:szCs w:val="20"/>
          <w:color w:val="auto"/>
        </w:rPr>
      </w:pPr>
      <w:r>
        <w:rPr>
          <w:rFonts w:ascii="Times New Roman" w:cs="Times New Roman" w:eastAsia="Times New Roman" w:hAnsi="Times New Roman"/>
          <w:sz w:val="18"/>
          <w:szCs w:val="18"/>
          <w:color w:val="auto"/>
        </w:rPr>
        <w:t>Our largest capital expenditure is technology, which allows us to continually enhance our financial and operational agility. Labor is a significant cost; however, a large part of our labor cost is related to sales commissions. This variable cost structure automatically decreases costs at times of lower demand and increases revenue and</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66"/>
          </w:cols>
          <w:pgMar w:left="994"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179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spacing w:after="0" w:line="27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margin faster than costs as demand returns. The resilience inherent in our business model reduces risk in all macroeconomic environments.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when the market is poised to tighten, our business model gives us the ability to review rates with our top customers, hire employees to increase capacity, onboard more carriers and backstop rates. When the market is poised to loosen, we are able to look for opportunities to reduce carrier costs to expand margins, slow hiring, lean into contractual business and offer dedicated solutions to ensure reliable capacity for key customers. The resilience inherent in our business model reduces risk and facilitates succeeding in all macroeconomic environments.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and Cohesive Leadership and Strong Company Values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RXO is led by Drew Wilkerson, chief executive officer, and Jamie Harris, chief financial officer. These executives have deep experience in their respective fields, having previously served in senior roles with XPO and other industry leaders.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Mr. Wilkerson is a transportation industry veteran with 16 years of experience in brokerage operations. He joined XPO in May 2012 to spearhead the growth of the company’s flagship truck brokerage hub in Charlotte, North Carolina. In May 2014, he was promoted to regional vice president, with responsibility for major brokerage operations, and served as the key liaison for strategic accounts. In March 2017, he was named president of XPO’s North American brokerage business; and in February 2020, he was named president of XPO’s North American transportation division, with P&amp;L responsibility for truck brokerage, expedite, intermodal, drayage, managed transportation, last mile and freight forwarding. He has served in this role until the separation. Prior to XPO, Mr. Wilkerson held leadership positions in sales, operations, and customer and carrier relationship management with C.H. Robinson Worldwide.</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Harris is a career CFO with 35 years of experience in B2B sectors, including two decades with public companies. He has served as chief financial officer of XPO’s North American transportation division from September 2022 until the separation. Prior to XPO, he was CFO and treasurer of SPX Technologies and earlier held positions as CFO and then interim CEO of Elevate Textiles, Inc. Previously, Mr. Harris held various executive roles with Coca-Cola Consolidated, the largest independent Coca-Cola franchisee in the United States, including eight years as CFO and two years as executive vice president, business transformation.</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leadership team also provides executive support for our culture, which is defined by our environmental, social and governance framework, and by our values: safe, entrepreneurial, respectful, innovative and inclusive. We strive to move goods most efficiently through supply chains in a way that maximizes value for all our stakeholders. For example, our technology platform is designed to help us operate with minimal waste and reduce the carbon footprint of shipper supply chains, while also reducing “empty miles” for the carriers that provide the transportation. In April 2022, we enhanced the environmental sustainability of our truck brokerage offering with the launch of our Ship Net-Zero program, which gives shippers a way to negate the carbon footprint of their freight by purchasing carbon offsets for the sustainability projects of their choice.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Relationship-Based Operating Structure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truck brokerage business operates as an intermediary between shippers and carriers (truck and fleet owners), connecting truckload supply and demand. Our value proposition is based on our ability to access truck capacity on a massive scale; give shippers and carriers the benefits of our proprietary digital freight marketplace; and solve transportation challenges for our customers by utilizing the bench strength of our business — namely, the expertise of our brokerage leaders, technologists and employees.</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asset-light business model relies on our business relationships with independent motor carriers for the transportation of our customers’ freight. We typically sign a non-exclusive, one-year, renewable agreement with carriers; this agreement establishes the carrier’s role as an independent contractor and provides that the carrier is solely responsible for aspects of their service. In 2021, more than 90% of our truck brokerage revenue was generated from independent contractor services provided to truck brokerage customers, with the balance provided to customers of other RXO businesses through co-brokerage agreements.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179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spacing w:after="0" w:line="2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conduct our truck brokerage operations by striving to best utilize our resources of people, technology and data. Our sales representatives communicate with customers about truckload freight that needs to be shipped, and we locate trucks with available capacity using our RXO Connect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technology platform. In addition, our technology interfaces give customers the ability to post their freight loads and tap into truck capacity on our platform. On the supply side, truck drivers and fleet owners use our carrier interfaces to find loads and better utilize their assets. Carriers can bid and book loads online and through our platform’s mobile app. Our brokerage platform synergizes these operating strengths within a single digital freight marketplace. Approximately 80% of our truck brokerage transactions have a digital profile — and, as that percentage continues to grow, we are able to process more volume per head over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strategy is designed to deliver value through our resources, including extensive carrier relationships, automated shipper-carrier interactions, end-to-end digital tracking and data analyses generated by our proprietary algorithms. Our growth and optimization strategy encompasses:</w:t>
      </w:r>
    </w:p>
    <w:p>
      <w:pPr>
        <w:spacing w:after="0" w:line="122" w:lineRule="exact"/>
        <w:rPr>
          <w:sz w:val="20"/>
          <w:szCs w:val="20"/>
          <w:color w:val="auto"/>
        </w:rPr>
      </w:pPr>
    </w:p>
    <w:p>
      <w:pPr>
        <w:ind w:left="640" w:right="22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our brokerage capabilities and value-added services to new and existing customers of all sizes, using a partnership approach that creates enduring relationships;</w:t>
      </w:r>
    </w:p>
    <w:p>
      <w:pPr>
        <w:spacing w:after="0" w:line="107" w:lineRule="exact"/>
        <w:rPr>
          <w:rFonts w:ascii="Times New Roman" w:cs="Times New Roman" w:eastAsia="Times New Roman" w:hAnsi="Times New Roman"/>
          <w:sz w:val="18"/>
          <w:szCs w:val="18"/>
          <w:color w:val="auto"/>
        </w:rPr>
      </w:pPr>
    </w:p>
    <w:p>
      <w:pPr>
        <w:ind w:left="640" w:right="14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positioning to increasingly capitalize on secular trends in demand, such as the increasing broker penetration of the for-hire truckload industry and the growing shipper preference for digital brokerage services;</w:t>
      </w:r>
    </w:p>
    <w:p>
      <w:pPr>
        <w:spacing w:after="0" w:line="107"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recruit and retain talented customer and carrier sales representatives, and continuously improve their productivity with our state-of-the-art technology;</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attract high-caliber independent carriers to provide third-party transportation services for our customers; and</w:t>
      </w:r>
    </w:p>
    <w:p>
      <w:pPr>
        <w:spacing w:after="0" w:line="171" w:lineRule="exact"/>
        <w:rPr>
          <w:rFonts w:ascii="Times New Roman" w:cs="Times New Roman" w:eastAsia="Times New Roman" w:hAnsi="Times New Roman"/>
          <w:sz w:val="18"/>
          <w:szCs w:val="18"/>
          <w:color w:val="auto"/>
        </w:rPr>
      </w:pPr>
    </w:p>
    <w:p>
      <w:pPr>
        <w:ind w:left="640" w:right="24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Capitalizing on our first-mover technology advantage to continue to gain share of the truck brokerage industry by optimizing brokerage processes and pricing for customers and carriers, and by enhancing the productivity of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Intellectual Property</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RXO benefits from first-mover advantage in brokerage technology, with a fully automated, cloud-based digital platform that enables us to enhance our service, capture share and reduce costs. We established our advantage through more than a decade of investment in proprietary technology, and we are committed to staying at the forefront of the technological evolution of our industry.</w:t>
      </w:r>
    </w:p>
    <w:p>
      <w:pPr>
        <w:spacing w:after="0" w:line="122"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18"/>
          <w:szCs w:val="18"/>
          <w:color w:val="auto"/>
        </w:rPr>
        <w:t>Our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digital brokerage platform is scalable and self-learning. It gives shippers access to our growing transportation network and our valuable market data, and it gives independent truck drivers the ability to secure loads through our mobile app. As of June 30, 2022, we had nearly 800,000 cumulative truck driver downloads of the app.</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Importantly, our digital brokerage platform creates ongoing value for RXO by: (i) giving us real-time visibility into available supply and demand for current and future time periods; (ii) engaging customers and carriers through user-friendly interfaces underpinned by cutting-edge pricing technology; (iii) optimizing for value and margin through superior real-time market intelligence derived from data harvested during load-matching; and (iv) facilitating transactions through cost-efficient automation. See “Technology and Intellectual Property” for more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Brokered Transportation Services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to our core truck brokerage business, we also offer asset-light services for managed transportation, last mile for heavy goods and freight forwarding. We believe this comprehensive suite of brokered transportation solutions, provided through a single source, is a differentiator for RXO and capitalizes on synergy opportunities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880"/>
          </w:cols>
          <w:pgMar w:left="1000" w:top="1440" w:right="10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453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7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between the services in the form of cross-selling and shared technology. In 2021, over 60% of our revenue was related to customers that did business with more than one of our services. We estimate that the total addressable industry opportunity for the range of services we offer was over $750 billion in 2021. This includes the $400 billion U.S. for-hire truckload industry.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Managed Transportation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managed transportation service provides asset-light solutions for shippers who outsource their freight transportation to gain reliability, visibility and cost savings. This service uses proprietary technology to enhance revenue synergies with truck brokerage, last mile and freight forwarding. We are the sixth largest provider of managed transportation services in the United States and have grown our freight under management by more than 80% since 2019. In 2021, we had approximately 3% revenue share of the U.S. managed transportation industry, and, for the twelve months ended June 30, 2022, approximately $3.9 billion of freight under management. We estimate that the total addressable market for the managed transportation services we offer was $23 billion in 2021. Based on historical trends, industry data and our own internal analyses, we estimate that this market will have a growth rate of 10% from 2021 to 2026. This estimate does not reflect expectations regarding the growth of our business.</w:t>
      </w:r>
    </w:p>
    <w:p>
      <w:pPr>
        <w:spacing w:after="0" w:line="13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managed transportation offering includes bespoke load planning and procurement, complex solutions tailored to specific challenges, performance monitoring, engineering and data analytics, among other services. Our control tower solution leverages the expertise of a dedicated team focused on continuous improvement, and digital, door-to-door visibility into order status and freight in transit. In 2021, we managed more than 2.8 million shipments using control tower technology. In addition, we offer technology-enabled managed expedite services that automate transportation procurement for time-critical freight moved by independent road and air charter carriers.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Last Mile</w:t>
      </w:r>
    </w:p>
    <w:p>
      <w:pPr>
        <w:spacing w:after="0" w:line="175"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Our last mile offering is an asset-light service that facilitates the delivery of heavy goods to consumers, performed by highly qualified third-party contractors; this gives us daily access to approximately 6,700 independent contractor drivers. We are the largest provider of outsourced last mile service for heavy goods in the United States, with approximately 7% market share and a network that is positioned within 125 miles of the vast majority of the U.S. population. In 2021, we facilitated over 11 million last mile deliveries and installations for omnichannel and e-commerce retailers and direct-to-consumer manufacturers. We estimate that the total addressable market for the last mile services we offer was $16 billion in 2021. Based on historical trends, industry data and our own internal analyses, we estimate that this market will have a growth rate of 10% from 2021 to 2024. This estimate does not reflect expectations regarding the growth of our business.</w:t>
      </w:r>
    </w:p>
    <w:p>
      <w:pPr>
        <w:spacing w:after="0" w:line="13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We operate our last mile business using a proprietary technology platform we developed specifically for the last mile consumer experience, integrated with RXO Connect™. This enables real-time tracking and on-demand delivery updates and rescheduling, customized notifications and signature-less release upon delivery. Approximately 50% of our eligible last mile orders are now self-scheduled by the consumer via the web or automated calls, and all data regarding a shipment’s progress is visible in one place. Our automation capabilities are a major lever in driving superior customer satisfaction and a 30% reduction in calls per delivery since 2018.</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Freight Forwarding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freight forwarding service is a scalable, asset-light offering managed with advanced technology that facilitates ocean, road and air transportation and assists with customs brokerage. We are a U.S.-based freight forwarder with a global network of company-owned and partner-owned locations and coverage of key trade lanes that reach approximately 160 countries and territories through more than 2,500 domestic and 400 international carriers. Based on historical trends, industry data and our own internal analyses, we estimate that the market growth rate for the total addressable market for the freight forwarding services will be 3% from 2021 to 2026. This estimate does not reflect expectations regarding the growth of our business.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freight forwarding service provides valuable support to other RXO operations by providing centralized procurement for domestic and cross-border capacity management. We leverage economies of scale, carrier relationships and local market expertise at thousands of destinations to connect key production and consumption</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40"/>
          </w:cols>
          <w:pgMar w:left="1000" w:top="1440" w:right="105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179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spacing w:after="0" w:line="2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centers hundreds or thousands of miles apart. Our freight forwarding business model is nimble and resilient to changes in demand; we can readily increase capacity to manage volume, while retaining inherent flexibility in capital expenditures.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Separation and Distribution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March 2022, XPO announced its intention to separate into two independent, publicly traded companies. The separation will occur through a pro rata distribution to XPO stockholders of all of the shares of common stock of RXO, the newly formed company that will consist of XPO’s existing tech-enabled brokered transportation services platform in North America. XPO will remain a publicly traded company after the separation and distribution, consisting of its existing asset-based North American less-than-truckload business and its European transportation business.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10, 2022, the XPO board of directors approved the distribution of all of the shares of RXO common stock, on the basis of one share of RXO common stock for every share of XPO common stock held as of the close of business on October 20, 2022, the record date for the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RXO’s Post-Separation Relationship with XPO</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the distribution, XPO and RXO will become two separate companies with separate management teams and boards of directors. Prior to the distribution, XPO and RXO will enter into the separation agreement. We will also enter into various other agreements that will provide a framework for our relationship with XPO after the separation, including a transition services agreement, a tax matters agreement, an employee matters agreement and an intellectual property license agreement. These agreements will provide for the allocation between RXO and XPO of the assets, employees, liabilities and obligations (including, among others, investments, property and employee benefits, insurance and tax-related assets and liabilities) of XPO and its subsidiaries attributable to periods prior to, at and after the separation and will govern the relationship between us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Separation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XPO board of directors believes that the separation of XPO into two independent, publicly traded companies through the separation of the RXO Businesses from XPO is in the best interests of XPO and its stockholders for a number of reasons, including:</w:t>
      </w:r>
    </w:p>
    <w:p>
      <w:pPr>
        <w:spacing w:after="0" w:line="106" w:lineRule="exact"/>
        <w:rPr>
          <w:sz w:val="20"/>
          <w:szCs w:val="20"/>
          <w:color w:val="auto"/>
        </w:rPr>
      </w:pPr>
    </w:p>
    <w:p>
      <w:pPr>
        <w:ind w:left="640" w:right="320" w:hanging="322"/>
        <w:spacing w:after="0" w:line="273"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Enhanced Management Focus on Core Businesses</w:t>
      </w:r>
      <w:r>
        <w:rPr>
          <w:rFonts w:ascii="Times New Roman" w:cs="Times New Roman" w:eastAsia="Times New Roman" w:hAnsi="Times New Roman"/>
          <w:sz w:val="17"/>
          <w:szCs w:val="17"/>
          <w:color w:val="auto"/>
        </w:rPr>
        <w:t>. The separation will create two companies more fit for purpose, and give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company’s management team an undiluted focus on their 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XPO’s less-than-truckload (“LTL”) technology platform and RXO’s digital brokerage platform.</w:t>
      </w:r>
    </w:p>
    <w:p>
      <w:pPr>
        <w:spacing w:after="0" w:line="117" w:lineRule="exact"/>
        <w:rPr>
          <w:rFonts w:ascii="Times New Roman" w:cs="Times New Roman" w:eastAsia="Times New Roman" w:hAnsi="Times New Roman"/>
          <w:sz w:val="17"/>
          <w:szCs w:val="17"/>
          <w:color w:val="auto"/>
        </w:rPr>
      </w:pPr>
    </w:p>
    <w:p>
      <w:pPr>
        <w:ind w:left="640" w:hanging="322"/>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Clear-Cut Investment Identities. </w:t>
      </w:r>
      <w:r>
        <w:rPr>
          <w:rFonts w:ascii="Times New Roman" w:cs="Times New Roman" w:eastAsia="Times New Roman" w:hAnsi="Times New Roman"/>
          <w:sz w:val="18"/>
          <w:szCs w:val="18"/>
          <w:color w:val="auto"/>
        </w:rPr>
        <w:t>The separation will allow investors to more clearly understand the separate business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profiles and investment identities of the two companies and to invest in each company based on a better appreciation of these characteristics. The separation will also provide an opportunity to allow each company to have less debt relative to its market capitalization. To the extent that enhanced investor understanding of each business model and demonstrated deleveraging result in greater investor demand for shares of XPO stock and/or RXO stock, it could cause each company to be valued at multiples higher than XPO’s current multiple, and higher than its publicly traded peers. Any such increase in the aggregate market value of XPO and RXO following the separation, relative to XPO’s current market value, would benefit XPO, RXO and their respective stakeholders.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60"/>
          </w:cols>
          <w:pgMar w:left="1000" w:top="1440" w:right="103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076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76440"/>
                    </a:xfrm>
                    <a:prstGeom prst="rect">
                      <a:avLst/>
                    </a:prstGeom>
                    <a:noFill/>
                  </pic:spPr>
                </pic:pic>
              </a:graphicData>
            </a:graphic>
          </wp:anchor>
        </w:drawing>
      </w:r>
    </w:p>
    <w:p>
      <w:pPr>
        <w:spacing w:after="0" w:line="275" w:lineRule="exact"/>
        <w:rPr>
          <w:sz w:val="20"/>
          <w:szCs w:val="20"/>
          <w:color w:val="auto"/>
        </w:rPr>
      </w:pPr>
    </w:p>
    <w:p>
      <w:pPr>
        <w:ind w:left="640" w:right="120" w:hanging="322"/>
        <w:spacing w:after="0" w:line="281"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Creation of Independent Equity Currencies and Enhanced Strategic Opportunities. </w:t>
      </w:r>
      <w:r>
        <w:rPr>
          <w:rFonts w:ascii="Times New Roman" w:cs="Times New Roman" w:eastAsia="Times New Roman" w:hAnsi="Times New Roman"/>
          <w:sz w:val="17"/>
          <w:szCs w:val="17"/>
          <w:color w:val="auto"/>
        </w:rPr>
        <w:t>The separation will provide each of XPO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RXO with its own pure-play equity currency that can be used to facilitate raising capital and to pursue M&amp;A opportunities that are more closely aligned with each company’s strategic goals and expected growth opportunities. To the extent that the separate equity currencies are more attractively valued, this would further increase these benefits to XPO and RXO.</w:t>
      </w:r>
    </w:p>
    <w:p>
      <w:pPr>
        <w:spacing w:after="0" w:line="110" w:lineRule="exact"/>
        <w:rPr>
          <w:rFonts w:ascii="Times New Roman" w:cs="Times New Roman" w:eastAsia="Times New Roman" w:hAnsi="Times New Roman"/>
          <w:sz w:val="17"/>
          <w:szCs w:val="17"/>
          <w:color w:val="auto"/>
        </w:rPr>
      </w:pPr>
    </w:p>
    <w:p>
      <w:pPr>
        <w:ind w:left="640" w:right="80" w:hanging="322"/>
        <w:spacing w:after="0" w:line="26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Improved Alignment of Management Incentives and Performance. </w:t>
      </w:r>
      <w:r>
        <w:rPr>
          <w:rFonts w:ascii="Times New Roman" w:cs="Times New Roman" w:eastAsia="Times New Roman" w:hAnsi="Times New Roman"/>
          <w:sz w:val="18"/>
          <w:szCs w:val="18"/>
          <w:color w:val="auto"/>
        </w:rPr>
        <w:t>The separation will allow each company to more effectively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recruit, retain and motivate employees through the use of equity-based compensation that more closely aligns management and employee incentives with specific growth objectives, financial goals and business attributes. To the extent that the separate equity currencies are more attractively valued, this would further benefit XPO and RXO.</w:t>
      </w:r>
    </w:p>
    <w:p>
      <w:pPr>
        <w:spacing w:after="0" w:line="125" w:lineRule="exact"/>
        <w:rPr>
          <w:rFonts w:ascii="Times New Roman" w:cs="Times New Roman" w:eastAsia="Times New Roman" w:hAnsi="Times New Roman"/>
          <w:sz w:val="18"/>
          <w:szCs w:val="18"/>
          <w:color w:val="auto"/>
        </w:rPr>
      </w:pPr>
    </w:p>
    <w:p>
      <w:pPr>
        <w:ind w:left="640" w:hanging="322"/>
        <w:spacing w:after="0" w:line="25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Separate Capital Structures and Allocation of Financial Resources. </w:t>
      </w:r>
      <w:r>
        <w:rPr>
          <w:rFonts w:ascii="Times New Roman" w:cs="Times New Roman" w:eastAsia="Times New Roman" w:hAnsi="Times New Roman"/>
          <w:sz w:val="18"/>
          <w:szCs w:val="18"/>
          <w:color w:val="auto"/>
        </w:rPr>
        <w:t>The separation will permit each company to allocate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resources to meet the unique needs of its business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 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XPO board of directors also considered a number of potentially negative factors in evaluating the separation, including:</w:t>
      </w:r>
    </w:p>
    <w:p>
      <w:pPr>
        <w:spacing w:after="0" w:line="169" w:lineRule="exact"/>
        <w:rPr>
          <w:sz w:val="20"/>
          <w:szCs w:val="20"/>
          <w:color w:val="auto"/>
        </w:rPr>
      </w:pPr>
    </w:p>
    <w:p>
      <w:pPr>
        <w:ind w:left="640" w:hanging="322"/>
        <w:spacing w:after="0" w:line="25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Failure to Achieve Anticipated Benefits of the Separation</w:t>
      </w:r>
      <w:r>
        <w:rPr>
          <w:rFonts w:ascii="Times New Roman" w:cs="Times New Roman" w:eastAsia="Times New Roman" w:hAnsi="Times New Roman"/>
          <w:sz w:val="18"/>
          <w:szCs w:val="18"/>
          <w:color w:val="auto"/>
        </w:rPr>
        <w:t>. We may not achieve the anticipated benefits of the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variety of reasons, including, among others: the separation will demand significant management resources and require significant amounts of management’s time and effort, which may divert management’s attention from operating our business; following the separation, we may be more susceptible to market fluctuations, and other events may be more disadvantageous for us than if we were still part of XPO, because our business would be less diversified than XPO’s business is prior to the completion of the separation.</w:t>
      </w:r>
    </w:p>
    <w:p>
      <w:pPr>
        <w:spacing w:after="0" w:line="128" w:lineRule="exact"/>
        <w:rPr>
          <w:rFonts w:ascii="Times New Roman" w:cs="Times New Roman" w:eastAsia="Times New Roman" w:hAnsi="Times New Roman"/>
          <w:sz w:val="18"/>
          <w:szCs w:val="18"/>
          <w:color w:val="auto"/>
        </w:rPr>
      </w:pPr>
    </w:p>
    <w:p>
      <w:pPr>
        <w:ind w:left="640" w:right="60" w:hanging="322"/>
        <w:spacing w:after="0" w:line="25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Disruptions and Costs Related to the Separation</w:t>
      </w:r>
      <w:r>
        <w:rPr>
          <w:rFonts w:ascii="Times New Roman" w:cs="Times New Roman" w:eastAsia="Times New Roman" w:hAnsi="Times New Roman"/>
          <w:sz w:val="18"/>
          <w:szCs w:val="18"/>
          <w:color w:val="auto"/>
        </w:rPr>
        <w:t>. The actions required to separate the RXO Businesses from XPO could disrupt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In addition, in connection with the separation and the transition to being a standalone public company, we will incur costs that will, in the aggregate, be substantial. These costs may include accounting, tax, legal and other professional services costs, recruiting and relocation costs associated with hiring key senior management personnel who are new to RXO, tax costs, and costs to separate information systems.</w:t>
      </w:r>
    </w:p>
    <w:p>
      <w:pPr>
        <w:spacing w:after="0" w:line="129" w:lineRule="exact"/>
        <w:rPr>
          <w:rFonts w:ascii="Times New Roman" w:cs="Times New Roman" w:eastAsia="Times New Roman" w:hAnsi="Times New Roman"/>
          <w:sz w:val="18"/>
          <w:szCs w:val="18"/>
          <w:color w:val="auto"/>
        </w:rPr>
      </w:pPr>
    </w:p>
    <w:p>
      <w:pPr>
        <w:ind w:left="640" w:right="40" w:hanging="322"/>
        <w:spacing w:after="0" w:line="25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of Scale and Increased Administrative Costs. </w:t>
      </w:r>
      <w:r>
        <w:rPr>
          <w:rFonts w:ascii="Times New Roman" w:cs="Times New Roman" w:eastAsia="Times New Roman" w:hAnsi="Times New Roman"/>
          <w:sz w:val="18"/>
          <w:szCs w:val="18"/>
          <w:color w:val="auto"/>
        </w:rPr>
        <w:t>Prior to the separation, RXO is able to take advantage of XPO’s size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power in procuring certain goods, services and technologies. After the separation, as a standalone company, we may be unable to obtain these goods, services and technologies at prices or on terms as favorable as those XPO obtained prior to completion of the separation. In addition, as part of XPO, RXO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30" w:lineRule="exact"/>
        <w:rPr>
          <w:rFonts w:ascii="Times New Roman" w:cs="Times New Roman" w:eastAsia="Times New Roman" w:hAnsi="Times New Roman"/>
          <w:sz w:val="18"/>
          <w:szCs w:val="18"/>
          <w:color w:val="auto"/>
        </w:rPr>
      </w:pPr>
    </w:p>
    <w:p>
      <w:pPr>
        <w:ind w:left="640" w:right="40" w:hanging="322"/>
        <w:spacing w:after="0" w:line="25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Strategic Transactions</w:t>
      </w:r>
      <w:r>
        <w:rPr>
          <w:rFonts w:ascii="Times New Roman" w:cs="Times New Roman" w:eastAsia="Times New Roman" w:hAnsi="Times New Roman"/>
          <w:sz w:val="18"/>
          <w:szCs w:val="18"/>
          <w:color w:val="auto"/>
        </w:rPr>
        <w:t>. Under the terms of the tax matters agreement that we will enter into with XPO,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restricted from taking certain actions that could cause the distribution or certain related transactions (or certain transactions undertaken as part of the internal reorganization) to fail to qualify as tax-free under applicable law. These restrictions may limit, for a period of time, our ability to pursue certain strategic transactions and equity issuances or engage in other transactions that might increase the value of our business.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80"/>
          </w:cols>
          <w:pgMar w:left="1000"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8105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8105140"/>
                    </a:xfrm>
                    <a:prstGeom prst="rect">
                      <a:avLst/>
                    </a:prstGeom>
                    <a:noFill/>
                  </pic:spPr>
                </pic:pic>
              </a:graphicData>
            </a:graphic>
          </wp:anchor>
        </w:drawing>
      </w:r>
    </w:p>
    <w:p>
      <w:pPr>
        <w:spacing w:after="0" w:line="275" w:lineRule="exact"/>
        <w:rPr>
          <w:sz w:val="20"/>
          <w:szCs w:val="20"/>
          <w:color w:val="auto"/>
        </w:rPr>
      </w:pPr>
    </w:p>
    <w:p>
      <w:pPr>
        <w:ind w:left="640" w:right="80" w:hanging="322"/>
        <w:spacing w:after="0" w:line="26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Regarding Stock Prices</w:t>
      </w:r>
      <w:r>
        <w:rPr>
          <w:rFonts w:ascii="Times New Roman" w:cs="Times New Roman" w:eastAsia="Times New Roman" w:hAnsi="Times New Roman"/>
          <w:sz w:val="18"/>
          <w:szCs w:val="18"/>
          <w:color w:val="auto"/>
        </w:rPr>
        <w:t>. We cannot predict with certainty the effect of the separation on the trading prices of RXO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XPO common stock or know whether the combined market value of one share of our common stock and one share of XPO common stock will be less than, equal to or greater than the market value of one share of XPO common stock prior to the distribution.</w:t>
      </w:r>
    </w:p>
    <w:p>
      <w:pPr>
        <w:spacing w:after="0" w:line="7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determining whether to pursue the separation, the XPO board of directors concluded the potential benefits of the separation outweighed the potential negative factors. See the sections titled “The Separation and Distribution—Reasons for the Separation” and “Risk Factors” included elsewhere in this information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post-distribution capitalization of RXO, see the section titled “Capitalization.”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investment in our company is subject to a number of risks, including risks related to our business, risks related to the separation and distribution and risks related to our common stock. Set forth below is a high-level summary of some, but not all, of these risks. Please read the information in the section titled “Risk Factors” of this information statement for a more thorough description of these and other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Industry Dynamics</w:t>
      </w:r>
    </w:p>
    <w:p>
      <w:pPr>
        <w:spacing w:after="0" w:line="173" w:lineRule="exact"/>
        <w:rPr>
          <w:sz w:val="20"/>
          <w:szCs w:val="20"/>
          <w:color w:val="auto"/>
        </w:rPr>
      </w:pPr>
    </w:p>
    <w:p>
      <w:pPr>
        <w:ind w:left="640" w:right="240" w:hanging="322"/>
        <w:spacing w:after="0" w:line="28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if we are unable to adequately address factors that may adversely affect our revenue and costs, our business could suffer.</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and other factors that reduce economic activity could have a material adverse impact on our business.</w:t>
      </w:r>
    </w:p>
    <w:p>
      <w:pPr>
        <w:spacing w:after="0" w:line="171" w:lineRule="exact"/>
        <w:rPr>
          <w:rFonts w:ascii="Times New Roman" w:cs="Times New Roman" w:eastAsia="Times New Roman" w:hAnsi="Times New Roman"/>
          <w:sz w:val="18"/>
          <w:szCs w:val="18"/>
          <w:color w:val="auto"/>
        </w:rPr>
      </w:pPr>
    </w:p>
    <w:p>
      <w:pPr>
        <w:ind w:left="640" w:right="120" w:hanging="322"/>
        <w:spacing w:after="0" w:line="28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continue to face unfavorable market conditions arising from the COVID-19 pandemic, our business, prospects, financial condition and operating results may be negatively impacted.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fuel prices impacts our fuel surcharge revenue and may impact our profitability.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carrier prices may result in decreased income from operations and increases in working capital.</w:t>
      </w:r>
    </w:p>
    <w:p>
      <w:pPr>
        <w:spacing w:after="0" w:line="171" w:lineRule="exact"/>
        <w:rPr>
          <w:rFonts w:ascii="Times New Roman" w:cs="Times New Roman" w:eastAsia="Times New Roman" w:hAnsi="Times New Roman"/>
          <w:sz w:val="18"/>
          <w:szCs w:val="18"/>
          <w:color w:val="auto"/>
        </w:rPr>
      </w:pPr>
    </w:p>
    <w:p>
      <w:pPr>
        <w:ind w:left="640" w:right="80" w:hanging="322"/>
        <w:spacing w:after="0" w:line="28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or unusual weather conditions can disrupt our operations, impact freight volumes, and increase our costs, all of which could have a material adverse effect on our business results.</w:t>
      </w:r>
    </w:p>
    <w:p>
      <w:pPr>
        <w:spacing w:after="0" w:line="107" w:lineRule="exact"/>
        <w:rPr>
          <w:rFonts w:ascii="Times New Roman" w:cs="Times New Roman" w:eastAsia="Times New Roman" w:hAnsi="Times New Roman"/>
          <w:sz w:val="18"/>
          <w:szCs w:val="18"/>
          <w:color w:val="auto"/>
        </w:rPr>
      </w:pPr>
    </w:p>
    <w:p>
      <w:pPr>
        <w:ind w:left="640" w:right="200" w:hanging="322"/>
        <w:spacing w:after="0" w:line="28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subject to seasonal fluctuations, and our inability to manage these fluctuations could negatively affect our business and our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Third-Party Relationships</w:t>
      </w:r>
    </w:p>
    <w:p>
      <w:pPr>
        <w:spacing w:after="0" w:line="173" w:lineRule="exact"/>
        <w:rPr>
          <w:sz w:val="20"/>
          <w:szCs w:val="20"/>
          <w:color w:val="auto"/>
        </w:rPr>
      </w:pPr>
    </w:p>
    <w:p>
      <w:pPr>
        <w:ind w:left="640" w:hanging="32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 the operation of our business.</w:t>
      </w:r>
    </w:p>
    <w:p>
      <w:pPr>
        <w:spacing w:after="0" w:line="171" w:lineRule="exact"/>
        <w:rPr>
          <w:rFonts w:ascii="Times New Roman" w:cs="Times New Roman" w:eastAsia="Times New Roman" w:hAnsi="Times New Roman"/>
          <w:sz w:val="18"/>
          <w:szCs w:val="18"/>
          <w:color w:val="auto"/>
        </w:rPr>
      </w:pPr>
    </w:p>
    <w:p>
      <w:pPr>
        <w:ind w:left="640" w:right="180" w:hanging="322"/>
        <w:spacing w:after="0" w:line="28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third-party carriers to conduct its operations, and the status of these parties as independent contractors, rather than employees, is being challenged.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adversely affected by labor disputes or organizing efforts.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Use of Technology</w:t>
      </w:r>
    </w:p>
    <w:p>
      <w:pPr>
        <w:spacing w:after="0" w:line="173" w:lineRule="exact"/>
        <w:rPr>
          <w:sz w:val="20"/>
          <w:szCs w:val="20"/>
          <w:color w:val="auto"/>
        </w:rPr>
      </w:pPr>
    </w:p>
    <w:p>
      <w:pPr>
        <w:ind w:left="640" w:right="180" w:hanging="322"/>
        <w:spacing w:after="0" w:line="28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will be seriously harmed if we fail to develop, implement, maintain, upgrade, enhance, protect and integrate our information technology systems, including those systems of any businesses that we acquire.</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affected by cyberattacks or breaches of our information systems, any of which could have a material adverse effect on our business.</w:t>
      </w:r>
    </w:p>
    <w:p>
      <w:pPr>
        <w:sectPr>
          <w:pgSz w:w="11900" w:h="16838" w:orient="portrait"/>
          <w:cols w:equalWidth="0" w:num="1">
            <w:col w:w="9840"/>
          </w:cols>
          <w:pgMar w:left="1000" w:top="1440" w:right="105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40"/>
          </w:cols>
          <w:pgMar w:left="1000" w:top="1440" w:right="1059" w:bottom="1055"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762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762240"/>
                    </a:xfrm>
                    <a:prstGeom prst="rect">
                      <a:avLst/>
                    </a:prstGeom>
                    <a:noFill/>
                  </pic:spPr>
                </pic:pic>
              </a:graphicData>
            </a:graphic>
          </wp:anchor>
        </w:drawing>
      </w:r>
    </w:p>
    <w:p>
      <w:pPr>
        <w:spacing w:after="0" w:line="277" w:lineRule="exact"/>
        <w:rPr>
          <w:sz w:val="20"/>
          <w:szCs w:val="20"/>
          <w:color w:val="auto"/>
        </w:rPr>
      </w:pPr>
    </w:p>
    <w:p>
      <w:pPr>
        <w:ind w:left="640" w:right="240" w:hanging="322"/>
        <w:spacing w:after="0" w:line="282"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information technology infrastructure, information systems, networks or processes may materially adversely affect our business.</w:t>
      </w:r>
    </w:p>
    <w:p>
      <w:pPr>
        <w:spacing w:after="0" w:line="107" w:lineRule="exact"/>
        <w:rPr>
          <w:rFonts w:ascii="Times New Roman" w:cs="Times New Roman" w:eastAsia="Times New Roman" w:hAnsi="Times New Roman"/>
          <w:sz w:val="18"/>
          <w:szCs w:val="18"/>
          <w:color w:val="auto"/>
        </w:rPr>
      </w:pPr>
    </w:p>
    <w:p>
      <w:pPr>
        <w:ind w:left="640" w:right="160" w:hanging="322"/>
        <w:spacing w:after="0" w:line="26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40" w:right="140" w:hanging="322"/>
        <w:spacing w:after="0" w:line="282"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security incidents could result in the loss of our or our customers’ data, expose us to liability, harm our reputation, damage our competitiveness and adversely impact our financial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Litigation and Regulation</w:t>
      </w:r>
    </w:p>
    <w:p>
      <w:pPr>
        <w:spacing w:after="0" w:line="173" w:lineRule="exact"/>
        <w:rPr>
          <w:sz w:val="20"/>
          <w:szCs w:val="20"/>
          <w:color w:val="auto"/>
        </w:rPr>
      </w:pPr>
    </w:p>
    <w:p>
      <w:pPr>
        <w:ind w:left="640" w:hanging="32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claims arising from our transportation operations.</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involved in lawsuits and are subject to various claims that could result in significant expenditures and impact our operations.</w:t>
      </w:r>
    </w:p>
    <w:p>
      <w:pPr>
        <w:spacing w:after="0" w:line="107" w:lineRule="exact"/>
        <w:rPr>
          <w:rFonts w:ascii="Times New Roman" w:cs="Times New Roman" w:eastAsia="Times New Roman" w:hAnsi="Times New Roman"/>
          <w:sz w:val="18"/>
          <w:szCs w:val="18"/>
          <w:color w:val="auto"/>
        </w:rPr>
      </w:pPr>
    </w:p>
    <w:p>
      <w:pPr>
        <w:ind w:left="640" w:right="560" w:hanging="322"/>
        <w:spacing w:after="0" w:line="28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carriers are subject to increasingly stringent laws protecting the environment, including transitional risks relating to climate change, which could directly or indirectly have a material adverse effect on our business.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regulations and political conditions, which could negatively impact our business.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Risks Related to Our Strategy and Operations</w:t>
      </w:r>
    </w:p>
    <w:p>
      <w:pPr>
        <w:spacing w:after="0" w:line="173" w:lineRule="exact"/>
        <w:rPr>
          <w:sz w:val="20"/>
          <w:szCs w:val="20"/>
          <w:color w:val="auto"/>
        </w:rPr>
      </w:pPr>
    </w:p>
    <w:p>
      <w:pPr>
        <w:ind w:left="640" w:hanging="32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ability to attract and retain qualified employees and temporary workers.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implement our cost and revenue initiatives could cause our future financial results to suffer.</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manage our growth.</w:t>
      </w:r>
    </w:p>
    <w:p>
      <w:pPr>
        <w:spacing w:after="0" w:line="171" w:lineRule="exact"/>
        <w:rPr>
          <w:rFonts w:ascii="Times New Roman" w:cs="Times New Roman" w:eastAsia="Times New Roman" w:hAnsi="Times New Roman"/>
          <w:sz w:val="18"/>
          <w:szCs w:val="18"/>
          <w:color w:val="auto"/>
        </w:rPr>
      </w:pPr>
    </w:p>
    <w:p>
      <w:pPr>
        <w:ind w:left="640" w:right="500" w:hanging="322"/>
        <w:spacing w:after="0" w:line="28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manage the costs and operational difficulties of adding new customers or more volume from existing customers may negatively affect our financial condition and operations.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significant portion of our total revenue from our largest customers.</w:t>
      </w:r>
    </w:p>
    <w:p>
      <w:pPr>
        <w:spacing w:after="0" w:line="171" w:lineRule="exact"/>
        <w:rPr>
          <w:rFonts w:ascii="Times New Roman" w:cs="Times New Roman" w:eastAsia="Times New Roman" w:hAnsi="Times New Roman"/>
          <w:sz w:val="18"/>
          <w:szCs w:val="18"/>
          <w:color w:val="auto"/>
        </w:rPr>
      </w:pPr>
    </w:p>
    <w:p>
      <w:pPr>
        <w:ind w:left="640" w:right="360" w:hanging="322"/>
        <w:spacing w:after="0" w:line="28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between us and our customers could expose us to penalties and costs in the event we do not meet the contractually prescribed performance levels.</w:t>
      </w:r>
    </w:p>
    <w:p>
      <w:pPr>
        <w:spacing w:after="0" w:line="107" w:lineRule="exact"/>
        <w:rPr>
          <w:rFonts w:ascii="Times New Roman" w:cs="Times New Roman" w:eastAsia="Times New Roman" w:hAnsi="Times New Roman"/>
          <w:sz w:val="18"/>
          <w:szCs w:val="18"/>
          <w:color w:val="auto"/>
        </w:rPr>
      </w:pPr>
    </w:p>
    <w:p>
      <w:pPr>
        <w:ind w:left="640" w:right="460" w:hanging="322"/>
        <w:spacing w:after="0" w:line="28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through unfavorable publicity or the actions of our employees or independent contractors could adversely affect our financial condition.</w:t>
      </w:r>
    </w:p>
    <w:p>
      <w:pPr>
        <w:spacing w:after="0" w:line="107" w:lineRule="exact"/>
        <w:rPr>
          <w:rFonts w:ascii="Times New Roman" w:cs="Times New Roman" w:eastAsia="Times New Roman" w:hAnsi="Times New Roman"/>
          <w:sz w:val="18"/>
          <w:szCs w:val="18"/>
          <w:color w:val="auto"/>
        </w:rPr>
      </w:pPr>
    </w:p>
    <w:p>
      <w:pPr>
        <w:ind w:left="640" w:right="60" w:hanging="322"/>
        <w:spacing w:after="0" w:line="28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that our goodwill has become impaired, we may incur impairment charges, which would negatively impact our operating results.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that we may complete in the future may be unsuccessful or result in other risks or developments that adversely affect our financial condition and results.</w:t>
      </w:r>
    </w:p>
    <w:p>
      <w:pPr>
        <w:spacing w:after="0" w:line="107" w:lineRule="exact"/>
        <w:rPr>
          <w:rFonts w:ascii="Times New Roman" w:cs="Times New Roman" w:eastAsia="Times New Roman" w:hAnsi="Times New Roman"/>
          <w:sz w:val="18"/>
          <w:szCs w:val="18"/>
          <w:color w:val="auto"/>
        </w:rPr>
      </w:pPr>
    </w:p>
    <w:p>
      <w:pPr>
        <w:ind w:left="640" w:right="360" w:hanging="322"/>
        <w:spacing w:after="0" w:line="28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anticipated benefits of any divestitures we may make in the future, or the benefits of any such divestitures may take longer to realize than expected.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Separation and Distribution</w:t>
      </w:r>
    </w:p>
    <w:p>
      <w:pPr>
        <w:spacing w:after="0" w:line="175" w:lineRule="exact"/>
        <w:rPr>
          <w:sz w:val="20"/>
          <w:szCs w:val="20"/>
          <w:color w:val="auto"/>
        </w:rPr>
      </w:pPr>
    </w:p>
    <w:p>
      <w:pPr>
        <w:ind w:left="640" w:right="160" w:hanging="322"/>
        <w:spacing w:after="0" w:line="26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60"/>
          </w:cols>
          <w:pgMar w:left="1000" w:top="1440" w:right="103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693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693660"/>
                    </a:xfrm>
                    <a:prstGeom prst="rect">
                      <a:avLst/>
                    </a:prstGeom>
                    <a:noFill/>
                  </pic:spPr>
                </pic:pic>
              </a:graphicData>
            </a:graphic>
          </wp:anchor>
        </w:drawing>
      </w:r>
    </w:p>
    <w:p>
      <w:pPr>
        <w:spacing w:after="0" w:line="277" w:lineRule="exact"/>
        <w:rPr>
          <w:sz w:val="20"/>
          <w:szCs w:val="20"/>
          <w:color w:val="auto"/>
        </w:rPr>
      </w:pPr>
    </w:p>
    <w:p>
      <w:pPr>
        <w:ind w:left="322" w:right="16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and distribution, our financial profile will change, and we will be a smaller, less diversified company than XPO prior to the separation.</w:t>
      </w:r>
    </w:p>
    <w:p>
      <w:pPr>
        <w:spacing w:after="0" w:line="107" w:lineRule="exact"/>
        <w:rPr>
          <w:rFonts w:ascii="Times New Roman" w:cs="Times New Roman" w:eastAsia="Times New Roman" w:hAnsi="Times New Roman"/>
          <w:sz w:val="18"/>
          <w:szCs w:val="18"/>
          <w:color w:val="auto"/>
        </w:rPr>
      </w:pPr>
    </w:p>
    <w:p>
      <w:pPr>
        <w:ind w:left="322" w:right="18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some or all of the expected benefits of the separation and distribution, and the separation and distribution may materially adversely affect our business.</w:t>
      </w:r>
    </w:p>
    <w:p>
      <w:pPr>
        <w:spacing w:after="0" w:line="107" w:lineRule="exact"/>
        <w:rPr>
          <w:rFonts w:ascii="Times New Roman" w:cs="Times New Roman" w:eastAsia="Times New Roman" w:hAnsi="Times New Roman"/>
          <w:sz w:val="18"/>
          <w:szCs w:val="18"/>
          <w:color w:val="auto"/>
        </w:rPr>
      </w:pPr>
    </w:p>
    <w:p>
      <w:pPr>
        <w:jc w:val="both"/>
        <w:ind w:left="322" w:right="180" w:hanging="322"/>
        <w:spacing w:after="0" w:line="266"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21" w:lineRule="exact"/>
        <w:rPr>
          <w:rFonts w:ascii="Times New Roman" w:cs="Times New Roman" w:eastAsia="Times New Roman" w:hAnsi="Times New Roman"/>
          <w:sz w:val="18"/>
          <w:szCs w:val="18"/>
          <w:color w:val="auto"/>
        </w:rPr>
      </w:pPr>
    </w:p>
    <w:p>
      <w:pPr>
        <w:ind w:left="322" w:right="4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107" w:lineRule="exact"/>
        <w:rPr>
          <w:rFonts w:ascii="Times New Roman" w:cs="Times New Roman" w:eastAsia="Times New Roman" w:hAnsi="Times New Roman"/>
          <w:sz w:val="18"/>
          <w:szCs w:val="18"/>
          <w:color w:val="auto"/>
        </w:rPr>
      </w:pPr>
    </w:p>
    <w:p>
      <w:pPr>
        <w:ind w:left="322" w:right="64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incur, and may in the future incur, additional debt obligations, that could adversely affect our business and profitability and our ability to meet other obligations.</w:t>
      </w:r>
    </w:p>
    <w:p>
      <w:pPr>
        <w:spacing w:after="0" w:line="107" w:lineRule="exact"/>
        <w:rPr>
          <w:rFonts w:ascii="Times New Roman" w:cs="Times New Roman" w:eastAsia="Times New Roman" w:hAnsi="Times New Roman"/>
          <w:sz w:val="18"/>
          <w:szCs w:val="18"/>
          <w:color w:val="auto"/>
        </w:rPr>
      </w:pPr>
    </w:p>
    <w:p>
      <w:pPr>
        <w:ind w:left="322" w:right="42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temporary interruptions in business operations and incur additional costs as we build our information technology infrastructure and transition our data to our own systems.</w:t>
      </w:r>
    </w:p>
    <w:p>
      <w:pPr>
        <w:spacing w:after="0" w:line="107" w:lineRule="exact"/>
        <w:rPr>
          <w:rFonts w:ascii="Times New Roman" w:cs="Times New Roman" w:eastAsia="Times New Roman" w:hAnsi="Times New Roman"/>
          <w:sz w:val="18"/>
          <w:szCs w:val="18"/>
          <w:color w:val="auto"/>
        </w:rPr>
      </w:pPr>
    </w:p>
    <w:p>
      <w:pPr>
        <w:ind w:left="322" w:right="40" w:hanging="322"/>
        <w:spacing w:after="0" w:line="266"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121" w:lineRule="exact"/>
        <w:rPr>
          <w:rFonts w:ascii="Times New Roman" w:cs="Times New Roman" w:eastAsia="Times New Roman" w:hAnsi="Times New Roman"/>
          <w:sz w:val="18"/>
          <w:szCs w:val="18"/>
          <w:color w:val="auto"/>
        </w:rPr>
      </w:pPr>
    </w:p>
    <w:p>
      <w:pPr>
        <w:ind w:left="322" w:right="160" w:hanging="322"/>
        <w:spacing w:after="0" w:line="261"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into two public companies, each of XPO and RXO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25" w:lineRule="exact"/>
        <w:rPr>
          <w:rFonts w:ascii="Times New Roman" w:cs="Times New Roman" w:eastAsia="Times New Roman" w:hAnsi="Times New Roman"/>
          <w:sz w:val="18"/>
          <w:szCs w:val="18"/>
          <w:color w:val="auto"/>
        </w:rPr>
      </w:pPr>
    </w:p>
    <w:p>
      <w:pPr>
        <w:ind w:left="322" w:right="8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07" w:lineRule="exact"/>
        <w:rPr>
          <w:rFonts w:ascii="Times New Roman" w:cs="Times New Roman" w:eastAsia="Times New Roman" w:hAnsi="Times New Roman"/>
          <w:sz w:val="18"/>
          <w:szCs w:val="18"/>
          <w:color w:val="auto"/>
        </w:rPr>
      </w:pPr>
    </w:p>
    <w:p>
      <w:pPr>
        <w:ind w:left="322" w:right="90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liable to XPO if we fail to perform certain services under the transition services agreement, and the performance of such services may negatively impact our business and operations.</w:t>
      </w:r>
    </w:p>
    <w:p>
      <w:pPr>
        <w:spacing w:after="0" w:line="107" w:lineRule="exact"/>
        <w:rPr>
          <w:rFonts w:ascii="Times New Roman" w:cs="Times New Roman" w:eastAsia="Times New Roman" w:hAnsi="Times New Roman"/>
          <w:sz w:val="18"/>
          <w:szCs w:val="18"/>
          <w:color w:val="auto"/>
        </w:rPr>
      </w:pPr>
    </w:p>
    <w:p>
      <w:pPr>
        <w:ind w:left="322" w:right="8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we will receive in our agreements with XPO could be less beneficial than the terms we may have otherwise received from unaffiliated third parties.</w:t>
      </w:r>
    </w:p>
    <w:p>
      <w:pPr>
        <w:spacing w:after="0" w:line="107" w:lineRule="exact"/>
        <w:rPr>
          <w:rFonts w:ascii="Times New Roman" w:cs="Times New Roman" w:eastAsia="Times New Roman" w:hAnsi="Times New Roman"/>
          <w:sz w:val="18"/>
          <w:szCs w:val="18"/>
          <w:color w:val="auto"/>
        </w:rPr>
      </w:pPr>
    </w:p>
    <w:p>
      <w:pPr>
        <w:ind w:left="322" w:right="120" w:hanging="322"/>
        <w:spacing w:after="0" w:line="256"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33"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engage in desirable capital-raising or strategic transactions following the separation.</w:t>
      </w:r>
    </w:p>
    <w:p>
      <w:pPr>
        <w:spacing w:after="0" w:line="171" w:lineRule="exact"/>
        <w:rPr>
          <w:rFonts w:ascii="Times New Roman" w:cs="Times New Roman" w:eastAsia="Times New Roman" w:hAnsi="Times New Roman"/>
          <w:sz w:val="18"/>
          <w:szCs w:val="18"/>
          <w:color w:val="auto"/>
        </w:rPr>
      </w:pPr>
    </w:p>
    <w:p>
      <w:pPr>
        <w:ind w:left="322" w:hanging="322"/>
        <w:spacing w:after="0" w:line="261"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125" w:lineRule="exact"/>
        <w:rPr>
          <w:rFonts w:ascii="Times New Roman" w:cs="Times New Roman" w:eastAsia="Times New Roman" w:hAnsi="Times New Roman"/>
          <w:sz w:val="18"/>
          <w:szCs w:val="18"/>
          <w:color w:val="auto"/>
        </w:rPr>
      </w:pPr>
    </w:p>
    <w:p>
      <w:pPr>
        <w:ind w:left="322" w:right="180" w:hanging="322"/>
        <w:spacing w:after="0" w:line="282" w:lineRule="auto"/>
        <w:tabs>
          <w:tab w:leader="none" w:pos="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certain of our directors and employees may have actual or potential conflicts of interest because of their positions with or financial interests in XPO.</w:t>
      </w:r>
    </w:p>
    <w:p>
      <w:pPr>
        <w:sectPr>
          <w:pgSz w:w="11900" w:h="16838" w:orient="portrait"/>
          <w:cols w:equalWidth="0" w:num="1">
            <w:col w:w="9562"/>
          </w:cols>
          <w:pgMar w:left="1318"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562"/>
          </w:cols>
          <w:pgMar w:left="1318" w:top="1440" w:right="101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858520</wp:posOffset>
            </wp:positionV>
            <wp:extent cx="7136130" cy="7522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522210"/>
                    </a:xfrm>
                    <a:prstGeom prst="rect">
                      <a:avLst/>
                    </a:prstGeom>
                    <a:noFill/>
                  </pic:spPr>
                </pic:pic>
              </a:graphicData>
            </a:graphic>
          </wp:anchor>
        </w:drawing>
      </w:r>
    </w:p>
    <w:p>
      <w:pPr>
        <w:spacing w:after="0" w:line="277" w:lineRule="exact"/>
        <w:rPr>
          <w:sz w:val="20"/>
          <w:szCs w:val="20"/>
          <w:color w:val="auto"/>
        </w:rPr>
      </w:pPr>
    </w:p>
    <w:p>
      <w:pPr>
        <w:ind w:left="640" w:right="160" w:hanging="322"/>
        <w:spacing w:after="0" w:line="282"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distribution occurs, the XPO board of directors has sole and absolute discretion to change the terms of the separation and distribution in ways that may be unfavorable to us.</w:t>
      </w:r>
    </w:p>
    <w:p>
      <w:pPr>
        <w:spacing w:after="0" w:line="107" w:lineRule="exact"/>
        <w:rPr>
          <w:rFonts w:ascii="Times New Roman" w:cs="Times New Roman" w:eastAsia="Times New Roman" w:hAnsi="Times New Roman"/>
          <w:sz w:val="18"/>
          <w:szCs w:val="18"/>
          <w:color w:val="auto"/>
        </w:rPr>
      </w:pPr>
    </w:p>
    <w:p>
      <w:pPr>
        <w:ind w:left="640" w:right="200" w:hanging="322"/>
        <w:spacing w:after="0" w:line="26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75" w:lineRule="exact"/>
        <w:rPr>
          <w:sz w:val="20"/>
          <w:szCs w:val="20"/>
          <w:color w:val="auto"/>
        </w:rPr>
      </w:pPr>
    </w:p>
    <w:p>
      <w:pPr>
        <w:ind w:left="640" w:right="60" w:hanging="322"/>
        <w:spacing w:after="0" w:line="282"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an active trading market for our common stock will develop or be sustained after the distribution and, following the distribution, our stock price may fluctuate significantly.</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post-separation value of one share of XPO common stock and one share of RXO common stock may not equal or exceed the pre-distribution value of one share of XPO common stock.</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substantial and rapid changes in our stockholder base, which may cause our stock price to fluctuate significantly.</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shares of our common stock may be sold following the distribution, which may cause our stock price to decline.</w:t>
      </w:r>
    </w:p>
    <w:p>
      <w:pPr>
        <w:spacing w:after="0" w:line="107" w:lineRule="exact"/>
        <w:rPr>
          <w:rFonts w:ascii="Times New Roman" w:cs="Times New Roman" w:eastAsia="Times New Roman" w:hAnsi="Times New Roman"/>
          <w:sz w:val="18"/>
          <w:szCs w:val="18"/>
          <w:color w:val="auto"/>
        </w:rPr>
      </w:pPr>
    </w:p>
    <w:p>
      <w:pPr>
        <w:ind w:left="640" w:right="180" w:hanging="322"/>
        <w:spacing w:after="0" w:line="26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in connection with the Registration Rights Agreement, or the prospect of any such sales, could affect the market price of our common stock and could impair our ability to raise capital through future sales of equity securities.</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stockholder’s percentage of ownership in RXO may be diluted in the future at any given time.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the timing, amount or payment of any dividends on our common stock.</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RXO’s amended and restated certificate of incorporation and bylaws, and of Delaware law, may prevent or delay an acquisition of RXO, which could decrease the trading price of RXO’s common stock.</w:t>
      </w:r>
    </w:p>
    <w:p>
      <w:pPr>
        <w:spacing w:after="0" w:line="107" w:lineRule="exact"/>
        <w:rPr>
          <w:rFonts w:ascii="Times New Roman" w:cs="Times New Roman" w:eastAsia="Times New Roman" w:hAnsi="Times New Roman"/>
          <w:sz w:val="18"/>
          <w:szCs w:val="18"/>
          <w:color w:val="auto"/>
        </w:rPr>
      </w:pPr>
    </w:p>
    <w:p>
      <w:pPr>
        <w:ind w:left="640" w:right="620" w:hanging="322"/>
        <w:spacing w:after="0" w:line="282"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RXO’s amended and restated certificate of incorporation will contain an exclusive forum provision that may discourage lawsuits against RXO and RXO’s directors and officers.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RXO was formed as a Delaware limited liability company on May 5, 2022 for the purpose of holding the RXO Businesses in connection with the separation and distribution described herein. Prior to the transfer of the RXO Businesses to us by XPO, which will occur prior to the distribution, RXO will have no operations other than those incidental to the separation and related transactions. Prior to the separation and distribution, RXO will be converted into a Delaware corporation. The address of our principal executive offices will be 11215 North Community House Road, Charlotte, NC 28277. Our telephone number currently is (855) 976-6951. We maintain an internet site at </w:t>
      </w:r>
      <w:r>
        <w:rPr>
          <w:rFonts w:ascii="Times New Roman" w:cs="Times New Roman" w:eastAsia="Times New Roman" w:hAnsi="Times New Roman"/>
          <w:sz w:val="18"/>
          <w:szCs w:val="18"/>
          <w:i w:val="1"/>
          <w:iCs w:val="1"/>
          <w:color w:val="auto"/>
        </w:rPr>
        <w:t>www.rxo.com</w:t>
      </w:r>
      <w:r>
        <w:rPr>
          <w:rFonts w:ascii="Times New Roman" w:cs="Times New Roman" w:eastAsia="Times New Roman" w:hAnsi="Times New Roman"/>
          <w:sz w:val="18"/>
          <w:szCs w:val="18"/>
          <w:color w:val="auto"/>
        </w:rPr>
        <w:t>. Our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XPO stockholders who will receive shares of RXO common stock in the distribution. It is not, and is not to be construed as, an inducement or encouragement to buy or sell any of XPO’s or RXO’s securities. The information contained in this information statement is believed by RXO to be accurate as of the date set forth on its cover. Changes may occur after that date, and neither XPO nor RXO undertakes any obligation to update the information except as may be required in the normal course of their respective disclosure obligations and practices, or as required by applicable law.</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80"/>
          </w:cols>
          <w:pgMar w:left="1000" w:top="1440" w:right="101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28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8281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QUESTIONS AND ANSWERS ABOUT THE SEPARATION AND DISTRIBUTION</w:t>
      </w:r>
    </w:p>
    <w:p>
      <w:pPr>
        <w:sectPr>
          <w:pgSz w:w="11900" w:h="16838" w:orient="portrait"/>
          <w:cols w:equalWidth="0" w:num="1">
            <w:col w:w="9820"/>
          </w:cols>
          <w:pgMar w:left="1020" w:top="1440" w:right="105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RXO and why is XPO</w:t>
      </w:r>
    </w:p>
    <w:p>
      <w:pPr>
        <w:spacing w:after="0" w:line="6" w:lineRule="exact"/>
        <w:rPr>
          <w:sz w:val="20"/>
          <w:szCs w:val="20"/>
          <w:color w:val="auto"/>
        </w:rPr>
      </w:pPr>
    </w:p>
    <w:p>
      <w:pPr>
        <w:ind w:left="160"/>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separating the RXO Businesses and distributing RXO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right="2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How will the separation of RXO from XPO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right="54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is the record date for the distribution?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RXO, which is currently a wholly owned subsidiary of XPO, was formed to own and operate</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XPO’s RXO Businesses. The separation of RXO from XPO and the distribution of RXO common stock is intended, among other things, to simplify XPO’s business structure, enable the management of the two companies to pursue opportunities for long-term growth and</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profitability unique to each company’s business, and allow each business to more effectively implement its own capital structure, investment identity, and resource allocation strategies. XPO expects that the separation will result in enhanced long-term performance of each</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business for the reasons discussed in the section titled “The Separation and Distribution— Reasons for the Separation.”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is delivering this document to you because you are a holder of shares of XPO common</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stock. If you are a holder of shares of XPO common stock as of the close of business on October 20, 2022, the record date for the distribution, you will be entitled to receive one share of RXO common stock for every share of XPO common stock that you hold at the close of</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business on such date. This document is intended to describe the separation and distribution and help you understand how the separation and distribution will affect your post-separation ownership in XPO and RXO.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separation, and prior to the distribution, XPO and its subsidiaries expect to</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complete an internal reorganization (which we refer to as the “internal reorganization”) to transfer to RXO the RXO Businesses that RXO will own following the separation. To complete the separation, XPO will distribute all of the outstanding shares of RXO common</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stock to XPO stockholders on a pro rata basis in a distribution intended to be tax-free for U.S. federal income tax purposes both to XPO stockholders and to XPO. Following the separation, the number of shares of XPO common stock you own will not change as a result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distribution will be October 20,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that all of the outstanding shares of RXO common stock will be distributed by XPO</w:t>
      </w:r>
    </w:p>
    <w:p>
      <w:pPr>
        <w:spacing w:after="0" w:line="14"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at 12:01 a.m., Eastern Time, on November 1, 2022, to holders of record of shares of XPO common stock at the close of business on October 20, 2022, the record date for the distribution.</w:t>
      </w:r>
    </w:p>
    <w:p>
      <w:pPr>
        <w:spacing w:after="0" w:line="46" w:lineRule="exact"/>
        <w:rPr>
          <w:sz w:val="20"/>
          <w:szCs w:val="20"/>
          <w:color w:val="auto"/>
        </w:rPr>
      </w:pPr>
    </w:p>
    <w:p>
      <w:pPr>
        <w:sectPr>
          <w:pgSz w:w="11900" w:h="16838" w:orient="portrait"/>
          <w:cols w:equalWidth="0" w:num="2">
            <w:col w:w="2800" w:space="180"/>
            <w:col w:w="6840"/>
          </w:cols>
          <w:pgMar w:left="1020" w:top="1440" w:right="1059" w:bottom="1440" w:gutter="0" w:footer="0" w:header="0"/>
          <w:type w:val="continuous"/>
        </w:sectPr>
      </w:pPr>
    </w:p>
    <w:p>
      <w:pPr>
        <w:jc w:val="center"/>
        <w:ind w:right="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do stockholders need to do to participate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How will shares of RXO common stock be issued?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Stockholders of XPO as of the record date for the distribution will not be required to take any</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action to receive RXO common stock in the distribution, but you are urged to read this entire information statement carefully. No stockholder approval of the distribution is required. You are not being asked for a proxy. You do not need to pay any consideration, exchange or</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surrender your existing shares of XPO common stock or take any other action to receive your shares of RXO common stock. Please do not send in your XPO stock certificates. The distribution will not affect the number of outstanding shares of XPO common stock or any</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rights of XPO stockholders, although it will affect the market value of each outstanding share of XPO common stock.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receive shares of RXO common stock through the same channels that you currently</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use to hold or trade shares of XPO common stock, whether through a brokerage account, 401(k) plan or other channel. Receipt of RXO shares will be documented for you in the same manner that you typically receive stockholder updates, such as monthly broker statements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401(k) statements.</w:t>
      </w:r>
    </w:p>
    <w:p>
      <w:pPr>
        <w:spacing w:after="0" w:line="200" w:lineRule="exact"/>
        <w:rPr>
          <w:sz w:val="20"/>
          <w:szCs w:val="20"/>
          <w:color w:val="auto"/>
        </w:rPr>
      </w:pPr>
    </w:p>
    <w:p>
      <w:pPr>
        <w:sectPr>
          <w:pgSz w:w="11900" w:h="16838" w:orient="portrait"/>
          <w:cols w:equalWidth="0" w:num="2">
            <w:col w:w="2900" w:space="80"/>
            <w:col w:w="6840"/>
          </w:cols>
          <w:pgMar w:left="1020" w:top="144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820"/>
          </w:cols>
          <w:pgMar w:left="1020" w:top="1440" w:right="1059" w:bottom="144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of RXO common</w:t>
      </w:r>
    </w:p>
    <w:p>
      <w:pPr>
        <w:spacing w:after="0" w:line="6" w:lineRule="exact"/>
        <w:rPr>
          <w:sz w:val="20"/>
          <w:szCs w:val="20"/>
          <w:color w:val="auto"/>
        </w:rPr>
      </w:pPr>
    </w:p>
    <w:p>
      <w:pPr>
        <w:ind w:left="160" w:right="84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stock will I receive in the distribution?</w:t>
      </w:r>
    </w:p>
    <w:p>
      <w:pPr>
        <w:spacing w:after="0" w:line="200" w:lineRule="exact"/>
        <w:rPr>
          <w:sz w:val="20"/>
          <w:szCs w:val="20"/>
          <w:color w:val="auto"/>
        </w:rPr>
      </w:pPr>
    </w:p>
    <w:p>
      <w:pPr>
        <w:spacing w:after="0" w:line="385"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Will RXO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If you own shares of XPO common stock as of the close of business on the record date for the distribution, including shares owned in certificate form, XPO, with the assistance of American Stock Transfer &amp; Trust Company, LLC, the distribution agent for the distribution (the “distribution agent” or “AST”), will electronically distribute shares of RXO common stock to you or to your brokerage firm on your behalf in book-entry form. The distribution agent will mail you a book-entry account statement that reflects your shares of RXO common stock, or your bank or brokerage firm will credit your account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-1304290</wp:posOffset>
            </wp:positionV>
            <wp:extent cx="7136130" cy="295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95338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will distribute to you one share of RXO common stock for every share of XPO common</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stock held by you as of close of business on the record date for the distribution. Based on approximately 115,113,629 shares of XPO common stock outstanding as of October 7, 2022, a total of approximately 115,113,629 shares of RXO common stock will be distributed to XPO’s</w:t>
      </w:r>
    </w:p>
    <w:p>
      <w:pPr>
        <w:spacing w:after="0" w:line="2" w:lineRule="exact"/>
        <w:rPr>
          <w:sz w:val="20"/>
          <w:szCs w:val="20"/>
          <w:color w:val="auto"/>
        </w:rPr>
      </w:pPr>
    </w:p>
    <w:p>
      <w:pPr>
        <w:ind w:right="700"/>
        <w:spacing w:after="0" w:line="226" w:lineRule="auto"/>
        <w:rPr>
          <w:sz w:val="20"/>
          <w:szCs w:val="20"/>
          <w:color w:val="auto"/>
        </w:rPr>
      </w:pPr>
      <w:r>
        <w:rPr>
          <w:rFonts w:ascii="Times New Roman" w:cs="Times New Roman" w:eastAsia="Times New Roman" w:hAnsi="Times New Roman"/>
          <w:sz w:val="18"/>
          <w:szCs w:val="18"/>
          <w:color w:val="auto"/>
        </w:rPr>
        <w:t>stockholders. For additional information on the distribution, see “The Separation and Distribution.”</w:t>
      </w:r>
    </w:p>
    <w:p>
      <w:pPr>
        <w:spacing w:after="0" w:line="4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No. XPO will distribute one share of our common stock for each share of XPO common stock you own as of the close of business on the record date.</w:t>
      </w:r>
    </w:p>
    <w:p>
      <w:pPr>
        <w:spacing w:after="0" w:line="204" w:lineRule="exact"/>
        <w:rPr>
          <w:sz w:val="20"/>
          <w:szCs w:val="20"/>
          <w:color w:val="auto"/>
        </w:rPr>
      </w:pPr>
    </w:p>
    <w:p>
      <w:pPr>
        <w:sectPr>
          <w:pgSz w:w="11900" w:h="16838" w:orient="portrait"/>
          <w:cols w:equalWidth="0" w:num="2">
            <w:col w:w="2840" w:space="140"/>
            <w:col w:w="6820"/>
          </w:cols>
          <w:pgMar w:left="102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800"/>
          </w:cols>
          <w:pgMar w:left="1020" w:top="1440" w:right="1079" w:bottom="1440" w:gutter="0" w:footer="0" w:header="0"/>
          <w:type w:val="continuous"/>
        </w:sectPr>
      </w:pPr>
    </w:p>
    <w:bookmarkStart w:id="24" w:name="page25"/>
    <w:bookmarkEnd w:id="24"/>
    <w:p>
      <w:pPr>
        <w:spacing w:after="0" w:line="200" w:lineRule="exact"/>
        <w:rPr>
          <w:sz w:val="20"/>
          <w:szCs w:val="20"/>
          <w:color w:val="auto"/>
        </w:rPr>
      </w:pPr>
    </w:p>
    <w:p>
      <w:pPr>
        <w:spacing w:after="0" w:line="395" w:lineRule="exact"/>
        <w:rPr>
          <w:sz w:val="20"/>
          <w:szCs w:val="20"/>
          <w:color w:val="auto"/>
        </w:rPr>
      </w:pPr>
    </w:p>
    <w:p>
      <w:pPr>
        <w:ind w:right="4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is subject to final approval by the XPO board of directors, as well as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-515620</wp:posOffset>
            </wp:positionV>
            <wp:extent cx="7136130" cy="6844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844665"/>
                    </a:xfrm>
                    <a:prstGeom prst="rect">
                      <a:avLst/>
                    </a:prstGeom>
                    <a:noFill/>
                  </pic:spPr>
                </pic:pic>
              </a:graphicData>
            </a:graphic>
          </wp:anchor>
        </w:drawing>
      </w:r>
    </w:p>
    <w:p>
      <w:pPr>
        <w:ind w:right="160"/>
        <w:spacing w:after="0" w:line="226" w:lineRule="auto"/>
        <w:rPr>
          <w:sz w:val="20"/>
          <w:szCs w:val="20"/>
          <w:color w:val="auto"/>
        </w:rPr>
      </w:pPr>
      <w:r>
        <w:rPr>
          <w:rFonts w:ascii="Times New Roman" w:cs="Times New Roman" w:eastAsia="Times New Roman" w:hAnsi="Times New Roman"/>
          <w:sz w:val="18"/>
          <w:szCs w:val="18"/>
          <w:color w:val="auto"/>
        </w:rPr>
        <w:t>satisfaction (or waiver by XPO in its sole and absolute discretion) of a number of conditions, including, among others:</w:t>
      </w:r>
    </w:p>
    <w:p>
      <w:pPr>
        <w:spacing w:after="0" w:line="49" w:lineRule="exact"/>
        <w:rPr>
          <w:sz w:val="20"/>
          <w:szCs w:val="20"/>
          <w:color w:val="auto"/>
        </w:rPr>
      </w:pPr>
    </w:p>
    <w:p>
      <w:pPr>
        <w:ind w:left="340" w:right="240" w:hanging="331"/>
        <w:spacing w:after="0" w:line="217"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Securities and Exchange Commission (the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ind w:left="340" w:right="80" w:hanging="331"/>
        <w:spacing w:after="0" w:line="203"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statement (or notice of internet availability of this information statement) having been made available to XPO stockholders;</w:t>
      </w:r>
    </w:p>
    <w:p>
      <w:pPr>
        <w:ind w:left="340" w:right="140" w:hanging="331"/>
        <w:spacing w:after="0" w:line="209"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368(a)(1)(D) of the Internal Revenue Code of 1986, as amended (the “Code”);</w:t>
      </w:r>
    </w:p>
    <w:p>
      <w:pPr>
        <w:spacing w:after="0" w:line="3" w:lineRule="exact"/>
        <w:rPr>
          <w:rFonts w:ascii="Times New Roman" w:cs="Times New Roman" w:eastAsia="Times New Roman" w:hAnsi="Times New Roman"/>
          <w:sz w:val="18"/>
          <w:szCs w:val="18"/>
          <w:color w:val="auto"/>
        </w:rPr>
      </w:pPr>
    </w:p>
    <w:p>
      <w:pPr>
        <w:ind w:left="340" w:right="240" w:hanging="331"/>
        <w:spacing w:after="0" w:line="209"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separation and other transactions contemplated by the separation and distribution </w:t>
      </w:r>
      <w:r>
        <w:rPr>
          <w:rFonts w:ascii="Times New Roman" w:cs="Times New Roman" w:eastAsia="Times New Roman" w:hAnsi="Times New Roman"/>
          <w:sz w:val="18"/>
          <w:szCs w:val="18"/>
          <w:color w:val="auto"/>
          <w:highlight w:val="white"/>
        </w:rPr>
        <w:t xml:space="preserve">agreement, </w:t>
      </w:r>
      <w:r>
        <w:rPr>
          <w:rFonts w:ascii="Times New Roman" w:cs="Times New Roman" w:eastAsia="Times New Roman" w:hAnsi="Times New Roman"/>
          <w:sz w:val="18"/>
          <w:szCs w:val="18"/>
          <w:color w:val="auto"/>
        </w:rPr>
        <w:t>which is described below in this information statement (the “separation</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agreement”), and by the plan of reorganization included in the separation agreement, to occur prior to the distribution having been completed in accordance with the plan of reorganization;</w:t>
      </w:r>
    </w:p>
    <w:p>
      <w:pPr>
        <w:spacing w:after="0" w:line="3" w:lineRule="exact"/>
        <w:rPr>
          <w:rFonts w:ascii="Times New Roman" w:cs="Times New Roman" w:eastAsia="Times New Roman" w:hAnsi="Times New Roman"/>
          <w:sz w:val="18"/>
          <w:szCs w:val="18"/>
          <w:color w:val="auto"/>
        </w:rPr>
      </w:pPr>
    </w:p>
    <w:p>
      <w:pPr>
        <w:ind w:left="340" w:right="20" w:hanging="331"/>
        <w:spacing w:after="0" w:line="208"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acceptable to the XPO board of directors having delivered one or more opinions to the XPO board confirming the solvency and financial viability of XPO before the completion of the distribution, and each of XPO and RXO after completion of the distribution, in each case in a form and substance acceptable to the XPO board in its sole and absolute discretion, and with such opinions not having been withdrawn or rescinded;</w:t>
      </w:r>
    </w:p>
    <w:p>
      <w:pPr>
        <w:spacing w:after="0" w:line="3" w:lineRule="exact"/>
        <w:rPr>
          <w:rFonts w:ascii="Times New Roman" w:cs="Times New Roman" w:eastAsia="Times New Roman" w:hAnsi="Times New Roman"/>
          <w:sz w:val="18"/>
          <w:szCs w:val="18"/>
          <w:color w:val="auto"/>
        </w:rPr>
      </w:pPr>
    </w:p>
    <w:p>
      <w:pPr>
        <w:ind w:left="340" w:hanging="331"/>
        <w:spacing w:after="0" w:line="207"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1" w:lineRule="exact"/>
        <w:rPr>
          <w:rFonts w:ascii="Times New Roman" w:cs="Times New Roman" w:eastAsia="Times New Roman" w:hAnsi="Times New Roman"/>
          <w:sz w:val="18"/>
          <w:szCs w:val="18"/>
          <w:color w:val="auto"/>
        </w:rPr>
      </w:pPr>
    </w:p>
    <w:p>
      <w:pPr>
        <w:ind w:left="340" w:right="320" w:hanging="331"/>
        <w:spacing w:after="0" w:line="21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agreements relating to the separation and distribution having been duly </w:t>
      </w:r>
      <w:r>
        <w:rPr>
          <w:rFonts w:ascii="Times New Roman" w:cs="Times New Roman" w:eastAsia="Times New Roman" w:hAnsi="Times New Roman"/>
          <w:sz w:val="18"/>
          <w:szCs w:val="18"/>
          <w:color w:val="auto"/>
          <w:highlight w:val="white"/>
        </w:rPr>
        <w:t>executed and delivered by the parties thereto</w:t>
      </w:r>
      <w:r>
        <w:rPr>
          <w:rFonts w:ascii="Times New Roman" w:cs="Times New Roman" w:eastAsia="Times New Roman" w:hAnsi="Times New Roman"/>
          <w:sz w:val="18"/>
          <w:szCs w:val="18"/>
          <w:color w:val="auto"/>
        </w:rPr>
        <w:t>;</w:t>
      </w:r>
    </w:p>
    <w:p>
      <w:pPr>
        <w:ind w:left="340" w:right="380" w:hanging="331"/>
        <w:spacing w:after="0" w:line="203"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 w:lineRule="exact"/>
        <w:rPr>
          <w:rFonts w:ascii="Times New Roman" w:cs="Times New Roman" w:eastAsia="Times New Roman" w:hAnsi="Times New Roman"/>
          <w:sz w:val="18"/>
          <w:szCs w:val="18"/>
          <w:color w:val="auto"/>
        </w:rPr>
      </w:pPr>
    </w:p>
    <w:p>
      <w:pPr>
        <w:ind w:left="340" w:right="20" w:hanging="331"/>
        <w:spacing w:after="0" w:line="21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RXO common stock to be distributed having been approved for listing on the NYSE, subject to official notice of distribution;</w:t>
      </w:r>
    </w:p>
    <w:p>
      <w:pPr>
        <w:jc w:val="both"/>
        <w:ind w:left="340" w:right="160" w:hanging="331"/>
        <w:spacing w:after="0" w:line="207"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having received certain proceeds from the RXO financing arrangements described under “Description of Material Indebtedness” and being satisfied in its sole and absolute discretion that, as of the effective time of the distribution, it will have no further liability under such arrangements; and</w:t>
      </w:r>
    </w:p>
    <w:p>
      <w:pPr>
        <w:spacing w:after="0" w:line="1" w:lineRule="exact"/>
        <w:rPr>
          <w:rFonts w:ascii="Times New Roman" w:cs="Times New Roman" w:eastAsia="Times New Roman" w:hAnsi="Times New Roman"/>
          <w:sz w:val="18"/>
          <w:szCs w:val="18"/>
          <w:color w:val="auto"/>
        </w:rPr>
      </w:pPr>
    </w:p>
    <w:p>
      <w:pPr>
        <w:ind w:left="340" w:right="60" w:hanging="331"/>
        <w:spacing w:after="0" w:line="223"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and RXO cannot assure you that any or all of these conditions will be met, or that the</w:t>
      </w:r>
    </w:p>
    <w:p>
      <w:pPr>
        <w:spacing w:after="0" w:line="2"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separation or distribution will be consummated even if all of the conditions are met. XPO can decline at any time to go forward with the separation and distribution. In addition, XPO may waive any of the conditions to the distribution. For a complete discussion of all of the</w:t>
      </w:r>
    </w:p>
    <w:p>
      <w:pPr>
        <w:spacing w:after="0" w:line="2"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18"/>
          <w:szCs w:val="18"/>
          <w:color w:val="auto"/>
        </w:rPr>
        <w:t>conditions to the distribution, see “The Separation and Distribution—Conditions to the Distribution.”</w:t>
      </w:r>
    </w:p>
    <w:p>
      <w:pPr>
        <w:spacing w:after="0" w:line="200" w:lineRule="exact"/>
        <w:rPr>
          <w:sz w:val="20"/>
          <w:szCs w:val="20"/>
          <w:color w:val="auto"/>
        </w:rPr>
      </w:pPr>
    </w:p>
    <w:p>
      <w:pPr>
        <w:sectPr>
          <w:pgSz w:w="11900" w:h="16838" w:orient="portrait"/>
          <w:cols w:equalWidth="0" w:num="2">
            <w:col w:w="2100" w:space="720"/>
            <w:col w:w="6860"/>
          </w:cols>
          <w:pgMar w:left="118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680"/>
          </w:cols>
          <w:pgMar w:left="1180" w:top="1440" w:right="1039" w:bottom="1440" w:gutter="0" w:footer="0" w:header="0"/>
          <w:type w:val="continuous"/>
        </w:sectPr>
      </w:pPr>
    </w:p>
    <w:bookmarkStart w:id="25" w:name="page26"/>
    <w:bookmarkEnd w:id="25"/>
    <w:p>
      <w:pPr>
        <w:spacing w:after="0" w:line="200" w:lineRule="exact"/>
        <w:rPr>
          <w:sz w:val="20"/>
          <w:szCs w:val="20"/>
          <w:color w:val="auto"/>
        </w:rPr>
      </w:pPr>
    </w:p>
    <w:p>
      <w:pPr>
        <w:spacing w:after="0" w:line="395" w:lineRule="exact"/>
        <w:rPr>
          <w:sz w:val="20"/>
          <w:szCs w:val="20"/>
          <w:color w:val="auto"/>
        </w:rPr>
      </w:pPr>
    </w:p>
    <w:p>
      <w:pPr>
        <w:ind w:left="16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is the expected date of completion of the separation?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XPO decide to cancel the</w:t>
      </w:r>
    </w:p>
    <w:p>
      <w:pPr>
        <w:spacing w:after="0" w:line="6" w:lineRule="exact"/>
        <w:rPr>
          <w:sz w:val="20"/>
          <w:szCs w:val="20"/>
          <w:color w:val="auto"/>
        </w:rPr>
      </w:pPr>
    </w:p>
    <w:p>
      <w:pPr>
        <w:ind w:left="160" w:right="20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distribution of RXO common stock even if all of the conditions have been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and timing of the separation are dependent upon a number of conditions.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-515620</wp:posOffset>
            </wp:positionV>
            <wp:extent cx="7136130" cy="6887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8" w:lineRule="auto"/>
        <w:rPr>
          <w:sz w:val="20"/>
          <w:szCs w:val="20"/>
          <w:color w:val="auto"/>
        </w:rPr>
      </w:pPr>
      <w:r>
        <w:rPr>
          <w:rFonts w:ascii="Times New Roman" w:cs="Times New Roman" w:eastAsia="Times New Roman" w:hAnsi="Times New Roman"/>
          <w:sz w:val="18"/>
          <w:szCs w:val="18"/>
          <w:color w:val="auto"/>
        </w:rPr>
        <w:t>expect that the shares of RXO common stock will be distributed by XPO at 12:01 a.m., Eastern Time, on November 1, 2022, to the holders of record of shares of XPO common stock at the close of business on October 20, 2022, the record date for the distribution. However, no</w:t>
      </w:r>
    </w:p>
    <w:p>
      <w:pPr>
        <w:spacing w:after="0" w:line="2" w:lineRule="exact"/>
        <w:rPr>
          <w:sz w:val="20"/>
          <w:szCs w:val="20"/>
          <w:color w:val="auto"/>
        </w:rPr>
      </w:pPr>
    </w:p>
    <w:p>
      <w:pPr>
        <w:ind w:right="760"/>
        <w:spacing w:after="0" w:line="226" w:lineRule="auto"/>
        <w:rPr>
          <w:sz w:val="20"/>
          <w:szCs w:val="20"/>
          <w:color w:val="auto"/>
        </w:rPr>
      </w:pPr>
      <w:r>
        <w:rPr>
          <w:rFonts w:ascii="Times New Roman" w:cs="Times New Roman" w:eastAsia="Times New Roman" w:hAnsi="Times New Roman"/>
          <w:sz w:val="18"/>
          <w:szCs w:val="18"/>
          <w:color w:val="auto"/>
        </w:rPr>
        <w:t>assurance can be provided as to the timing of the separation or distribution or that all conditions to the distribution will be met.</w:t>
      </w:r>
    </w:p>
    <w:p>
      <w:pPr>
        <w:spacing w:after="0" w:line="4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Yes. Until the distribution has occurred, the XPO board of directors has the right to terminate the distribution, even if all of the conditions are satisfied.</w:t>
      </w:r>
    </w:p>
    <w:p>
      <w:pPr>
        <w:spacing w:after="0" w:line="387" w:lineRule="exact"/>
        <w:rPr>
          <w:sz w:val="20"/>
          <w:szCs w:val="20"/>
          <w:color w:val="auto"/>
        </w:rPr>
      </w:pPr>
    </w:p>
    <w:p>
      <w:pPr>
        <w:sectPr>
          <w:pgSz w:w="11900" w:h="16838" w:orient="portrait"/>
          <w:cols w:equalWidth="0" w:num="2">
            <w:col w:w="2940" w:space="40"/>
            <w:col w:w="6860"/>
          </w:cols>
          <w:pgMar w:left="1020" w:top="1440" w:right="1039" w:bottom="1440" w:gutter="0" w:footer="0" w:header="0"/>
        </w:sectPr>
      </w:pPr>
    </w:p>
    <w:p>
      <w:pPr>
        <w:ind w:left="160" w:hanging="161"/>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What if I want to sell my XPO common stock or my RXO common stock?</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“regular-way” and “ex-</w:t>
      </w:r>
    </w:p>
    <w:p>
      <w:pPr>
        <w:spacing w:after="0" w:line="6" w:lineRule="exact"/>
        <w:rPr>
          <w:sz w:val="20"/>
          <w:szCs w:val="20"/>
          <w:color w:val="auto"/>
        </w:rPr>
      </w:pPr>
    </w:p>
    <w:p>
      <w:pPr>
        <w:ind w:left="160" w:right="6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distribution” trading of XPO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right="8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Where will I be able to trade shares of RXO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right="4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will happen to the listing of XPO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You should consult with your financial advisors, such as your stock broker, bank and/or tax</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advisor. If you sell your shares of XPO common stock in the “regular-way” market after the record date and before the distribution date, you also will be selling your right to receive shares of RXO common stock in connection with the distribution.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three trading days before the distribution date and continuing up to the distribution</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date, we expect that there will be two markets in XPO common stock: a “regular-way” market and an “ex-distribution” market. XPO common stock that trades in the “regular-way” market will trade with an entitlement to shares of RXO common stock distributed pursuant to the</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distribution. Shares that trade in the “ex-distribution” market will trade without an entitlement to RXO common stock distributed pursuant to the distribution. If you decide to sell any shares of XPO common stock in the “regular-way” market after the close of business on the Record</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Date up to the distribution date, you should make sure your stockbroker, bank or other nominee understands whether you want to sell your XPO common stock with or without your entitlement to RXO common stock pursuant to the distribution. If trading on an “ex-</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distribution” basis, you may purchase or sell XPO common stock up to the distribution date, but your transaction will not settle until after the distribution date.</w:t>
      </w:r>
    </w:p>
    <w:p>
      <w:pPr>
        <w:spacing w:after="0" w:line="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RXO will list its common stock on the NYSE under the symbol “RXO.” RXO anticipates that</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trading in shares of its common stock will begin on a “when-issued” basis on or shortly before the distribution date and will continue up to the distribution date, and that “regular-way” trading in RXO common stock will begin on the distribution date. If trading begins on a</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“when-issued” basis, you may purchase or sell RXO common stock up to the distribution date, but your transaction will not settle until after the distribution date. RXO cannot predict the trading prices for its common stock before, on or after the distribution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common stock will continue to trade on the NYSE after the distribution.</w:t>
      </w:r>
    </w:p>
    <w:p>
      <w:pPr>
        <w:spacing w:after="0" w:line="261" w:lineRule="exact"/>
        <w:rPr>
          <w:sz w:val="20"/>
          <w:szCs w:val="20"/>
          <w:color w:val="auto"/>
        </w:rPr>
      </w:pPr>
    </w:p>
    <w:p>
      <w:pPr>
        <w:sectPr>
          <w:pgSz w:w="11900" w:h="16838" w:orient="portrait"/>
          <w:cols w:equalWidth="0" w:num="2">
            <w:col w:w="2900" w:space="80"/>
            <w:col w:w="6860"/>
          </w:cols>
          <w:pgMar w:left="1020" w:top="1440" w:right="1039" w:bottom="1440" w:gutter="0" w:footer="0" w:header="0"/>
          <w:type w:val="continuous"/>
        </w:sectPr>
      </w:pPr>
    </w:p>
    <w:p>
      <w:pPr>
        <w:spacing w:after="0"/>
        <w:tabs>
          <w:tab w:leader="none" w:pos="2960" w:val="left"/>
        </w:tabs>
        <w:rPr>
          <w:sz w:val="20"/>
          <w:szCs w:val="20"/>
          <w:color w:val="auto"/>
        </w:rPr>
      </w:pPr>
      <w:r>
        <w:rPr>
          <w:rFonts w:ascii="Times New Roman" w:cs="Times New Roman" w:eastAsia="Times New Roman" w:hAnsi="Times New Roman"/>
          <w:sz w:val="18"/>
          <w:szCs w:val="18"/>
          <w:b w:val="1"/>
          <w:bCs w:val="1"/>
          <w:i w:val="1"/>
          <w:iCs w:val="1"/>
          <w:color w:val="auto"/>
        </w:rPr>
        <w:t>Will the number of shares of XPO</w:t>
      </w:r>
      <w:r>
        <w:rPr>
          <w:sz w:val="20"/>
          <w:szCs w:val="20"/>
          <w:color w:val="auto"/>
        </w:rPr>
        <w:tab/>
      </w:r>
      <w:r>
        <w:rPr>
          <w:rFonts w:ascii="Times New Roman" w:cs="Times New Roman" w:eastAsia="Times New Roman" w:hAnsi="Times New Roman"/>
          <w:sz w:val="18"/>
          <w:szCs w:val="18"/>
          <w:color w:val="auto"/>
        </w:rPr>
        <w:t>No. The number of shares of XPO common stock that you own will not change as a result of</w:t>
      </w:r>
    </w:p>
    <w:p>
      <w:pPr>
        <w:ind w:left="160"/>
        <w:spacing w:after="0" w:line="21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that I own change as a </w:t>
      </w:r>
      <w:r>
        <w:rPr>
          <w:rFonts w:ascii="Times New Roman" w:cs="Times New Roman" w:eastAsia="Times New Roman" w:hAnsi="Times New Roman"/>
          <w:sz w:val="18"/>
          <w:szCs w:val="18"/>
          <w:color w:val="auto"/>
        </w:rPr>
        <w:t>the distribution.</w:t>
      </w: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result of the distribution?</w:t>
      </w:r>
    </w:p>
    <w:p>
      <w:pPr>
        <w:sectPr>
          <w:pgSz w:w="11900" w:h="16838" w:orient="portrait"/>
          <w:cols w:equalWidth="0" w:num="1">
            <w:col w:w="9840"/>
          </w:cols>
          <w:pgMar w:left="1020" w:top="1440" w:right="1039" w:bottom="1440" w:gutter="0" w:footer="0" w:header="0"/>
          <w:type w:val="continuous"/>
        </w:sectPr>
      </w:pPr>
    </w:p>
    <w:p>
      <w:pPr>
        <w:spacing w:after="0" w:line="53" w:lineRule="exact"/>
        <w:rPr>
          <w:sz w:val="20"/>
          <w:szCs w:val="20"/>
          <w:color w:val="auto"/>
        </w:rPr>
      </w:pPr>
    </w:p>
    <w:p>
      <w:pPr>
        <w:ind w:left="160" w:hanging="161"/>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Will the distribution affect the market price of my XPO common stock?</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As a result of the distribution, XPO expects the trading price of shares of XPO common</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stock immediately following the distribution to be different from the “regular-way” trading price of such shares immediately prior to the distribution because the trading price will no longer reflect the value of the RXO Businesses. There can be no assurance that the aggregate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 xml:space="preserve">market value of </w:t>
      </w:r>
      <w:r>
        <w:rPr>
          <w:rFonts w:ascii="Times New Roman" w:cs="Times New Roman" w:eastAsia="Times New Roman" w:hAnsi="Times New Roman"/>
          <w:sz w:val="18"/>
          <w:szCs w:val="18"/>
          <w:color w:val="auto"/>
          <w:highlight w:val="white"/>
        </w:rPr>
        <w:t>XPO</w:t>
      </w:r>
      <w:r>
        <w:rPr>
          <w:rFonts w:ascii="Times New Roman" w:cs="Times New Roman" w:eastAsia="Times New Roman" w:hAnsi="Times New Roman"/>
          <w:sz w:val="18"/>
          <w:szCs w:val="18"/>
          <w:color w:val="auto"/>
        </w:rPr>
        <w:t xml:space="preserve"> common stock and RXO common stock following the separation will be higher or lower than the market value of XPO common stock if the separation did not occur. This means, for example, that the combined trading prices of a share </w:t>
      </w:r>
      <w:r>
        <w:rPr>
          <w:rFonts w:ascii="Times New Roman" w:cs="Times New Roman" w:eastAsia="Times New Roman" w:hAnsi="Times New Roman"/>
          <w:sz w:val="18"/>
          <w:szCs w:val="18"/>
          <w:color w:val="auto"/>
          <w:highlight w:val="white"/>
        </w:rPr>
        <w:t>of X</w:t>
      </w:r>
      <w:r>
        <w:rPr>
          <w:rFonts w:ascii="Times New Roman" w:cs="Times New Roman" w:eastAsia="Times New Roman" w:hAnsi="Times New Roman"/>
          <w:sz w:val="18"/>
          <w:szCs w:val="18"/>
          <w:color w:val="auto"/>
        </w:rPr>
        <w:t>PO common stock</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and a share of RXO common stock after the distribution may be equal to, greater than or less than the trading price of a share of XPO common stock before the distribution.</w:t>
      </w:r>
    </w:p>
    <w:p>
      <w:pPr>
        <w:spacing w:after="0" w:line="200" w:lineRule="exact"/>
        <w:rPr>
          <w:sz w:val="20"/>
          <w:szCs w:val="20"/>
          <w:color w:val="auto"/>
        </w:rPr>
      </w:pPr>
    </w:p>
    <w:p>
      <w:pPr>
        <w:sectPr>
          <w:pgSz w:w="11900" w:h="16838" w:orient="portrait"/>
          <w:cols w:equalWidth="0" w:num="2">
            <w:col w:w="2780" w:space="200"/>
            <w:col w:w="686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840"/>
          </w:cols>
          <w:pgMar w:left="1020" w:top="1440" w:right="1039" w:bottom="1440" w:gutter="0" w:footer="0" w:header="0"/>
          <w:type w:val="continuous"/>
        </w:sectPr>
      </w:pPr>
    </w:p>
    <w:bookmarkStart w:id="26" w:name="page27"/>
    <w:bookmarkEnd w:id="26"/>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material U.S. federal</w:t>
      </w:r>
    </w:p>
    <w:p>
      <w:pPr>
        <w:spacing w:after="0" w:line="6" w:lineRule="exact"/>
        <w:rPr>
          <w:sz w:val="20"/>
          <w:szCs w:val="20"/>
          <w:color w:val="auto"/>
        </w:rPr>
      </w:pPr>
    </w:p>
    <w:p>
      <w:pPr>
        <w:jc w:val="both"/>
        <w:ind w:left="160" w:right="240"/>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hanging="161"/>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What will RXO’s relationship be with XPO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right="380" w:hanging="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Who will manage RXO after the separation?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 condition to the distribution that XPO receives an opinion of its outside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-515620</wp:posOffset>
            </wp:positionV>
            <wp:extent cx="7136130" cy="6904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904990"/>
                    </a:xfrm>
                    <a:prstGeom prst="rect">
                      <a:avLst/>
                    </a:prstGeom>
                    <a:noFill/>
                  </pic:spPr>
                </pic:pic>
              </a:graphicData>
            </a:graphic>
          </wp:anchor>
        </w:drawing>
      </w:r>
    </w:p>
    <w:p>
      <w:pPr>
        <w:ind w:right="40"/>
        <w:spacing w:after="0" w:line="218" w:lineRule="auto"/>
        <w:rPr>
          <w:sz w:val="20"/>
          <w:szCs w:val="20"/>
          <w:color w:val="auto"/>
        </w:rPr>
      </w:pPr>
      <w:r>
        <w:rPr>
          <w:rFonts w:ascii="Times New Roman" w:cs="Times New Roman" w:eastAsia="Times New Roman" w:hAnsi="Times New Roman"/>
          <w:sz w:val="18"/>
          <w:szCs w:val="18"/>
          <w:color w:val="auto"/>
        </w:rPr>
        <w:t>satisfactory to the XPO board of directors, regarding the qualification of the distribution, together with certain related transactions, as a “reorganization” within the meaning of Sections 355 and 368(a)(1)(D) of the Code.</w:t>
      </w:r>
    </w:p>
    <w:p>
      <w:pPr>
        <w:spacing w:after="0" w:line="13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7"/>
          <w:szCs w:val="17"/>
          <w:color w:val="auto"/>
        </w:rPr>
        <w:t>If the distribution, together with certain related transactions, so qualifies, generally no gain or loss will be recognized by you, and no amount will be included in your income, for U.S. federal income tax purposes upon your receipt of RXO common stock in the distribution. You</w:t>
      </w:r>
    </w:p>
    <w:p>
      <w:pPr>
        <w:ind w:right="60"/>
        <w:spacing w:after="0" w:line="220" w:lineRule="auto"/>
        <w:rPr>
          <w:sz w:val="20"/>
          <w:szCs w:val="20"/>
          <w:color w:val="auto"/>
        </w:rPr>
      </w:pPr>
      <w:r>
        <w:rPr>
          <w:rFonts w:ascii="Times New Roman" w:cs="Times New Roman" w:eastAsia="Times New Roman" w:hAnsi="Times New Roman"/>
          <w:sz w:val="17"/>
          <w:szCs w:val="17"/>
          <w:color w:val="auto"/>
        </w:rPr>
        <w:t>should carefully read the section titled “Material U.S. Federal Income Tax Consequences” and should consult your own tax advisor as to the particular consequences of the distribution to you, including the applicability and effect of any U.S. federal, state and local tax laws, as well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any non-U.S. tax laws.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distribution, XPO and RXO will become two separate companies with separate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management teams and boards of directors. RXO will enter into a separation and distribution agreement with XPO to effect the separation and to provide a framework for RXO’s relationship with XPO after the separation, and will enter into certain other agreements,</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including a transition services agreement, a tax matters agreement, an employee matters agreement and an intellectual property license agreement. These agreements will provide for the allocation between RXO and XPO of the assets, employees, liabilities and obligations</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(including, among others, investments, property and employee benefits, insurance and tax-related assets and liabilities) of XPO and its subsidiaries attributable to periods prior to, at and after the separation and will govern the relationship between RXO and XPO subsequent to the</w:t>
      </w:r>
    </w:p>
    <w:p>
      <w:pPr>
        <w:spacing w:after="0" w:line="2"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RXO will benefit from a management team with an extensive background in the RXO</w:t>
      </w:r>
    </w:p>
    <w:p>
      <w:pPr>
        <w:spacing w:after="0" w:line="2" w:lineRule="exact"/>
        <w:rPr>
          <w:sz w:val="20"/>
          <w:szCs w:val="20"/>
          <w:color w:val="auto"/>
        </w:rPr>
      </w:pPr>
    </w:p>
    <w:p>
      <w:pPr>
        <w:ind w:right="860"/>
        <w:spacing w:after="0" w:line="226" w:lineRule="auto"/>
        <w:rPr>
          <w:sz w:val="20"/>
          <w:szCs w:val="20"/>
          <w:color w:val="auto"/>
        </w:rPr>
      </w:pPr>
      <w:r>
        <w:rPr>
          <w:rFonts w:ascii="Times New Roman" w:cs="Times New Roman" w:eastAsia="Times New Roman" w:hAnsi="Times New Roman"/>
          <w:sz w:val="18"/>
          <w:szCs w:val="18"/>
          <w:color w:val="auto"/>
        </w:rPr>
        <w:t>Businesses. For more information regarding RXO’s management and directors, see “Management” and “Directors.”</w:t>
      </w:r>
    </w:p>
    <w:p>
      <w:pPr>
        <w:spacing w:after="0" w:line="45" w:lineRule="exact"/>
        <w:rPr>
          <w:sz w:val="20"/>
          <w:szCs w:val="20"/>
          <w:color w:val="auto"/>
        </w:rPr>
      </w:pPr>
    </w:p>
    <w:p>
      <w:pPr>
        <w:sectPr>
          <w:pgSz w:w="11900" w:h="16838" w:orient="portrait"/>
          <w:cols w:equalWidth="0" w:num="2">
            <w:col w:w="2760" w:space="220"/>
            <w:col w:w="6860"/>
          </w:cols>
          <w:pgMar w:left="1020" w:top="1440" w:right="1039" w:bottom="1440" w:gutter="0" w:footer="0" w:header="0"/>
        </w:sectPr>
      </w:pPr>
    </w:p>
    <w:p>
      <w:pPr>
        <w:spacing w:after="0"/>
        <w:tabs>
          <w:tab w:leader="none" w:pos="2960" w:val="left"/>
        </w:tabs>
        <w:rPr>
          <w:sz w:val="20"/>
          <w:szCs w:val="20"/>
          <w:color w:val="auto"/>
        </w:rPr>
      </w:pPr>
      <w:r>
        <w:rPr>
          <w:rFonts w:ascii="Times New Roman" w:cs="Times New Roman" w:eastAsia="Times New Roman" w:hAnsi="Times New Roman"/>
          <w:sz w:val="18"/>
          <w:szCs w:val="18"/>
          <w:b w:val="1"/>
          <w:bCs w:val="1"/>
          <w:i w:val="1"/>
          <w:iCs w:val="1"/>
          <w:color w:val="auto"/>
        </w:rPr>
        <w:t>Are there risks associated with owning</w:t>
      </w:r>
      <w:r>
        <w:rPr>
          <w:sz w:val="20"/>
          <w:szCs w:val="20"/>
          <w:color w:val="auto"/>
        </w:rPr>
        <w:tab/>
      </w:r>
      <w:r>
        <w:rPr>
          <w:rFonts w:ascii="Times New Roman" w:cs="Times New Roman" w:eastAsia="Times New Roman" w:hAnsi="Times New Roman"/>
          <w:sz w:val="17"/>
          <w:szCs w:val="17"/>
          <w:color w:val="auto"/>
        </w:rPr>
        <w:t>Yes. Ownership of RXO common stock is subject to both general and specific risks relating to</w:t>
      </w:r>
    </w:p>
    <w:p>
      <w:pPr>
        <w:spacing w:after="0" w:line="6" w:lineRule="exact"/>
        <w:rPr>
          <w:sz w:val="20"/>
          <w:szCs w:val="20"/>
          <w:color w:val="auto"/>
        </w:rPr>
      </w:pPr>
    </w:p>
    <w:p>
      <w:pPr>
        <w:ind w:left="2980" w:right="80" w:hanging="2834"/>
        <w:spacing w:after="0" w:line="208" w:lineRule="auto"/>
        <w:tabs>
          <w:tab w:leader="none" w:pos="2960" w:val="left"/>
        </w:tabs>
        <w:rPr>
          <w:sz w:val="20"/>
          <w:szCs w:val="20"/>
          <w:color w:val="auto"/>
        </w:rPr>
      </w:pPr>
      <w:r>
        <w:rPr>
          <w:rFonts w:ascii="Times New Roman" w:cs="Times New Roman" w:eastAsia="Times New Roman" w:hAnsi="Times New Roman"/>
          <w:sz w:val="18"/>
          <w:szCs w:val="18"/>
          <w:b w:val="1"/>
          <w:bCs w:val="1"/>
          <w:i w:val="1"/>
          <w:iCs w:val="1"/>
          <w:color w:val="auto"/>
        </w:rPr>
        <w:t>RXO common stock?</w:t>
      </w:r>
      <w:r>
        <w:rPr>
          <w:sz w:val="20"/>
          <w:szCs w:val="20"/>
          <w:color w:val="auto"/>
        </w:rPr>
        <w:tab/>
      </w:r>
      <w:r>
        <w:rPr>
          <w:rFonts w:ascii="Times New Roman" w:cs="Times New Roman" w:eastAsia="Times New Roman" w:hAnsi="Times New Roman"/>
          <w:sz w:val="18"/>
          <w:szCs w:val="18"/>
          <w:color w:val="auto"/>
        </w:rPr>
        <w:t>the RXO Businesses, the industry and macroeconomy in which it operates, its ongoing contractual relationships with XPO and its status as a separate, publicly traded company. Ownership of RXO common stock is also subject to risks relating to the separation. Certain of</w:t>
      </w:r>
    </w:p>
    <w:p>
      <w:pPr>
        <w:spacing w:after="0" w:line="2" w:lineRule="exact"/>
        <w:rPr>
          <w:sz w:val="20"/>
          <w:szCs w:val="20"/>
          <w:color w:val="auto"/>
        </w:rPr>
      </w:pPr>
    </w:p>
    <w:p>
      <w:pPr>
        <w:ind w:left="2980" w:right="520"/>
        <w:spacing w:after="0" w:line="226" w:lineRule="auto"/>
        <w:rPr>
          <w:sz w:val="20"/>
          <w:szCs w:val="20"/>
          <w:color w:val="auto"/>
        </w:rPr>
      </w:pPr>
      <w:r>
        <w:rPr>
          <w:rFonts w:ascii="Times New Roman" w:cs="Times New Roman" w:eastAsia="Times New Roman" w:hAnsi="Times New Roman"/>
          <w:sz w:val="18"/>
          <w:szCs w:val="18"/>
          <w:color w:val="auto"/>
        </w:rPr>
        <w:t>these risks are described in the “Risk Factors” section of this information statement. We encourage you to read that section carefully.</w:t>
      </w:r>
    </w:p>
    <w:p>
      <w:pPr>
        <w:spacing w:after="0" w:line="45" w:lineRule="exact"/>
        <w:rPr>
          <w:sz w:val="20"/>
          <w:szCs w:val="20"/>
          <w:color w:val="auto"/>
        </w:rPr>
      </w:pPr>
    </w:p>
    <w:p>
      <w:pPr>
        <w:jc w:val="right"/>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Does RXO plan to pay dividends?      </w:t>
      </w:r>
      <w:r>
        <w:rPr>
          <w:rFonts w:ascii="Times New Roman" w:cs="Times New Roman" w:eastAsia="Times New Roman" w:hAnsi="Times New Roman"/>
          <w:sz w:val="18"/>
          <w:szCs w:val="18"/>
          <w:color w:val="auto"/>
          <w:highlight w:val="white"/>
        </w:rPr>
        <w:t>The declaration and payment of any dividends in the future by RXO will be subject to the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highlight w:val="white"/>
        </w:rPr>
        <w:t xml:space="preserve">discretion of its board of directors and will depend upon many factors. </w:t>
      </w:r>
      <w:r>
        <w:rPr>
          <w:rFonts w:ascii="Times New Roman" w:cs="Times New Roman" w:eastAsia="Times New Roman" w:hAnsi="Times New Roman"/>
          <w:sz w:val="18"/>
          <w:szCs w:val="18"/>
          <w:color w:val="auto"/>
        </w:rPr>
        <w:t>See “Dividend Policy.”</w:t>
      </w:r>
    </w:p>
    <w:p>
      <w:pPr>
        <w:sectPr>
          <w:pgSz w:w="11900" w:h="16838" w:orient="portrait"/>
          <w:cols w:equalWidth="0" w:num="1">
            <w:col w:w="9840"/>
          </w:cols>
          <w:pgMar w:left="1020" w:top="1440" w:right="1039" w:bottom="1440" w:gutter="0" w:footer="0" w:header="0"/>
          <w:type w:val="continuous"/>
        </w:sectPr>
      </w:pPr>
    </w:p>
    <w:p>
      <w:pPr>
        <w:spacing w:after="0" w:line="33" w:lineRule="exact"/>
        <w:rPr>
          <w:sz w:val="20"/>
          <w:szCs w:val="20"/>
          <w:color w:val="auto"/>
        </w:rPr>
      </w:pPr>
    </w:p>
    <w:p>
      <w:pPr>
        <w:ind w:left="160" w:hanging="161"/>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Will RXO incur any indebtedness prior to or at the time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be the distribution agent for</w:t>
      </w:r>
    </w:p>
    <w:p>
      <w:pPr>
        <w:spacing w:after="0" w:line="6" w:lineRule="exact"/>
        <w:rPr>
          <w:sz w:val="20"/>
          <w:szCs w:val="20"/>
          <w:color w:val="auto"/>
        </w:rPr>
      </w:pPr>
    </w:p>
    <w:p>
      <w:pPr>
        <w:ind w:left="160" w:right="18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the distribution and transfer agent and registrar for RXO common stock?</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RXO anticipates issuing $355 million in aggregate principal amount of senior notes and</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$100 million in aggregate principal amount of term loans. We also anticipate entering into a revolving credit facility in aggregate principal amount of up to $500 million. We expect to transfer all or a portion of the net proceeds of the notes and the term loans to XPO, which XPO</w:t>
      </w:r>
    </w:p>
    <w:p>
      <w:pPr>
        <w:spacing w:after="0" w:line="2" w:lineRule="exact"/>
        <w:rPr>
          <w:sz w:val="20"/>
          <w:szCs w:val="20"/>
          <w:color w:val="auto"/>
        </w:rPr>
      </w:pPr>
    </w:p>
    <w:p>
      <w:pPr>
        <w:ind w:right="700"/>
        <w:spacing w:after="0" w:line="208" w:lineRule="auto"/>
        <w:rPr>
          <w:sz w:val="20"/>
          <w:szCs w:val="20"/>
          <w:color w:val="auto"/>
        </w:rPr>
      </w:pPr>
      <w:r>
        <w:rPr>
          <w:rFonts w:ascii="Times New Roman" w:cs="Times New Roman" w:eastAsia="Times New Roman" w:hAnsi="Times New Roman"/>
          <w:sz w:val="18"/>
          <w:szCs w:val="18"/>
          <w:color w:val="auto"/>
        </w:rPr>
        <w:t>intends to use to repay existing indebtedness prior to the 12-month anniversary of the distribution. Assuming the completion of such transactions, RXO anticipates having approximately $455 million of indebtedness upon completion of the distribution. See</w:t>
      </w:r>
    </w:p>
    <w:p>
      <w:pPr>
        <w:spacing w:after="0" w:line="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“Description of Material Indebtedness” and “Risk Factors — Risks Related to Our Business.” The distribution agent, transfer agent and registrar for the RXO common stock will be AST.</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For questions relating to the transfer or mechanics of the stock distribution, you should contact AST at 877-248-6417 (toll free) or 718-921-8317.</w:t>
      </w:r>
    </w:p>
    <w:p>
      <w:pPr>
        <w:spacing w:after="0" w:line="374" w:lineRule="exact"/>
        <w:rPr>
          <w:sz w:val="20"/>
          <w:szCs w:val="20"/>
          <w:color w:val="auto"/>
        </w:rPr>
      </w:pPr>
    </w:p>
    <w:p>
      <w:pPr>
        <w:sectPr>
          <w:pgSz w:w="11900" w:h="16838" w:orient="portrait"/>
          <w:cols w:equalWidth="0" w:num="2">
            <w:col w:w="2880" w:space="100"/>
            <w:col w:w="686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840"/>
          </w:cols>
          <w:pgMar w:left="1020" w:top="1440" w:right="103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373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33731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b w:val="1"/>
          <w:bCs w:val="1"/>
          <w:i w:val="1"/>
          <w:iCs w:val="1"/>
          <w:color w:val="auto"/>
        </w:rPr>
        <w:t>Where can I find more information</w:t>
      </w:r>
      <w:r>
        <w:rPr>
          <w:sz w:val="20"/>
          <w:szCs w:val="20"/>
          <w:color w:val="auto"/>
        </w:rPr>
        <w:tab/>
      </w:r>
      <w:r>
        <w:rPr>
          <w:rFonts w:ascii="Times New Roman" w:cs="Times New Roman" w:eastAsia="Times New Roman" w:hAnsi="Times New Roman"/>
          <w:sz w:val="18"/>
          <w:szCs w:val="18"/>
          <w:color w:val="auto"/>
        </w:rPr>
        <w:t>Before the distribution, if you have any questions relating to XPO, you should contact:</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about XPO and RXO?</w:t>
      </w:r>
    </w:p>
    <w:p>
      <w:pPr>
        <w:spacing w:after="0" w:line="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XPO Logistics, Inc.</w:t>
      </w:r>
    </w:p>
    <w:p>
      <w:pPr>
        <w:ind w:left="2980"/>
        <w:spacing w:after="0" w:line="203" w:lineRule="auto"/>
        <w:rPr>
          <w:sz w:val="20"/>
          <w:szCs w:val="20"/>
          <w:color w:val="auto"/>
        </w:rPr>
      </w:pPr>
      <w:r>
        <w:rPr>
          <w:rFonts w:ascii="Times New Roman" w:cs="Times New Roman" w:eastAsia="Times New Roman" w:hAnsi="Times New Roman"/>
          <w:sz w:val="18"/>
          <w:szCs w:val="18"/>
          <w:color w:val="auto"/>
        </w:rPr>
        <w:t>Five American Lane</w:t>
      </w:r>
    </w:p>
    <w:p>
      <w:pPr>
        <w:ind w:left="2980"/>
        <w:spacing w:after="0" w:line="219" w:lineRule="auto"/>
        <w:rPr>
          <w:sz w:val="20"/>
          <w:szCs w:val="20"/>
          <w:color w:val="auto"/>
        </w:rPr>
      </w:pPr>
      <w:r>
        <w:rPr>
          <w:rFonts w:ascii="Times New Roman" w:cs="Times New Roman" w:eastAsia="Times New Roman" w:hAnsi="Times New Roman"/>
          <w:sz w:val="18"/>
          <w:szCs w:val="18"/>
          <w:color w:val="auto"/>
        </w:rPr>
        <w:t>Greenwich, CT 06831</w:t>
      </w:r>
    </w:p>
    <w:p>
      <w:pPr>
        <w:spacing w:after="0" w:line="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92" w:lineRule="exact"/>
        <w:rPr>
          <w:sz w:val="20"/>
          <w:szCs w:val="20"/>
          <w:color w:val="auto"/>
        </w:rPr>
      </w:pPr>
    </w:p>
    <w:p>
      <w:pPr>
        <w:ind w:left="2980" w:right="240"/>
        <w:spacing w:after="0" w:line="237" w:lineRule="auto"/>
        <w:rPr>
          <w:sz w:val="20"/>
          <w:szCs w:val="20"/>
          <w:color w:val="auto"/>
        </w:rPr>
      </w:pPr>
      <w:r>
        <w:rPr>
          <w:rFonts w:ascii="Times New Roman" w:cs="Times New Roman" w:eastAsia="Times New Roman" w:hAnsi="Times New Roman"/>
          <w:sz w:val="18"/>
          <w:szCs w:val="18"/>
          <w:color w:val="auto"/>
        </w:rPr>
        <w:t>After the distribution, RXO stockholders who have any questions relating to RXO should contact:</w:t>
      </w:r>
    </w:p>
    <w:p>
      <w:pPr>
        <w:spacing w:after="0" w:line="18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RXO, Inc.</w:t>
      </w:r>
    </w:p>
    <w:p>
      <w:pPr>
        <w:ind w:left="2980"/>
        <w:spacing w:after="0" w:line="203" w:lineRule="auto"/>
        <w:rPr>
          <w:sz w:val="20"/>
          <w:szCs w:val="20"/>
          <w:color w:val="auto"/>
        </w:rPr>
      </w:pPr>
      <w:r>
        <w:rPr>
          <w:rFonts w:ascii="Times New Roman" w:cs="Times New Roman" w:eastAsia="Times New Roman" w:hAnsi="Times New Roman"/>
          <w:sz w:val="18"/>
          <w:szCs w:val="18"/>
          <w:color w:val="auto"/>
        </w:rPr>
        <w:t>11215 North Community House Road</w:t>
      </w:r>
    </w:p>
    <w:p>
      <w:pPr>
        <w:ind w:left="2980"/>
        <w:spacing w:after="0" w:line="219" w:lineRule="auto"/>
        <w:rPr>
          <w:sz w:val="20"/>
          <w:szCs w:val="20"/>
          <w:color w:val="auto"/>
        </w:rPr>
      </w:pPr>
      <w:r>
        <w:rPr>
          <w:rFonts w:ascii="Times New Roman" w:cs="Times New Roman" w:eastAsia="Times New Roman" w:hAnsi="Times New Roman"/>
          <w:sz w:val="18"/>
          <w:szCs w:val="18"/>
          <w:color w:val="auto"/>
        </w:rPr>
        <w:t>Charlotte, NC 28277</w:t>
      </w:r>
    </w:p>
    <w:p>
      <w:pPr>
        <w:spacing w:after="0" w:line="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90" w:lineRule="exact"/>
        <w:rPr>
          <w:sz w:val="20"/>
          <w:szCs w:val="20"/>
          <w:color w:val="auto"/>
        </w:rPr>
      </w:pPr>
    </w:p>
    <w:p>
      <w:pPr>
        <w:ind w:left="2980" w:right="20"/>
        <w:spacing w:after="0" w:line="224" w:lineRule="auto"/>
        <w:rPr>
          <w:sz w:val="20"/>
          <w:szCs w:val="20"/>
          <w:color w:val="auto"/>
        </w:rPr>
      </w:pPr>
      <w:r>
        <w:rPr>
          <w:rFonts w:ascii="Times New Roman" w:cs="Times New Roman" w:eastAsia="Times New Roman" w:hAnsi="Times New Roman"/>
          <w:sz w:val="18"/>
          <w:szCs w:val="18"/>
          <w:color w:val="auto"/>
        </w:rPr>
        <w:t xml:space="preserve">The RXO investor relations website is at </w:t>
      </w:r>
      <w:r>
        <w:rPr>
          <w:rFonts w:ascii="Times New Roman" w:cs="Times New Roman" w:eastAsia="Times New Roman" w:hAnsi="Times New Roman"/>
          <w:sz w:val="18"/>
          <w:szCs w:val="18"/>
          <w:i w:val="1"/>
          <w:iCs w:val="1"/>
          <w:color w:val="auto"/>
        </w:rPr>
        <w:t>investors.rxo.com</w:t>
      </w:r>
      <w:r>
        <w:rPr>
          <w:rFonts w:ascii="Times New Roman" w:cs="Times New Roman" w:eastAsia="Times New Roman" w:hAnsi="Times New Roman"/>
          <w:sz w:val="18"/>
          <w:szCs w:val="18"/>
          <w:color w:val="auto"/>
        </w:rPr>
        <w:t>. The RXO website and the information contained therein or connected thereto are not incorporated into this information</w:t>
      </w:r>
    </w:p>
    <w:p>
      <w:pPr>
        <w:ind w:left="2980"/>
        <w:spacing w:after="0" w:line="226" w:lineRule="auto"/>
        <w:rPr>
          <w:sz w:val="20"/>
          <w:szCs w:val="20"/>
          <w:color w:val="auto"/>
        </w:rPr>
      </w:pPr>
      <w:r>
        <w:rPr>
          <w:rFonts w:ascii="Times New Roman" w:cs="Times New Roman" w:eastAsia="Times New Roman" w:hAnsi="Times New Roman"/>
          <w:sz w:val="18"/>
          <w:szCs w:val="18"/>
          <w:color w:val="auto"/>
        </w:rPr>
        <w:t>statement or the registration statement of which this information statement forms a part, or in any other filings with, or any information furnished or submitted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680"/>
          </w:cols>
          <w:pgMar w:left="1020" w:top="1440" w:right="11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36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AND PRO FORMA COMBINED FINANCIAL DATA</w:t>
      </w:r>
    </w:p>
    <w:p>
      <w:pPr>
        <w:spacing w:after="0" w:line="17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The following summary financial data reflects the combined operations of RXO. We derived the summary Combined Income Statement Data for the years ended December 31, 2021, 2020 and 2019, and summary Combined Balance Sheet Data as of December 31, 2021 and 2020, as set forth below, from our audited Combined Financial Statements, which are included in the “Index to Financial Statements” section of this information statement. We derived our summary Combined Balance Sheet Data as of December 31, 2019, also as set forth below, from our unaudited underlying financial records, which were derived from the financial records of XPO. We derived the summary Combined Income Statement Data for the six months ended June 30, 2022 and 2021, and summary Combined Balance Sheet Data as of June 30, 2022, as set forth below, from our unaudited Condensed Combined Financial Statements, which are included in the “Index to Financial Statements” section of this information statement. The historical results do not necessarily indicate the results expected for any future period.</w:t>
      </w:r>
    </w:p>
    <w:p>
      <w:pPr>
        <w:spacing w:after="0" w:line="134"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color w:val="auto"/>
        </w:rPr>
        <w:t>The summary Unaudited Pro Forma Combined Financial Data as of June 30, 2022, for the six months ended June 30, 2022 and 2021 and for the year ended December 31, 2021 has been prepared to reflect the spin-off, including the incurrence of indebtedness of $455 million, and the distribution of approximately $554 million of cash to XPO. The Unaudited Pro Forma Condensed Combined Statement of Operations presented assumes the spin-off occurred on January 1, 2021, the beginning of our most recently completed fiscal year. The Unaudited Pro Forma Condensed Combined Balance Sheet presented for June 30, 2022 assumes the spin-off occurred on June 30, 2022, our latest balance sheet date. The assumptions used and pro forma adjustments derived from such assumptions are based on currently available information, and we believe such assumptions are reasonable under the circumstances.</w:t>
      </w:r>
    </w:p>
    <w:p>
      <w:pPr>
        <w:spacing w:after="0" w:line="135" w:lineRule="exact"/>
        <w:rPr>
          <w:sz w:val="20"/>
          <w:szCs w:val="20"/>
          <w:color w:val="auto"/>
        </w:rPr>
      </w:pPr>
    </w:p>
    <w:p>
      <w:pPr>
        <w:ind w:left="20" w:right="60"/>
        <w:spacing w:after="0" w:line="281"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is not necessarily indicative of our results of operations or financial condition had the distribution and our anticipated post-spin-off capital structure been completed on the dates assumed. It may not reflect the results of operations or financial condition that would have resulted had we been operating as an independent, publicly traded company during such periods. In addition, it is not necessarily indicative of our future results of operations or financial condition.</w:t>
      </w:r>
    </w:p>
    <w:p>
      <w:pPr>
        <w:spacing w:after="0" w:line="110"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You should read this summary financial data together with “Unaudited Pro Forma Condensed Combined Financial Information,” “Capitalization,” “Management’s Discussion and Analysis of Financial Condition and Results of Operations,” our Combined Financial Statements and accompanying notes and our Condensed Combined Financial Statements and accompanying notes included elsewhere in this information statement.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8"/>
        </w:trPr>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5"/>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20" w:type="dxa"/>
            <w:vAlign w:val="bottom"/>
          </w:tcPr>
          <w:p>
            <w:pPr>
              <w:spacing w:after="0"/>
              <w:rPr>
                <w:sz w:val="11"/>
                <w:szCs w:val="11"/>
                <w:color w:val="auto"/>
              </w:rPr>
            </w:pPr>
          </w:p>
        </w:tc>
        <w:tc>
          <w:tcPr>
            <w:tcW w:w="900" w:type="dxa"/>
            <w:vAlign w:val="bottom"/>
          </w:tcPr>
          <w:p>
            <w:pPr>
              <w:jc w:val="center"/>
              <w:ind w:right="24"/>
              <w:spacing w:after="0" w:line="128" w:lineRule="exact"/>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5"/>
          </w:tcPr>
          <w:p>
            <w:pPr>
              <w:ind w:left="200"/>
              <w:spacing w:after="0" w:line="12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4"/>
              </w:rPr>
              <w:t>Years Ended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6"/>
        </w:trPr>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1"/>
        </w:trPr>
        <w:tc>
          <w:tcPr>
            <w:tcW w:w="2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 except per share data)</w:t>
            </w: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01"/>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results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3"/>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w:t>
            </w:r>
          </w:p>
        </w:tc>
      </w:tr>
      <w:tr>
        <w:trPr>
          <w:trHeight w:val="219"/>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4"/>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earnings per share</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8"/>
        </w:trPr>
        <w:tc>
          <w:tcPr>
            <w:tcW w:w="2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3"/>
        </w:trPr>
        <w:tc>
          <w:tcPr>
            <w:tcW w:w="2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234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6"/>
                <w:szCs w:val="16"/>
                <w:b w:val="1"/>
                <w:bCs w:val="1"/>
                <w:color w:val="auto"/>
              </w:rPr>
              <w:t xml:space="preserve">Other data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3"/>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26"/>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non-GAAP reconciliations included below.</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00"/>
          </w:cols>
          <w:pgMar w:left="980" w:top="1440" w:right="101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787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78764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9"/>
        </w:trPr>
        <w:tc>
          <w:tcPr>
            <w:tcW w:w="37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7"/>
              </w:rPr>
              <w:t>As of June 30,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r>
      <w:tr>
        <w:trPr>
          <w:trHeight w:val="171"/>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01"/>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378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Cash and cash equivalents </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6"/>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213"/>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20" w:hanging="326"/>
        <w:spacing w:after="0" w:line="262"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anticipated that, on the distribution date, RXO will have approximately $100 million of cash. The separation agreement will provide for an adjustment payment to potentially be made following the distribution from RXO to XPO, or from XPO to RXO, so that RXO’s final cash balance as of the effective time of the distribution is equal to $100 million.</w:t>
      </w:r>
    </w:p>
    <w:p>
      <w:pPr>
        <w:spacing w:after="0" w:line="139" w:lineRule="exact"/>
        <w:rPr>
          <w:sz w:val="20"/>
          <w:szCs w:val="20"/>
          <w:color w:val="auto"/>
        </w:rPr>
      </w:pPr>
    </w:p>
    <w:p>
      <w:pPr>
        <w:ind w:left="20" w:right="300"/>
        <w:spacing w:after="0" w:line="282" w:lineRule="auto"/>
        <w:rPr>
          <w:sz w:val="20"/>
          <w:szCs w:val="20"/>
          <w:color w:val="auto"/>
        </w:rPr>
      </w:pPr>
      <w:r>
        <w:rPr>
          <w:rFonts w:ascii="Times New Roman" w:cs="Times New Roman" w:eastAsia="Times New Roman" w:hAnsi="Times New Roman"/>
          <w:sz w:val="18"/>
          <w:szCs w:val="18"/>
          <w:color w:val="auto"/>
        </w:rPr>
        <w:t>The tables below reconcile our non-GAAP measures to the nearest financial measure that is in accordance with accounting principles generally accepted in the United States (“GAAP”) for the periods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160"/>
              <w:spacing w:after="0" w:line="126"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0"/>
                <w:szCs w:val="10"/>
                <w:color w:val="auto"/>
              </w:rPr>
            </w:pPr>
          </w:p>
        </w:tc>
        <w:tc>
          <w:tcPr>
            <w:tcW w:w="880" w:type="dxa"/>
            <w:vAlign w:val="bottom"/>
          </w:tcPr>
          <w:p>
            <w:pPr>
              <w:jc w:val="center"/>
              <w:ind w:right="44"/>
              <w:spacing w:after="0" w:line="126" w:lineRule="exact"/>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160"/>
              <w:spacing w:after="0" w:line="126"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w w:val="94"/>
              </w:rPr>
              <w:t>Years Ended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214"/>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62"/>
        </w:trPr>
        <w:tc>
          <w:tcPr>
            <w:tcW w:w="242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expense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Restructuring costs</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20" w:hanging="326"/>
        <w:spacing w:after="0" w:line="263"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acquisition-related intangible assets of $11 million and $12 million for the six months ended June 30, 2022 and 2021, respectively, and $24 million, $25 million and $34 million for the years 2021, 2020 and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Free Cash Flow - Historical</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3"/>
        </w:trPr>
        <w:tc>
          <w:tcPr>
            <w:tcW w:w="3960" w:type="dxa"/>
            <w:vAlign w:val="bottom"/>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820" w:type="dxa"/>
            <w:vAlign w:val="bottom"/>
            <w:tcBorders>
              <w:bottom w:val="single" w:sz="8" w:color="auto"/>
            </w:tcBorders>
          </w:tcPr>
          <w:p>
            <w:pPr>
              <w:spacing w:after="0"/>
              <w:rPr>
                <w:sz w:val="15"/>
                <w:szCs w:val="15"/>
                <w:color w:val="auto"/>
              </w:rPr>
            </w:pPr>
          </w:p>
        </w:tc>
      </w:tr>
      <w:tr>
        <w:trPr>
          <w:trHeight w:val="184"/>
        </w:trPr>
        <w:tc>
          <w:tcPr>
            <w:tcW w:w="3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28"/>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 for purchases of property and equipment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8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820" w:type="dxa"/>
            <w:vAlign w:val="bottom"/>
            <w:tcBorders>
              <w:top w:val="single" w:sz="8" w:color="auto"/>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Statement Regarding Non-GAAP Measures</w:t>
      </w:r>
    </w:p>
    <w:p>
      <w:pPr>
        <w:spacing w:after="0" w:line="175"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RXO’s non-GAAP financial measures for the six months ended June 30, 2022 and 2021 and the years ended December 31, 2021, 2020 and 2019 and the unaudited pro forma financial data for the six months ended June 30, 2022 and 2021, and the year ended December 31, 2021 used in this information statement include adjusted earnings before interest, taxes, depreciation and amortization (“adjusted EBITDA”) and free cash flow on a combined basis.</w:t>
      </w:r>
    </w:p>
    <w:p>
      <w:pPr>
        <w:spacing w:after="0" w:line="126"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We believe the above adjusted financial measures facilitate analysis of our ongoing business operations because they exclude items that may not be reflective of, or are unrelated to, RXO’s core operating performance, and may assist investors with comparisons to prior periods and assessing trends in our underlying business. Other companies may calculate these non-GAAP financial measures differently, and therefore our measures may not be comparable to</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00"/>
          </w:cols>
          <w:pgMar w:left="980" w:top="1440" w:right="101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081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3081655"/>
                    </a:xfrm>
                    <a:prstGeom prst="rect">
                      <a:avLst/>
                    </a:prstGeom>
                    <a:noFill/>
                  </pic:spPr>
                </pic:pic>
              </a:graphicData>
            </a:graphic>
          </wp:anchor>
        </w:drawing>
      </w:r>
    </w:p>
    <w:p>
      <w:pPr>
        <w:spacing w:after="0" w:line="2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similarly titled measures of other companies. These non-GAAP financial measures should only be used as supplemental measures of our operating performance.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is calculated as net income before interest expense, income tax, depreciation and amortization expense, transaction and integration costs, restructuring costs and other adjustments as set forth in the above table. Transaction and integration costs are generally incremental costs that result from an actual or planned acquisition, divestiture or spin-off and may include third-party financial, legal and tax expenditures, consulting fees and retention awards. Restructuring costs primarily relate to severance costs associated with business optimization initiatives. Management uses these non-GAAP financial measures in making financial, operating and planning decisions and evaluating RXO’s ongoing performance.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adjusted EBITDA improves comparability from period to period by removing the impact of our capital structure (interest and financing expenses), asset base (depreciation and amortization), tax impacts and other adjustments that management has determined are not reflective of core operating activities and thereby assists investors with assessing trends in our underlying business.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free cash flow is an important measure of our ability to repay maturing debt or fund other uses of capital that we believe will enhance stockholder value. We calculate free cash flow as net cash provided by operating activities, less payment for purchases of property and equipment plus proceeds from sale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880"/>
          </w:cols>
          <w:pgMar w:left="1000" w:top="1440" w:right="1019" w:bottom="1440" w:gutter="0" w:footer="0" w:header="0"/>
        </w:sectPr>
      </w:pPr>
    </w:p>
    <w:bookmarkStart w:id="31" w:name="page32"/>
    <w:bookmarkEnd w:id="3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information statement in evaluating RXO and RXO common stock (“our common stock”). Any of the following risks and uncertainties could materially adversely affect our business, financial condition or results of operations. Additional risks and uncertainties not currently known to us or that we currently believe are immaterial also may impair our business, including our results of operations, liquidity and financial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Industry Dynamics</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Competition in the transportation services industry is intense. Increased competition may lead to a reduction in revenues, reduced profit margins, or a loss of market share, any one of which could harm our business. There are many factors that could impair our profitability, including the following: (i) competition from other transportation services companies, some of which offer different services or have a broader coverage network, more fully developed information technology systems and greater capital resources than we do; (ii) a reduction in the rates charged by our competitors to gain business, especially during times of declining economic growth, which may limit our ability to maintain or increase our rates, maintain our operating margins or achieve significant growth in our business; (iii) shippers soliciting bids from multiple carriers for their shipping needs, which may result in the depression of freight rates or loss of business to competitors; (iv) the establishment by our competitors of cooperative relationships to increase their ability to address shipper needs; (v) decisions by our current or prospective customers to develop or expand internal capabilities for some of the services we provide; (vi) the development of new technologies or business models that could result in our disintermediation in certain services we provide; and (vii) competition from other transportation services companies and technology companies that are aggressively pursuing strategies and business models to digitize their services and expand their digital service offerings, including through the development and implementation of new technology that provides a significant competitive advantage.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and other factors that reduce economic activity could have a material adverse impact on our business.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transportation industry in North America historically has experienced cyclical fluctuations in financial results due to economic recessions, downturns in the business cycles of our customers, increases in the prices charged by third-party carriers, interest rate fluctuations, prolonged periods of inflation, political instability, geopolitical conflict and war, changes in international trade policies and other U.S. and global economic factors beyond our control. During economic downturns, a reduction in overall demand for transportation services will likely reduce demand for our services and exert downward pressures on our rates and margins. In addition, in periods of strong economic growth, overall demand may exceed the available supply of transportation resources, resulting in increased network congestion and operating inefficiencies. Changes in international trade policies could significantly reduce the volume of goods transported globally and adversely affect our business and results of operations. These factors subject our business to various risks that may have a material impact on our operating results and future prospects. These risks may include the following:</w:t>
      </w:r>
    </w:p>
    <w:p>
      <w:pPr>
        <w:spacing w:after="0" w:line="138" w:lineRule="exact"/>
        <w:rPr>
          <w:sz w:val="20"/>
          <w:szCs w:val="20"/>
          <w:color w:val="auto"/>
        </w:rPr>
      </w:pPr>
    </w:p>
    <w:p>
      <w:pPr>
        <w:ind w:left="660" w:righ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freight volume reduces our opportunities for growth. In addition, if a downturn in our customers’ business causes a reduction in the volume of freight shipped by those customers, our operating results could be adversely affected;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experience financial distress, file for bankruptcy protection, go out of business, or suffer disruptions in their business and may be unable to pay us. In addition, some customers may not pay us as quickly as they have in the past, causing our working capital needs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32" w:name="page33"/>
    <w:bookmarkEnd w:id="32"/>
    <w:p>
      <w:pPr>
        <w:ind w:left="660" w:right="2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our carriers may go out of business or may be unable to secure sufficient equipment capacity or services to enable us to meet our commitments to our customers;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adjust appropriately our expenses to rapid changes in market demand. In order to maintain high variability in our business model, it is necessary to adjust staffing levels when market demand changes. In periods of rapid change, it is more difficult to match our staffing levels to our business needs. In addition, we have other expenses that are primarily variable but are fixed for a period of time, as well as certain significant fixed expenses;</w:t>
      </w:r>
    </w:p>
    <w:p>
      <w:pPr>
        <w:spacing w:after="0" w:line="1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escalated or expanded war in Ukraine or sanctions imposed in response to the war and future conflicts may adversely impact global supply chain activities and the economy at large;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has made significant changes in U.S. trade policy and has taken certain actions that have negatively impacted U.S. trade, including imposing tariffs on certain goods imported into the United States. To date, several governments, including the European Union (“EU”) and China have imposed tariffs on certain goods imported from the United States. These actions may contribute to weakness in the global economy that could adversely affect our results of operations. Any further changes in U.S. or international trade policy could trigger additional retaliatory actions by affected countries, resulting in “trade wars” and further increased costs for goods transported globally, which may reduce customer demand for these products if the parties having to pay those tariffs increase their prices, or in trading partners limiting their trade with countries that impose anti-trade measures.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have an adverse effect on our business, results of operations or financial condition, as well as on the price of our common stock.</w:t>
      </w:r>
    </w:p>
    <w:p>
      <w:pPr>
        <w:spacing w:after="0" w:line="16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face unfavorable market conditions arising from the COVID-19 pandemic, our business, prospects, financial condition and operating results may be negatively impacted.</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COVID-19 pandemic that emerged in 2020 affected, and may continue to affect, economic activity broadly and customer sectors served by our industry. We continue to closely monitor the COVID-19 pandemic and its impact on all aspects of our business and geographies, including how it has impacted, and may continue to impact, our employees, customers and business partners. The COVID-19 pandemic has created significant volatility, uncertainty and economic disruption, which may adversely affect our business operations and may materially and adversely affect our results of operations, cash flows and financial position.</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operations and those of our customers have been subject to supply chain disruptions due to pandemic-related plant and port shutdowns, transportation delays, government actions and other factors beyond our control. The global shortage of certain components such as semiconductor chips, strains on production or extraction of raw materials, cost inflation, and labor and equipment shortages, could escalate in future quarters. Labor shortages, particularly of truck drivers, mechanics and others employed by our third-party carriers, have led and may continue to lead to increased costs of procuring transportation services, and along with equipment shortages, can result in lower levels of service, including timeliness, productivity and quality of service. If these providers continue to face unfavorable market conditions, our business, prospects, financial condition and operating results may be negatively impacted.</w:t>
      </w:r>
    </w:p>
    <w:p>
      <w:pPr>
        <w:spacing w:after="0" w:line="13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we incurred additional costs to meet the needs of our customers and employees and implemented operational changes. Further operational changes, including extended periods of remote work arrangements, could strain our business continuity plans, introduce operational risk, including but not limited to cybersecurity risks, impair our ability to manage our business, and cause us to incur additional costs, which may be significant.</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impacts of the COVID-19 pandemic and new strains of the virus that cause COVID-19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We cannot predict how long the dynamics described above will last in the economic recovery, or whether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17" w:right="359" w:bottom="1440" w:gutter="0" w:footer="0" w:header="0"/>
        </w:sectPr>
      </w:pPr>
    </w:p>
    <w:bookmarkStart w:id="33" w:name="page34"/>
    <w:bookmarkEnd w:id="33"/>
    <w:p>
      <w:pPr>
        <w:ind w:right="80"/>
        <w:spacing w:after="0" w:line="282" w:lineRule="auto"/>
        <w:rPr>
          <w:sz w:val="20"/>
          <w:szCs w:val="20"/>
          <w:color w:val="auto"/>
        </w:rPr>
      </w:pPr>
      <w:r>
        <w:rPr>
          <w:rFonts w:ascii="Times New Roman" w:cs="Times New Roman" w:eastAsia="Times New Roman" w:hAnsi="Times New Roman"/>
          <w:sz w:val="18"/>
          <w:szCs w:val="18"/>
          <w:color w:val="auto"/>
        </w:rPr>
        <w:t>challenges, if any, will adversely affect our results of operations. As a result, the pandemic and related supply chain and operational disruptions could have a material impact on our results of operations and heighten many of our other known risks described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fuel prices impacts our fuel surcharge revenue and may impact our profitability.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risks associated with the availability and price of fuel, all of which are subject to political, economic and market factors that are outside of our control.</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Fuel expense constitutes one of the greatest costs to the independent contractor drivers and third-party carriers who transport freight arranged by our operations. Accordingly, we may be adversely affected by the timing and degree of fuel price fluctuations. As is customary in our industry, most of our customer contracts include fuel surcharge programs or other cost-recovery mechanisms to mitigate the effect of any fuel price increases over base amounts established in the contract. However, these mechanisms may not fully capture an increase in fuel price. Furthermore, market pressures may limit our ability to assess fuel surcharges in the future. The extent to which we are able to recover increases in fuel costs may be impacted by the amount of empty or out-of-route truck miles or engine idling time.</w:t>
      </w:r>
    </w:p>
    <w:p>
      <w:pPr>
        <w:spacing w:after="0" w:line="13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Decreases in fuel prices reduce the cost of transportation services and, accordingly, will reduce our revenues and may reduce margins.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 carrier prices may result in decreased income from operations and increases in working capital.</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Motor carriers can be expected to charge higher prices if market conditions warrant or to cover higher operating expenses. Our income from operations may decrease if we are unable to increase our pricing to our customers. Increased demand for over the road transportation services and changes in regulations may reduce available capacity and increase motor carrier pricing. In some instances where we have entered into contract freight rates with customers, in the event market conditions change and those contracted rates are below market rates, we may be required to provide transportation services at a loss. To date, such losses have not been material, but there can be no assurances that such losses will not be material in the future. As our volumes increase or we increase freight rates charged to our customers, the resulting increase in revenues may increase our working capital needs due to our business model which generally has a higher length of days sales outstanding than days payables outstanding.</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Extreme or unusual weather conditions can disrupt our operations, impact freight volumes, and increase our costs, all of which could have a material adverse effect on our business results.</w:t>
      </w:r>
    </w:p>
    <w:p>
      <w:pPr>
        <w:spacing w:after="0" w:line="1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business depends, in part, on predictable temperate weather patterns. Certain seasonal weather conditions and isolated weather events can disrupt our operations. At least some of our operations are constantly at risk of extreme adverse weather conditions. Any unusual or prolonged adverse weather patterns in our areas of operations or markets, whether due to climate change or otherwise, can temporarily impact freight volumes and increase our costs.</w:t>
      </w:r>
    </w:p>
    <w:p>
      <w:pPr>
        <w:spacing w:after="0" w:line="11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subject to seasonal fluctuations, and our inability to manage these fluctuations could negatively affect our business and our results of operations.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of our customers typically realize a significant portion of their sales in the fourth quarter of each year during the holiday season. Although not all of our customers experience the same seasonal variation, and some customers may have seasonal peaks that occur in periods other than the fourth quarter, the seasonality of our customers’ businesses places higher demands on our services,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in the operation of our business.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generally do not own or control the transportation assets that deliver our customers’ freight, and we do not employ the people directly involved in delivering this freight. In addition, we engage third-party contractors who own and operate their own equipment and vendors to provide value-added services. Accordingly, we are dependent on third parties to provide truck, rail, ocean, air and other transportation and related services and to report certain events to us, including delivery information and cargo claims. This reliance on third parties could cause delays in reporting certain events, impacting our ability to recognize revenue and claims in a timely manner.</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inability to maintain positive relationships with independent carriers could significantly limit our ability to serve our customers on competitive terms. In addition, changes in the terms of the relationships with our vendors may make our value-added services less compelling to customers and adversely impact our results. Our ability to secure sufficient equipment or other transportation services to meet our commitments to customers or provide our services on competitive terms is subject to inherent risks, many of which are beyond our control, including equipment and labor shortages in the transportation industry, interruptions or stoppages in transportation services, “Acts of God” or acts of terrorism, changes in regulations impacting transportation, increases in operating expenses for carriers that result in a reduction in available carriers, and changes in transportation rates; and if we are unable to meet our commitments to our customers or provide our services on competitive terms, our operating results could be materially and adversely affected, and our customers could shift their business to our competitors temporarily or permanently.</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third-party carriers to conduct its operations, and the status of these parties as independent contractors, rather than employees, is being challenged.</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Federal and state legislation as well as tax and other regulatory authorities have sought to assert that independent contractors in the transportation service industry are employees rather than independent contractors. There can be no assurance that interpretations supporting independent contractor status will not change, that other federal or state legislation will not be enacted or that various authorities will not successfully assert a position that re-classifies independent contractors to be employees. If the third-party carriers with which we contract for the performance of delivery services, or their delivery workers, are determined to be our employees, that determination could materially increase our exposure under a variety of federal and state tax, workers’ compensation, unemployment benefits, labor, employment and tort laws, as well as our potential liability for employee benefits and tax withholdings. Any of the above increased costs would adversely affect our business and operating results.</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we are involved in several class action and collective action lawsuits claiming that the third-party carriers with which we contract, or their delivery workers, should be treated as our employees, rather than independent contractors. These lawsuits may seek substantial monetary damages (including claims for unpaid wages, overtime, unreimbursed business expenses, deductions from wages and other items), injunctive relief, or both.</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While we believe that our third-party carriers are properly classified as independent contractors rather than as employees, and that their delivery workers are not employees of the company, adverse final outcomes in these matters could result in changes to their independent contractor status and could, among other things, entitle certain claimants to reimbursement of certain expenses and to the benefit of wage-and-hour laws, and result in employment and withholding taxes, back wages and benefit liability for us. These claims involve potentially significant classes that could involve thousands of claimants and, accordingly, significant potential damages and litigation costs, and could lead others to bring similar claims. Adverse final outcomes in these matters or changes to state or federal laws could cause us to change our business model, which could have a material adverse effect on our business strategies, financial condition, results of operations or cash flows.</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results of these matters cannot be predicted with certainty and an unfavorable resolution of one or more of these matters could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1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by labor disputes or organizing efforts.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strikes and labor negotiations at seaports, labor disputes between railroads and their union employees, or by a work stoppage at one or more railroads or local trucking companies servicing rail or port terminals, including work disruptions involving owner-operators under contract with our local trucking operations. Port shutdowns and similar disruptions to major points in national or international transportation networks, most of which are beyond our control, could result in terminal embargoes, disrupt equipment and freight flows, depress volumes and revenues, increase costs and have other negative effects on our operations and financial results.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Labor disputes involving our customers could affect our operations. If our customers experience plant slowdowns or closures because they are unable to negotiate labor contracts, our revenue and profitability could be negatively impacted.</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Although our work force in the United States is not unionized, labor unions may attempt to organize our employees. Successful unionization by our employees or organizing efforts could lead to business interruptions, work stoppages and the reduction of service levels due to work rules that could have an adverse effect on our customer relationships and our revenues, earnings, financial position and outlook.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Technology</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0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carriers.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transportation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affected by cyberattacks or breaches of our information systems, any of which could have a material adverse effect on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Also, due to recent advances in technology and well-known efforts on the part of computer hackers and cyber-terrorists to breach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3" w:right="339" w:bottom="1440" w:gutter="0" w:footer="0" w:header="0"/>
        </w:sectPr>
      </w:pPr>
    </w:p>
    <w:bookmarkStart w:id="36" w:name="page37"/>
    <w:bookmarkEnd w:id="36"/>
    <w:p>
      <w:pPr>
        <w:ind w:right="140"/>
        <w:spacing w:after="0" w:line="281" w:lineRule="auto"/>
        <w:rPr>
          <w:sz w:val="20"/>
          <w:szCs w:val="20"/>
          <w:color w:val="auto"/>
        </w:rPr>
      </w:pPr>
      <w:r>
        <w:rPr>
          <w:rFonts w:ascii="Times New Roman" w:cs="Times New Roman" w:eastAsia="Times New Roman" w:hAnsi="Times New Roman"/>
          <w:sz w:val="17"/>
          <w:szCs w:val="17"/>
          <w:color w:val="auto"/>
        </w:rPr>
        <w:t>security of companies, we face risks associated with potential failure to adequately protect critical corporate, customer and employee data, which, if released, could adversely impact our customer relationships, our reputation, and even violate privacy laws. Recently, regulatory and enforcement focus on data protection has heightened in the United States. Failure to comply with applicable data protection regulations or other data protection standards may expose us to litigation, fines, sanctions or other penalties, which could harm our business, our reputation,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our information technology infrastructure, information systems, networks or processes may materially adversely affect our business.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our sales and marketing, financial, legal and compliance functions, engineering and product development tasks, research and development data, communications, order entry and fulfillment and other business processes.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 Further, the delay or failure to implement information system upgrades and new systems effectively could disrupt our business, distract management’s focus and attention from our business operations, and increase our implementation and operating costs, any of which could negatively impact our operations and operating results.</w:t>
      </w:r>
    </w:p>
    <w:p>
      <w:pPr>
        <w:spacing w:after="0" w:line="134" w:lineRule="exact"/>
        <w:rPr>
          <w:sz w:val="20"/>
          <w:szCs w:val="20"/>
          <w:color w:val="auto"/>
        </w:rPr>
      </w:pPr>
    </w:p>
    <w:p>
      <w:pPr>
        <w:jc w:val="both"/>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third-party for the infringement of intellectual property rights, a settlement or adverse judgment against us could result in increased costs to license the technology or a legal prohibition against our using the technology. Thus, our failure to obtain, maintain or enforce our intellectual property rights could have a material adverse effect on our business, financial condition and results of operations.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and ultimately be unsuccessful. Moreover, should we fail to develop and properly manage future intellectual property, this could adversely affect our market positions and business opportunities.</w:t>
      </w:r>
    </w:p>
    <w:p>
      <w:pPr>
        <w:spacing w:after="0" w:line="131"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security incidents could result in the loss of our or our customers’ data, expose us to liability, harm our reputation, damage our competitiveness and adversely impact our financial results.</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third parties to provide us with a number of operational and technical services. These third parties may have access to our systems, provide hosting services or otherwise process data about us or our customers, employees or partners. Our ability to monitor such third parties’ security measures is limited. Any security incident involving such third parties could compromise the integrity or availability of, or result in the theft of, our and our customers’ data. Unauthorized access to data and other confidential or proprietary information may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7" w:name="page38"/>
    <w:bookmarkEnd w:id="37"/>
    <w:p>
      <w:pPr>
        <w:ind w:right="100"/>
        <w:spacing w:after="0" w:line="266" w:lineRule="auto"/>
        <w:rPr>
          <w:sz w:val="20"/>
          <w:szCs w:val="20"/>
          <w:color w:val="auto"/>
        </w:rPr>
      </w:pPr>
      <w:r>
        <w:rPr>
          <w:rFonts w:ascii="Times New Roman" w:cs="Times New Roman" w:eastAsia="Times New Roman" w:hAnsi="Times New Roman"/>
          <w:sz w:val="18"/>
          <w:szCs w:val="18"/>
          <w:color w:val="auto"/>
        </w:rPr>
        <w:t>through break-ins, network breaches by unauthorized parties, employee theft or misuse, or other misconduct. If any of the foregoing were to occur or to be perceived to occur, our reputation may suffer, our competitive position may be diminished, we could face lawsuits, regulatory investigation, fines, and potential liability and our financial results could be negatively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claims arising from our transportation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the services of thousands of transportation companies in connection with our transportation operations. From time to time, the drivers employed and engaged by the motor carriers we contract with are involved in accidents, which may result in serious personal injuries. The resulting types and/or amounts of damages may be excluded by or exceed the amount of insurance coverage maintained by the third-party carrier. Although these drivers are not our employees and all of these drivers are employees, owner-operators, or independent contractors working for the third-party carriers, from time to time, claims may be asserted against us for their actions or for our actions in retaining them. Claims against us may exceed the amount of our insurance coverage or may not be covered by insurance at all. A material increase in the frequency or severity of accidents, liability claims or workers’ compensation claims, or unfavorable resolutions of claims could materially and adversely affect our operating results. In addition, significant increases in insurance costs or the inability to purchase insurance as a result of these claims could reduce our profitability. Our involvement in the transportation of certain goods, including but not limited to, hazardous materials, could also increase our exposure in the event one of our third-party carriers is involved in an accident resulting in injuries or contamination.</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North America, as a property freight broker, we are not legally liable for loss or damage to our customers' cargo. In our customer contracts, we may agree to assume cargo liability up to a stated maximum. We typically do not assume cargo liability to our customers above minimum industry standards in our international freight forwarding, ocean transportation, or air freight businesses on international or domestic air shipments. Although we are not legally liable for loss or damage to our customers' cargo, from time to time, claims may be asserted against us for cargo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are involved in lawsuits and are subject to various claims that could result in significant expenditures and impact our operations.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nature of our business exposes us to the potential for various types of claims and litigation. We are subject to claims and litigation related to independent contractor classification, labor and employment, personal injury, vehicular accidents, cargo and other property damage, commercial disputes, environmental liability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or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reduce our profitability.</w:t>
      </w:r>
    </w:p>
    <w:p>
      <w:pPr>
        <w:spacing w:after="0" w:line="13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third-party carriers are subject to increasingly stringent laws protecting the environment, including transitional risks relating to climate change, which could directly or indirectly have a material adverse effect on our business.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Future and existing environmental regulatory requirements, including evolving transportation technology, in the United States and abroad could adversely affect operations and increase operating expenses, which in turn could increase our purchased transportation costs or further exacerbate shortages of trucking equipment. If we are unable to retain compliant third-party carriers or pass such operating expenses along to our customers, our business could be materially and adversely affected. Even without any new legislation or regulation, increased public concern regarding greenhouse gases emitted by transportation carriers could harm the reputations of companies operating in the transportation industry and shift consumer demand toward more locally sourced products and away from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and political conditions, which could negatively impact our business.</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operations are regulated and licensed by various governmental agencies at the local, state and federal levels in the United States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regulatory landscape in which we operate is constantly evolving and subject to significant change, including as a result of evolving political and social attitudes. Future laws, regulations and regulatory reforms, including without limitation future laws and regulations related to increased minimum wages, the expansion of union organization rights or changes in the classification of employees and independent contractors, may be more stringent and may require changes to our operating practices that influence the demand for our services or require us to incur significant additional costs. For instance, recent regulatory proposals and statements by the Biden administration suggest that certain regulatory bodies, including the National Labor Relations Board, Occupational Safety and Health Administration and the Equal Employment Opportunity Commission, may promulgate regulations that could limit our operational flexibility.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Furthermore, political conditions may increase the level of intensity of regulations that impact our business, may require changes to our operating practices, may influence demand for our services, or may require us to incur significant additional costs, any of which could negatively impact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Strategy and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attract and retain qualified employees and temporary workers.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depend on our ability to attract and retain qualified talent, including temporary, part-time and full-time team members; sales representatives; brokerage agents; managers; and executive officers. If we are unable to attract and retain such individuals, we may be unable to maintain our current competitive position within the industry, meet our customers’ expectations or successfully expand and grow our business.</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our permanent employees, our ability to meet customer demands and expectations, especially during periods of peak volume, is substantially dependent on our ability to recruit and retain qualified temporary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Moreover, our inability to recruit a qualified temporary workforce may result in our inability to meet our customers’ performance targets.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implement our cost and revenue initiatives could cause our future financial results to suffer.</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implementing various cost and revenue initiatives to further increase our profitability, including advanced pricing analytics and revenue management tools, our digital brokerage platform, our shared distribution network, cross-selling to strategic accounts, workforce productivity and further back-office optimization. If we are not able to successfully implement these cost and revenue initiatives, our future financial results may suffer.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have grown rapidly and substantially over prior years, including by expanding our internal resources, making acquisitions and entering into new markets, and we intend to continue to focus on rapid growth, including organic growth and potentially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and financial condition.</w:t>
      </w:r>
    </w:p>
    <w:p>
      <w:pPr>
        <w:spacing w:after="0" w:line="1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manage the costs and operational difficulties of adding new customers or more volume from existing customers may negatively affect our financial condition and operations.</w:t>
      </w:r>
    </w:p>
    <w:p>
      <w:pPr>
        <w:spacing w:after="0" w:line="1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Establishing new customer relationships or adding operational sites for existing customers requires a significant amount of time, operational focus and capital. Although we typically partner with our new customers to ensure that onboarding is smooth and allocate costs appropriately, our inability to integrate new customers or operational sites into our technology systems or recruit additional employees to manage new customer relationships, or higher than anticipated costs to onboard new customers may negatively affect our financial condition or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total revenue from our largest customers.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top five customers comprised approximately 19% of our consolidated total revenue for the year ended December 31, 2021. Our largest customer comprised approximately 8% of our consolidated total revenue for the year ended December 31, 2021. The sudden loss of one or more major customers could materially and adversely affect our operating results.</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contractual terms between us and our customers could expose us to penalties and costs in the event we do not meet the contractually prescribed performance levels.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long-term contracts with the majority of our customers, many of which include performance-based minimum levels of service. Although we manage our business to exceed prescribed performance levels, our inability to meet these service levels, due to labor shortages, volume peaks, our inability to procure temporary labor, technological malfunctions or other events that may or may not be within our control, may expose us to penalties or incremental costs or lead to the termination of customer contracts, all of which could negatively affect our business and financial condition.</w:t>
      </w:r>
    </w:p>
    <w:p>
      <w:pPr>
        <w:spacing w:after="0" w:line="12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Damage to our reputation through unfavorable publicity or the actions of our employees or independent contractors could adversely affect our financial condition.</w:t>
      </w:r>
    </w:p>
    <w:p>
      <w:pPr>
        <w:spacing w:after="0" w:line="1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consistently deliver operational excellence and strong customer service. Our inability to deliver our services and solutions as promised on a consistent basis, or our customers having a negative experience or otherwise becoming dissatisfied, can negatively impact our relationships with new or existing customers and adversely affect our brand and reputation, which could, in turn, adversely affect revenue and earnings growth. Adverse publicity (whether or not justified) relating to activities by our employees, contractors, agents or others with whom we do business, such as customer service mishaps or noncompliance with laws, could tarnish our reputation and reduce the value of our brand. With the increase in the use of social media outlets, adverse publicity can be disseminated quickly and broadly, making it increasingly difficult for us to effectively respond. This unfavorable publicity could also require us to allocate significant resources to rebuild our reputation.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determine that our goodwill has become impaired, we may incur impairment charges, which would negatively impact our operating results.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2021, we had $630 million of goodwill on our consolidated balance sheet. Goodwill represents the excess of cost over the fair value of net assets acquired in business combinations. We assess potential impairment of our goodwill annually, or more frequently if an event or circumstance indicates an impairment loss may have been incurred. Impairment may result from significant changes in the manner or use of the acquired assets, in connection with the sale, spin off or other divestiture of a business unit, negative industry or economic trends and/or significant underperformance relative to historic or projected operating results. For a discussion of our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417" w:right="379" w:bottom="1440" w:gutter="0" w:footer="0" w:header="0"/>
        </w:sectPr>
      </w:pPr>
    </w:p>
    <w:bookmarkStart w:id="40" w:name="page41"/>
    <w:bookmarkEnd w:id="40"/>
    <w:p>
      <w:pPr>
        <w:ind w:right="240"/>
        <w:spacing w:after="0" w:line="282" w:lineRule="auto"/>
        <w:rPr>
          <w:sz w:val="20"/>
          <w:szCs w:val="20"/>
          <w:color w:val="auto"/>
        </w:rPr>
      </w:pPr>
      <w:r>
        <w:rPr>
          <w:rFonts w:ascii="Times New Roman" w:cs="Times New Roman" w:eastAsia="Times New Roman" w:hAnsi="Times New Roman"/>
          <w:sz w:val="18"/>
          <w:szCs w:val="18"/>
          <w:color w:val="auto"/>
        </w:rPr>
        <w:t>impairment testing, see “Critical Accounting Policies—Evaluation of Goodwill” in “Management’s Discussion and Analysis of Financial Condition and Results of Operations.”</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that we may complete in the future may be unsuccessful or result in other risks or developments that adversely affect our financial condition and results.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intend for acquisitions to improve our competitiveness and profitability, we cannot be certain that any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performance of a business we acquire varies from our projections or assumptions, or if estimates about the future profitability of business we acquire changes, our revenues, earnings or other aspects of our financial condition could be adversely affected. We may also experience difficulties in connection with integrating any company we may acquire into our existing businesses and operations, including our existing infrastructure and information technology systems. The infrastructure and information technology systems of acquired companies could present issues that we were unable to identify prior to the acquisition and that could adversely affect our financial condition and results. Also, we may not realize all of the synergies we anticipate from potential future acquisitions. Any of these events could adversely affect our financial condition and results of operations.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all of the anticipated benefits of any divestitures we may make in the future, or the benefits of any such divestitures may take longer to realize than expected.</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in the future sell certain businesses or exit particular markets. Any such divestitures may not yield the targeted improvements in our business. Divestitures involve risks, including difficulties in the separation of operations, services, and personnel, disruption in our operations or businesses, finding a suitable purchaser, and the diversion of management’s attention from our other businesses. Any impairments and losses on divestiture resulting from this process may cause us to record significant charges, including those related to goodwill and other intangible assets. Any charges that we are required to record or the failure to achieve the intended financial results associated with divestitures of businesses or assets could have a material adverse effect on our business, financial condition or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and Distribution</w:t>
      </w:r>
    </w:p>
    <w:p>
      <w:pPr>
        <w:spacing w:after="0" w:line="171"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historical information about RXO in this information statement refers to the RXO Businesses as operated by and integrated with XPO. Our historical financial information included in this information statement is derived from XPO’s accounting records and is presented on a standalone basis as if the RXO Businesses have been conducted independently from XPO. Additionally, the pro forma financial information included in this information statement is derived from our historical financial information and (i) gives effect to the separation and (ii) reflects RXO’s anticipated post-separation capital structure, including the assignment of certain assets and assumption of certain liabilities not included in the historical financial statements. Accordingly, the historical and pro forma financial information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spacing w:after="0" w:line="138" w:lineRule="exact"/>
        <w:rPr>
          <w:sz w:val="20"/>
          <w:szCs w:val="20"/>
          <w:color w:val="auto"/>
        </w:rPr>
      </w:pPr>
    </w:p>
    <w:p>
      <w:pPr>
        <w:ind w:left="660" w:right="1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our working capital requirements and capital for our general corporate purposes, including capital expenditures and acquisitions, have historically been satisfied as part of the corporate-wide cash management policies of XPO. Following the completion of the distribution, our results of operations and cash flows are likely to be more volatile, and we may need to obtain additional financing from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1417" w:right="379" w:bottom="1440" w:gutter="0" w:footer="0" w:header="0"/>
        </w:sectPr>
      </w:pPr>
    </w:p>
    <w:bookmarkStart w:id="41" w:name="page42"/>
    <w:bookmarkEnd w:id="41"/>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through public offerings or private placements of debt or equity securities, strategic relationships or other arrangements, which may or may not be available and may be more costly.</w:t>
      </w:r>
    </w:p>
    <w:p>
      <w:pPr>
        <w:spacing w:after="0" w:line="108" w:lineRule="exact"/>
        <w:rPr>
          <w:sz w:val="20"/>
          <w:szCs w:val="20"/>
          <w:color w:val="auto"/>
        </w:rPr>
      </w:pPr>
    </w:p>
    <w:p>
      <w:pPr>
        <w:ind w:left="660" w:right="4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our business has been operated by XPO as part of its broader corporate organization, rather than as an independent company. XPO or one of its affiliates performed various corporate functions for us, such as legal, treasury, accounting, auditing, human resources, investor relations, and finance. Our historical and pro forma financial results reflect allocations of corporate expenses from XPO for such functions, which may be less than the expenses we would have incurred had we operated as a separate, publicly traded company.</w:t>
      </w:r>
    </w:p>
    <w:p>
      <w:pPr>
        <w:spacing w:after="0" w:line="125" w:lineRule="exact"/>
        <w:rPr>
          <w:rFonts w:ascii="Times New Roman" w:cs="Times New Roman" w:eastAsia="Times New Roman" w:hAnsi="Times New Roman"/>
          <w:sz w:val="18"/>
          <w:szCs w:val="18"/>
          <w:color w:val="auto"/>
        </w:rPr>
      </w:pPr>
    </w:p>
    <w:p>
      <w:pPr>
        <w:jc w:val="both"/>
        <w:ind w:left="660" w:right="58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our business is integrated with the other businesses of XPO. Historically, we have shared economies of scope and scale in costs, employees, vendor relationships and customer relationships. While we have sought to minimize the impact on RXO when separating these arrangements, there is no guarantee these arrangements will continue to capture these benefits in the future.</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current part of XPO, we take advantage of XPO’s overall size and scope to obtain more advantageous procurement terms. After the distribution, as a standalone company, we may be unable to obtain similar arrangements to the same extent that XPO did, or on terms as favorable as those XPO obtained, prior to completion of the distribution.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distribution, the cost of capital for our business may be higher than XPO’s cost of capital prior to the distribution.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does not reflect the debt that we will incur as part of the distribution.</w:t>
      </w:r>
    </w:p>
    <w:p>
      <w:pPr>
        <w:spacing w:after="0" w:line="171"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independent public company, we will separately become subject to, among other things, the reporting requirements of the Securities Exchange Act of 1934, as amended (the “Exchange Act”), the Sarbanes-Oxley Act, the Dodd-Frank Wall Street Reform and Consumer Protection Act, and the regulations of the NYSE and will be required to prepare our standalone financial statements according to the rules and regulations required by the SEC. These reporting and other obligations will place significant demands on our management and administrative and operational resources. Moreover, to comply with these requirements, we anticipate that we will need to migrate our systems, including information technology systems, implement additional financial and management controls, reporting systems and procedures and hire additional accounting and finance staff. We expect to incur additional annual expenses related to these steps, and those expenses may be significant. If we are unable to implement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Other significant changes may occur in our cost structure, management, financing and business operations as a result of operating as a company separate from XPO. For additional information about the past financial performance of our business and the basis of presentation of the historical combined financial statements and the unaudited pro forma condensed combined financial statements of our business, see “Unaudited Pro Forma Condensed Combined Financial Information,” “Management’s Discussion and Analysis of Financial Condition and Results of Operations” and the historical financial statements and accompanying notes included elsewhere in this information statement.</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separation and distribution, our financial profile will change, and we will be a smaller, less diversified company than XPO prior to the separation.</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separation will result in each of XPO and RXO being smaller, less diversified companies with more limited businesses concentrated in their respective industries. As a result, our company may be more vulnerable to changing market conditions, which could have a material adverse effect on our business, financial condition and results of operations. In addition, the diversification of our revenues, costs, and cash flows will diminish as a standalone company, such that our results of operations, cash flows, working capital and financing requirements may be subject to increased volatility and, as we will no longer be able to use cash flow from XPO to fund our investments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operations, our ability to fund capital expenditures and investments, pay dividends and service debt may be diminished.</w:t>
      </w:r>
    </w:p>
    <w:p>
      <w:pPr>
        <w:spacing w:after="0" w:line="16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expected benefits of the separation and distribution, and the separation and distribution may materially adversely affect our business.</w:t>
      </w:r>
    </w:p>
    <w:p>
      <w:pPr>
        <w:spacing w:after="0" w:line="1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and distribution, or such benefits may be delayed or not occur at all. The distribution is expected to provide a number of benefits, including those described elsewhere in this information statement.</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not achieve these and other anticipated benefits for a variety of reasons, including, among others: (i) the separation will demand significant management resources and require significant amounts of management’s time and effort, which may divert management’s attention from operating and growing our business; (ii) following the separation, we may be more susceptible to market fluctuations and other adverse events than if we were still a part of XPO because our business will be less diversified than XPO’s business prior to the completion of the separation; (iii) after the separation, as a standalone company, we may be unable to obtain certain goods, services and technologies at prices or on terms as favorable as those XPO obtained prior to completion of the separation; (iv) in connection with the separation and transition to being a standalone public company, we will incur costs that will, in the aggregate, be substantial, and these costs may include accounting, tax, legal and other professional services costs, recruiting and relocation costs associated with hiring key senior management and personnel new to RXO, tax costs and costs to separate information systems; (v) under the terms of the tax matters agreement that we will enter into with XPO, we will be restricted from taking certain actions that could cause the distribution or certain related transactions (or certain transactions undertaken as part of the internal reorganization) to fail to qualify as tax-free, and these restrictions may limit us for a period of time from pursuing certain strategic transactions and equity issuances or engaging in other transactions that might increase the value of our business; and (vi) after the separation, we cannot predict the trading prices of RXO common stock or know whether the combined value of one share of our common stock and one share of XPO common stock will be less than, equal to or greater than the market value of one share of XPO common stock prior to the distribution. If we fail to achieve some or all of the benefits expected to result from the separation, or if such benefits are delayed, it could have a material adverse effect on our competitive position, business, financial condition, results of operations and cash flows.</w:t>
      </w:r>
    </w:p>
    <w:p>
      <w:pPr>
        <w:spacing w:after="0" w:line="13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XPO’s separation into two independent, publicly traded companies is complex in nature, and unanticipated developments or changes, including changes in the law, the macroeconomic environment, competitive conditions of XPO’s markets, regulatory approvals or clearances, the uncertainty of the financial markets and challenges in executing the separation, could delay or prevent the completion of the proposed separation, or cause the separation to occur on terms or conditions that are different or less favorable than expected. Additionally, the XPO board of directors, in its sole and absolute discretion, may decide not to proceed with the distribution at any time prior to the distribution date.</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process of completing the proposed separation has been and is expected to continue to be time-consuming and involves significant costs and expenses. The separation costs may be significantly higher than what we currently anticipate and may not yield a discernible benefit if the separation is not completed or is not well executed, or the expected benefits of the separation are not realized. Executing the proposed separation will also require significant amounts of management’s time and effort, which may divert management’s attention from operating and growing our business. Other challenges associated with effectively executing the separation include attracting, retaining and motivating employees during the pendency of the separation and following its completion; addressing disruptions to our procurement, sales and distribution, and other operations resulting from separating XPO into two independent companies; and separating XPO’s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43" w:name="page44"/>
    <w:bookmarkEnd w:id="4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financial health of our customers or suppliers or if there are other significantly unfavorable changes in economic conditions. These conditions may adversely affect our anticipated timeline to complete the separation and the expected benefits of the separation, including by increasing the time and expense involved in the separation.</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incur, and may in the future incur, additional debt obligations, that could adversely affect our business and profitability and our ability to meet other obligations.</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anticipate issuing $355 million in aggregate principal amount of senior notes and $100 million in aggregate principal amount of term loans. We also anticipate entering into a revolving credit facility in aggregate principal amount of up to $500 million. We expect to transfer all or a portion of the net proceeds of the notes and the term loans to XPO, which will use such cash to repay existing indebtedness prior to the 12-month anniversary of the distribution. As a result of such transactions, we anticipate having approximately $455 million of indebtedness upon completion of the distribution. See “Description of Material Indebtedness.” We may also incur additional indebtedness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significant amount of debt could potentially have important consequences to us and our debt and equity investors, including:</w:t>
      </w:r>
    </w:p>
    <w:p>
      <w:pPr>
        <w:spacing w:after="0" w:line="17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interest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our debt, which could increase future debt costs and limit the future availability of debt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our competitors that may not be as highly leveraged with debt; and</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 pay cash dividends or repurchase common shares.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the extent that we incur additional indebtedness, the foregoing risks could increase. In addition,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temporary interruptions in business operations and incur additional costs as we build our information technology infrastructure and transition our data to our own systems.</w:t>
      </w:r>
    </w:p>
    <w:p>
      <w:pPr>
        <w:spacing w:after="0" w:line="10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in the process of creating our own, or engaging third parties to provide, information technology infrastructure and systems to support our critical business functions, including accounting and reporting, in order to replace many of the systems XPO currently provides to us. We may incur temporary interruptions in business operations if we cannot transition effectively from XPO’s existing operating systems, databases and programming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1413" w:right="439" w:bottom="1440" w:gutter="0" w:footer="0" w:header="0"/>
        </w:sectPr>
      </w:pPr>
    </w:p>
    <w:bookmarkStart w:id="44" w:name="page45"/>
    <w:bookmarkEnd w:id="44"/>
    <w:p>
      <w:pPr>
        <w:ind w:right="380"/>
        <w:spacing w:after="0" w:line="266" w:lineRule="auto"/>
        <w:rPr>
          <w:sz w:val="20"/>
          <w:szCs w:val="20"/>
          <w:color w:val="auto"/>
        </w:rPr>
      </w:pPr>
      <w:r>
        <w:rPr>
          <w:rFonts w:ascii="Times New Roman" w:cs="Times New Roman" w:eastAsia="Times New Roman" w:hAnsi="Times New Roman"/>
          <w:sz w:val="18"/>
          <w:szCs w:val="18"/>
          <w:color w:val="auto"/>
        </w:rPr>
        <w:t>languages that support these functions to our own systems. Our failure to implement the new systems and transition our data successfully and cost-effectively could disrupt our business operations and have a material adverse effect on our profitability. In addition, our costs for the operation of these systems may be higher than the amounts reflected in our historical combined financial statements.</w:t>
      </w:r>
    </w:p>
    <w:p>
      <w:pPr>
        <w:spacing w:after="0" w:line="11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10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financial results previously were included within the consolidated results of XPO, and we believe that our reporting and control systems were appropriate for those of subsidiaries of a public company. However, we were not directly subject to the reporting and other requirements of the Exchange Act. As a result of the distribution, we will be directly subject to reporting and other obligations under the Exchange Act, including the requirements of Section 404 of the Sarbanes-Oxley Act, which, beginning with our second required annual report on Form 10-K, will require annual management assessments of the effectiveness of our internal control over financial reporting and a report by our independent registered public accounting firm addressing these assessments. These reporting and other obligations will place significant demands on our management and administrative and operational resources, including accounting resources. We may not have sufficient time following the separation to meet these obligations by the applicable deadlines.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to comply with these requirements, we anticipate that we will need to migrate our systems, including information technology systems, implement additional financial and management controls, reporting systems and procedures and hire additional accounting, tax and finance staff. We expect to incur additional annual expenses related to these steps, and those expenses may be significant. If we are unable to implement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 In the event we are unable to implement a sufficient tax reporting system and related processes, we may be unable to comply with tax law and face penalties associated with our lack of compliance. Any failure to achieve and maintain effective internal controls could result in adverse regulatory consequences and/or loss of investor confidence, which could limit RXO’s ability to access the global capital markets and could have a material adverse effect on our business, financial condition, results of operations, cash flows or the market price of RXO securities.</w:t>
      </w:r>
    </w:p>
    <w:p>
      <w:pPr>
        <w:spacing w:after="0" w:line="13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into two public companies, each of XPO and RXO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separation agreement and certain other agreements between XPO and RXO, each party will agree to indemnify the other for certain liabilities, in each case for uncapped amounts, as discussed further in the section titled “Certain Relationships and Related Party Transactions—Separation Agreement” of this information statement. Indemnities that we may be required to provide XPO are not subject to any cap, may be significant and could negatively impact our business. Third parties could also seek to hold us responsible for any of the liabilities that XPO has agreed to retain. Any amounts we are required to pay pursuant to these indemnification obligations and other liabilities could require us to divert cash that would otherwise have been used in furtherance of our operating business. Further, the indemnities from XPO for our benefit may not be sufficient to protect us against the full amount of such liabilities, and XPO may not be able to fully satisfy its indemnification obligations.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Moreover, even if we ultimately succeed in recovering from XPO any amounts for which we are held liable, we may be temporarily required to bear these losses ourselves. Each of these risks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45" w:name="page46"/>
    <w:bookmarkEnd w:id="45"/>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and prior to the distribution, RXO and XPO will enter into the separation agreement and will also enter into various other agreements, including a transition services agreement, a tax matters agreement, an employee matters agreement and an intellectual property license agreement. The separation agreement, the tax matters agreement, the employee matters agreement and the intellectual property license agreement, together with the documents and agreements by which the internal reorganization will be effected, will determine the allocation of assets and liabilities between the companies following the separation for those respective areas and will include any necessary indemnifications related to liabilities and obligations. The transition services agreement will provide for the performance of certain services by each company for the benefit of the other for a period of time after the separation. RXO will rely on XPO to satisfy its performance and payment obligations under these agreements. If XPO is unable or unwilling to satisfy its obligations under these agreements, including its indemnification obligations, we could incur operational difficulties and/or losses. If we do not have in place our own systems and services, or if we do not have agreements with other providers of these services once certain transaction agreements expire, we may not be able to operate our business effectively, and our profitability may decline. We are in the process of creating our own, or engaging third parties to provide, systems and services to replace many of the systems and services that XPO currently provides to us. However, we may not be successful in implementing these systems and services in a timely manner or at all, we may incur additional costs in connection with, or following, the implementation of these systems and services, and we may not be successful in transitioning data from XPO’s systems to ours.</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held liable to XPO if we fail to perform certain services under the transition services agreement, and the performance of such services may negatively impact our business and operations.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RXO and XPO will enter into a transition services agreement that will provide for the performance of certain services by each company for the benefit of the other for a period of time after the separation. If we do not satisfactorily perform our obligations under the agreement, we may be held liable for any resulting losses suffered by XPO, subject to certain limits. In addition, during the transition services periods, our management and employees may be required to divert their attention away from our business in order to provide services to XPO, which could adversely affect our business.</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we will receive in our agreements with XPO could be less beneficial than the terms we may have otherwise received from unaffiliated third parties.</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agreements we will enter into with XPO in connection with the separation, including the separation agreement, a transition services agreement, a tax matters agreement, an employee matters agreement and an intellectual property license agreement, were prepared in the context of the separation while we were still a wholly owned subsidiary of XPO. Accordingly, during the period in which the terms of those agreements were prepared, we did not have an independent board of directors or a management team that was independent of XPO. As a result, the terms of those agreements may not reflect terms that would have resulted from arm’s-length negotiations between unaffiliated third parties. See “Certain Relationships and Related Party Transactions.”</w:t>
      </w:r>
    </w:p>
    <w:p>
      <w:pPr>
        <w:spacing w:after="0" w:line="1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46" w:name="page47"/>
    <w:bookmarkEnd w:id="46"/>
    <w:p>
      <w:pPr>
        <w:ind w:right="40"/>
        <w:spacing w:after="0" w:line="261" w:lineRule="auto"/>
        <w:rPr>
          <w:sz w:val="20"/>
          <w:szCs w:val="20"/>
          <w:color w:val="auto"/>
        </w:rPr>
      </w:pPr>
      <w:r>
        <w:rPr>
          <w:rFonts w:ascii="Times New Roman" w:cs="Times New Roman" w:eastAsia="Times New Roman" w:hAnsi="Times New Roman"/>
          <w:sz w:val="18"/>
          <w:szCs w:val="18"/>
          <w:color w:val="auto"/>
        </w:rPr>
        <w:t>statements and undertakings of XPO and RXO, including those relating to the past and future conduct of XPO and RXO. If any of these facts, assumptions, representations, statements or undertakings is, or becomes, inaccurate or incomplete, or if XPO or RXO breaches any of its representations or covenants contained in the separation agreement and certain other agreements and documents or in any documents relating to the opinion of counsel, the opinion of counsel may be invalid and the conclusions reached therein could be jeopardized.</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Notwithstanding receipt of the opinion of counsel, the U.S. Internal Revenue Service (the “IRS”) could determine that the distribution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will represent the judgment of such counsel and will not be binding on the IRS or any court, and the IRS or a court may disagree with the conclusions in the opinion of counsel. Accordingly, notwithstanding receipt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we, as well as XPO and XPO’s stockholders, could be subject to significant U.S. federal income tax liability.</w:t>
      </w:r>
    </w:p>
    <w:p>
      <w:pPr>
        <w:spacing w:after="0" w:line="13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If the distribution, together with certain related transactions, were to fail to qualify as a transaction that is tax-free for U.S. federal income tax purposes under Sections 355 and 368(a)(1)(D) of the Code, in general, for U.S. federal income tax purposes, XPO would recognize taxable gain as if it had sold the RXO common stock in a taxable sale for its fair market value (unless XPO and we jointly make an election under Section 336(e) of the Code with respect to the distribution, in which case, in general, (a) the XPO group would recognize taxable gain as if we had sold all of our assets in a taxable sale in exchange for an amount equal to the fair market value of RXO common stock and the assumption of all our liabilities and (b) we would obtain a related step-up in the tax basis of our assets), and XPO stockholders who receive such RXO shares in the distribution would be subject to tax as if they had received a taxable distribution equal to the fair market value of such shares. For more information, see “Material U.S. Federal Income Tax Consequences.”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as part of the separation, and prior to the distribution, XPO and its subsidiaries expect to complete the internal reorganization, and XPO, RXO and their respective subsidiaries expect to incur certain tax costs in connection with the internal reorganization, including non-U.S. tax costs resulting from transactions in non-U.S. jurisdictions, which may be material. With respect to certain transactions undertaken as part of the internal reorganization, XPO intends to obtain opinions of external tax advisors, in each case, regarding the tax treatment of such transactions. Such opinions will be based upon and rely on, among other things, various facts and assumptions, as well as certain representations, statements and undertakings of XPO, RXO or their respective subsidiaries. If any of these representations or statements is, or becomes, inaccurate or incomplete, or if XPO, RXO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the relevant taxing authorities prevail with any challenge in respect of any relevant transaction, XPO, RXO and their subsidiaries could be subject to significant tax liabilities.</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tax matters agreement to be entered into between XPO and RXO in connection with the separation, we generally would be required to indemnify XPO for any taxes resulting from the separation (and any related costs and other damages) to the extent such amounts resulted from: (i) an acquisition of all or a portion of the equity securities or assets of RXO, whether by merger or otherwise (and regardless of whether we participated in or otherwise facilitated the acquisition), (ii) certain other actions or failures to act by RXO, or (iii) any breach of RXO’s covenants or undertakings contained in the separation agreement and certain other agreements and documents. Further, under the tax matters agreement, we generally would be required to indemnify XPO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distribution that is intended to qualify as a transaction that is generally tax-free to so qualify, in each case, to the extent such amounts did not result from a disqualifying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7" w:right="339" w:bottom="1440" w:gutter="0" w:footer="0" w:header="0"/>
        </w:sectPr>
      </w:pPr>
    </w:p>
    <w:bookmarkStart w:id="47" w:name="page48"/>
    <w:bookmarkEnd w:id="47"/>
    <w:p>
      <w:pPr>
        <w:ind w:right="360"/>
        <w:spacing w:after="0" w:line="282" w:lineRule="auto"/>
        <w:rPr>
          <w:sz w:val="20"/>
          <w:szCs w:val="20"/>
          <w:color w:val="auto"/>
        </w:rPr>
      </w:pPr>
      <w:r>
        <w:rPr>
          <w:rFonts w:ascii="Times New Roman" w:cs="Times New Roman" w:eastAsia="Times New Roman" w:hAnsi="Times New Roman"/>
          <w:sz w:val="18"/>
          <w:szCs w:val="18"/>
          <w:color w:val="auto"/>
        </w:rPr>
        <w:t>by, or acquisition of equity securities of, XPO or RXO. Any such indemnity obligations could be material. For a more detailed discussion, see “Certain Relationships and Related Party Transactions—Tax Matters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in desirable capital-raising or strategic transactions following the separation.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For example, a spin-off may result in taxable gain to the parent corporation under Section 355(e) of the Code if it were later deemed to be part of a plan (or series of related transactions) pursuant to which one or more persons acquire, directly or indirectly, shares representing a 50 percent or greater interest (by vote or value) in the spun-off corporation. To preserve the U.S. federal income tax treatment of the separation and distribution, and in addition to our indemnity obligation described above, the tax matters agreement will restrict us, for the two-year period following the distribution, except in specific circumstances, from, among other things: (i) ceasing to actively conduct certain of our businesses; (ii) entering into certain transactions or series of transactions pursuant to which all or a portion of the shares of RXO stock would be acquired, whether by merger or otherwise; (iii) liquidating or merging or consolidating with any other person; (iv) issuing equity securities beyond certain thresholds; (v) repurchasing shares of RXO stock other than in certain open-market transactions; or (vi) taking or failing to take any other action that would jeopardize the expected U.S. federal income tax treatment of the distribution and certain related transactions.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 These restrictions may limit our ability to pursue certain equity issuances, strategic transactions, repurchases or other transactions that we may otherwise believe to be in the best interests of our stockholders or that might increase the value of our business. Also, we may be responsible for liabilities arising from the failure of the distribution, together with certain related transactions, to qualify for tax-free treatment (see the discussion under the section titled “Certain Relationships and Related Party Transactions—Tax Matters Agreement”), and our indemnity obligations for such liabilities under the tax matters agreement, may discourage, delay, or prevent certain third parties from acquiring us. For more information, see the sections titled “Certain Relationships and Related Party Transactions—Tax Matters Agreement” and “Material U.S. Federal Income Tax Consequences.”</w:t>
      </w:r>
    </w:p>
    <w:p>
      <w:pPr>
        <w:spacing w:after="0" w:line="13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separation agreement will provide that certain contracts, permits and other assets and rights are to be transferred from XPO or its subsidiaries to RXO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we and XPO are joint beneficiaries of contracts, and we and XPO may need the consents of third parties in order to split or separate the existing contracts or the relevant portion of the existing contracts to us or XPO.</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parties may use consent requirements or other rights to seek to terminate contracts or obtain more favorable contractual terms from us, which, for example, could take the form of adverse price changes, require us to expend additional resources in order to obtain the services or assets previously provided under the contract or require us to seek arrangements with new third parties or obtain letters of credit or other forms of credit support. If we are unable to obtain required consents or approvals, we may be unable to obtain the benefits, permits, assets and contractual commitments that are intended to be allocated to us as part of our separation from XPO, and we may be required to seek alternative arrangements to obtain services and assets which may be more costly and/or of lower quality. The termination or modification of these contracts or permits or the failure to timely complete the transfer or separation of these contracts or permits could negatively impact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48" w:name="page49"/>
    <w:bookmarkEnd w:id="48"/>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distribution, certain of our directors and employees may have actual or potential conflicts of interest because of their positions with or financial interests in XPO.</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of their current or former positions with XPO, certain of our expected executive officers and directors will continue to own equity interests in XPO following the distribution. In addition, we currently expect Mr. Jacobs to serve as executive chairman of XPO while also serving as chairman of our board of directors. These factors could create, or appear to create, potential conflicts of interest to the extent that we and XPO face decisions that could have different implications for the two companies. For example, potential conflicts of interest could arise in connection with the resolution of any dispute that may arise between XPO and our company regarding the terms of the agreements governing the separation and the relationship thereafter between the companies.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Until the distribution occurs, the XPO board of directors has sole and absolute discretion to change the terms of the separation and distribution in ways that may be unfavorable to us.</w:t>
      </w:r>
    </w:p>
    <w:p>
      <w:pPr>
        <w:spacing w:after="0" w:line="1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Until the distribution occurs, RXO will be a wholly-owned subsidiary of XPO. Accordingly, the XPO board of directors will have the sole and absolute discretion to determine and change the terms of the separation, including the establishment of the record date for the distribution and the distribution date. These changes could be unfavorable to us. In addition, the XPO board of directors, in its sole and absolute discretion, may decide not to proceed with the distribution at any time prior to the distribution date.</w:t>
      </w:r>
    </w:p>
    <w:p>
      <w:pPr>
        <w:spacing w:after="0" w:line="12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10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No vote of XPO stockholders is required in connection with the distribution. Accordingly, if you do not want to receive our common stock in the distribution, your only recourse will be to divest yourself of your XPO common stock prior to the record date for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an active trading market for our common stock will develop or be sustained after the distribution and, following the distribution, our stock price may fluctuate significantly.</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public market for our common stock does not currently exist. We anticipate that shortly before the distribution date, trading of shares of our common stock will begin on a “when-issued” basis and will continue up to the distribution date. However, we cannot guarantee that an active trading market will develop or be sustained for our common stock after the distribution, nor can we predict the prices at which shares of our common stock may trade after the distribution. Similarly, we cannot predict the effect of the distribution on the trading prices of our common stock.</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Until the market has fully evaluated XPO’s businesses without RXO, the price at which each share of XPO common stock trades may fluctuate more significantly than might otherwise be typical, even with other market conditions, including general volatility, held constant. Similarly, until the market has fully evaluated our business as a standalone entity, the prices at which shares of our common stock trade may fluctuate more significantly than might otherwise be typical, even with other market conditions, including general volatility, held constant. The increased volatility of our stock price following the distribution may have a material adverse effect on our business, financial condition and results of operations. The market price of our common stock may fluctuate significantly due to a number of factors, some of which may be beyond our control, including:</w:t>
      </w:r>
    </w:p>
    <w:p>
      <w:pPr>
        <w:spacing w:after="0" w:line="13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our ability to meet those estimates;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49" w:name="page50"/>
    <w:bookmarkEnd w:id="49"/>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commodities prices;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6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post-separation value of one share of XPO common stock and one share of RXO common stock may not equal or exceed the pre-distribution value of one share of XPO common stock.</w:t>
      </w:r>
    </w:p>
    <w:p>
      <w:pPr>
        <w:spacing w:after="0" w:line="10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As a result of the separation, we expect the trading price of shares of XPO common stock immediately following the separation to be different from the “regular-way” trading price of XPO common shares immediately prior to the separation because the trading price will no longer reflect the value of the RXO Businesses. There can be no assurance that the aggregate market value of one share of XPO common stock and one share of RXO common stock following the separation will be higher than, lower than or the same as the market value of a share of XPO common stock if the separation did not occur.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substantial and rapid changes in our stockholder base, which may cause our stock price to fluctuate significantly.</w:t>
      </w:r>
    </w:p>
    <w:p>
      <w:pPr>
        <w:spacing w:after="0" w:line="17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Many investors holding shares of XPO common stock may hold that stock because of a decision to invest in a company with XPO’s profile. Following the distribution, the shares of RXO common stock held by those investors will represent an investment in a company with a different profile. This may not be aligned with a holder’s investment strategy and may cause the holder to sell the shares rapidly. As a result, the price of RXO common stock may decline or experience volatility as RXO’s stockholder base changes.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number of shares of our common stock may be sold following the distribution, which may cause our stock price to decline.</w:t>
      </w:r>
    </w:p>
    <w:p>
      <w:pPr>
        <w:spacing w:after="0" w:line="17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Any sales of substantial amounts of our common stock in the public market or the perception that such sales might occur, in connection with the distribution or otherwise, may cause the market price of our common stock to decline. Upon completion of the distribution, based on approximately 115,113,629 shares of XPO common stock outstanding as of October 7, 2022, we expect that we will have an aggregate of approximately 115,113,629 shares of our common stock issued and outstanding. Shares distributed to XPO stockholders in the separation will generally be freely tradeable without restriction or further registration under the U.S. Securities Act of 1933, as amended (the “Securities Act”), except for shares owned by one of our “affiliates,” as that term is defined in Rule 405 under the Securities Act.</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unable to predict whether large amounts of our common stock will be sold in the open market following the distribution. We are also unable to predict whether a sufficient number of buyers of our common stock to meet the demand to sell shares of our common stock at attractive prices would exist at that time.</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shares of our common stock in connection with the Registration Rights Agreement, or the prospect of any such sales, could affect the market price of our common stock and could impair our ability to raise capital through future sales of equity securities.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enter into a registration rights agreement (the “Registration Rights Agreement”) with Jacobs Private Equity, LLC (“JPE”), an affiliate of Brad Jacobs, who will be appointed as RXO’s chairman following the completion of the distribution. As of October 7, 2022, JPE beneficially owned 1,300,701 shares of XPO common stock, which will represent approximately 1.1% of the outstanding shares of RXO common stock immediately following the completion of the distribution, based on the distribution ratio of one share of RXO common stock for every share of XPO common stock. Any sales in connection with the Registration Rights Agreement, or the prospect of any such sales, could adversely impact the market price of our common stock. In addition, in connection with a registration request under the Registration Rights Agreement for an underwritten offering, we may be required to agree to be restricted from selling or disposing any of our common stock or securities convertible into or exchangeable or exercisable for common stock for a period of 90 days (subject to certain exceptions and our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17" w:right="35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to defer a registration request or suspend use of a registration statement under certain circumstances). As a result, we may be restricted in our ability to raise capital through future sales of equity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stockholder’s percentage of ownership in RXO may be diluted in the future at any given time.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future, your percentage ownership in RXO may be diluted because of equity issuances for acquisitions, capital market transactions or otherwise, including any equity awards that we will grant to our directors, officers and employees. Our employees will have stock-based awards that correspond to shares of our common stock after the distribution as a result of conversion of their XPO stock-based awards. We anticipate that the compensation committee of our board of directors will grant additional stock-based awards to our employees after the distribution. Such awards will have a dilutive effect on the number of RXO shares outstanding, and therefore on our earnings per share, which could adversely affect the market price of our common stock. From time to time, we will issue additional stock-based awards to our employees under our employee benefits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the timing, amount or payment of any dividends on our common stock.</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payment of any dividends in the future, and the timing and amount thereof, is within the discretion of RXO’s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 For more information, see “Dividend Policy.”</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RXO’s amended and restated certificate of incorporation and bylaws, and of Delaware law, may prevent or delay an acquisition of RXO, which could decrease the trading price of RXO’s common stock.</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are expected to include, among others:</w:t>
      </w:r>
    </w:p>
    <w:p>
      <w:pPr>
        <w:spacing w:after="0" w:line="12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remaining directors to fill vacancies on our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stockholders’ ability to call a special stockholder meeting or act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stock without stockholder approval; and</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each class serving a staggered three-year term, which could have the effect of making the replacement of incumbent directors more time consuming and difficult.</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we expect to be subject to Section 203 of the Delaware General Corporate Law (the “DGCL”),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RXO immune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7" w:right="339" w:bottom="1440" w:gutter="0" w:footer="0" w:header="0"/>
        </w:sectPr>
      </w:pPr>
    </w:p>
    <w:bookmarkStart w:id="51" w:name="page52"/>
    <w:bookmarkEnd w:id="51"/>
    <w:p>
      <w:pPr>
        <w:ind w:right="20"/>
        <w:spacing w:after="0" w:line="266" w:lineRule="auto"/>
        <w:rPr>
          <w:sz w:val="20"/>
          <w:szCs w:val="20"/>
          <w:color w:val="auto"/>
        </w:rPr>
      </w:pPr>
      <w:r>
        <w:rPr>
          <w:rFonts w:ascii="Times New Roman" w:cs="Times New Roman" w:eastAsia="Times New Roman" w:hAnsi="Times New Roman"/>
          <w:sz w:val="18"/>
          <w:szCs w:val="18"/>
          <w:color w:val="auto"/>
        </w:rPr>
        <w:t>takeovers; however, these provisions will apply even if the offer may be considered beneficial by some stockholders and could delay or prevent an acquisition that our board of directors determines is not in the best interests of RXO and our stockholders. These provisions may also prevent or discourage attempts to remove and replace incumbent directors. See “Description of Capital Stock.”</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an acquisition or further issuance of our common stock could trigger the application of Section 355(e) of the Code, causing the distribution to be taxable to XPO. For a discussion of Section 355(e) of the Code, see “Material U.S. Federal Income Tax Consequences.” Under the tax matters agreement, we would be required to indemnify XPO for the resulting tax, and this indemnity obligation might discourage, delay or prevent a change of control that our stockholders may consider favorable.</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RXO’s amended and restated certificate of incorporation will contain an exclusive forum provision that may discourage lawsuits against RXO and RXO’s directors and officers.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the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RXO, any action asserting a claim for or based on a breach of a fiduciary duty owed by any current or former director or officer or other employee or stockholder of RXO in such capacity to RXO or to RXO stockholders, including a claim alleging the aiding and abetting of such a breach of fiduciary duty, any action asserting a claim against RXO or any current or former director or officer or other employee or stockholder of RXO in such capacity arising pursuant to any provision of the DGCL or our amended and restated certificate of incorporation or amended and restated bylaws, any action asserting a claim relating to or involving RXO governed by the internal affairs doctrine, or any action asserting an “internal corporate claim” as that term is defined in Section 115 of the DGCL.</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4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RXO or our directors or officers, which may discourage such lawsuits against RXO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417" w:right="359" w:bottom="1440" w:gutter="0" w:footer="0" w:header="0"/>
        </w:sectPr>
      </w:pPr>
    </w:p>
    <w:bookmarkStart w:id="52" w:name="page53"/>
    <w:bookmarkEnd w:id="5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information statement and other materials XPO and RXO have filed or will file with the SEC (and oral communications that XPO or RXO may make) contain or incorporate by reference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(including risks, uncertainties and assumptions) that might cause or contribute to a material difference include, but are not limited to:</w:t>
      </w:r>
    </w:p>
    <w:p>
      <w:pPr>
        <w:spacing w:after="0" w:line="13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magnitude, duration and aftereffects of the COVID-19 pandemic and government responses to the COVID-19 pandemic;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fuel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carrier prices;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terrorist attacks or similar incidents that cause material disruptions to our operations or the operations of the third-party carriers and independent contractors with which we contract;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carriers and independent contractors;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organizing efforts affecting our workforce and those of our third-party carriers;</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challenges to the status of the third-party carriers with which we contract, and their delivery workers, as independent contractors, rather than employees;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or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stringent laws protecting the environment, including transitional risks relating to climate change, that impact our third-party carriers;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political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suitable information technology systems and prevent failures in or breaches of such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cyber-attacks and information technology or data security breaches;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cost and revenue initiatives and other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1440" w:right="379" w:bottom="1440" w:gutter="0" w:footer="0" w:header="0"/>
        </w:sectPr>
      </w:pPr>
    </w:p>
    <w:bookmarkStart w:id="53" w:name="page54"/>
    <w:bookmarkEnd w:id="53"/>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large customers for a significant portion of our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through unfavorable publicity;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performance levels required by our contracts with our customers;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the level of revenue growth, cash generation, cost savings, improvement in profitability and margins, fiscal discipline, or strengthening of competitiveness and operations anticipated or targeted;</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and timing of the separation, and uncertainties regarding the planned separation, including the risk that conditions to the separation will not be satisfied and that it will not be completed pursuant to the targeted timing, asset perimeters, and other anticipated terms, if at all, and that the separation will not produce the desired benefits;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IRS that the distribution or certain related transactions should be treated as taxable transactions;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consents or approvals required in connection with the separation will not be received or obtained within the expected time frame, on the expected terms or at all;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financing transactions undertaken in connection with the separation and risks associated with additional indebtedness;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our estimates;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our businesses, our operations, our relationships with customers, suppliers, employees and other business counterparties, and the risk that the businesses will not be separated successfully or that such separation may be more difficult, time-consuming or costly than expected, which could result in additional demands on our resources, systems, procedures and controls, disruption of our ongoing business, and diversion of management’s attention from other business concerns.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separation, distribution or any other transaction described above will in fact be consummated in the manner described or at all. There can also be no assurance that XPO’s planned divesture of the European transportation business will occur, or of the terms or timing of the divestiture. Where required by law, no binding decision will be made with respect to the divestiture of the European transportation business other than in compliance with applicable employee information and consultation requirements.</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XPO and RXO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320" w:top="1417" w:right="379" w:bottom="1440" w:gutter="0" w:footer="0" w:header="0"/>
        </w:sectPr>
      </w:pPr>
    </w:p>
    <w:bookmarkStart w:id="54" w:name="page55"/>
    <w:bookmarkEnd w:id="5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SEPARATION AND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8, 2022, XPO announced its intention to separate into two independent, publicly traded companies. The separation will occur through a pro rata distribution to the XPO stockholders of all of the shares of common stock of RXO, which was formed to hold the RXO Businesses.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distribution, we expect that:</w:t>
      </w:r>
    </w:p>
    <w:p>
      <w:pPr>
        <w:spacing w:after="0" w:line="171" w:lineRule="exact"/>
        <w:rPr>
          <w:sz w:val="20"/>
          <w:szCs w:val="20"/>
          <w:color w:val="auto"/>
        </w:rPr>
      </w:pPr>
    </w:p>
    <w:p>
      <w:pPr>
        <w:ind w:left="660" w:right="2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will complete the internal reorganization, which will result in RXO becoming the parent company of the XPO operations comprising, and the entities that will conduct, the RXO Businesses;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RXO will incur approximately $455 million of indebtedness, as described under “Description of Material Indebtedness;” and</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RXO will use all or a portion of the proceeds from one or more financing transactions at or prior to the completion of the distribution and cash on hand to transfer approximately $554 million of cash to XPO, which XPO will use to repay existing indebtedness prior to the 12-month anniversary of the distribution.</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10, 2022, the XPO board of directors approved the distribution of all of the shares of RXO common stock, on the basis of one share of RXO common stock for every share of XPO common stock held as of the close of business on October 20, 2022, the record date for the distribution.</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12:01 a.m., Eastern Time, on November 1, 2022, the distribution date, each XPO stockholder will receive one share of RXO common stock for every share of XPO common stock held at the close of business on the record date for the distribution, as described below. Upon completion of the separation, each RXO stockholder as of the record date will continue to own shares of XPO and will receive a proportionate share of the outstanding common stock of RXO to be distributed. You will not be required to make any payment, surrender or exchange your XPO common stock or take any other action to receive your shares of RXO common stock in the distribution. The distribution of RXO common stock as described in this information statement is subject to the final approval of the XPO board of directors and the satisfaction or waiver of certain conditions. For a more detailed description of these conditions, see “The Separation and Distribution—Conditions to the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Separation</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XPO board of directors believes that the separation of XPO into two independent, publicly traded companies through the separation of the RXO Businesses from XPO is in the best interests of XPO and its stockholders for a number of reasons, including:</w:t>
      </w:r>
    </w:p>
    <w:p>
      <w:pPr>
        <w:spacing w:after="0" w:line="106" w:lineRule="exact"/>
        <w:rPr>
          <w:sz w:val="20"/>
          <w:szCs w:val="20"/>
          <w:color w:val="auto"/>
        </w:rPr>
      </w:pPr>
    </w:p>
    <w:p>
      <w:pPr>
        <w:ind w:left="660" w:right="20" w:hanging="328"/>
        <w:spacing w:after="0" w:line="25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Management Focus on Core Businesses</w:t>
      </w:r>
      <w:r>
        <w:rPr>
          <w:rFonts w:ascii="Times New Roman" w:cs="Times New Roman" w:eastAsia="Times New Roman" w:hAnsi="Times New Roman"/>
          <w:sz w:val="18"/>
          <w:szCs w:val="18"/>
          <w:color w:val="auto"/>
        </w:rPr>
        <w:t>. The separation will create two companies more fit for purpose, and give each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 an undiluted focus on their 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XPO’s LTL technology platform and RXO’s digital brokerage platform.</w:t>
      </w:r>
    </w:p>
    <w:p>
      <w:pPr>
        <w:spacing w:after="0" w:line="128"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Clear-Cut Investment Identities. </w:t>
      </w:r>
      <w:r>
        <w:rPr>
          <w:rFonts w:ascii="Times New Roman" w:cs="Times New Roman" w:eastAsia="Times New Roman" w:hAnsi="Times New Roman"/>
          <w:sz w:val="18"/>
          <w:szCs w:val="18"/>
          <w:color w:val="auto"/>
        </w:rPr>
        <w:t>The separation will allow investors to more clearly understand the separate business models, financial profiles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investment identities of the two companies and to invest in each company based on a better appreciation of these characteristics. The separation will also provide an opportunity to allow each company to have less debt relative to its market capitalization. To the extent that enhanced investor understanding of each business model and demonstrated deleveraging result in greater investor demand for shares of XPO stock and/or RXO stock, it could cause each company to be valued at multiples higher than XPO’s current multiple, and higher than its publicly traded peers. Any such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40" w:right="359" w:bottom="1440" w:gutter="0" w:footer="0" w:header="0"/>
        </w:sectPr>
      </w:pPr>
    </w:p>
    <w:bookmarkStart w:id="55" w:name="page56"/>
    <w:bookmarkEnd w:id="55"/>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in the aggregate market value of XPO and RXO following the separation, relative to XPO’s current market value, would benefit XPO, RXO and their respective stakeholders.</w:t>
      </w:r>
    </w:p>
    <w:p>
      <w:pPr>
        <w:spacing w:after="0" w:line="106" w:lineRule="exact"/>
        <w:rPr>
          <w:sz w:val="20"/>
          <w:szCs w:val="20"/>
          <w:color w:val="auto"/>
        </w:rPr>
      </w:pPr>
    </w:p>
    <w:p>
      <w:pPr>
        <w:ind w:left="660" w:right="1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Creation of Independent Equity Currencies and Enhanced Strategic Opportunities. </w:t>
      </w:r>
      <w:r>
        <w:rPr>
          <w:rFonts w:ascii="Times New Roman" w:cs="Times New Roman" w:eastAsia="Times New Roman" w:hAnsi="Times New Roman"/>
          <w:sz w:val="18"/>
          <w:szCs w:val="18"/>
          <w:color w:val="auto"/>
        </w:rPr>
        <w:t>The separation will provide each of XPO and RXO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pure-play equity currency that can be used to facilitate raising capital and to pursue M&amp;A opportunities that are more closely aligned with each company’s strategic goals and expected growth opportunities. To the extent that the separate equity currencies are more attractively valued, this would further increase these benefits to XPO and RXO.</w:t>
      </w:r>
    </w:p>
    <w:p>
      <w:pPr>
        <w:spacing w:after="0" w:line="12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Improved Alignment of Management Incentives and Performance. </w:t>
      </w:r>
      <w:r>
        <w:rPr>
          <w:rFonts w:ascii="Times New Roman" w:cs="Times New Roman" w:eastAsia="Times New Roman" w:hAnsi="Times New Roman"/>
          <w:sz w:val="18"/>
          <w:szCs w:val="18"/>
          <w:color w:val="auto"/>
        </w:rPr>
        <w:t>The separation will allow each company to more effectively recruit, retain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motivate employees through the use of equity-based compensation that more closely aligns management and employee incentives with specific growth objectives, financial goals and business attributes. To the extent that the separate equity currencies are more attractively valued, this would further benefit XPO and RXO.</w:t>
      </w:r>
    </w:p>
    <w:p>
      <w:pPr>
        <w:spacing w:after="0" w:line="125"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Separate Capital Structures and Allocation of Financial Resources. </w:t>
      </w:r>
      <w:r>
        <w:rPr>
          <w:rFonts w:ascii="Times New Roman" w:cs="Times New Roman" w:eastAsia="Times New Roman" w:hAnsi="Times New Roman"/>
          <w:sz w:val="18"/>
          <w:szCs w:val="18"/>
          <w:color w:val="auto"/>
        </w:rPr>
        <w:t>The separation will permit each company to allocate its financial resources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the unique needs of its business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 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XPO board of directors also considered a number of potentially negative factors in evaluating the separation, including:</w:t>
      </w:r>
    </w:p>
    <w:p>
      <w:pPr>
        <w:spacing w:after="0" w:line="169" w:lineRule="exact"/>
        <w:rPr>
          <w:sz w:val="20"/>
          <w:szCs w:val="20"/>
          <w:color w:val="auto"/>
        </w:rPr>
      </w:pPr>
    </w:p>
    <w:p>
      <w:pPr>
        <w:ind w:left="660" w:right="20" w:hanging="328"/>
        <w:spacing w:after="0" w:line="25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Failure to Achieve Anticipated Benefits of the Separation</w:t>
      </w:r>
      <w:r>
        <w:rPr>
          <w:rFonts w:ascii="Times New Roman" w:cs="Times New Roman" w:eastAsia="Times New Roman" w:hAnsi="Times New Roman"/>
          <w:sz w:val="18"/>
          <w:szCs w:val="18"/>
          <w:color w:val="auto"/>
        </w:rPr>
        <w:t>. We may not achieve the anticipated benefits of the separation for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reasons, including, among others: the separation will demand significant management resources and require significant amounts of management’s time and effort, which may divert management’s attention from operating our business; following the separation, we may be more susceptible to market fluctuations, and other events may be more disadvantageous for us than if we were still part of XPO, because our business would be less diversified than XPO’s business is prior to the completion of the separation.</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Disruptions and Costs Related to the Separation</w:t>
      </w:r>
      <w:r>
        <w:rPr>
          <w:rFonts w:ascii="Times New Roman" w:cs="Times New Roman" w:eastAsia="Times New Roman" w:hAnsi="Times New Roman"/>
          <w:sz w:val="18"/>
          <w:szCs w:val="18"/>
          <w:color w:val="auto"/>
        </w:rPr>
        <w:t>. The actions required to separate the RXO Businesses from XPO could disrupt our operations.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in connection with the separation and the transition to being a standalone public company, we will incur costs that will, in the aggregate, be substantial. These costs may include accounting, tax, legal and other professional services costs, recruiting and relocation costs associated with hiring key senior management personnel who are new to RXO, tax costs, and costs to separate information systems.</w:t>
      </w:r>
    </w:p>
    <w:p>
      <w:pPr>
        <w:spacing w:after="0" w:line="125"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of Scale and Increased Administrative Costs. </w:t>
      </w:r>
      <w:r>
        <w:rPr>
          <w:rFonts w:ascii="Times New Roman" w:cs="Times New Roman" w:eastAsia="Times New Roman" w:hAnsi="Times New Roman"/>
          <w:sz w:val="18"/>
          <w:szCs w:val="18"/>
          <w:color w:val="auto"/>
        </w:rPr>
        <w:t>Prior to the separation, RXO is able to take advantage of XPO’s size and purchasing power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procuring certain goods, services and technologies. After the separation, as a standalone company, we may be unable to obtain these goods, services and technologies at prices or on terms as favorable as those XPO obtained prior to completion of the separation. In addition, as part of XPO, RXO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28"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Strategic Transactions</w:t>
      </w:r>
      <w:r>
        <w:rPr>
          <w:rFonts w:ascii="Times New Roman" w:cs="Times New Roman" w:eastAsia="Times New Roman" w:hAnsi="Times New Roman"/>
          <w:sz w:val="18"/>
          <w:szCs w:val="18"/>
          <w:color w:val="auto"/>
        </w:rPr>
        <w:t>. Under the terms of the tax matters agreement that we will enter into with XPO, we will be restricted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taking certain actions that could cause the distribution or certain related transactions (or certain transactions undertaken as part of the internal reorganization) to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80"/>
          </w:cols>
          <w:pgMar w:left="320" w:top="1417" w:right="399" w:bottom="1440" w:gutter="0" w:footer="0" w:header="0"/>
        </w:sectPr>
      </w:pPr>
    </w:p>
    <w:bookmarkStart w:id="56" w:name="page57"/>
    <w:bookmarkEnd w:id="56"/>
    <w:p>
      <w:pPr>
        <w:ind w:left="660" w:right="200"/>
        <w:spacing w:after="0" w:line="282" w:lineRule="auto"/>
        <w:rPr>
          <w:sz w:val="20"/>
          <w:szCs w:val="20"/>
          <w:color w:val="auto"/>
        </w:rPr>
      </w:pPr>
      <w:r>
        <w:rPr>
          <w:rFonts w:ascii="Times New Roman" w:cs="Times New Roman" w:eastAsia="Times New Roman" w:hAnsi="Times New Roman"/>
          <w:sz w:val="18"/>
          <w:szCs w:val="18"/>
          <w:color w:val="auto"/>
        </w:rPr>
        <w:t>qualify as tax-free under applicable law. These restrictions may limit, for a period of time, our ability to pursue certain strategic transactions and equity issuances or engage in other transactions that might increase the value of our business.</w:t>
      </w:r>
    </w:p>
    <w:p>
      <w:pPr>
        <w:spacing w:after="0" w:line="52" w:lineRule="exact"/>
        <w:rPr>
          <w:sz w:val="20"/>
          <w:szCs w:val="20"/>
          <w:color w:val="auto"/>
        </w:rPr>
      </w:pPr>
    </w:p>
    <w:p>
      <w:pPr>
        <w:ind w:left="660" w:right="20" w:hanging="328"/>
        <w:spacing w:after="0" w:line="267"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Regarding Stock Prices</w:t>
      </w:r>
      <w:r>
        <w:rPr>
          <w:rFonts w:ascii="Times New Roman" w:cs="Times New Roman" w:eastAsia="Times New Roman" w:hAnsi="Times New Roman"/>
          <w:sz w:val="18"/>
          <w:szCs w:val="18"/>
          <w:color w:val="auto"/>
        </w:rPr>
        <w:t>. We cannot predict with certainty the effect of the separation on the trading prices of RXO or XPO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know whether the combined market value of one share of our common stock and one share of XPO common stock will be less than, equal to or greater than the market value of one share of XPO common stock prior to the distribution.</w:t>
      </w:r>
    </w:p>
    <w:p>
      <w:pPr>
        <w:spacing w:after="0" w:line="6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determining whether to pursue the separation, the XPO board of directors concluded the potential benefits of the separation outweighed the potential negative factors. See the sections titled “The Separation and Distribution—Reasons for the Separation” and “Risk Factors” included elsewhere in this information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Formation of RXO</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RXO, Inc. was formed as a Delaware limited liability company in May 2022 for the purpose of holding the RXO Businesses and was converted into a Delaware corporation in October 2022. As part of XPO’s plan to separate the RXO Businesses from the remainder of its business, in connection with the internal reorganization, XPO plans to transfer the equity interests of certain entities that are expected to operate the RXO Businesses and the assets and liabilities of the RXO Businesses to RXO prior to the distribution. For additional information, see “The Separation and Distribution—Internal Reorganization.”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With the assistance of AST, XPO expects to distribute RXO common stock at 12:01 a.m., Eastern Time, on November 1, 2022, the distribution date, to all holders of outstanding XPO common stock as of the close of business on October 20, 2022, the record date for the distribution. AST will serve as the settlement and distribution agent in connection with the distribution and the transfer agent and registrar for RXO common stock.</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own XPO common stock as of the close of business on the record date for the distribution, RXO common stock that you are entitled to receive in the distribution will be issued electronically, as of the distribution date, to you in direct registration form or to your bank or brokerage firm on your behalf. If you are a registered holder, AST will then mail you a direct registration account statement that reflects your shares of RXO common stock. If you hold your XPO shares through a bank or brokerage firm, your bank or brokerage firm will credit your account for the RXO shares. Direct registration form refers to a method of recording share ownership when no physical share certificates are issued to stockholders, as is the case in this distribution. If you sell XPO common stock in the “regular-way” market on the trading day prior to the record date for the distribution up to and including the distribution date, you will be selling your right to receive shares of RXO common stock in the distribution.</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Commencing on or shortly after the distribution date, if you hold physical share certificates that represent your XPO common stock and you are the registered holder of the shares represented by those certificates, the distribution agent will mail to you an account statement that indicates the number of shares of RXO common stock that have been registered in book-entry form in your name.</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Most XPO stockholders hold their common stock through a bank or brokerage firm. In such cases, the bank or brokerage firm is said to hold the shares in “street name” and ownership would be recorded on the bank or brokerage firm’s books. If you hold your XPO common stock through a bank or brokerage firm, your bank or brokerage firm will credit your account for the RXO common stock that you are entitled to receive in the distribution. If you have any questions concerning the mechanics of having shares held in “street name,” please contact your bank or brokerage firm.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Shares You Receive</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Shares of RXO common stock distributed to 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17" w:right="339" w:bottom="1440" w:gutter="0" w:footer="0" w:header="0"/>
        </w:sectPr>
      </w:pPr>
    </w:p>
    <w:bookmarkStart w:id="57" w:name="page58"/>
    <w:bookmarkEnd w:id="57"/>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executive officers or directors. Securities held by our affiliates will be subject to resale restrictions under the Securities Act. Our affiliates will be permitted to sell shares of our common stock only pursuant to an effective registration statement or an exemption from the registration requirements of the Securities Act, such as the exemption afforded by Rule 144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of RXO Common Stock You Will Receive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every share of XPO common stock that you own at the close of business on October 20, 2022, the record date for the distribution, you will receive one share of RXO common stock on the distribution date. XPO will not distribute any fractional shares of RXO common stock to its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Equity-Based Compensation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employee matters agreement will provide for the adjustment of XPO equity-based compensation awards that are outstanding immediately prior to the separation and distribution to reflect the impact of the separation. Such adjustments are summarized below. Prior to the effective time of the distribution, the XPO Compensation Committee may provide for different adjustments with respect to certain XPO equity-based compensation awards to the extent that the XPO Compensation Committee deems such adjustments necessary and appropriate.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anticipated that XPO equity-based compensation awards outstanding as of October 7, 2022 (i) relating to up to approximately 1,111,480 shares of XPO common stock will be converted, using the methodologies described below, into awards relating solely to RXO common stock and (ii) relating to up to approximately 3,239,457 shares of XPO common stock will be adjusted, using the methodologies described below, into two awards, the original XPO equity-based award and a new award relating to RXO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XPO Equity-Based Awards held by RXO Employees and Transferring Directors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Outstanding XPO equity awards held by RXO employees and XPO non-employee directors who are transferring to the RXO board on the distribution date (“Transferring Directors”) are expected to be treated as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417" w:right="359" w:bottom="1440" w:gutter="0" w:footer="0" w:header="0"/>
        </w:sectPr>
      </w:pPr>
    </w:p>
    <w:bookmarkStart w:id="58" w:name="page59"/>
    <w:bookmarkEnd w:id="5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842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Treatment</w:t>
            </w:r>
          </w:p>
        </w:tc>
      </w:tr>
      <w:tr>
        <w:trPr>
          <w:trHeight w:val="169"/>
        </w:trPr>
        <w:tc>
          <w:tcPr>
            <w:tcW w:w="27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Restricted Stock Units</w:t>
            </w:r>
          </w:p>
        </w:tc>
        <w:tc>
          <w:tcPr>
            <w:tcW w:w="80" w:type="dxa"/>
            <w:vAlign w:val="bottom"/>
          </w:tcPr>
          <w:p>
            <w:pPr>
              <w:spacing w:after="0"/>
              <w:rPr>
                <w:sz w:val="14"/>
                <w:szCs w:val="14"/>
                <w:color w:val="auto"/>
              </w:rPr>
            </w:pPr>
          </w:p>
        </w:tc>
        <w:tc>
          <w:tcPr>
            <w:tcW w:w="84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As of the effective time of the distribution, each outstanding XPO restricted stock unit award held by an RXO</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 (other than Mr. Wilkerson) or a Transferring Director will be converted into an award of restricted stock</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units relating to RXO common stock, with the number of shares subject to the award to be adjusted in a manner</w:t>
            </w:r>
          </w:p>
        </w:tc>
      </w:tr>
      <w:tr>
        <w:trPr>
          <w:trHeight w:val="175"/>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intended to preserve the aggregate intrinsic value of the original XPO award immediately after the distributions</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when compared to the aggregate intrinsic value immediately prior to the distribution (in each case, as calculated</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based on the applicable stock price measurements specified in the employee matters agreement), subject to</w:t>
            </w:r>
          </w:p>
        </w:tc>
      </w:tr>
      <w:tr>
        <w:trPr>
          <w:trHeight w:val="175"/>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rounding. Each adjusted RXO restricted stock unit award will generally be subject to the same terms and vesting</w:t>
            </w:r>
          </w:p>
        </w:tc>
      </w:tr>
      <w:tr>
        <w:trPr>
          <w:trHeight w:val="234"/>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that applied to the original XPO award immediately before the effective time of the distribution.</w:t>
            </w:r>
          </w:p>
        </w:tc>
      </w:tr>
      <w:tr>
        <w:trPr>
          <w:trHeight w:val="292"/>
        </w:trPr>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restricted stock unit awards held by Mr. Wilkerson will be treated as described below.</w:t>
            </w: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the effective time of the distribution, each outstanding XPO performance-based restricted stock unit award</w:t>
            </w:r>
          </w:p>
        </w:tc>
      </w:tr>
      <w:tr>
        <w:trPr>
          <w:trHeight w:val="22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by an RXO employee (including the Wilkerson Incentive Grant (as defined below in the section entitled</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“Executive Compensation”) held by Mr. Wilkerson) will be converted into an RXO performance-based restricted</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 unit award relating to RXO common stock, with the number of shares subject to the award to be adjusted in a</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manner intended to preserve the aggregate intrinsic value of the original XPO award immediately after the</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distributions when compared to the aggregate intrinsic value immediately prior to the distribution (in each case, as</w:t>
            </w:r>
          </w:p>
        </w:tc>
      </w:tr>
      <w:tr>
        <w:trPr>
          <w:trHeight w:val="189"/>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calculated based on the applicable stock price measurements specified in the employee matters agreement), subject</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to rounding. Each adjusted RXO performance-based restricted stock unit award will generally be subject to the</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same terms and vesting conditions that applied to the original XPO award immediately before the effective time of</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the distribution, provided that the XPO Compensation Committee may modify the applicable performance-based</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vesting conditions prior to the effective time (including by deeming the applicable performance-based vesting</w:t>
            </w:r>
          </w:p>
        </w:tc>
      </w:tr>
      <w:tr>
        <w:trPr>
          <w:trHeight w:val="234"/>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to be achieved at a designated performance level).</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XPO Equity-Based Awards Held by XPO Employees, Former Employees, XPO Directors and Mr. Wilkerson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Outstanding XPO equity awards held by XPO employees, former employees of XPO as of the distribution date (“Former Employees”), XPO non-employee directors who are remaining on the XPO Board of Directors on the distribution date (“XPO Directors”) and Mr. Wilkerson (other than the Wilkerson Incentive Grant) are expected to be treated as shown in the table below. In general, the treatment for active XPO employees varies depending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9" w:name="page60"/>
    <w:bookmarkEnd w:id="59"/>
    <w:p>
      <w:pPr>
        <w:ind w:right="20"/>
        <w:spacing w:after="0" w:line="282" w:lineRule="auto"/>
        <w:rPr>
          <w:sz w:val="20"/>
          <w:szCs w:val="20"/>
          <w:color w:val="auto"/>
        </w:rPr>
      </w:pPr>
      <w:r>
        <w:rPr>
          <w:rFonts w:ascii="Times New Roman" w:cs="Times New Roman" w:eastAsia="Times New Roman" w:hAnsi="Times New Roman"/>
          <w:sz w:val="18"/>
          <w:szCs w:val="18"/>
          <w:color w:val="auto"/>
        </w:rPr>
        <w:t>whether such employees are employed in XPO’s LTL business (such employees, the “Concentration Treatment Employees”) or XPO’s other businesses and corporate office (such employees, the “Basket Treatment Employees”).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842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Treatment</w:t>
            </w:r>
          </w:p>
        </w:tc>
      </w:tr>
      <w:tr>
        <w:trPr>
          <w:trHeight w:val="169"/>
        </w:trPr>
        <w:tc>
          <w:tcPr>
            <w:tcW w:w="27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Restricted Stock Units</w:t>
            </w:r>
          </w:p>
        </w:tc>
        <w:tc>
          <w:tcPr>
            <w:tcW w:w="80" w:type="dxa"/>
            <w:vAlign w:val="bottom"/>
          </w:tcPr>
          <w:p>
            <w:pPr>
              <w:spacing w:after="0"/>
              <w:rPr>
                <w:sz w:val="14"/>
                <w:szCs w:val="14"/>
                <w:color w:val="auto"/>
              </w:rPr>
            </w:pPr>
          </w:p>
        </w:tc>
        <w:tc>
          <w:tcPr>
            <w:tcW w:w="84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As of the effective time of the distribution, each outstanding XPO restricted stock unit award held by a</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Concentration Treatment Employee, a Former Employee, or an XPO Director will continue to relate to XPO</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common stock, with the number of shares subject to the award to be adjusted in a manner intended to preserve the</w:t>
            </w:r>
          </w:p>
        </w:tc>
      </w:tr>
      <w:tr>
        <w:trPr>
          <w:trHeight w:val="175"/>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aggregate intrinsic value of the original XPO award immediately after the distributions when compared to the</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aggregate intrinsic value immediately prior to the distribution (in each case, as calculated based on the applicable</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stock price measurements specified in the employee matters agreement), subject to rounding. Each adjusted XPO</w:t>
            </w:r>
          </w:p>
        </w:tc>
      </w:tr>
      <w:tr>
        <w:trPr>
          <w:trHeight w:val="175"/>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 award will generally be subject to the same terms and vesting conditions that applied to the</w:t>
            </w:r>
          </w:p>
        </w:tc>
      </w:tr>
      <w:tr>
        <w:trPr>
          <w:trHeight w:val="234"/>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XPO award immediately before the effective time of the distribution.</w:t>
            </w:r>
          </w:p>
        </w:tc>
      </w:tr>
      <w:tr>
        <w:trPr>
          <w:trHeight w:val="238"/>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the effective time of the distribution, each outstanding XPO restricted stock unit award held by a Basket</w:t>
            </w:r>
          </w:p>
        </w:tc>
      </w:tr>
      <w:tr>
        <w:trPr>
          <w:trHeight w:val="176"/>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Treatment Employment or Mr. Wilkerson will be converted into an award in respect of both shares of XPO</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and shares of RXO common stock. The number of shares of XPO common stock subject to each</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award will be the same as the number subject to the award prior to the distribution, while the number of shares of</w:t>
            </w:r>
          </w:p>
        </w:tc>
      </w:tr>
      <w:tr>
        <w:trPr>
          <w:trHeight w:val="176"/>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RXO common stock subject to the award will equal the number of shares of XPO common stock subject to the</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award, multiplied by the distribution ratio. The adjusted restricted stock unit awards will be subject to the same</w:t>
            </w:r>
          </w:p>
        </w:tc>
      </w:tr>
      <w:tr>
        <w:trPr>
          <w:trHeight w:val="234"/>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terms and vesting conditions that applied to the original XPO award immediately before the distribution.</w:t>
            </w: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the effective time of the distribution, each outstanding XPO performance-based restricted stock unit award</w:t>
            </w:r>
          </w:p>
        </w:tc>
      </w:tr>
      <w:tr>
        <w:trPr>
          <w:trHeight w:val="22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by a Concentration Treatment Employee or Former Employee (other than any former employee of XPO who is</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being paid for consulting services by XPO as of the effective time (a “Consultant”)) will continue to relate to XPO</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 stock, with the number of shares subject to the award to be adjusted in a manner intended to preserve the</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aggregate intrinsic value of the original XPO award immediately after the distributions when compared to the</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aggregate intrinsic value immediately prior to the distribution (in each case, as calculated based on the applicable</w:t>
            </w:r>
          </w:p>
        </w:tc>
      </w:tr>
      <w:tr>
        <w:trPr>
          <w:trHeight w:val="189"/>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stock price measurements specified in the employee matters agreement), subject to rounding. Each adjusted XPO</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performance-based restricted stock unit award will generally be subject to the same terms and vesting conditions</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that applied to the original XPO award immediately before the distribution, provided that the XPO Compensation</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Committee may modify the applicable performance-based vesting conditions prior to the effective time (including</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by deeming the applicable performance-based vesting conditions to be achieved at a designated performance level).</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the effective time of the distribution, each outstanding XPO performance-based restricted stock unit award</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held by a Basket Treatment Employee, a Consultant or Mr. Wilkerson (other than the Wilkerson Incentive Grant)</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will be converted into an award in respect of both shares of XPO common stock and shares of RXO common stock.</w:t>
            </w:r>
          </w:p>
        </w:tc>
      </w:tr>
      <w:tr>
        <w:trPr>
          <w:trHeight w:val="175"/>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number of shares of XPO common stock subject to each award will be the same as the number subject to the</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award prior to the distribution, while the number of shares of RXO common stock subject to the award will equal</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number of shares of XPO common stock subject to the award, multiplied by the distribution ratio. The adjusted</w:t>
            </w:r>
          </w:p>
        </w:tc>
      </w:tr>
      <w:tr>
        <w:trPr>
          <w:trHeight w:val="175"/>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 awards will be subject to the same terms and vesting conditions that applied</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to the original XPO award immediately before the distribution, provided that the XPO Compensation Committee</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may modify the applicable performance-based vesting conditions prior to the effective time (including by deeming</w:t>
            </w:r>
          </w:p>
        </w:tc>
      </w:tr>
      <w:tr>
        <w:trPr>
          <w:trHeight w:val="234"/>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applicable performance-based vesting conditions to be achieved at a designated performance level).</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Reorganization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part of the separation, and prior to the distribution, XPO and its subsidiaries expect to complete an internal reorganization in order to transfer to RXO the RXO Businesses that it will hold following the separation.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7" w:right="339" w:bottom="1440" w:gutter="0" w:footer="0" w:header="0"/>
        </w:sectPr>
      </w:pPr>
    </w:p>
    <w:bookmarkStart w:id="60" w:name="page61"/>
    <w:bookmarkEnd w:id="60"/>
    <w:p>
      <w:pPr>
        <w:ind w:right="580"/>
        <w:spacing w:after="0" w:line="282" w:lineRule="auto"/>
        <w:rPr>
          <w:sz w:val="20"/>
          <w:szCs w:val="20"/>
          <w:color w:val="auto"/>
        </w:rPr>
      </w:pPr>
      <w:r>
        <w:rPr>
          <w:rFonts w:ascii="Times New Roman" w:cs="Times New Roman" w:eastAsia="Times New Roman" w:hAnsi="Times New Roman"/>
          <w:sz w:val="18"/>
          <w:szCs w:val="18"/>
          <w:color w:val="auto"/>
        </w:rPr>
        <w:t>other things, and subject to limited exceptions, the internal reorganization is expected to result in RXO owning, directly or indirectly, the operations comprising, and the entities that conduct, the RXO Businesses.</w:t>
      </w:r>
    </w:p>
    <w:p>
      <w:pPr>
        <w:spacing w:after="0" w:line="1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internal reorganization is expected to include various restructuring transactions pursuant to which: (i) the operations, assets (including certain digital brokerage technology) and liabilities of XPO and its subsidiaries used to conduct the RXO Businesses will be separated from the operations, assets and liabilities of XPO and its subsidiaries used to conduct XPO’s other businesses, and (ii) such RXO Business operations, assets (including certain digital brokerage technology) and liabilities will be contributed, transferred or otherwise allocated to RXO or one of its direct or indirect subsidiaries. These restructuring transactions may take the form of asset transfers, dividends, contributions and similar transactions, and may involve the formation of new subsidiaries in U.S. and non-U.S. jurisdictions to own and operate the RXO Businesses in such jurisdictions.</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part of this internal reorganization, XPO will contribute, directly or indirectly, to RXO certain liabilities and certain assets, including certain digital brokerage technology and including equity interests in entities that are expected to conduct the RXO Businesses.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internal reorganization and immediately prior to the distribution, RXO will be the parent company of the entities that are expected to conduct the RXO Businesses and XPO will remain the parent company of the entities that currently conduct all of XPO’s operations except the RXO Businesses.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After the distribution, RXO will be an independent, publicly traded company. The actual number of shares to be distributed will be determined at the close of business on October 20, 2022, the record date for the distribution, and will reflect any exercise of XPO options between the date the XPO board of directors declares the distribution and the record date for the distribution. The distribution will not affect the number of outstanding shares of XPO common stock or any rights of XPO stockholders. XPO will not distribute any fractional shares of RXO common stock.</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enter into a separation agreement and other related agreements with XPO to effect the separation and to provide a framework for our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RXO and XPO of the assets, employees, liabilities and obligations (including, among others, investments, property and employee benefits, insurance and tax-related assets and liabilities) of XPO and its subsidiaries attributable to periods prior to, at and after RXO’s separation from XPO and will govern the relationship between RXO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RXO Common Stock</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is currently no public trading market for RXO common stock. RXO has been approved to list its common stock on the NYSE under the symbol “RXO.” RXO has not and will not set the initial price of its common stock. The initial price will be established by the public markets.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cannot predict the price at which RXO common stock will trade after the distribution. In fact, the combined trading prices, after the distribution, of the shares of RXO common stock that each XPO stockholder will receive in the distribution, together with the XPO common stock held at the record date for the distribution, may not equal the “regular-way” trading price of the XPO common stock immediately prior to the distribution. The price at which RXO common stock trades may fluctuate significantly, particularly until an orderly public market develops. Trading prices for RXO common stock will be determined in the public markets and may be influenced by many factors. See “Risk Factors—Risks Related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Incurrence of Debt</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RXO anticipates issuing $355 million in aggregate principal amount of senior notes and $100 million in aggregate principal amount of term loans. We also anticipate entering into a revolving credit facility in aggregate principal amount of up to $500 million. We expect to transfer all or a portion of the net proceeds of the notes and the term loans to XPO, which intends to use such cash to repay existing indebtedness prior to the 12-month anniversary of the distribution. As a result of such transactions, RXO anticipates having approximately $455 million of indebtedness upon completion of the distribution. For more information, see “Description of Material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Between the Record Date and the Distribution Date</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Beginning three trading days before the distribution date and continuing up to the distribution date, XPO expects that there will be two markets in XPO common stock: a “regular-way” market and an “ex-distribution” market. XPO common stock that trades on the “regular-way” market will trade with an entitlement to RXO common stock distributed in the distribution. XPO common stock that trades on the “ex-distribution” market will trade without an entitlement to RXO common stock distributed in the distribution. Therefore, if you sell shares of XPO common stock in the “regular-way” market on the trading day prior to the record date for the distribution up to the distribution date, you will be selling your right to receive shares of RXO common stock in the distribution. If you own XPO common stock at the close of business on the record date and sell those shares on the “ex-distribution” market up to the distribution date, you will receive the shares of RXO common stock that you are entitled to receive pursuant to your ownership of shares of XPO common stock as of the record date.</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Furthermore, beginning three trading days before the distribution date and continuing up to and including the distribution date, RXO expects that there will be a “when-issued” market in its common stock. “When-issued” trading refers to a sale or purchase made conditionally because the security has been authorized but not yet issued. The “when-issued” trading market will be a market for RXO common stock that will be distributed to holders of XPO common stock on the distribution date. If you owned XPO common stock at the close of business on the record date for the distribution, you would be entitled to RXO common stock distributed pursuant to the distribution. You may trade this entitlement to shares of RXO common stock, without trading the XPO common stock you own, on the “when-issued” market. On the distribution date, “when-issued” trading with respect to RXO common stock will end, and “regular-way” trading with respect to RXO common stock will begin.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distribution will be effective at 12:01 a.m., Eastern Time, on November 1, 2022, which is the distribution date, subject to final approval by the XPO board of directors, as well as to the satisfaction (or waiver by XPO in its sole and absolute discretion), of a number of conditions set forth in the separation agreement, including, among others:</w:t>
      </w:r>
    </w:p>
    <w:p>
      <w:pPr>
        <w:spacing w:after="0" w:line="122" w:lineRule="exact"/>
        <w:rPr>
          <w:sz w:val="20"/>
          <w:szCs w:val="20"/>
          <w:color w:val="auto"/>
        </w:rPr>
      </w:pPr>
    </w:p>
    <w:p>
      <w:pPr>
        <w:ind w:left="660" w:right="5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statement (or notice of internet availability of the information statement) having been made available to XPO stockholders;</w:t>
      </w:r>
    </w:p>
    <w:p>
      <w:pPr>
        <w:spacing w:after="0" w:line="90" w:lineRule="exact"/>
        <w:rPr>
          <w:rFonts w:ascii="Times New Roman" w:cs="Times New Roman" w:eastAsia="Times New Roman" w:hAnsi="Times New Roman"/>
          <w:sz w:val="18"/>
          <w:szCs w:val="18"/>
          <w:color w:val="auto"/>
        </w:rPr>
      </w:pPr>
    </w:p>
    <w:p>
      <w:pPr>
        <w:ind w:left="660" w:right="60" w:hanging="328"/>
        <w:spacing w:after="0" w:line="276" w:lineRule="auto"/>
        <w:tabs>
          <w:tab w:leader="none" w:pos="65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of the Code;</w:t>
      </w:r>
    </w:p>
    <w:p>
      <w:pPr>
        <w:spacing w:after="0" w:line="85" w:lineRule="exact"/>
        <w:rPr>
          <w:rFonts w:ascii="Times New Roman" w:cs="Times New Roman" w:eastAsia="Times New Roman" w:hAnsi="Times New Roman"/>
          <w:sz w:val="17"/>
          <w:szCs w:val="17"/>
          <w:color w:val="auto"/>
        </w:rPr>
      </w:pPr>
    </w:p>
    <w:p>
      <w:pPr>
        <w:ind w:left="660" w:right="5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and other transactions contemplated by the separation agreement and by the plan of reorganization included in the separation agreement, to occur prior to the distribution having been completed in accordance with the plan of reorganization;</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acceptable to the XPO board of directors having delivered one or more opinions to the XPO board confirming the solvency and financial viability of XPO before the completion of, and after giving effect to, the distribution, in each case in a form and substance acceptable to the XPO board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13" w:right="359" w:bottom="1440" w:gutter="0" w:footer="0" w:header="0"/>
        </w:sectPr>
      </w:pPr>
    </w:p>
    <w:bookmarkStart w:id="62" w:name="page63"/>
    <w:bookmarkEnd w:id="62"/>
    <w:p>
      <w:pPr>
        <w:jc w:val="both"/>
        <w:ind w:left="660" w:hanging="328"/>
        <w:spacing w:after="0" w:line="312" w:lineRule="auto"/>
        <w:tabs>
          <w:tab w:leader="none" w:pos="6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agreements relating to the separation and distribution having been duly executed and delivered by the parties thereto;</w:t>
      </w:r>
    </w:p>
    <w:p>
      <w:pPr>
        <w:spacing w:after="0" w:line="90"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RXO common stock to be distributed having been approved for listing on the NYSE, subject to official notice of distribution;</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XPO having received certain proceeds from the financing arrangements described under “Description of Material Indebtedness” and being satisfied in its sole and absolute discretion that, as of the effective time of the distribution, it will have no further liability under such arrangements;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XPO will have the sole and absolute discretion to determine (and change) the terms of, and whether to proceed with, the distribution and, to the extent it determines to so proceed, to determine the record date for the distribution, the distribution date and the distribution ratio. XPO will also have sole and absolute discretion to waive any of the conditions to the distribution. As of the date of this information statement, XPO does not intend to waive any of the conditions of the distribution. XPO does not intend to notify its stockholders of any modifications to the terms of the separation or distribution, including the waiver of any conditions to the spin-off, that, in the judgment of its board of directors, are not material. However, the XPO board would likely consider material such matters as significant changes to the distribution ratio, or the assets to be contributed or the liabilities to be assumed in the separation, as well as the waiver of the condition that the XPO board receives a tax opinion with respect to the spin-off. To the extent that the XPO board determines that any modification by XPO materially changes the material terms of the distribution, including through the waiver of a condition to the distribution, XPO will notify its stockholders in a manner reasonably calculated to inform them about the modification as may be required by law, by, for example, publishing a press release, filing a current report on Form 8-K or circulating a supplement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7" w:right="339" w:bottom="1440" w:gutter="0" w:footer="0" w:header="0"/>
        </w:sectPr>
      </w:pPr>
    </w:p>
    <w:bookmarkStart w:id="63" w:name="page64"/>
    <w:bookmarkEnd w:id="63"/>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payment of any dividends in the future, and the timing and amount thereof, is within the discretion of RXO’s board of directors. The board’s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80"/>
          </w:cols>
          <w:pgMar w:left="320" w:top="1440" w:right="399" w:bottom="1440" w:gutter="0" w:footer="0" w:header="0"/>
        </w:sectPr>
      </w:pPr>
    </w:p>
    <w:bookmarkStart w:id="64" w:name="page65"/>
    <w:bookmarkEnd w:id="6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capitalization as of June 30, 2022, on an unaudited historical basis and on a pro forma basis to give effect to the pro forma adjustments included in our Unaudited Pro Forma Condensed Combined Financial Information. The information below is not necessarily indicative of what our capitalization would have been had the spin-off, distribution and related financing transactions been completed as of June 30, 2022. In addition, it is not indicative of our future capitalization. This table should be read in conjunction with “Unaudited Pro Forma Condensed Combined Financial Information,” “Management’s Discussion and Analysis of Financial Condition and Results of Operations” and our Combined Financial Statements and accompanying notes included elsewhere in this information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indebtedness</w:t>
            </w: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incurrence of $455 million of indebtedness, net of debt issuance costs of $13 million.</w:t>
      </w:r>
    </w:p>
    <w:p>
      <w:pPr>
        <w:spacing w:after="0" w:line="1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It is anticipated that, on the distribution date, RXO will have approximately $100 million of cash. The separation agreement will provide for an adjustment payment to potentially be made following the distribution from RXO to XPO, or from XPO to RXO, so that RXO’s final cash balance as of the effective time of the distribution is equal to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of RXO consists of the Unaudited Pro Forma Condensed Combined Statement of Operations for the six months ended June 30, 2022 and 2021 and the year ended December 31, 2021, and the Unaudited Pro Forma Condensed Combined Balance Sheet as of June 30, 2022, which have been derived from our historical Combined Financial Statements included elsewhere in this information statement.</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gives effect to the Pro Forma Transactions (as defined below) as if they occurred on January 1, 2021, the beginning of the most recently completed fiscal year. The Unaudited Pro Forma Condensed Combined Balance Sheet gives effect to the Pro Forma Transactions as if they occurred as of June 30, 2022, our latest balance sheet date.</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 forma adjustments include transaction accounting adjustments that reflect the accounting for transactions in accordance with GAAP, and autonomous entity adjustments that reflect certain incremental expense or other changes necessary, if any, to reflect the financial condition and results of operations as if RXO was a standalone entity. The following Unaudited Pro Forma Condensed Combined Financial Information illustrates the effects of the following transactions (collectively, the “Pro Forma Transactions”):</w:t>
      </w:r>
    </w:p>
    <w:p>
      <w:pPr>
        <w:spacing w:after="0" w:line="126" w:lineRule="exact"/>
        <w:rPr>
          <w:sz w:val="20"/>
          <w:szCs w:val="20"/>
          <w:color w:val="auto"/>
        </w:rPr>
      </w:pPr>
    </w:p>
    <w:p>
      <w:pPr>
        <w:ind w:left="660" w:right="1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 assets (including the equity interests of certain subsidiaries) and liabilities related to the RXO Businesses from XPO and the transfer of those assets (including the equity interests of certain subsidiaries) and liabilities to RXO;</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all of our issued and outstanding common stock by XPO in connection with the spin-off;</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anticipated post-spin-off capital structure, including the incurrence of indebtedness of $455 million, and the distribution of approximately $554 million of cash to XPO; and</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transactions contemplated by, the separation agreement, the transition services agreement, the tax matters agreement, the employee matters agreement and the intellectual property license agreement between us and XPO and the provisions contained therein.</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operating expenses reported in our historical Combined Statement of Operations include allocations of certain XPO costs. These costs include allocation of XPO corporate costs that benefit us, including corporate governance, executive management, finance, legal, information technology, human resources, other general and administrative costs, shared services and depreciation on shared XPO assets.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To operate as an independent publicly traded company, we expect our recurring costs for these services to be higher than the expenses historically allocated to us from XPO as presented in our historical Combined Statement of Operations. The significant assumptions involved in determining our estimates of the recurring costs of being an independent, publicly traded company include:</w:t>
      </w:r>
    </w:p>
    <w:p>
      <w:pPr>
        <w:spacing w:after="0" w:line="122" w:lineRule="exact"/>
        <w:rPr>
          <w:sz w:val="20"/>
          <w:szCs w:val="20"/>
          <w:color w:val="auto"/>
        </w:rPr>
      </w:pPr>
    </w:p>
    <w:p>
      <w:pPr>
        <w:ind w:left="660" w:right="60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perform financial reporting, tax, regulatory compliance, corporate governance, treasury, legal, internal audit and investor relations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including equity-based awards, and benefits with respect to new and existing positions and the board of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third-party costs with respect to insurance, audit services, tax services, employee benefits and legal services.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estimate that the net impact of these costs as compared to our historical Combined Statement of Operations would have been an increase in Sales, general and administrative expense of between approximately $6 million and $11 million for the six months ended June 30, 2022. The estimated net impact of these costs as compared to our historical Combined Statement of Operations would have been an increase in Sales, general and administrative expense of between approximately $11 million and $21 million for the year ended December 31, 2021.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factors could impact these standalone public company costs, including the finalization of our staffing and infrastructure needs. A pro forma adjustment has not been made to the accompanying Unaudited Pro Forma Condensed Combined Statement of Operations to reflect the anticipated adjustment in the level of these expenses, as they are projected amounts based on estimates.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pro forma adjustments are based on available information and assumptions our management believes are reasonable; however, such adjustments are subject to change as transaction-related agreements are finalized and the costs of operating as a standalone company are determined. In addition, such adjustments are estimates and may not prove to be accurate. The Unaudited Pro Forma Condensed Combined Financial Information is based on information and assumptions which are described in the accompanying notes.</w:t>
      </w:r>
    </w:p>
    <w:p>
      <w:pPr>
        <w:spacing w:after="0" w:line="12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should be read in conjunction with “Capitalization,” “Management’s Discussion and Analysis of Financial Condition and Results of Operations” and our Combined Financial Statements and accompanying notes and our Condensed Combined Financial Statements and accompanying notes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60"/>
          </w:cols>
          <w:pgMar w:left="320" w:top="1417" w:right="419" w:bottom="1440" w:gutter="0" w:footer="0" w:header="0"/>
        </w:sectPr>
      </w:pPr>
    </w:p>
    <w:bookmarkStart w:id="67" w:name="page68"/>
    <w:bookmarkEnd w:id="67"/>
    <w:p>
      <w:pPr>
        <w:ind w:left="5420"/>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90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Autonomous Entity</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per share data)</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Pr>
          <w:p>
            <w:pPr>
              <w:spacing w:after="0"/>
              <w:rPr>
                <w:sz w:val="11"/>
                <w:szCs w:val="11"/>
                <w:color w:val="auto"/>
              </w:rPr>
            </w:pPr>
          </w:p>
        </w:tc>
        <w:tc>
          <w:tcPr>
            <w:tcW w:w="1000" w:type="dxa"/>
            <w:vAlign w:val="bottom"/>
          </w:tcPr>
          <w:p>
            <w:pPr>
              <w:jc w:val="center"/>
              <w:ind w:right="81"/>
              <w:spacing w:after="0" w:line="128"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9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 (b)</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assets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4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Identifiable intangible assets, net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9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3"/>
        </w:trPr>
        <w:tc>
          <w:tcPr>
            <w:tcW w:w="4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194"/>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3"/>
        </w:trPr>
        <w:tc>
          <w:tcPr>
            <w:tcW w:w="4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194"/>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par value $0.01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XPO investment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07"/>
        </w:trPr>
        <w:tc>
          <w:tcPr>
            <w:tcW w:w="46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9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13" w:right="359" w:bottom="1440" w:gutter="0" w:footer="0" w:header="0"/>
        </w:sectPr>
      </w:pPr>
    </w:p>
    <w:bookmarkStart w:id="68" w:name="page69"/>
    <w:bookmarkEnd w:id="68"/>
    <w:p>
      <w:pPr>
        <w:ind w:left="5420"/>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68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Autonomous Entity</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per share data)</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Pr>
          <w:p>
            <w:pPr>
              <w:spacing w:after="0"/>
              <w:rPr>
                <w:sz w:val="11"/>
                <w:szCs w:val="11"/>
                <w:color w:val="auto"/>
              </w:rPr>
            </w:pPr>
          </w:p>
        </w:tc>
        <w:tc>
          <w:tcPr>
            <w:tcW w:w="980" w:type="dxa"/>
            <w:vAlign w:val="bottom"/>
          </w:tcPr>
          <w:p>
            <w:pPr>
              <w:jc w:val="center"/>
              <w:ind w:right="82"/>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6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Cost of transportation and services (exclusive of depreciation</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amortization)</w:t>
            </w: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Direct operating expense (exclusive of depreciation and</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general and administrative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 (k)</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3"/>
        </w:trPr>
        <w:tc>
          <w:tcPr>
            <w:tcW w:w="6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5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0.59</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w:t>
            </w:r>
          </w:p>
        </w:tc>
      </w:tr>
      <w:tr>
        <w:trPr>
          <w:trHeight w:val="219"/>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5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0.59</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w:t>
            </w:r>
          </w:p>
        </w:tc>
      </w:tr>
      <w:tr>
        <w:trPr>
          <w:trHeight w:val="21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w:t>
            </w:r>
          </w:p>
        </w:tc>
      </w:tr>
      <w:tr>
        <w:trPr>
          <w:trHeight w:val="210"/>
        </w:trPr>
        <w:tc>
          <w:tcPr>
            <w:tcW w:w="6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5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3" w:right="339" w:bottom="1440" w:gutter="0" w:footer="0" w:header="0"/>
        </w:sectPr>
      </w:pPr>
    </w:p>
    <w:bookmarkStart w:id="69" w:name="page70"/>
    <w:bookmarkEnd w:id="69"/>
    <w:p>
      <w:pPr>
        <w:ind w:left="5420"/>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68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Autonomous Entity</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per share data)</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Pr>
          <w:p>
            <w:pPr>
              <w:spacing w:after="0"/>
              <w:rPr>
                <w:sz w:val="11"/>
                <w:szCs w:val="11"/>
                <w:color w:val="auto"/>
              </w:rPr>
            </w:pPr>
          </w:p>
        </w:tc>
        <w:tc>
          <w:tcPr>
            <w:tcW w:w="980" w:type="dxa"/>
            <w:vAlign w:val="bottom"/>
          </w:tcPr>
          <w:p>
            <w:pPr>
              <w:jc w:val="center"/>
              <w:ind w:right="83"/>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6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Cost of transportation and services (exclusive of depreciation</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amortization)</w:t>
            </w: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Direct operating expense (exclusive of depreciation and</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 general and administrative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 (k) (l)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(h)</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8"/>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5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0.49</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w:t>
            </w:r>
          </w:p>
        </w:tc>
      </w:tr>
      <w:tr>
        <w:trPr>
          <w:trHeight w:val="213"/>
        </w:trPr>
        <w:tc>
          <w:tcPr>
            <w:tcW w:w="6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5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0.47</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3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3"/>
        </w:trPr>
        <w:tc>
          <w:tcPr>
            <w:tcW w:w="6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5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w:t>
            </w:r>
          </w:p>
        </w:tc>
      </w:tr>
      <w:tr>
        <w:trPr>
          <w:trHeight w:val="219"/>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5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3" w:right="339" w:bottom="1440" w:gutter="0" w:footer="0" w:header="0"/>
        </w:sectPr>
      </w:pPr>
    </w:p>
    <w:bookmarkStart w:id="70" w:name="page71"/>
    <w:bookmarkEnd w:id="70"/>
    <w:p>
      <w:pPr>
        <w:ind w:left="5420"/>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68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Autonomous Entity</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per share data)</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Pr>
          <w:p>
            <w:pPr>
              <w:spacing w:after="0"/>
              <w:rPr>
                <w:sz w:val="11"/>
                <w:szCs w:val="11"/>
                <w:color w:val="auto"/>
              </w:rPr>
            </w:pPr>
          </w:p>
        </w:tc>
        <w:tc>
          <w:tcPr>
            <w:tcW w:w="980" w:type="dxa"/>
            <w:vAlign w:val="bottom"/>
          </w:tcPr>
          <w:p>
            <w:pPr>
              <w:jc w:val="center"/>
              <w:ind w:right="82"/>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6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Cost of transportation and services (exclusive of depreciation</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amortization)</w:t>
            </w: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Direct operating expense (exclusive of depreciation and</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general and administrative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 (k) (l)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3"/>
        </w:trPr>
        <w:tc>
          <w:tcPr>
            <w:tcW w:w="6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w:t>
            </w:r>
          </w:p>
        </w:tc>
      </w:tr>
      <w:tr>
        <w:trPr>
          <w:trHeight w:val="219"/>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0.98</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w:t>
            </w:r>
          </w:p>
        </w:tc>
      </w:tr>
      <w:tr>
        <w:trPr>
          <w:trHeight w:val="214"/>
        </w:trPr>
        <w:tc>
          <w:tcPr>
            <w:tcW w:w="6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8"/>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w:t>
            </w:r>
          </w:p>
        </w:tc>
      </w:tr>
      <w:tr>
        <w:trPr>
          <w:trHeight w:val="210"/>
        </w:trPr>
        <w:tc>
          <w:tcPr>
            <w:tcW w:w="6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13" w:right="339" w:bottom="1440" w:gutter="0" w:footer="0" w:header="0"/>
        </w:sectPr>
      </w:pPr>
    </w:p>
    <w:bookmarkStart w:id="71" w:name="page72"/>
    <w:bookmarkEnd w:id="71"/>
    <w:p>
      <w:pPr>
        <w:spacing w:after="0" w:line="136" w:lineRule="exact"/>
        <w:rPr>
          <w:sz w:val="20"/>
          <w:szCs w:val="20"/>
          <w:color w:val="auto"/>
        </w:rPr>
      </w:pPr>
    </w:p>
    <w:p>
      <w:pPr>
        <w:ind w:right="2700" w:firstLine="2734"/>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 Transaction Accounting Adjustments</w:t>
      </w:r>
    </w:p>
    <w:p>
      <w:pPr>
        <w:spacing w:after="0" w:line="1" w:lineRule="exact"/>
        <w:rPr>
          <w:sz w:val="20"/>
          <w:szCs w:val="20"/>
          <w:color w:val="auto"/>
        </w:rPr>
      </w:pPr>
    </w:p>
    <w:p>
      <w:pPr>
        <w:ind w:left="660" w:right="60" w:hanging="328"/>
        <w:spacing w:after="0" w:line="282" w:lineRule="auto"/>
        <w:tabs>
          <w:tab w:leader="none" w:pos="65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to provide RXO with $100 million of pro forma cash at June 30, 2022. The cash amount presented reflects the distribution of approximately $554 million of cash to XPO. Cash adjustments are summarized as follows: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8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payment to XPO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86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incurrence of debt, net of debt issuance costs </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w w:val="96"/>
              </w:rPr>
              <w:t>442</w:t>
            </w:r>
          </w:p>
        </w:tc>
      </w:tr>
      <w:tr>
        <w:trPr>
          <w:trHeight w:val="223"/>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38" w:lineRule="exact"/>
        <w:rPr>
          <w:sz w:val="20"/>
          <w:szCs w:val="20"/>
          <w:color w:val="auto"/>
        </w:rPr>
      </w:pPr>
    </w:p>
    <w:p>
      <w:pPr>
        <w:ind w:left="660" w:right="80" w:hanging="328"/>
        <w:spacing w:after="0" w:line="256"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incurrence of $455 million of indebtedness, net of original issue discount and debt issuance costs of $13 million. The indebtedness is assumed to consist of $355 million in senior unsecured notes and a $100 million term loan, with a weighted average interest rate of 7.16%. A 0.125% change to the annual interest rate on variable rate indebtedness would have no material impact on pro forma interest expense or net income for the year ended December 31, 2021. The terms of such indebtedness are subject to change and will be finalized prior to the closing of the separation and distribution, and the pro forma adjustments may change accordingly. We also expect to enter into a revolving credit facility; however, the facility is not expected to be utilized at the closing of the separation and distribution.</w:t>
      </w:r>
    </w:p>
    <w:p>
      <w:pPr>
        <w:spacing w:after="0" w:line="133"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impact of the pro forma adjustments. For the six months ended June 30, 2022 and 2021, the tax impact was calculated using a forecasted full-year effective tax rate of approximately 25.1% and 24.8%, respectively. For December 31, 2021, the tax impact was calculated using the jurisdictional tax rate associated with each adjustment. The final income tax impact may be materially different, as more detailed information will become available after the consummation of the spin-off and related transactions.</w:t>
      </w:r>
    </w:p>
    <w:p>
      <w:pPr>
        <w:spacing w:after="0" w:line="1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XPO’s net investment in RXO, including the additional net assets expected to be contributed by XPO and other pro forma adjustments, into Additional paid-in capital and Common stock, par value $0.01, to reflect the number of shares of RXO common stock expected to be outstanding at the distribution date.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interest expense included in the Unaudited Pro Forma Condensed Combined Statement of Operations of $18 million for each of the six months ended June 30, 2021 and 2022, respectively, and $37 million for the year ended December 31, 2021, for the issuance of the senior unsecured notes and term loan.</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number of shares of RXO common stock which are expected to be outstanding upon completion of the distribution. We have assumed the number of outstanding shares of common stock based on the number of XPO common shares outstanding at June 30, 2022 and an assumed pro-rata distribution ratio of one share of RXO common stock for each share of XPO common stock. The actual number of shares of RXO common stock outstanding upon completion of the distribution may be different from this estimated amount.</w:t>
      </w:r>
    </w:p>
    <w:p>
      <w:pPr>
        <w:spacing w:after="0" w:line="12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number of shares of RXO common stock that are expected to be outstanding upon completion of the distribution and reflects the potential issuance of shares of our common stock under our equity plans, based on the distribution ratio of one share of RXO common stock for each share of XPO common stock. The actual number of shares of RXO common stock outstanding upon completion of the distribution may be different from this estimated amount.</w:t>
      </w:r>
    </w:p>
    <w:p>
      <w:pPr>
        <w:spacing w:after="0" w:line="125" w:lineRule="exact"/>
        <w:rPr>
          <w:rFonts w:ascii="Times New Roman" w:cs="Times New Roman" w:eastAsia="Times New Roman" w:hAnsi="Times New Roman"/>
          <w:sz w:val="18"/>
          <w:szCs w:val="18"/>
          <w:color w:val="auto"/>
        </w:rPr>
      </w:pPr>
    </w:p>
    <w:p>
      <w:pPr>
        <w:ind w:left="660" w:right="460" w:hanging="328"/>
        <w:spacing w:after="0" w:line="289" w:lineRule="auto"/>
        <w:tabs>
          <w:tab w:leader="none" w:pos="65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transaction costs incurred in 2021 and the first six months of 2022 related to the separation and distribution are included in our historical combined financial statements. We expect to incur an additional $5 million to $10 million in transaction costs related to branding and other transitional costs, such as those to convert to a standalone public company, between June 30, 2022 and twelve months after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1440" w:right="379" w:bottom="1440" w:gutter="0" w:footer="0" w:header="0"/>
        </w:sectPr>
      </w:pPr>
    </w:p>
    <w:bookmarkStart w:id="72" w:name="page73"/>
    <w:bookmarkEnd w:id="72"/>
    <w:p>
      <w:pPr>
        <w:ind w:left="660"/>
        <w:spacing w:after="0" w:line="258" w:lineRule="auto"/>
        <w:rPr>
          <w:sz w:val="20"/>
          <w:szCs w:val="20"/>
          <w:color w:val="auto"/>
        </w:rPr>
      </w:pPr>
      <w:r>
        <w:rPr>
          <w:rFonts w:ascii="Times New Roman" w:cs="Times New Roman" w:eastAsia="Times New Roman" w:hAnsi="Times New Roman"/>
          <w:sz w:val="18"/>
          <w:szCs w:val="18"/>
          <w:color w:val="auto"/>
        </w:rPr>
        <w:t>and distribution. We have included an adjustment of $5 million related to this estimate for the year ended December 31, 2021. Adjustments for the six months ended June 30, 2021 include estimates for additional charges we expect to incur between June 30, 2022 and six months after the separation and distribution. We have included an adjustment of $4 million related to this estimate for the six months ended June 30, 2021. An adjustment has not been made for the six months ended June 30, 2022 as a reasonable estimate of transaction costs we expect to incur in the first six months of the second year after the separation cannot be made at this time. Actual amounts may differ from these estimates.</w:t>
      </w:r>
    </w:p>
    <w:p>
      <w:pPr>
        <w:spacing w:after="0" w:line="12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 additional paid-in capital adjustments are summarized below:</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8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payment to XPO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8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parent investment </w:t>
            </w:r>
            <w:r>
              <w:rPr>
                <w:rFonts w:ascii="Times New Roman" w:cs="Times New Roman" w:eastAsia="Times New Roman" w:hAnsi="Times New Roman"/>
                <w:sz w:val="23"/>
                <w:szCs w:val="23"/>
                <w:color w:val="auto"/>
                <w:vertAlign w:val="superscript"/>
              </w:rPr>
              <w:t>(d)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9"/>
        </w:trPr>
        <w:tc>
          <w:tcPr>
            <w:tcW w:w="8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issuance </w:t>
            </w:r>
            <w:r>
              <w:rPr>
                <w:rFonts w:ascii="Times New Roman" w:cs="Times New Roman" w:eastAsia="Times New Roman" w:hAnsi="Times New Roman"/>
                <w:sz w:val="23"/>
                <w:szCs w:val="23"/>
                <w:color w:val="auto"/>
                <w:vertAlign w:val="superscript"/>
              </w:rPr>
              <w:t>(d)</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75" w:lineRule="exact"/>
        <w:rPr>
          <w:sz w:val="20"/>
          <w:szCs w:val="20"/>
          <w:color w:val="auto"/>
        </w:rPr>
      </w:pPr>
    </w:p>
    <w:p>
      <w:pPr>
        <w:ind w:left="660" w:right="140" w:hanging="328"/>
        <w:spacing w:after="0" w:line="261"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new lease agreements for RXO corporate offices. These adjustments recognize operating lease assets and liabilities of $4 million based on the estimated present value of the lease payments over the lease term. Additionally, adjustments were made to increase Sales, general and administrative expense by $1 million for each of the six months ended June 30, 2021 and 2022 and for the year ended December 31, 2021 for the associated lease expense.</w:t>
      </w:r>
    </w:p>
    <w:p>
      <w:pPr>
        <w:spacing w:after="0" w:line="125"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impact of new compensation agreements for current executives of RXO. These adjustments relate primarily to increases in salary, bonus and stock-based compensation of $4 million, $2 million, and $6 million for the six months ended June 30, 2021, six months ended June 30, 2022, and the year ended December 31, 2021, respectively.</w:t>
      </w:r>
    </w:p>
    <w:p>
      <w:pPr>
        <w:spacing w:after="0" w:line="12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the transition services agreement, which results in incremental corporate and administrative costs not included in RXO’s historical Combined Financial Statements. An adjustment of $1 million to increase Sales, general and administrative expense was recorded for each of the six months ended June 30, 2021 and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1417" w:right="379" w:bottom="1440" w:gutter="0" w:footer="0" w:header="0"/>
        </w:sectPr>
      </w:pPr>
    </w:p>
    <w:bookmarkStart w:id="73" w:name="page74"/>
    <w:bookmarkEnd w:id="7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section discusses RXO’s business assuming the completion of all of the transactions described in this information statement, including the separation.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monetary amounts discussed in this section are in millions of U.S. dollars, unless otherwise indicated.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RXO is a high-performing brokered transportation platform defined by cutting-edge technology and a nimble, asset-light business model, with the largest component being our core truck brokerage business. We are the fourth largest broker of full truckload freight transportation in the United States, with approximately 4% share of the entire $88 billion brokered truckload industry as of 2021. Over 80% of our operating income in 2021 was generated by truck brokerage; the remainder was comprised of our brokered services for managed transportation, last mile and freight forwarding. RXO is led by Drew Wilkerson, chief executive officer, and Jamie Harris, chief financial officer. These executives have deep experience in their respective fields, having previously served in senior roles with industry leaders.</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truck brokerage business has a variable cost structure with robust free cash flow conversion and a long track record of generating a high return on invested capital. Shippers create demand for our service, and we place their freight with qualified independent carriers using our technology. We price our service on either a contract or a spot basis.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Notable factors driving growth and margin expansion in our business include our ability to access massive truckload capacity for shippers through our carrier relationships, our proprietary, cutting-edge technology, our strong management expertise and favorable industry tailwinds. As of June 30, 2022, we had approximately 98,000 carriers in our North American truck brokerage network, and access to over one and a half million trucks.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provide our customers with highly efficient access to capacity through our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digital brokerage technology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proprietary platform is a major differentiator for our truck brokerage business, and together with our pricing technology, we believe it can unlock incremental profitable growth well beyond our current levels. All of our services utilize our proprietary platform.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Drivers of Value Creation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five key drivers of value creation in our truck brokerage business:</w:t>
      </w:r>
    </w:p>
    <w:p>
      <w:pPr>
        <w:spacing w:after="0" w:line="169" w:lineRule="exact"/>
        <w:rPr>
          <w:sz w:val="20"/>
          <w:szCs w:val="20"/>
          <w:color w:val="auto"/>
        </w:rPr>
      </w:pPr>
    </w:p>
    <w:p>
      <w:pPr>
        <w:ind w:left="660" w:right="320" w:hanging="328"/>
        <w:spacing w:after="0" w:line="25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Scale in an Expanding Industry with Low Penetration</w:t>
      </w:r>
      <w:r>
        <w:rPr>
          <w:rFonts w:ascii="Times New Roman" w:cs="Times New Roman" w:eastAsia="Times New Roman" w:hAnsi="Times New Roman"/>
          <w:sz w:val="18"/>
          <w:szCs w:val="18"/>
          <w:color w:val="auto"/>
        </w:rPr>
        <w:t>: We are the fourth largest broker of full truckload freight transportation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with a carrier pool that gives us access to vast truck capacity to serve high shipper demand for transportation. We are also well-established as a truckload broker of choice across diversified industry sectors, with a notable presence in the e-commerce and retail sectors. Despite our scale, we have just 4% of the brokered truckload industry revenue, which includes LTL and full truckload transportation provided direct to shippers and via managed transportation providers, and expect to benefit from both overall industry growth in demand for truckload transportation, and a long runway for increased broker penetration of for-hire trucking.</w:t>
      </w:r>
    </w:p>
    <w:p>
      <w:pPr>
        <w:spacing w:after="0" w:line="128"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Proprietary Technology</w:t>
      </w:r>
      <w:r>
        <w:rPr>
          <w:rFonts w:ascii="Times New Roman" w:cs="Times New Roman" w:eastAsia="Times New Roman" w:hAnsi="Times New Roman"/>
          <w:sz w:val="18"/>
          <w:szCs w:val="18"/>
          <w:color w:val="auto"/>
        </w:rPr>
        <w:t>: We believe we are strongly differentiated by our technology as a leading innovator of sophisticated brokerage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enhance visibility, reliability, speed, accuracy and cost effectiveness, and by the fully automated transactional capabilities of our digital platform. As more and more shippers outsource their road freight needs to brokers, they increasingly prefer brokers that have the digital capabilities we offer.</w:t>
      </w:r>
    </w:p>
    <w:p>
      <w:pPr>
        <w:spacing w:after="0" w:line="125"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Long-Tenured, Blue-Chip Customer Relationships in Attractive Verticals</w:t>
      </w:r>
      <w:r>
        <w:rPr>
          <w:rFonts w:ascii="Times New Roman" w:cs="Times New Roman" w:eastAsia="Times New Roman" w:hAnsi="Times New Roman"/>
          <w:sz w:val="18"/>
          <w:szCs w:val="18"/>
          <w:color w:val="auto"/>
        </w:rPr>
        <w:t>: Our customer base includes numerous long-term relationships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leaders and other world-class companies across a diversified array of customer verticals, with a significant presence in consumer-facing sectors. Our tiered sales organization tailors its approach to each prospective customer based on size and profitability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440" w:right="379" w:bottom="1440" w:gutter="0" w:footer="0" w:header="0"/>
        </w:sectPr>
      </w:pPr>
    </w:p>
    <w:bookmarkStart w:id="74" w:name="page75"/>
    <w:bookmarkEnd w:id="74"/>
    <w:p>
      <w:pPr>
        <w:ind w:left="660" w:right="360" w:hanging="328"/>
        <w:spacing w:after="0" w:line="284"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Asset-Light Model Generates High Returns and Substantial Free Cash Flow</w:t>
      </w:r>
      <w:r>
        <w:rPr>
          <w:rFonts w:ascii="Times New Roman" w:cs="Times New Roman" w:eastAsia="Times New Roman" w:hAnsi="Times New Roman"/>
          <w:sz w:val="18"/>
          <w:szCs w:val="18"/>
          <w:color w:val="auto"/>
        </w:rPr>
        <w:t>: We utilize an asset-light business model that gives us agility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generates strong free cash flow.</w:t>
      </w:r>
    </w:p>
    <w:p>
      <w:pPr>
        <w:spacing w:after="0" w:line="104" w:lineRule="exact"/>
        <w:rPr>
          <w:rFonts w:ascii="Times New Roman" w:cs="Times New Roman" w:eastAsia="Times New Roman" w:hAnsi="Times New Roman"/>
          <w:sz w:val="18"/>
          <w:szCs w:val="18"/>
          <w:color w:val="auto"/>
        </w:rPr>
      </w:pPr>
    </w:p>
    <w:p>
      <w:pPr>
        <w:ind w:left="660" w:right="220" w:hanging="328"/>
        <w:spacing w:after="0" w:line="26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Experienced and Cohesive Leadership and Strong Company Values</w:t>
      </w:r>
      <w:r>
        <w:rPr>
          <w:rFonts w:ascii="Times New Roman" w:cs="Times New Roman" w:eastAsia="Times New Roman" w:hAnsi="Times New Roman"/>
          <w:sz w:val="18"/>
          <w:szCs w:val="18"/>
          <w:color w:val="auto"/>
        </w:rPr>
        <w:t>: Our business operations are led by highly experienced executives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leading truck brokerage experts and technologists. These executives have worked together for many years, creating value through operational excellence, data science and a people-centric culture.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summary, we believe we are well-positioned to capitalize on the significant growth drivers in our industry through our unique combination of scale, technology, expertise and business excellence.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1"/>
        </w:trPr>
        <w:tc>
          <w:tcPr>
            <w:tcW w:w="23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5"/>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5"/>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Years Ended</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94"/>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14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Scale in an Expanding Industry with Low Penetration</w:t>
      </w:r>
    </w:p>
    <w:p>
      <w:pPr>
        <w:spacing w:after="0" w:line="17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Our truck brokerage business operates in a growing, $88 billion brokered truckload industry in the United States, within a total addressable for-hire trucking opportunity of approximately $400 billion in 2021. The brokered truckload industry size includes $8 billion from managed transportation services, which represents approximately one third of the total managed transportation industry in the United States. We expect that our industry will continue to grow faster than GDP, propelled by strong secular tailwinds, such as a trend toward outsourcing freight transportation, increased brokerage penetration of for-hire truckload transportation and adoption of digital brokerage technologies by shippers and carriers. In addition, given our size in our industry, we see a significant opportunity to increase our market share through ongoing shipper and carrier adoption of our proprietary RXO Connect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platform.</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best-in-class truck brokerage business has a long track record of outperforming our industry and peers in key metrics. For the full year 2021, compared with 2020 and 2019, respectively: our revenue growth in truck brokerage was 63% and 100%, and our load growth was 29% and 40%, including 39% and 112% load growth from our top 20 customers. Additionally, we grew our 2021 margin dollars, which represent our revenue less the cost of transportation and services (exclusive of depreciation and amortization), by 49% and 86% compared with 2020 and 2019, respectively. From 2013 to 2021, our truck brokerage revenue CAGR was 27% — approximately three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15" w:right="339" w:bottom="1440" w:gutter="0" w:footer="0" w:header="0"/>
        </w:sectPr>
      </w:pPr>
    </w:p>
    <w:bookmarkStart w:id="75" w:name="page76"/>
    <w:bookmarkEnd w:id="75"/>
    <w:p>
      <w:pPr>
        <w:ind w:right="160"/>
        <w:spacing w:after="0" w:line="282" w:lineRule="auto"/>
        <w:rPr>
          <w:sz w:val="20"/>
          <w:szCs w:val="20"/>
          <w:color w:val="auto"/>
        </w:rPr>
      </w:pPr>
      <w:r>
        <w:rPr>
          <w:rFonts w:ascii="Times New Roman" w:cs="Times New Roman" w:eastAsia="Times New Roman" w:hAnsi="Times New Roman"/>
          <w:sz w:val="18"/>
          <w:szCs w:val="18"/>
          <w:color w:val="auto"/>
        </w:rPr>
        <w:t>the U.S. brokered truckload industry growth rate, and notably, over 90% of our revenue growth over this period was organic. Over the last three years, we increased our productivity, measured by loads per head per day, by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349240" cy="1894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brokered truckload industry size; reflects brokered component of ~$400 billion total addressable truckload opportunity</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growing complexity of supply chains, the advent of brokerage technology and the increase in risk aversion by supply chain operators have encouraged shippers to seek out large, third-party transportation partners with on-demand access to trucks and drivers, real-time pricing and continuous visibility into the movement of their goods. This has led to a sustained shift toward utilizing outsourced transportation brokers such as RXO that have a strong technology offering and provide data for better decision-making.</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Broker penetration of for-hire truckload transportation has doubled in the last 15 years, and is still less than 25%. The penetration rate is expected to continue a steady climb, with industry forecasts predicting ongoing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349240" cy="1397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first-mover advantage in brokerage technology dates back to the start of XPO in 2011, when we foresaw the technological potential in the brokerage model. RXO is capitalizing on that advantage.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decade ago, truck brokerage was conducted largely by telephone through manual interactions between customers and brokers. This limited the industry’s ability to realize efficiencies and made it challenging for many brokers to maintain high levels of customer service as they grew in scale.</w:t>
      </w:r>
    </w:p>
    <w:p>
      <w:pPr>
        <w:spacing w:after="0" w:line="1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established our competitive advantage with significant investments in proprietary brokerage technology that harnesses data science. We began matching shippers to carriers using the visibility provided by our Freight Optimizer system. We then developed our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digital brokerage platform architecture, which incorporates machine learning and fully automates the brokerage process, making transactions more efficient for all parties involved. Over the past 10 years, we have spent approximately $300 million on developing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7" w:right="339" w:bottom="1440" w:gutter="0" w:footer="0" w:header="0"/>
        </w:sectPr>
      </w:pPr>
    </w:p>
    <w:bookmarkStart w:id="76" w:name="page77"/>
    <w:bookmarkEnd w:id="76"/>
    <w:p>
      <w:pPr>
        <w:ind w:right="80"/>
        <w:spacing w:after="0" w:line="266" w:lineRule="auto"/>
        <w:rPr>
          <w:sz w:val="20"/>
          <w:szCs w:val="20"/>
          <w:color w:val="auto"/>
        </w:rPr>
      </w:pPr>
      <w:r>
        <w:rPr>
          <w:rFonts w:ascii="Times New Roman" w:cs="Times New Roman" w:eastAsia="Times New Roman" w:hAnsi="Times New Roman"/>
          <w:sz w:val="18"/>
          <w:szCs w:val="18"/>
          <w:color w:val="auto"/>
        </w:rPr>
        <w:t>Today, digital brokerage platforms are changing the face of the truck brokerage industry and are expected to continue to grow in importance as shippers increasingly value the efficiencies of automation. Approximately 80% of RXO’s brokerage orders are currently created or covered digitally, and we expect the digital nature of our transactions to increase to 95% or higher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Long-Tenured, Blue-Chip Customer Relationships in Attractive Verticals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a large opportunity to grow our share in key verticals with durable fundamentals, where we have strong partnerships with preeminent customers and extensive expertise. Our revenue is well-diversified across customers with different demand patterns and seasonality, including more than half of the Fortune 100 companies. In 2021, our revenue profile reflected a strong mix of both verticals and customers, with low concentration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2717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eliminations</w:t>
      </w:r>
    </w:p>
    <w:p>
      <w:pPr>
        <w:spacing w:after="0" w:line="11"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verticals such as agriculture, chemicals, home furnishings, building materials, business and professional services, healthcare and biotechnology, energy, oil and gas, aerospace and defense, and mining.</w:t>
      </w:r>
    </w:p>
    <w:p>
      <w:pPr>
        <w:spacing w:after="0" w:line="1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value proposition is a combination of massive carrier capacity, highly efficient technology, deep expertise and the agility to not only solve supply chain challenges, but also proactively improve results — these are benefits that resonate with truck brokerage customers of all sizes. The average relationship tenure of our top 10 customers company-wide, based on revenue, is approximately 16 years, and the average relationship tenures of our top 10 and top 20 truck brokerage customers, based on revenue, are approximately 14 years.</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tiered sales organization tailors its approach to each prospective customer based on size and profitability potential and has dedicated teams targeting enterprise customers, national customers and emerging growth companies. Our sales organization draws upon vertical-specific experience and leverages internal resources, including the self-service capabilities of RXO Connect™, in order to meet each customer’s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Asset-Light Model Generates High Returns and Substantial Free Cash Flow</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RXO’s asset-light business model historically has generated a high return on invested capital across cycles and robust free cash flow. We do not own the great majority of trucks and other assets used to perform our services, and, for the year ended December 31, 2021, only 13% of our costs were fixed. This limits our capital requirements and gives our business substantial flexibility, compared with asset-based transportation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17" w:right="359" w:bottom="1440" w:gutter="0" w:footer="0" w:header="0"/>
        </w:sectPr>
      </w:pPr>
    </w:p>
    <w:bookmarkStart w:id="77" w:name="page78"/>
    <w:bookmarkEnd w:id="77"/>
    <w:p>
      <w:pPr>
        <w:ind w:right="100"/>
        <w:spacing w:after="0" w:line="261" w:lineRule="auto"/>
        <w:rPr>
          <w:sz w:val="20"/>
          <w:szCs w:val="20"/>
          <w:color w:val="auto"/>
        </w:rPr>
      </w:pPr>
      <w:r>
        <w:rPr>
          <w:rFonts w:ascii="Times New Roman" w:cs="Times New Roman" w:eastAsia="Times New Roman" w:hAnsi="Times New Roman"/>
          <w:sz w:val="18"/>
          <w:szCs w:val="18"/>
          <w:color w:val="auto"/>
        </w:rPr>
        <w:t>Our largest capital expenditure is technology, which allows us to continually enhance our financial and operational agility. Labor is a significant cost; however, a large part of our labor cost is related to sales commissions. This variable cost structure automatically decreases costs at times of lower demand and increases revenue and margin faster than costs as demand returns. The resilience inherent in our business model reduces risk in all macroeconomic environments.</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example, when the market is poised to tighten, our business model gives us the ability to review rates with our top customers, hire employees to increase capacity, onboard more carriers and backstop rates. When the market is poised to loosen, we are able to look for opportunities to reduce carrier costs to expand margins, slow hiring, lean into contractual business and offer dedicated solutions to ensure reliable capacity for key customers. The resilience inherent in our business model reduces risk and facilitates succeeding in all macroeconomic environments.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and Cohesive Leadership and Strong Company Values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RXO is led by Drew Wilkerson, chief executive officer, and Jamie Harris, chief financial officer. These executives have deep experience in their respective fields, having previously served in senior roles with XPO and other industry leaders.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Wilkerson is a transportation industry veteran with 16 years of experience in brokerage operations. He joined XPO in May 2012 to spearhead the growth of the company’s flagship truck brokerage hub in Charlotte, North Carolina. In May 2014, he was promoted to regional vice president, with responsibility for major brokerage operations, and served as the key liaison for strategic accounts. In March 2017, he was named president of XPO’s North American brokerage business; and in February 2020, he was named president of XPO’s North American transportation division, with P&amp;L responsibility for truck brokerage, expedite, intermodal, drayage, managed transportation, last mile and freight forwarding. He has served in this role until the separation. Prior to XPO, Mr. Wilkerson held leadership positions in sales, operations, and customer and carrier relationship management with C.H. Robinson Worldwide.</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Mr. Harris is a career CFO with 35 years of experience in B2B sectors, including two decades with public companies. He has served as chief financial officer of XPO’s North American transportation division from September 2022 until the separation. Prior to XPO, he was CFO and treasurer of SPX Technologies and earlier held positions as CFO and then interim CEO of Elevate Textiles, Inc. Previously, Mr. Harris held various executive roles with Coca-Cola Consolidated, the largest independent Coca-Cola franchisee in the United States, including eight years as CFO and two years as executive vice president, business transformation.</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leadership team also provides executive support for our culture, which is defined by our environmental, social and governance framework, and by our values: safe, entrepreneurial, respectful, innovative and inclusive. We strive to move goods most efficiently through supply chains in a way that maximizes value for all our stakeholders. For example, our technology platform is designed to help us operate with minimal waste and reduce the carbon footprint of shipper supply chains, while also reducing “empty miles” for the carriers that provide the transportation. In April 2022, we enhanced the environmental sustainability of our truck brokerage offering with the launch of our Ship Net-Zero program, which gives shippers a way to negate the carbon footprint of their freight by purchasing carbon offsets for the sustainability projects of their choice.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Relationship-Based Operating Structure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truck brokerage business operates as an intermediary between shippers and carriers (truck and fleet owners), connecting truckload supply and demand. Our value proposition is based on our ability to access truck capacity on a massive scale; give shippers and carriers the benefits of our proprietary digital freight marketplace; and solve transportation challenges for our customers by utilizing the bench strength of our business — namely, the expertise of our brokerage leaders, technologists and employees.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asset-light business model relies on our business relationships with independent motor carriers for the transportation of our customers’ freight. We typically sign a non-exclusive, one-year, renewable agreement with carriers; this agreement establishes the carrier’s role as an independent contractor and provides that the carrier is solely responsible for aspects of their service, such as insurance, equipment maintenance and inspection and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80"/>
          </w:cols>
          <w:pgMar w:left="320" w:top="1417" w:right="399" w:bottom="1440" w:gutter="0" w:footer="0" w:header="0"/>
        </w:sectPr>
      </w:pPr>
    </w:p>
    <w:bookmarkStart w:id="78" w:name="page79"/>
    <w:bookmarkEnd w:id="78"/>
    <w:p>
      <w:pPr>
        <w:ind w:right="160"/>
        <w:spacing w:after="0" w:line="282" w:lineRule="auto"/>
        <w:rPr>
          <w:sz w:val="20"/>
          <w:szCs w:val="20"/>
          <w:color w:val="auto"/>
        </w:rPr>
      </w:pPr>
      <w:r>
        <w:rPr>
          <w:rFonts w:ascii="Times New Roman" w:cs="Times New Roman" w:eastAsia="Times New Roman" w:hAnsi="Times New Roman"/>
          <w:sz w:val="18"/>
          <w:szCs w:val="18"/>
          <w:color w:val="auto"/>
        </w:rPr>
        <w:t>for freight loss or damage. In 2021, more than 90% of our truck brokerage revenue was generated from independent contractor services provided to truck brokerage customers, with the balance provided to customers of other RXO businesses through co-brokerage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truck brokerage operations by striving to best utilize our resources of people, technology and data:</w:t>
      </w:r>
    </w:p>
    <w:p>
      <w:pPr>
        <w:spacing w:after="0" w:line="171" w:lineRule="exact"/>
        <w:rPr>
          <w:sz w:val="20"/>
          <w:szCs w:val="20"/>
          <w:color w:val="auto"/>
        </w:rPr>
      </w:pPr>
    </w:p>
    <w:p>
      <w:pPr>
        <w:ind w:left="660" w:right="260" w:hanging="328"/>
        <w:spacing w:after="0" w:line="235"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representatives communicate with customers about truckload freight that needs to be shipped, and we locate trucks with available capacity using our RXO 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platform. We have proprietary algorithms that use machine learning to price these transactions, taking into account current market conditions, historical data and future indicators.</w:t>
      </w:r>
    </w:p>
    <w:p>
      <w:pPr>
        <w:spacing w:after="0" w:line="14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interfaces give customers the ability to post their freight loads and tap into truck capacity on our platform. They can buy capacity online or through system integrations, leverage data for decision-making and see the real-time status of freight in transit. On the supply side, truck drivers and fleet owners use our carrier interfaces to find loads and better utilize their assets. Carriers can bid and book loads online and through our platform’s mobile app.</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brokerage platform synergizes these operating strengths within a single digital freight marketplace. Approximately 80% of our truck brokerage transactions have a digital profile — and, as that percentage continues to grow, we are able to process more volume per head over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strategy is designed to deliver value through our resources, including extensive carrier relationships, automated shipper-carrier interactions, end-to-end digital tracking and data analyses generated by our proprietary algorithms. Our services are both highly responsive to customer needs and proactive in identifying potential improvements. Furthermore, we have instilled a culture that defines success as mutually beneficial results for our stockholders and other stakeholders.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growth and optimization strategy is to:</w:t>
      </w:r>
    </w:p>
    <w:p>
      <w:pPr>
        <w:spacing w:after="0" w:line="171" w:lineRule="exact"/>
        <w:rPr>
          <w:sz w:val="20"/>
          <w:szCs w:val="20"/>
          <w:color w:val="auto"/>
        </w:rPr>
      </w:pPr>
    </w:p>
    <w:p>
      <w:pPr>
        <w:ind w:left="660" w:right="2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our brokerage capabilities and value-added services to new and existing customers of all sizes, using a partnership approach that creates enduring relationships;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positioning to increasingly capitalize on secular trends in demand, such as the increasing broker penetration of the for-hire truckload industry and the growing shipper preference for digital brokerage services;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recruit and retain talented customer and carrier sales representatives, and continuously improve their productivity with our state-of-the-art technology;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high-caliber independent carriers to provide third-party transportation services for our customers; and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our first-mover technology advantage to continue to gain share of the truck brokerage industry by optimizing brokerage processes and pricing for customers and carriers, and by enhancing the productivity of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Intellectual Property</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benefit from two interrelated industry trends — more shippers are relying on brokers for freight transportation, rather than deal directly with carriers, and at the same time, more shippers want brokers with digital capabilities that leverage data for the best outcomes. RXO benefits from first-mover advantage in brokerage technology, and we continue to innovate to stay at the forefront of the technological evolution of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00"/>
          </w:cols>
          <w:pgMar w:left="320" w:top="141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Digital Brokerage Platform</w:t>
      </w:r>
    </w:p>
    <w:p>
      <w:pPr>
        <w:spacing w:after="0" w:line="172"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7"/>
          <w:szCs w:val="17"/>
          <w:color w:val="auto"/>
        </w:rPr>
        <w:t>Our self-learning RXO Connect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brokerage platform (known as XPO Connect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prior to the completion of the separation and distribution) gives us a scalable framework to continually enhance our service, capture share and reduce costs. This fully automated, cloud-based platform encompasses Freight Optimizer, as well as our mobile app, API integrations, self-service dashboards and real-time functionality for transacting and tracking freight shipments.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technology gives shippers access to our growing transportation network and our valuable market data, and it gives independent truck drivers the ability to secure loads through our mobile app. As of June 30, 2022, we had nearly 800,000 cumulative truck driver downloads of the app.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Importantly, our digital brokerage platform creates ongoing value for RXO in four key areas:</w:t>
      </w:r>
    </w:p>
    <w:p>
      <w:pPr>
        <w:spacing w:after="0" w:line="171" w:lineRule="exact"/>
        <w:rPr>
          <w:sz w:val="20"/>
          <w:szCs w:val="20"/>
          <w:color w:val="auto"/>
        </w:rPr>
      </w:pPr>
    </w:p>
    <w:p>
      <w:pPr>
        <w:ind w:left="660" w:right="38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share and revenue generation by providing real-time visibility into available supply and demand for current and future time periods, leading to optimal transportation management;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competitive rates by engaging customers and carriers through user-friendly interfaces underpinned by cutting-edge pricing technology;</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Optimizes for value and margin with dynamic pricing algorithms that use machine learning, and generates superior, real-time market intelligence harvested from load-matching data;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productivity by facilitating transactions through cost-efficient automated processes and messaging, increasing the productivity of RXO’s customer and carrier representatives, and enabling our business to manage more volume without a commensurate increase in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Brokered Transportation Services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our core truck brokerage business, we also offer asset-light services for managed transportation, last mile for heavy goods and freight forwarding. We believe this comprehensive suite of brokered transportation solutions, provided through a single source, is a differentiator for RXO and capitalizes on synergy opportunities between the services in the form of cross-selling and shared technology. In 2021, over 60% of our revenue was related to customers that did business with more than one of our services.We estimate that the total addressable industry opportunity for the range of services we offer was over $750 billion in 2021. This includes the $400 billion U.S. for-hire truckload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Managed Transportation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managed transportation service provides asset-light solutions for shippers who outsource their freight transportation to gain reliability, visibility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savings. This service uses proprietary technology to enhance revenue synergies with truck brokerage, last mile and freight forwarding. We are the sixth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largest provider of managed transportation services in the United States and have grown our freight under management by more than 80% since 2019.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we had approximately 3% revenue share of the U.S. managed transportation industry, and, for the twelve months ended June 30, 2022, approximately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billion of freight under management. We estimate that the total addressable market for the managed transportation services we offer was $23 billion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Based on historical trends, industry data and our own internal analyses, we estimate that this market will have a growth rate of 10% from 2021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This estimate does not reflect expectations regarding the growth of our business.</w:t>
      </w:r>
    </w:p>
    <w:p>
      <w:pPr>
        <w:spacing w:after="0" w:line="15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managed transportation offering includes bespoke load planning and procurement, complex solutions tailored to specific challenges, performance monitoring, engineering and data analytics, among other services. Our control tower solution leverages the expertise of a dedicated team focused on continuous improvement, and digital, door-to-door visibility into order status and freight in transit. In 2021, we managed more than 2.8 million shipments using control tower technology. In addition, we offer technology-enabled managed expedite services that automate transportation procurement for time-critical freight moved by independent road and air charter carriers.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Last Mile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last mile offering is an asset-light service that facilitates the delivery of heavy goods to consumers, performed by highly qualified third-party contractors; this gives us daily access to approximately 6,700 independent contractor drivers. We are the largest provider of outsourced last mile service for heavy goods in the United States, with approximately 7% market share and a network that is positioned within 125 miles of the vast majority of the U.S. population. In 2021, we facilitated over 11 million last mile deliveries and installations for omnichannel and e-commerce retailers and direct-to-consumer manufacturers. We estimate that the total addressable market for the last mile services we offer was $16 billion in 2021. Based on historical trends, industry data and our own internal analyses, we estimate that this market will have a growth rate of 10% from 2021 to 2024. This estimate does not reflect expectations regarding the growth of our business.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operate our last mile business using a proprietary technology platform we developed specifically for the last mile consumer experience, integrated with RXO Connect™. This enables real-time tracking and on-demand delivery updates and rescheduling, customized notifications and signature-less release upon delivery. Approximately 50% of our eligible last mile orders are now self-scheduled by the consumer via the web or automated calls, and all data regarding a shipment’s progress is visible in one place. Our automation capabilities are a major lever in driving superior customer satisfaction and a 30% reduction in calls per delivery since 2018.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Freight Forwarding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freight forwarding service is a scalable, asset-light offering managed with advanced technology that facilitates ocean, road and air transportation and assists with customs brokerage. We are a U.S.-based freight forwarder with a global network of company-owned and partner-owned locations and coverage of key trade lanes that reach approximately 160 countries and territories through more than 2,500 domestic and 400 international carriers. Based on historical trends, industry data and our own internal analyses, we estimate that the market growth rate for the total addressable market for the freight forwarding services will be 3% from 2021 to 2026. This estimate does not reflect expectations regarding the growth of our business.</w:t>
      </w:r>
    </w:p>
    <w:p>
      <w:pPr>
        <w:spacing w:after="0" w:line="1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freight forwarding service provides valuable support to other RXO operations by providing centralized procurement for domestic and cross-border capacity management. We leverage economies of scale, carrier relationships and local market expertise at thousands of destinations to connect key production and consumption centers hundreds or thousands of miles apart. Our freight forwarding business model is nimble and resilient to changes in demand; we can readily increase capacity to manage volume, while retaining inherent flexibility in capital expenditures.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End-Markets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RXO provides services to approximately 10,000 customers ranging in size from small businesses to Fortune 100 companies and sector leaders. The diversification of our customer base minimizes concentration risk: in 2021, our top 20 customers in total and our top five customers in total accounted for approximately 35% and 19% of our revenue, respectively, with our largest customer accounting for approximately 8% of revenue.</w:t>
      </w:r>
    </w:p>
    <w:p>
      <w:pPr>
        <w:spacing w:after="0" w:line="122"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Our customer end-markets are also highly diversified; we derive our revenue from a robust mix of verticals for retail and e-commerce, automotive, food and beverage, industrial and manufacturing, agriculture and chemicals, logistics and transportation and consumer goods.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RXO operates in a highly fragmented industry with thousands of companies competing to provide brokered transportation services for customer freight. We compete on quality of service, depth of capacity, technological capabilities, reliability, expertise and price.</w:t>
      </w:r>
    </w:p>
    <w:p>
      <w:pPr>
        <w:spacing w:after="0" w:line="10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competitors include local, regional, national and international companies operating in North America that offer the same services we provide; some have larger customer bases, significantly more resources and more experience than we have. Some of our competitors include C.H. Robinson, Convoy, Coyote, Echo, Expeditors,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3" w:right="339" w:bottom="1440" w:gutter="0" w:footer="0" w:header="0"/>
        </w:sectPr>
      </w:pPr>
    </w:p>
    <w:bookmarkStart w:id="81" w:name="page82"/>
    <w:bookmarkEnd w:id="81"/>
    <w:p>
      <w:pPr>
        <w:ind w:right="240"/>
        <w:spacing w:after="0" w:line="282" w:lineRule="auto"/>
        <w:rPr>
          <w:sz w:val="20"/>
          <w:szCs w:val="20"/>
          <w:color w:val="auto"/>
        </w:rPr>
      </w:pPr>
      <w:r>
        <w:rPr>
          <w:rFonts w:ascii="Times New Roman" w:cs="Times New Roman" w:eastAsia="Times New Roman" w:hAnsi="Times New Roman"/>
          <w:sz w:val="18"/>
          <w:szCs w:val="18"/>
          <w:color w:val="auto"/>
        </w:rPr>
        <w:t>Forward Air, Flexport, J.B. Hunt, Landstar System, Total Quality Logistics, Transfix and Uber Freight. Due to the competitive nature of our industry, we strive to strengthen existing business relationships and forge new relationships.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health of the freight transportation industry overall will continue to be a function of economic growth, as well as secular trends that stem from shipper and consumer behaviors independent of economic conditions. We believe that RXO is strongly positioned to benefit from these trends, including consumer demand for e-commerce, shipper demand for strong outsourcing partners and the growing adoption of digital capabilities by industry customers and carriers.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operated 196 locations, primarily in North America.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Leased Facilities</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Owned Facilities</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Customer Facilities</w:t>
            </w:r>
            <w:r>
              <w:rPr>
                <w:rFonts w:ascii="Times New Roman" w:cs="Times New Roman" w:eastAsia="Times New Roman" w:hAnsi="Times New Roman"/>
                <w:sz w:val="18"/>
                <w:szCs w:val="18"/>
                <w:b w:val="1"/>
                <w:bCs w:val="1"/>
                <w:color w:val="auto"/>
                <w:vertAlign w:val="superscript"/>
              </w:rPr>
              <w:t>(1)</w:t>
            </w: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Locations owned or leased by customers.</w:t>
      </w:r>
    </w:p>
    <w:p>
      <w:pPr>
        <w:spacing w:after="0" w:line="165" w:lineRule="exact"/>
        <w:rPr>
          <w:sz w:val="20"/>
          <w:szCs w:val="20"/>
          <w:color w:val="auto"/>
        </w:rPr>
      </w:pPr>
    </w:p>
    <w:p>
      <w:pPr>
        <w:ind w:right="1180"/>
        <w:spacing w:after="0" w:line="438" w:lineRule="auto"/>
        <w:rPr>
          <w:sz w:val="20"/>
          <w:szCs w:val="20"/>
          <w:color w:val="auto"/>
        </w:rPr>
      </w:pPr>
      <w:r>
        <w:rPr>
          <w:rFonts w:ascii="Times New Roman" w:cs="Times New Roman" w:eastAsia="Times New Roman" w:hAnsi="Times New Roman"/>
          <w:sz w:val="18"/>
          <w:szCs w:val="18"/>
          <w:color w:val="auto"/>
        </w:rPr>
        <w:t xml:space="preserve">We lease our current executive office located in Charlotte, North Carolina. We believe that our facilities are sufficient for our current needs. </w:t>
      </w:r>
      <w:r>
        <w:rPr>
          <w:rFonts w:ascii="Times New Roman" w:cs="Times New Roman" w:eastAsia="Times New Roman" w:hAnsi="Times New Roman"/>
          <w:sz w:val="18"/>
          <w:szCs w:val="18"/>
          <w:b w:val="1"/>
          <w:bCs w:val="1"/>
          <w:color w:val="auto"/>
        </w:rPr>
        <w:t>Regulation</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operations are regulated and licensed by various governmental agencies in the United States and in other countries where we conduct business. These regulations impact us directly in the various subsidiary operating companies’ respective capacity as transportation service providers and, to some extent, also indirectly when they regulate third-party providers we arrange and/or contract with to transport freight for our customers.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Regulations Affecting Motor Carriers. </w:t>
      </w:r>
      <w:r>
        <w:rPr>
          <w:rFonts w:ascii="Times New Roman" w:cs="Times New Roman" w:eastAsia="Times New Roman" w:hAnsi="Times New Roman"/>
          <w:sz w:val="18"/>
          <w:szCs w:val="18"/>
          <w:color w:val="auto"/>
        </w:rPr>
        <w:t>In the United States, our subsidiaries that operate as motor carriers are licensed by the Federal Motor Carrier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(“FMCSA”) of the U.S. Department of Transportation (“DOT”). Our motor carrier subsidiaries must comply with the safety and fitness regulations of the DOT, including those related to, without limitation, controlled substances and alcohol, hours-of service compliance, vehicle maintenance, hazardous materials compliance, driver fitness, unsafe driving, and minimum insurance requirements. These carriers are subject to the FMCSA’s Compliance Safety Accountability (“CSA”) program, which uses a Safety Measurement System (“SMS”) to rank motor carriers on seven categories of safety-related data, known as Behavioral Analysis and Safety Improvement Categories (“BASICs”). Other federal agencies, such as the Pipeline and Hazardous Materials Safety Administration, the U.S. Food and Drug Administration (“FDA”), and the U.S. Department of Homeland Security (“DHS”), also regulate aspects of our operations.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our motor carriers that engage independent contractor owner-operators to provide transportation and delivery services are subject to the Federal Leasing Regulations, which are applicable to written agreements between the carriers and those owner-operators. Also, separate from regulatory requirements, the use of independent contractors within the transportation industry continues to face legal changes from regulatory agencies and private litigants. This risk is addressed in greater detail below.</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motor carriers are also subject to various state regulations, including state operating authority requirements where intrastate motor carriage is regulated, emission-compliance standards such as those promulgated by the California Air Resources Board, and vehicle registration and licensing requirements in certain states and local jurisdictions where we operate. In addition, motor carriers that move freight to and from ports are subject to various registration requirements. In foreign jurisdictions where we operate, our operations are regulated by the appropriate governmental authorities. We may become subject to new or more restrictive regulations relating to emissions,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7" w:right="339" w:bottom="1440" w:gutter="0" w:footer="0" w:header="0"/>
        </w:sectPr>
      </w:pPr>
    </w:p>
    <w:bookmarkStart w:id="82" w:name="page83"/>
    <w:bookmarkEnd w:id="82"/>
    <w:p>
      <w:pPr>
        <w:ind w:right="260"/>
        <w:spacing w:after="0" w:line="282" w:lineRule="auto"/>
        <w:rPr>
          <w:sz w:val="20"/>
          <w:szCs w:val="20"/>
          <w:color w:val="auto"/>
        </w:rPr>
      </w:pPr>
      <w:r>
        <w:rPr>
          <w:rFonts w:ascii="Times New Roman" w:cs="Times New Roman" w:eastAsia="Times New Roman" w:hAnsi="Times New Roman"/>
          <w:sz w:val="18"/>
          <w:szCs w:val="18"/>
          <w:color w:val="auto"/>
        </w:rPr>
        <w:t>drivers’ hours-of-service, independent contractor eligibility requirements, onboard reporting of operations, air cargo security and other matters affecting safety or operating methods.</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Regulations, Private Causes of Action Affecting Ground Property Brokers and Freight Forwarders. </w:t>
      </w:r>
      <w:r>
        <w:rPr>
          <w:rFonts w:ascii="Times New Roman" w:cs="Times New Roman" w:eastAsia="Times New Roman" w:hAnsi="Times New Roman"/>
          <w:sz w:val="18"/>
          <w:szCs w:val="18"/>
          <w:color w:val="auto"/>
        </w:rPr>
        <w:t>In the United States, our subsidiaries that operate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ground property brokers and freight forwarders (collectively, “brokers”) are licensed by the FMCSA. Our brokers must comply with certain federal bonding requirements. In a limited number of states that regulate intrastate property brokerage and/or freight forwarding, our brokers are subject to licensing requirements.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Separate from regulatory requirements, private litigants are more regularly adding brokers as defendants in lawsuits arising from highway accidents, including on the grounds that brokers were negligent in selecting unsafe carriers to which they tender freight. “Negligent selection,” as the cause of action has come to be known, is an allegation, under state law, that the broker failed to act reasonably in deciding whether to hire a carrier. Because the cause of action is based on state law, and because what constitutes “negligence” is a question of fact that is decided by the jury, caselaw has not developed hard and fast rules regarding what constitutes lack of reasonable care in a carrier selection decision.</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Regulations Affecting Warehouse Operators. </w:t>
      </w:r>
      <w:r>
        <w:rPr>
          <w:rFonts w:ascii="Times New Roman" w:cs="Times New Roman" w:eastAsia="Times New Roman" w:hAnsi="Times New Roman"/>
          <w:sz w:val="18"/>
          <w:szCs w:val="18"/>
          <w:color w:val="auto"/>
        </w:rPr>
        <w:t>Our subsidiaries in the United States that operate warehouses are subject to various state permitting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licensing requirements relating to either general warehousing operations or the freight maintained at the warehouse.</w:t>
      </w:r>
    </w:p>
    <w:p>
      <w:pPr>
        <w:spacing w:after="0" w:line="101"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Regulations Affecting Our Subsidiaries Providing Ocean and Air Transportation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of our subsidiaries is licensed as a U.S. Customs broker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Customs and Border Protection (the “CBP”) of the DHS in each U.S. district where it performs services. All U.S. Customs brokers are required to maintain prescribed records and are subject to periodic audits by the CBP. In non-U.S. jurisdictions where we perform customs brokerage services, our operations are licensed, where necessary, by the appropriate governmental authorities.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subsidiaries that offer air freight and expedited air charter transportation services are subject to regulation by the Transportation Security Administration (“TSA”) of the DHS governing air cargo security for all loads, regardless of origin or destination. Some of our subsidiaries are regulated as “indirect air carriers” by the TSA. The CBP, TSA and relevant non-U.S. governmental agencies provide requirements and guidance and, in some cases, administer licensing requirements and processes applicable to the air freight forwarding industry.</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facilitate our international operations, RXO is a member of the Cargo Network Services Corp., which is a representative of International Air Transportation Association (“IATA”), a voluntary association of airlines and air freight forwarders that outlines operating procedures for forwarders acting as agents or third-party intermediaries for IATA members. A substantial portion of our international air freight business is transacted with other IATA members.</w:t>
      </w:r>
    </w:p>
    <w:p>
      <w:pPr>
        <w:spacing w:after="0" w:line="12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Additionally, some of our subsidiaries are licensed as an Ocean Transportation Intermediary (“OTI”), since they operate as a non-vessel-operating common carrier (“NVOCC”), and/or as an Ocean Freight Forwarder (“OFF”) licensed by the U.S. Federal Maritime Commission (“FMC”), which establishes the qualifications, regulations, licensing and bonding requirements for arranging international transportation to or from the United States as an OTI.</w:t>
      </w:r>
    </w:p>
    <w:p>
      <w:pPr>
        <w:spacing w:after="0" w:line="10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Regulations. </w:t>
      </w:r>
      <w:r>
        <w:rPr>
          <w:rFonts w:ascii="Times New Roman" w:cs="Times New Roman" w:eastAsia="Times New Roman" w:hAnsi="Times New Roman"/>
          <w:sz w:val="18"/>
          <w:szCs w:val="18"/>
          <w:color w:val="auto"/>
        </w:rPr>
        <w:t>We are subject to a variety of other U.S. and foreign laws and regulations, including, but not limited to, the Foreign Corrupt Practices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other anti-bribery and anti-corruption statutes, and export sanction laws. We are also subject to state and U.S. federal laws and regulations addressing some types of cargo transported or stored by our subsidiaries, or transported pursuant to a government contract or subcontract.</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of Independent Contractors. </w:t>
      </w:r>
      <w:r>
        <w:rPr>
          <w:rFonts w:ascii="Times New Roman" w:cs="Times New Roman" w:eastAsia="Times New Roman" w:hAnsi="Times New Roman"/>
          <w:sz w:val="18"/>
          <w:szCs w:val="18"/>
          <w:color w:val="auto"/>
        </w:rPr>
        <w:t>U.S. tax and other federal and state regulatory authorities, as well as private litigants, continue to assert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contractors in the trucking industry are employees rather than independent contractors, while applying a variety of standards in their determinations of independent contractor status. Federal legislators have introduced legislation in the past to make it easier for tax and other authorities to reclassify independent contractors as employees, including legislation to increase the recordkeeping requirements and heighten the penalties for companies that misclassify workers and are found to have violated overtime or wage requirements. Additionally, federal legislators have sought to abolish the current safe harbor, which allows taxpayers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00"/>
          </w:cols>
          <w:pgMar w:left="320" w:top="1417" w:right="379" w:bottom="1440" w:gutter="0" w:footer="0" w:header="0"/>
        </w:sectPr>
      </w:pPr>
    </w:p>
    <w:bookmarkStart w:id="83" w:name="page84"/>
    <w:bookmarkEnd w:id="83"/>
    <w:p>
      <w:pPr>
        <w:spacing w:after="0" w:line="253" w:lineRule="auto"/>
        <w:rPr>
          <w:sz w:val="20"/>
          <w:szCs w:val="20"/>
          <w:color w:val="auto"/>
        </w:rPr>
      </w:pPr>
      <w:r>
        <w:rPr>
          <w:rFonts w:ascii="Times New Roman" w:cs="Times New Roman" w:eastAsia="Times New Roman" w:hAnsi="Times New Roman"/>
          <w:sz w:val="18"/>
          <w:szCs w:val="18"/>
          <w:color w:val="auto"/>
        </w:rPr>
        <w:t>that meet certain criteria to treat individuals as independent contractors if they are following a longstanding, recognized practice. Federal legislators also sought to expand the Fair Labor Standards Act to cover “non-employees” who perform labor or services for businesses, even if said non-employees are properly classified as independent contractors; require taxpayers to provide written notice to workers based upon their classification as either an employee or a non-employee; and impose penalties and fines for violations of the notice requirement or for misclassifications. Some states have launched initiatives to increase tax revenues from items such as unemployment, workers’ compensation and income taxes, and the reclassification of independent contractors as employees could help states increase these revenues. In addition to these possible legislative changes, the National Labor Relations Board (“NLRB”) and NLRB’s general counsel have signaled the desire to reverse several pro-employer precedents, to make it more difficult for a worker to be classified as an independent contractor by changing the factors used in determining worker classification. The NLRB has also entered into a Memorandum Of Understanding with the U.S. Department of Labor regarding the exchange of information and cooperation in enforcement activities regarding the misclassification of employees as independent contractors. If the independent contractor drivers that provide services to RXO are determined to be our employees, we could incur additional exposure under some or all of the following: federal and state employer taxes, workers’ compensation, unemployment benefits, and labor, employment and tort laws, including for prior periods, as well as potential liability for employee benefits and tax withholdings.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Regulations. </w:t>
      </w:r>
      <w:r>
        <w:rPr>
          <w:rFonts w:ascii="Times New Roman" w:cs="Times New Roman" w:eastAsia="Times New Roman" w:hAnsi="Times New Roman"/>
          <w:sz w:val="18"/>
          <w:szCs w:val="18"/>
          <w:color w:val="auto"/>
        </w:rPr>
        <w:t>Our operations and the independent contractors with which we contract are subject to various environmental laws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in the jurisdictions where we operate. In the United States, these laws and regulations deal with the hauling, handling and disposal of hazardous materials, emissions from vehicles, engine-idling, fuel tanks and related fuel spillage and seepage, discharge and retention of storm water, and other environmental matters that involve inherent environmental risks. We may be responsible for the cleanup of any spill or other incident involving hazardous materials caused by our business. In the past, we have been responsible for the cost to clean up diesel fuel spills caused by traffic accidents or other events, and none of these incidents materially affected our business or operations. We generally transport only hazardous materials rated as low-to-medium-risk, and only a small percentage of our total loads contain hazardous materials.</w:t>
      </w:r>
    </w:p>
    <w:p>
      <w:pPr>
        <w:spacing w:after="0" w:line="1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believe that our operations are in substantial compliance with current laws and regulations, and we do not know of any existing environmental condition that reasonably would be expected to have a material adverse effect on our business or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volumes are typically higher in the fourth quarter due to peak season demand for our services from our customers in consumer sectors.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RXO, every action we take is based on our values – we are safe, entrepreneurial, respectful, innovative and inclusive. Our values shape our approach to human capital management and ensure we provide an excellent work environment for our employees. Our success relies heavily on our strong governance structure, Code of Business Ethics, good corporate citizenship and commitment to employee engagement.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customer-centric company with a strong service culture, we continually strive to be an employer of choice. This requires an unwavering commitment to workplace inclusion and safety, professional growth opportunities and competitive total compensation that meets the needs of our employees and their families.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Base Profile</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June 30, 2022, we operated with approximately 7,400 team members (comprised of approximately 5,600 full-time and part-time employees and 1,800 temporary workers), and of the employees, 49% were in hourly roles and 51% were in salaried positions. None of our employees were covered by collective bargaining agreements. By gender, approximately 41% of our employees are female.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made significant investments in the safety, well-being and satisfaction of our employees in the following areas,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14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take pride in having an inclusive workplace that encourages a diversity of backgrounds and perspectives and mandates fair treatment for all individuals</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 these attributes of our culture make us a stronger organization and a better partner to all RXO stakeholders. We welcome employees of every gender identity, sexual orientation, race, ethnicity, national origin, religion, life experience, veteran status and disability.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physical and emotional safety of our employees is our top priority, and we have numerous protocols in place to ensure a safe work environment. We aim to maintain an Occupational Safety and Health Administration total recordable incident rate (“TRIR”) that is less than half the published rate for the Truck Transportation industry based on the “Industry Injury and Illness Data” from the U.S. Bureau of Labor Statistics. In 2021, our North American Transport business unit exceeded our target expectation with a TRIR 2.63 points lower than the BLS national benchmark.</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Throughout the COVID-19 pandemic, we have continued to prioritize employee physical and mental health and have aimed to balance protecting employee health while creating a comfortable work environment. We remain diligent in upholding RXO’s COVID-19 safety protocols, including daily health attestations and access to mental health counseling services for employees and their dependents. We continue to offer pandemic paid sick leave to provide employees up to an additional two weeks of fully-paid sick leave.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and Engagement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assess satisfaction and ask for constructive suggestions. In this way, our employees help drive the continuous improvement of our business. We seek to identify top talent in all aspects of the recruitment process, and we emphasize training and development.</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tailor our recruitment efforts by geography and job function using an array of channels to ensure a diverse candidate pool. Our talent development infrastructure provides resources to employees throughout their career path, such as tailored skills development, training and mentoring for employees who aspire to grow into higher-paying positions with more responsibility. In addition, we maintain a robust pipeline of future operations leaders by using structured sponsorships and incidental learning techniques to develop internal candidates who demonstrate high potential in supervisory roles into positions as site leaders. The programs also help retain top talent by defining personalized development paths, and they attract new talent by differentiating RXO from its competitors.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Expansive Total Rewards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appreciate that our employees choose to work for RXO from among many options inside and outside our industry. We offer a total compensation package that is both competitive and progressive to attract and retain outstanding talent. We offer competitive wages and a comprehensive suite of health and welfare benefit programs to support employees and their families.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ordinary course of conducting our business activities, we and our subsidiaries become involved in judicial, administrative and regulatory proceedings involving both private parties and governmental authorities. These proceedings include insured and uninsured matters that are brought on an individual, collective, representative and class action basis, and other proceedings involving personal injury claims arising from the transportation and handling of goods, contractual disputes, employment-related claims, including alleged violations of wage and hour laws, and general and commercial liability matters.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facts currently available, we do not expect any of these proceedings to have a material effect, individually or in the aggregate, on our reputation,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3" w:right="339" w:bottom="144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however, we can give no assurance that the results of any such proceedings will not materially affect our reputation,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1417" w:right="479" w:bottom="1440" w:gutter="0" w:footer="0" w:header="0"/>
        </w:sectPr>
      </w:pPr>
    </w:p>
    <w:bookmarkStart w:id="86" w:name="page87"/>
    <w:bookmarkEnd w:id="8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(“MD&amp;A”) in conjunction with the unaudited Condensed Combined Financial Statements and the audited Combined Financial Statements and accompanying notes included elsewhere in this information statement. This MD&amp;A contains forward-looking statements. The matters discussed in these forward-looking statements are subject to risks, uncertainties, and other factors that could cause actual results to differ materially from those projected or implied in the forward-looking statements. Please see “Risk Factors” and “Cautionary Note Regarding Forward-Looking Statements” for a discussion of the uncertainties, risks and assumptions associated with these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RXO is a high-performing brokered transportation platform defined by cutting-edge technology and a nimble, asset-light business model, with the largest component being our core truck brokerage business. We are the fourth largest broker of full truckload freight transportation in the United States, and have approximately 4% share of the entire $88 billion brokered truckload industry. In 2021, over 80% of our operating income was generated by truck brokerage; the remainder was comprised of our brokered services for managed transportation, last mile and freight forwarding.</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truck brokerage business has a variable cost structure with robust free cash flow conversion and a long track record of generating a high return on invested capital. Shippers create demand for our service, and we place their freight with qualified independent carriers using our technology. We price our service on either a contract or a spot basis.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Notable factors driving growth and margin expansion in our business include our ability to access massive truckload capacity for shippers through our carrier relationships, our proprietary, cutting-edge technology, our strong management expertise and favorable industry tailwinds. As of June 30, 2022, we had approximately 98,000 carriers in our North American truck brokerage network, and access to approximately one and a half million trucks.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provide our customers with highly efficient access to capacity through our digital brokerage technology. This proprietary platform is a major differentiator for our truck brokerage business, and together with our pricing technology, we believe it can unlock incremental profitable growth well beyond our current levels. Our other brokered transportation services for managed transportation, last mile and freight forwarding also utilize our digital brokerage technology — these services are described below.</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managed transportation service provides asset-light solutions for shippers who outsource their freight transportation to gain reliability, visibility and cost savings. The service uses proprietary technology to enhance our revenue synergy, with cross-selling to truck brokerage, last mile and freight forwarding.</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last mile offering is an asset-light service that facilitates consumer deliveries performed by highly qualified third-party contractors. We are the largest provider of outsourced last mile for heavy goods in the United States, positioned within 125 miles of the vast majority of the U.S. population and serving a customer base of omnichannel and e-commerce retailers and direct-to-consumer manufacturers.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freight forwarding service is a scalable, asset-light offering managed with advanced technology that facilitates ocean, road and air transportation and assists with customs brokerage. We are a global freight forwarder with a network of company-owned and partner-owned locations and coverage of key trade lanes that reach approximately 160 countries and territories.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COVID-19 and Other Notable External Conditions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a leading provider of freight transportation services, our business can be impacted to varying degrees by factors beyond our control. The COVID-19 pandemic that emerged in 2020 affected, and may continue to affect, economic activity broadly and customer sectors served by our industry. Labor shortages, particularly a shortage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80"/>
          </w:cols>
          <w:pgMar w:left="320" w:top="1440" w:right="399" w:bottom="1440" w:gutter="0" w:footer="0" w:header="0"/>
        </w:sectPr>
      </w:pPr>
    </w:p>
    <w:bookmarkStart w:id="87" w:name="page88"/>
    <w:bookmarkEnd w:id="87"/>
    <w:p>
      <w:pPr>
        <w:ind w:right="20"/>
        <w:spacing w:after="0" w:line="256" w:lineRule="auto"/>
        <w:rPr>
          <w:sz w:val="20"/>
          <w:szCs w:val="20"/>
          <w:color w:val="auto"/>
        </w:rPr>
      </w:pPr>
      <w:r>
        <w:rPr>
          <w:rFonts w:ascii="Times New Roman" w:cs="Times New Roman" w:eastAsia="Times New Roman" w:hAnsi="Times New Roman"/>
          <w:sz w:val="18"/>
          <w:szCs w:val="18"/>
          <w:color w:val="auto"/>
        </w:rPr>
        <w:t>truck drivers, and equipment shortages continue to present challenges to many transportation-related industries. Additionally, disruptions in supply chains for industrial materials and supplies, such as semiconductor chips, have impacted some of the end-market activities that create demand for our services. We cannot predict how long these dynamics will last in the economic recovery, or whether future challenges, if any, will adversely affect our results of operations. To date, the totality of the actions we have taken during the pandemic, and continue to take in the recovery, have mitigated the impact on our profitability relative to the impact on our revenue and volumes, while our historically strong liquidity and disciplined capital management enable us to continue to invest in growth initiatives.</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Additionally, economic inflation can have a negative impact on our operating costs. A prolonged period of inflation could cause interest rates, fuel, wages and other costs to continue to increase, which would adversely affect our results of operations unless our pricing to our customers correspondingly increases. During 2021 and the three and six months ended June 30, 2022, the transportation industry’s truck driver shortage, together with rising fuel prices, resulted in higher transportation procurement costs to meet growing demand, which costs were largely offset by mechanisms in our customer contracts, including fuel surcharge clauses and general rate increases. An economic recession could depress activity levels and adversely affect our results of operations.</w:t>
      </w:r>
    </w:p>
    <w:p>
      <w:pPr>
        <w:spacing w:after="0" w:line="13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Regarding the war between Russia and Ukraine, we have no direct exposure to those geographies. We cannot predict how global supply chain activities or the economy at large may be impacted by a prolonged war in Ukraine or sanctions imposed in response to the war, or whether future conflicts, if any, may adversely affect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of the Company were prepared on a standalone basis and have been derived from the consolidated financial statements and accounting records of XPO. 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Significant intercompany balances and transactions between the operations of the RXO legal entities have been eliminated in the accompanying Combined Financial Statements. All significant related party transactions between RXO and XPO have been included in these Combined Financial Statements as components of XPO investment. We prepare our Combined Financial Statements in accordance with GAAP, which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w:t>
      </w:r>
    </w:p>
    <w:p>
      <w:pPr>
        <w:spacing w:after="0" w:line="1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Combined Balance Sheets include certain assets and liabilities directly attributable to RXO, and the Combined Statements of Operations include allocations of XPO costs and expenses, as described below. XPO’s third-party debt and the related interest expense were not allocated to us for any of the periods presented as XPO’s borrowings are not our legal obligation.</w:t>
      </w:r>
    </w:p>
    <w:p>
      <w:pPr>
        <w:spacing w:after="0" w:line="12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we define as net income before interest expense, income tax, depreciation and amortization expense, transaction and integration costs, restructuring costs and other adjustments, or headcount. These allocated costs are recorded in Sales, general and administrative expense (“SG&amp;A”), Depreciation and amortization expense, Transaction and integration costs and Restructuring costs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417" w:right="359" w:bottom="1440" w:gutter="0" w:footer="0" w:header="0"/>
        </w:sectPr>
      </w:pPr>
    </w:p>
    <w:bookmarkStart w:id="88" w:name="page89"/>
    <w:bookmarkEnd w:id="88"/>
    <w:p>
      <w:pPr>
        <w:ind w:right="100"/>
        <w:spacing w:after="0" w:line="282" w:lineRule="auto"/>
        <w:rPr>
          <w:sz w:val="20"/>
          <w:szCs w:val="20"/>
          <w:color w:val="auto"/>
        </w:rPr>
      </w:pPr>
      <w:r>
        <w:rPr>
          <w:rFonts w:ascii="Times New Roman" w:cs="Times New Roman" w:eastAsia="Times New Roman" w:hAnsi="Times New Roman"/>
          <w:sz w:val="18"/>
          <w:szCs w:val="18"/>
          <w:color w:val="auto"/>
        </w:rPr>
        <w:t>Cost of transportation and services (exclusive of depreciation and amortization) primarily includes the cost of providing or procuring freight transportation for RXO customers.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Direct operating expenses (exclusive of depreciation and amortization) are comprised of both fixed and variable expenses and consist mainly of personnel costs, facility and equipment expenses, such as rent, utilities, equipment maintenance and repair, costs of materials and supplies, information technology expenses, and gains and losses on sales of property and equipment.</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SG&amp;A, including the allocated costs of XPO, primarily consists of salaries and commissions for the sales function, salary and benefit costs for executive and certain administration functions, third-party professional fees, facility costs, bad debt expense and legal costs.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XPO investment represents XPO’s historical investment in RXO, and includes the net effects of transactions with and allocations from XPO, as well as RXO’s accumulated earnings. Certain transactions between RXO and XPO, including XPO’s non-RXO subsidiaries, have been included in these Combined Financial Statements, and are considered to be effectively settled at the time the transaction is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RXO and general financing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RXO has a single reportable segment.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Combined Summary Financial Results for the Three and Six Months Ended June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7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0" w:type="dxa"/>
            <w:vAlign w:val="bottom"/>
          </w:tcPr>
          <w:p>
            <w:pPr>
              <w:spacing w:after="0"/>
              <w:rPr>
                <w:sz w:val="1"/>
                <w:szCs w:val="1"/>
                <w:color w:val="auto"/>
              </w:rPr>
            </w:pPr>
          </w:p>
        </w:tc>
      </w:tr>
      <w:tr>
        <w:trPr>
          <w:trHeight w:val="195"/>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CCEEFF"/>
            </w:tcBorders>
            <w:vMerge w:val="continue"/>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transportation and services (exclusive of</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73.7 %</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75.8 %</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77.3 %</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Direct operating expense (exclusive of depreciation</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 expense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revenue increased 11.6% to $1.2 billion in the second quarter of 2022, compared with $1.1 billion for the same quarter in 2021. Revenue for the first six months of 2022 increased 17.3% to $2.5 billion compared with $2.2 billion for the same period in 2021. The year-over-year increases in revenue in the second quarter and first six months of 2022 primarily reflect an increase in North American truck brokerage loads, facilitated by our digital platform, as well as strong pricing across our service offerings. Of the $0.1 billion increase in revenue in the second quarter of 2022, compared with the same quarter in 2021, 73% was driven by volume increases and 31% was driven by pricing increases, partially offset by a 4% reduction from changes in mix. Of the $0.4 billion increase in revenue in the first six months of 2022, compared with the same period in 2021, 58% was driven by volume increases, 41% was driven by pricing increases, and 1% was driven by changes in mix.</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pandemic-related supply chain constraints continue to diminish, we expect transportation pricing and freight volumes to normalize, driving revenue growth at a more moderate rate. Year-over-year revenue performance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7" w:right="339" w:bottom="1440" w:gutter="0" w:footer="0" w:header="0"/>
        </w:sectPr>
      </w:pPr>
    </w:p>
    <w:bookmarkStart w:id="89" w:name="page90"/>
    <w:bookmarkEnd w:id="89"/>
    <w:p>
      <w:pPr>
        <w:ind w:right="20"/>
        <w:spacing w:after="0" w:line="258" w:lineRule="auto"/>
        <w:rPr>
          <w:sz w:val="20"/>
          <w:szCs w:val="20"/>
          <w:color w:val="auto"/>
        </w:rPr>
      </w:pPr>
      <w:r>
        <w:rPr>
          <w:rFonts w:ascii="Times New Roman" w:cs="Times New Roman" w:eastAsia="Times New Roman" w:hAnsi="Times New Roman"/>
          <w:sz w:val="18"/>
          <w:szCs w:val="18"/>
          <w:color w:val="auto"/>
        </w:rPr>
        <w:t>become more directly comparable – for example, our 39.7% revenue increase in 2021 reflected a year of uneven recovery measured against 2020, a year of severe economic disruption; whereas full year 2022 will be more directly comparable to full year 2021, and should be increasingly so going forward. Further, we expect convergence in revenue growth rates across our operating segments as they benefit more equally from shared secular tailwinds in freight transportation, such as the shipper trend toward outsourcing to brokers, and increased industry adoption of digital capabilities in RXO’s company-wide technology ecosystem.</w:t>
      </w:r>
    </w:p>
    <w:p>
      <w:pPr>
        <w:spacing w:after="0" w:line="1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Cost of transportation and services (exclusive of depreciation and amortization) for the second quarter of 2022 was $904 million, or 73.7% of revenue, compared with $860 million or 78.3% of revenue, for the same quarter in 2021. Cost of transportation and services (exclusive of depreciation and amortization) for the first six months of 2022 was $1.9 billion, or 75.8% of revenue, compared with $1.7 billion or 77.3% of revenue, for the same period in 2021. Third party transportation costs as a percentage of revenue decreased year-over-year by 3.9 and 0.9 percentage points for the second quarter and first six months of 2022, respectively. The year-over-year decreases in both 2022 periods were due primarily to our ability to purchase services at lower cost as the transportation market softened, while the majority of our revenue reflected fixed terms on customer contracts established in stronger rate environments prior to 2022.</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 operating expense (exclusive of depreciation and amortization) for the second quarter of 2022 was $56 million, or 4.6% of revenue, compared with $48 million, or 4.4% of revenue, for the same quarter in 2021. Direct operating expense (exclusive of depreciation and amortization) for the first six months of 2022 was $111 million, or 4.4% of revenue, compared with $95 million, or 4.4% of revenue, for the same period in 2021. The year-over-year increase as a percentage of revenue in the second quarter of 2022 was primarily a result of higher compensation-related costs which increased as a percentage of revenue by approximately 0.2 percentage points.</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SG&amp;A was $166 million for the second quarter of 2022, or 13.5% of revenue, compared with $124 million, or 11.3% of revenue, for the same quarter in 2021. SG&amp;A was $327 million for the first six months of 2022, or 12.9% of revenue, compared with $257 million, or 11.9% of revenue, for the same period in 2021. The year-over-year increases in SG&amp;A as a percentage of revenue primarily resulted from: i) higher compensation-related costs of 1.4 and 0.5 percentage points, respectively, for the second quarter and first six months of 2022; and ii) higher allocated corporate overhead costs of 0.4 and 0.1 percentage points, respectively, for the second quarter and first six months of 2022, compared with the same periods in 2021.</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for the second quarter of 2022 was $21 million, compared with $20 million for the same quarter in 2021. Depreciation and amortization expense for the first six months of 2022 was $42 million, compared with $40 million for the same period in 2021. Depreciation and amortization expense for both the second quarter of 2022 and 2021 included amortization of acquisition-related intangible assets of $6 million. Depreciation and amortization expense included amortization of acquisition-related intangible assets of $11 million and $12 million for the first six months of 2022 and 2021, respectively.</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Transaction and integration costs for the second quarter and first six months of 2022 were $18 million and $21 million, respectively, and are primarily comprised of spin-off related costs.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effective income tax rates were 24.3% and 25.7% for the second quarter of 2022 and 2021, respectively, and 24.3% and 23.3% for the first six months of 2022 and 2021, respectively. The effective tax rates for the second quarter and six month periods of 2022 and 2021 were based on forecasted full-year effective tax rates, adjusted for discrete items that occurred within the periods presented. There were no material items impacting the effective tax rate for the second quarter of 2022 or 2021. The primary item impacting the effective tax rate for the first six months of 2022 was a tax benefit of $1 million from stock-based compensation. The primary items impacting the effective tax rate for the first six months of 2021 were tax benefits of $1 million from stock-based compensation and $2 million from revaluing state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Combined Summary Financial Results for the Years Ended December 31, 2021, 2020 and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62"/>
        </w:trPr>
        <w:tc>
          <w:tcPr>
            <w:tcW w:w="4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transportation and services (exclusive of</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78.5 %</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76.5 %</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76.9 %</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Direct operating expense (exclusive of</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with Year Ended December 31, 2020</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combined revenue for 2021 increased by 39.7% to $4.7 billion, from $3.4 billion in 2020. The increase primarily reflects an increase in North American truck brokerage loads per day facilitated by our digital platform, as well as strength in other brokerage services, in part due to strong pricing and improving market conditions in the economic recovery from the COVID-19 pandemic. These gains were partially offset by the impact of the global semiconductor shortage, which constrained customer demand for freight transportation services in North America. Of the $1.3 billion year-over-year increase in revenue, 51% was driven by volume increases, 37% was driven by pricing increases, and 12% was driven by changes in mix.</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transportation and services (exclusive of depreciation and amortization) in 2021 was $3.7 billion, or 78.5% of revenue, compared with $2.6 billion, or 76.5% of revenue in 2020. The year-over-year increase as a percentage of revenue reflects the constrained labor market, which resulted in higher third-party transportation costs of approximately 2.2% as a percentage of revenue.</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Direct operating expense (exclusive of depreciation and amortization) in 2021 was $192 million, or 4.1% of revenue, compared with $174 million, or 5.2% of revenue, in 2020. The year-over-year decrease as a percentage of revenue was primarily driven by the leveraging of compensation-related costs, including third-party contractor costs, and facilities costs across a larger revenue base, which in aggregate decreased direct operating expense by approximately 0.8% as a percentage of revenue.</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SG&amp;A was $539 million in 2021, or 11.5% of revenue, compared with $455 million, or 13.6% of revenue, in 2020. The year-over-year decrease in SG&amp;A as a percentage of revenue primarily resulted from lower compensation costs and bad debt expense, which decreased SG&amp;A by approximately 1.0% and 0.6%, respectively, as a percentage of revenue.</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 2021 was $81 million, compared with $76 million in 2020. Depreciation and amortization expense included amortization of acquisition-related intangible assets of $24 million in 2021, compared to $25 million in 2020.</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and integration costs in 2021 were $2 million, compared with $14 million in 2020. Transaction and integration costs for 2020 included third-party professional fees related to XPO’s exploration of strategic alternatives that was terminated in March 2020.</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Restructuring costs in 2021 were $2 million, compared with $10 million in 2020. We engage in restructuring actions as part of our ongoing efforts to best use our resources and infrastructure, including actions in response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13" w:right="339" w:bottom="1440" w:gutter="0" w:footer="0" w:header="0"/>
        </w:sectPr>
      </w:pPr>
    </w:p>
    <w:bookmarkStart w:id="91" w:name="page92"/>
    <w:bookmarkEnd w:id="91"/>
    <w:p>
      <w:pPr>
        <w:ind w:right="300"/>
        <w:spacing w:after="0" w:line="282" w:lineRule="auto"/>
        <w:rPr>
          <w:sz w:val="20"/>
          <w:szCs w:val="20"/>
          <w:color w:val="auto"/>
        </w:rPr>
      </w:pPr>
      <w:r>
        <w:rPr>
          <w:rFonts w:ascii="Times New Roman" w:cs="Times New Roman" w:eastAsia="Times New Roman" w:hAnsi="Times New Roman"/>
          <w:sz w:val="18"/>
          <w:szCs w:val="18"/>
          <w:color w:val="auto"/>
        </w:rPr>
        <w:t>COVID-19. For further information on our restructuring actions, see Note 4—Restructuring Charges to the Combined Financial Statements. We do not expect any significant savings from these initiatives.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consolidated income before income taxes in 2021 was $191 million, compared with $57 million in 2020. The increase was primarily driven by higher operating income. With respect to our U.S. operations, income before income taxes was $169 million in 2021, compared with $45 million in 2020. With respect to our non-U.S. operations, income before income taxes was $22 million in 2021, compared with $12 million in 2020. The year-over-year increase for both our U.S. and foreign operations was primarily due to higher revenue, partially offset by higher third-party transportation and personnel costs, in part due to the negative impact of COVID-19 in 2020.</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21.4% and 24.7% in 2021 and 2020, respectively. The decrease in our effective income tax rate for the year ended December 31, 2021 compared to the year ended December 31, 2020 was primarily driven by discrete tax benefits of $5 million resulting from changes in reserves for uncertain tax positions for the year ended December 31, 2021. There were no material items impacting the effective tax rate for the year ended December 31,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with Year Ended December 31, 2019</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combined revenue for 2020 increased by 6.9% to $3.4 billion, from $3.1 billion in 2019. The increase in revenue primarily reflected an increase in volume for truck brokerage, partially offset by the impact of COVID-19 and lower fuel revenue due to a reduction in diesel fuel rates. Of the $0.2 billion year-over-year increase in revenue, 52% was driven by pricing increases, 39% was driven by volume increases, and 9% was driven by changes in mix.</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transportation and services (exclusive of depreciation and amortization) in 2020 was $2.6 billion, or 76.5% of revenue, compared with $2.4 billion, or 76.9% of revenue in 2019. The year-over-year decrease as a percentage of revenue primarily reflects lower payroll costs, which decreased cost of transportation and services by approximately 0.2% as a percentage of revenue.</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 operating expense (exclusive of depreciation and amortization) in 2020 was $174 million, or 5.2% of revenue, compared with $162 million, or 5.2% of revenue, in 2019. As a percentage of revenue, direct operating expense was flat year-over-year with no significant fluctuations.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SG&amp;A was $455 million in 2020, or 13.6% of revenue, compared with $399 million, or 12.7% of revenue, in 2019. The year-over-year increase in SG&amp;A as a percentage of revenue primarily resulted from higher allocated corporate overhead and bad debt expense, which increased SG&amp;A by approximately 0.4% and 0.4%, respectively, as a percentage of revenue.</w:t>
      </w:r>
    </w:p>
    <w:p>
      <w:pPr>
        <w:spacing w:after="0" w:line="12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 2020 was $76 million, compared with $74 million in 2019. Depreciation expense grew by approximately $12 million in 2020 primarily due to an increase in internally-developed software. Partially offsetting this increase was a decrease in amortization expense, which included amortization of acquisition-related intangible assets of $25 million in 2020, compared to $34 million in 2019. Amortization expense in 2019 included $6 million related to the impairment of customer relationship intangibles associated with our direct postal injection business.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and integration costs in 2020 were $14 million, compared with $1 million in 2019. Transaction and integration costs in 2020 included third-party professional fees related to XPO’s exploration of strategic alternatives that was terminated in March 2020.</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Restructuring costs in 2020 were essentially flat compared to 2019. We engage in restructuring actions as part of our ongoing efforts to best use our resources and infrastructure, including actions in response to COVID-19. Additionally, a portion of the restructuring charge recorded in 2019 related to a customer downsizing its business with us.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(income) expense was an expense of $3 million for 2020, compared with income of $2 million in 2019. The fluctuation primarily resulted from $2 million higher foreign currency losses in 2020 and other insignificant items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80"/>
          </w:cols>
          <w:pgMar w:left="320" w:top="1417" w:right="399" w:bottom="1440" w:gutter="0" w:footer="0" w:header="0"/>
        </w:sectPr>
      </w:pPr>
    </w:p>
    <w:bookmarkStart w:id="92" w:name="page93"/>
    <w:bookmarkEnd w:id="92"/>
    <w:p>
      <w:pPr>
        <w:ind w:right="40"/>
        <w:spacing w:after="0" w:line="261" w:lineRule="auto"/>
        <w:rPr>
          <w:sz w:val="20"/>
          <w:szCs w:val="20"/>
          <w:color w:val="auto"/>
        </w:rPr>
      </w:pPr>
      <w:r>
        <w:rPr>
          <w:rFonts w:ascii="Times New Roman" w:cs="Times New Roman" w:eastAsia="Times New Roman" w:hAnsi="Times New Roman"/>
          <w:sz w:val="18"/>
          <w:szCs w:val="18"/>
          <w:color w:val="auto"/>
        </w:rPr>
        <w:t>Our consolidated income before income taxes in 2020 was $57 million, compared with $84 million in 2019. The decrease primarily was driven by lower operating income. With respect to our U.S. operations, income before income taxes was $45 million, compared with $71 million in 2019. The decrease was primarily due to the impact of COVID-19. With respect to our non-U.S. operations, income before income taxes was $12 million in 2020, compared to $13 million in 2019.</w:t>
      </w:r>
    </w:p>
    <w:p>
      <w:pPr>
        <w:spacing w:after="0" w:line="126"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Our effective income tax rate was 24.7% and 27.0% in 2020 and 2019, respectively. The decrease in our effective income tax rate for the year ended December 31, 2020 compared to the year ended December 31, 2019 was primarily driven by a discrete tax expense of $3 million from provision to return adjustments for the year ended December 31, 2019. There were no material items impacting the effective tax rate for the year ended December 31, 2020.</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there was no material income tax benefit on our Combined Statements of Operations in 2020. Additionally, our 2020 cash flows benefited from the ability to defer the payment of certain payroll taxes that would otherwise have been due in 2020. We have not applied for any government loans under the CARES Act or similar laws.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existing sources of cash are cash generated from operations and funding from XPO.</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Treasury activities at XPO are generally centralized, while certain balances are managed locally. To the extent cash and cash equivalents are legally owned by RXO, they are reflected in the Combined Financial Statements.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Following our spin-off from XPO, our capital structure and sources of liquidity will change from our historical capital structure because we will no longer participate in XPO’s centralized cash management program. Additionally, we expect to incur $455 million of new debt. See “Description of Material Indebtedness” and “Capitalization” for further information.</w:t>
      </w:r>
    </w:p>
    <w:p>
      <w:pPr>
        <w:spacing w:after="0" w:line="12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 In conjunction with the planned spin-off, we expect to further evaluate our liquidity needs, capital structure and sources of capital on a standalone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asset and liability balances as of June 30, 2022, December 31, 2021 and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assets increased by $198 million from December 31, 2020 to December 31, 2021, primarily due to an increase in accounts receivable related to higher revenue in 2021, partially offset by lower cash and cash equivalents. Total liabilities increased by $196 million from December 31, 2020 to December 31, 2021, primarily due to higher accounts payable consistent with higher revenue, and, to a lesser extent, an increase in accrued expenses, primarily due to higher third-party transportation costs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17" w:right="339" w:bottom="1440" w:gutter="0" w:footer="0" w:header="0"/>
        </w:sectPr>
      </w:pPr>
    </w:p>
    <w:bookmarkStart w:id="93" w:name="page94"/>
    <w:bookmarkEnd w:id="93"/>
    <w:p>
      <w:pPr>
        <w:ind w:right="200"/>
        <w:spacing w:after="0" w:line="261" w:lineRule="auto"/>
        <w:rPr>
          <w:sz w:val="20"/>
          <w:szCs w:val="20"/>
          <w:color w:val="auto"/>
        </w:rPr>
      </w:pPr>
      <w:r>
        <w:rPr>
          <w:rFonts w:ascii="Times New Roman" w:cs="Times New Roman" w:eastAsia="Times New Roman" w:hAnsi="Times New Roman"/>
          <w:sz w:val="18"/>
          <w:szCs w:val="18"/>
          <w:color w:val="auto"/>
        </w:rPr>
        <w:t>Total assets increased by $304 million from December 31, 2021 to June 30, 2022 primarily due to an increase in cash and accounts receivable in 2022. Total liabilities increased by $175 million from December 31, 2021 to June 30, 2022, primarily due to higher accounts payable, and, to a lesser extent, an increase in accrued expenses in 2022. These changes in working capital were primarily driven by a sequential increase in volume during the first six months of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Activity for the Six Months Ended June 30, 2022 and 2021</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on our Condensed Combined Statements of Cash Flows, are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7"/>
        </w:trPr>
        <w:tc>
          <w:tcPr>
            <w:tcW w:w="8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2022, we: (i) generated cash from operating activities of $177 million and (ii) received $30 million of net transfers from XPO. We used cash during this period primarily to purchase $24 million of property and equipment.</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2021, we generated cash from operating activities of $96 million. We used cash during this period primarily to: (i) purchase property and equipment of $19 million and (ii) make net transfers to XPO of $89 million.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2022 increased by $81 million, compared with the first six months of 2021. The increase reflects favorable changes in working capital in the first six months of 2022, primarily related to accounts payable generating $95 million of cash, compared to using $40 million during the same period in 2021. This impact was partially offset by accounts receivable utilizing $102 million in cash during the first six months of 2022 compared to generating $4 million in cash for the same period in 2021. These changes in working capital were primarily driven by an increase in volume during the first six months of 2022.</w:t>
      </w:r>
    </w:p>
    <w:p>
      <w:pPr>
        <w:spacing w:after="0" w:line="1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Investing activities used $24 million of cash to purchase property and equipment for the first six months of 2022, compared with $18 million resulting primarily from the purchase property and equipment for the same period in 2021.</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Financing activities generated $30 million of cash for the first six months of 2022 from net transfers from XPO, compared with using $88 million of cash for the same period in 2021. The primary use of cash from financing activities for the first six months of 2021 was $89 million in net transfers to XPO.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there were no material changes to our December 31, 2021 contractual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Activity for the Years Ended December 31, 2021, 2020 and 2019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on our Combined Statements of Cash Flows,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17" w:right="339" w:bottom="1440" w:gutter="0" w:footer="0" w:header="0"/>
        </w:sectPr>
      </w:pPr>
    </w:p>
    <w:bookmarkStart w:id="94" w:name="page95"/>
    <w:bookmarkEnd w:id="94"/>
    <w:p>
      <w:pPr>
        <w:ind w:right="700"/>
        <w:spacing w:after="0" w:line="282" w:lineRule="auto"/>
        <w:rPr>
          <w:sz w:val="20"/>
          <w:szCs w:val="20"/>
          <w:color w:val="auto"/>
        </w:rPr>
      </w:pPr>
      <w:r>
        <w:rPr>
          <w:rFonts w:ascii="Times New Roman" w:cs="Times New Roman" w:eastAsia="Times New Roman" w:hAnsi="Times New Roman"/>
          <w:sz w:val="18"/>
          <w:szCs w:val="18"/>
          <w:color w:val="auto"/>
        </w:rPr>
        <w:t>During 2021, we generated cash from operating activities of $155 million and used cash during this period primarily to: (i) purchase property and equipment of $39 million and (ii) make net transfers to XPO of $159 million.</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2020, we: (i) generated cash from operating activities of $25 million and (ii) received net transfers from XPO of $32 million. We used cash during this period primarily to purchase property and equipment of $47 million.</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During 2019, we generated cash from operating activities of $123 million and used cash during this period primarily to: (i) purchase property and equipment of $56 million and (ii) make net transfers to XPO of $42 million.</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for 2021 increased by $130 million compared with 2020. The increase primarily reflects higher net income and accounts payable generating more cash for 2021 compared with 2020, partially offset by the payment of certain payroll taxes that were deferred in 2020 as allowed by the CARES Act.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for 2020 decreased by $98 million compared with 2019. The decrease reflects the impact of operating assets and liabilities using $60 million more in cash in 2020 and lower net income. Within operating assets and liabilities, accounts receivable utilized $264 million of cash in 2020 as compared to generating $24 million in 2019 as a result of higher revenues in 2020. This increase in cash usage was partially offset by an increase in accounts payable and compensation and purchased transportation accruals, as well as the deferral of certain payroll tax payments in 2020 as allowed by the CARES Act.</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2021, we had $147 million of operating lease and related interest payment obligations, of which $47 million is due within the next twelve months. Additionally, we had operating leases that have not yet commenced with future undiscounted lease payments of $10 million. These operating leases will commence in 2022 with initial lease terms of 3 years to 7 years. For further information on our operating leases and their maturities, see Note 6—Leases to our Combined Financial Statements.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Investing activities used $38 million of cash in 2021, compared with $39 million used in 2020 and $55 million used in 2019. The primary use of cash from investing activities was purchases of property and equipment of $39 million, $47 million and $56 million in 2021, 2020 and 2019, respectively. We anticipate net capital expenditures to be between $40 million and $50 million in 2022, funded by cash on hand and available liquidity.</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Financing activities used $158 million of cash in 2021, compared with $32 million generated in 2020 and $47 million used in 2019. The primary use of cash from financing activities was net transfers to XPO of $159 million and $42 million in 2021 and 2019, respectively. The primary source of cash from financing activities in 2020 was net transfers from XPO of $32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prepare our Combined Financial Statements in accordance with GAAP.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Identified below are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Expense Allocation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of RXO include general corporate expenses for certain support functions that are provided on a centralized basis, such as expenses related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EBITDA that includes adjustments for transaction and integration costs, as well as restructuring costs and other adjustments, or headcount.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80"/>
          </w:cols>
          <w:pgMar w:left="320" w:top="1417" w:right="399" w:bottom="1440" w:gutter="0" w:footer="0" w:header="0"/>
        </w:sectPr>
      </w:pPr>
    </w:p>
    <w:bookmarkStart w:id="95" w:name="page96"/>
    <w:bookmarkEnd w:id="95"/>
    <w:p>
      <w:pPr>
        <w:ind w:right="2000"/>
        <w:spacing w:after="0" w:line="438" w:lineRule="auto"/>
        <w:rPr>
          <w:sz w:val="20"/>
          <w:szCs w:val="20"/>
          <w:color w:val="auto"/>
        </w:rPr>
      </w:pPr>
      <w:r>
        <w:rPr>
          <w:rFonts w:ascii="Times New Roman" w:cs="Times New Roman" w:eastAsia="Times New Roman" w:hAnsi="Times New Roman"/>
          <w:sz w:val="18"/>
          <w:szCs w:val="18"/>
          <w:color w:val="auto"/>
        </w:rPr>
        <w:t xml:space="preserve">costs have been deemed to have been incurred and settled through XPO investment in the period when the costs were recorded. </w:t>
      </w:r>
      <w:r>
        <w:rPr>
          <w:rFonts w:ascii="Times New Roman" w:cs="Times New Roman" w:eastAsia="Times New Roman" w:hAnsi="Times New Roman"/>
          <w:sz w:val="18"/>
          <w:szCs w:val="18"/>
          <w:b w:val="1"/>
          <w:bCs w:val="1"/>
          <w:i w:val="1"/>
          <w:iCs w:val="1"/>
          <w:color w:val="auto"/>
        </w:rPr>
        <w:t>Evaluation of Goodwill</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 We have six reporting units. Application of the goodwill impairment test requires judgment, including the identification of the reporting units, the assignment of assets and liabilities to the reporting units, the assignment of goodwill to the reporting units, and a determination of the fair value of the reporting units.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our 2021 goodwill assessment, we performed a quantitative analysis for our reporting units using a market approach. All of our reporting units had fair values in excess of their carrying values, resulting in no impairment of goodwill. The market approach of determining fair value is based on comparable market multiples for companies engaged in similar businesses, as well as recent transactions within our industry. We believe this approach provides a reasonable basis for estimating fair value.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our 2020 goodwill assessment, we performed a step-zero qualitative analysis for our reporting units. 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Qualitative assessments consider macroeconomic conditions, industry and market considerations, internal cost factors, and overall financial performance, among other factors.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Many of the factors used in assessing fair value are outside the control of management, and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participate in self-insurance programs that are managed by XPO to provide for the costs of medical, general liability, vehicular and workers’ compensation. XPO periodically evaluates our level of insurance coverage and adjusts our insurance levels based on risk tolerance and premium expense.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Additionally, claims may emerge in future years for events that occurred in a prior year at a rate that differs from previous actuarial projections. Changes in these assumptions and factors can impact actual costs paid to settle the claims and those amounts may be different than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Information related to new accounting standards is included in Note 2—Basis of Presentation and Significant Accounting Policies to the Combined Financial Statements and Note 2—Basis of Presentation to the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80"/>
          </w:cols>
          <w:pgMar w:left="320" w:top="1417"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commodity prices and in the price of diesel fuel purchased for use by third-party carriers who perform the physical freight movements we arrange. We include fuel price adjustment clauses or cost-recovery mechanisms in many of our customer contracts, enabling us to pass on to these customers substantially all of the fluctuations in the price of diesel fuel, except for short-term economic fluctuations, in the price for our services. Therefore, a hypothetical 10% change in the price of diesel fuel would not be expected to materially affect our financial performance.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 portion of our net assets and income are in non-U.S. dollar currencies and, as such, we are exposed to currency risk from potential changes in the functional currency values of our foreign currency denominated assets, liabilities and cash flows. We believe that this foreign currency exchange rate risk will not have a material impact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80"/>
          </w:cols>
          <w:pgMar w:left="320" w:top="1413" w:right="399" w:bottom="1440" w:gutter="0" w:footer="0" w:header="0"/>
        </w:sectPr>
      </w:pPr>
    </w:p>
    <w:bookmarkStart w:id="97" w:name="page98"/>
    <w:bookmarkEnd w:id="9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Following the Distribution</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individuals who are expected to serve as executive officers of RXO following the completion of the distribution.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 Wilkerson</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shd w:val="clear" w:color="auto" w:fill="CCEEFF"/>
          </w:tcPr>
          <w:p>
            <w:pPr>
              <w:spacing w:after="0"/>
              <w:rPr>
                <w:sz w:val="19"/>
                <w:szCs w:val="19"/>
                <w:color w:val="auto"/>
              </w:rPr>
            </w:pPr>
          </w:p>
        </w:tc>
        <w:tc>
          <w:tcPr>
            <w:tcW w:w="6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Harris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19"/>
                <w:szCs w:val="19"/>
                <w:color w:val="auto"/>
              </w:rPr>
            </w:pPr>
          </w:p>
        </w:tc>
        <w:tc>
          <w:tcPr>
            <w:tcW w:w="6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 Firestone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19"/>
                <w:szCs w:val="19"/>
                <w:color w:val="auto"/>
              </w:rPr>
            </w:pPr>
          </w:p>
        </w:tc>
        <w:tc>
          <w:tcPr>
            <w:tcW w:w="6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Drew Wilkerson </w:t>
      </w:r>
      <w:r>
        <w:rPr>
          <w:rFonts w:ascii="Times New Roman" w:cs="Times New Roman" w:eastAsia="Times New Roman" w:hAnsi="Times New Roman"/>
          <w:sz w:val="18"/>
          <w:szCs w:val="18"/>
          <w:color w:val="auto"/>
        </w:rPr>
        <w:t>is a transportation industry veteran with 16 years of experience in brokerage operations. He joined XPO in May 2012 to spearhead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of the company’s flagship truck brokerage hub in Charlotte, North Carolina. In May 2014, he was promoted to regional vice president, with responsibility for major brokerage operations, and served as the key liaison for strategic accounts. In March 2017, he was named president of XPO’s North American brokerage business; and in February 2020, he was named president of XPO’s North American transportation division, with P&amp;L responsibility for truck brokerage, expedite, intermodal, drayage, managed transportation, last mile and freight forwarding. He has served in this role until the separation. Prior to XPO, Mr. Wilkerson held leadership positions in sales, operations, and customer and carrier relationship management with C.H. Robinson Worldwide.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Jamie Harris </w:t>
      </w:r>
      <w:r>
        <w:rPr>
          <w:rFonts w:ascii="Times New Roman" w:cs="Times New Roman" w:eastAsia="Times New Roman" w:hAnsi="Times New Roman"/>
          <w:sz w:val="18"/>
          <w:szCs w:val="18"/>
          <w:color w:val="auto"/>
        </w:rPr>
        <w:t>is a career CFO with 35 years of experience in B2B sectors, including two decades with public companies. He has served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XPO’s North American transportation division from September 2022, until the separation. Prior to XPO, he was CFO and treasurer of SPX Technologies from August 2020 to September 2022, and earlier held positions as CFO and then interim CEO of Elevate Textiles, Inc. from April 2019 to August 2020. From 2008 to 2018, he held various executive roles with Coca-Cola Consolidated, the largest independent Coca-Cola franchisee in the United States, including eight years as CFO and two years as executive vice president, business transformation. From 2003 to 2008, he served on the board of directors of Coca-Cola Consolidated. Mr. Harris began his career with Ernst &amp; Young LLP. He serves on the board of trustees of Appalachian State University.</w:t>
      </w:r>
    </w:p>
    <w:p>
      <w:pPr>
        <w:spacing w:after="0" w:line="12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Jeff Firestone </w:t>
      </w:r>
      <w:r>
        <w:rPr>
          <w:rFonts w:ascii="Times New Roman" w:cs="Times New Roman" w:eastAsia="Times New Roman" w:hAnsi="Times New Roman"/>
          <w:sz w:val="18"/>
          <w:szCs w:val="18"/>
          <w:color w:val="auto"/>
        </w:rPr>
        <w:t>has served as chief legal officer of XPO’s North American transportation division since August 2022, until the separation. Prior to XPO,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senior legal positions with United Parcel Service during a 22-year tenure, including executive legal responsibility for corporate matters, litigation, governance, compliance and risk mitigation. This included UPS positions as deputy general counsel, regulatory compliance and risk from February 2022 to August 2022, senior vice president, business unit finance from August 2020 to January 2022, and senior vice president, domestic finance, business analytics and transformation from August 2018 to July 2020. Earlier, Mr. Firestone practiced law with Gibson, Dunn &amp; Crutcher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Directors Following the Distribution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a classified board of directors, with members of each class serving staggered three-year terms. We will have three directors in Class I, three directors in Class II and three directors in Class III. Any additional directorships resulting from an increase in the number of directors will be distributed among the three classes so that, as nearly as possible, each class will consist of one-third of the directors. The terms of directors in Classes I, II and III end at the annual meetings in 2023, 2024 and 2025, as indicated below.</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first annual meeting of stockholders following the completion of the distribution, Class I directors will be elected at the annual meeting of stockholders held in the year in which the term for that class expires and thereafter will serve for a term of three years. Commencing with the second annual meeting of stockholders after the completion of the distribution,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starting at the 2026 annual meeting of stockholders, all of our directors will stand for election each year for one-year terms, and our board will therefore no longer be divided into three classes.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individuals who are expected to serve on RXO’s board of directors following completion of the distribution and until their respective successors are duly elected and qualified.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23"/>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Jacobs</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shd w:val="clear" w:color="auto" w:fill="CCEEFF"/>
          </w:tcPr>
          <w:p>
            <w:pPr>
              <w:spacing w:after="0"/>
              <w:rPr>
                <w:sz w:val="19"/>
                <w:szCs w:val="19"/>
                <w:color w:val="auto"/>
              </w:rPr>
            </w:pP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III - Expiring 2025</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Nettles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III - Expiring 2025</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Kissel</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Vice Chairman</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III - Expiring 2025</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Drew Wilkerson</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9"/>
                <w:szCs w:val="19"/>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I - Expiring 2023</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Breves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II - Expiring 2024</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AnnaMaria DeSalva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9"/>
                <w:szCs w:val="19"/>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II - Expiring 2024</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Adrian Kingshott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II - Expiring 2024</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Renna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I - Expiring 2023</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Szlosek</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I - Expiring 2023</w:t>
            </w:r>
          </w:p>
        </w:tc>
      </w:tr>
    </w:tbl>
    <w:p>
      <w:pPr>
        <w:spacing w:after="0" w:line="23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Brad Jacobs </w:t>
      </w:r>
      <w:r>
        <w:rPr>
          <w:rFonts w:ascii="Times New Roman" w:cs="Times New Roman" w:eastAsia="Times New Roman" w:hAnsi="Times New Roman"/>
          <w:sz w:val="17"/>
          <w:szCs w:val="17"/>
          <w:color w:val="auto"/>
        </w:rPr>
        <w:t>has started five companies from scratch and led each of them to become a billion-dollar or multibillion-dollar enterprise. These include XPO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Logistics (NYSE: XPO), which he has led as chairman and chief executive officer since September 2011, and two other publicly traded companies: United Rentals (NYSE: URI) and United Waste Systems. XPO and United Rentals were among the 10 best-performing stocks of the last decade. Prior to XPO, Mr. Jacobs founded United Rentals in 1997 and led the company for 10 years as chairman, including six years as chief executive officer. He founded United Waste Systems in 1989 and served eight years as chairman and chief executive officer. Additionally, since August 2021, he has served as non-executive chairman of the board of directors of GXO Logistics (NYSE: GXO). Mr. Jacobs is remaining with XPO as executive chairman following the separation.</w:t>
      </w:r>
    </w:p>
    <w:p>
      <w:pPr>
        <w:spacing w:after="0" w:line="11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Michelle Nettles </w:t>
      </w:r>
      <w:r>
        <w:rPr>
          <w:rFonts w:ascii="Times New Roman" w:cs="Times New Roman" w:eastAsia="Times New Roman" w:hAnsi="Times New Roman"/>
          <w:sz w:val="18"/>
          <w:szCs w:val="18"/>
          <w:color w:val="auto"/>
        </w:rPr>
        <w:t>has served as global chief people and culture officer for ManpowerGroup since July 2019, with responsibility for global human resources,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learning, culture and diversity. Previously, over a 20-year tenure with Molson Coors Brewing Company, Ms. Nettles held various leadership roles across all aspects of human resources, including executive compensation, talent management, diversity and inclusion, culminating in chief people and diversity officer from October 2016 to July 2019. She additionally served in several roles as assistant general counsel, including responsibility for leading the company’s labor and employment practice. Ms. Nettles is a member of the boards of St. Paul’s Cathedral Trust in America and the Thurgood Marshall College Fund, and is the board chair for Dr. Howard Fuller Collegiate Academy. Ms. Nettles brings to the board extensive expertise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99" w:name="page100"/>
    <w:bookmarkEnd w:id="99"/>
    <w:p>
      <w:pPr>
        <w:ind w:right="440"/>
        <w:spacing w:after="0" w:line="282" w:lineRule="auto"/>
        <w:rPr>
          <w:sz w:val="20"/>
          <w:szCs w:val="20"/>
          <w:color w:val="auto"/>
        </w:rPr>
      </w:pPr>
      <w:r>
        <w:rPr>
          <w:rFonts w:ascii="Times New Roman" w:cs="Times New Roman" w:eastAsia="Times New Roman" w:hAnsi="Times New Roman"/>
          <w:sz w:val="18"/>
          <w:szCs w:val="18"/>
          <w:color w:val="auto"/>
        </w:rPr>
        <w:t>corporate culture-building, ESG matters and human resources, including experience in executive compensation, talent management, and diversity and inclusion.</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Mary Kissel </w:t>
      </w:r>
      <w:r>
        <w:rPr>
          <w:rFonts w:ascii="Times New Roman" w:cs="Times New Roman" w:eastAsia="Times New Roman" w:hAnsi="Times New Roman"/>
          <w:sz w:val="18"/>
          <w:szCs w:val="18"/>
          <w:color w:val="auto"/>
        </w:rPr>
        <w:t>has served as a director of XPO since August 2021, until the separation. She has been executive vice president and senior policy advisor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Stephens Inc. since March 2021. Previously, from October 2018 to January 2021, Ms. Kissel served as senior advisor to the U.S. Secretary of State. From November 2005 to October 2018, she was a member of The Wall Street Journal editorial board in New York, where she was chief foreign policy writer, and editorial page editor for Asia-Pacific, based in Hong Kong. Ms. Kissel serves as an advisory board member of the Marathon Initiative in Washington, D.C. She is a member of the Council on Foreign Relations and the Nixon Seminar on Conservative Realism and National Security. Ms. Kissel brings to the board deep expertise in geopolitics, risk advisory, public policy and its impact on the business environment, and extensive experience in strategic communications, media and government affairs.</w:t>
      </w:r>
    </w:p>
    <w:p>
      <w:pPr>
        <w:spacing w:after="0" w:line="1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Drew Wilkerson’s </w:t>
      </w:r>
      <w:r>
        <w:rPr>
          <w:rFonts w:ascii="Times New Roman" w:cs="Times New Roman" w:eastAsia="Times New Roman" w:hAnsi="Times New Roman"/>
          <w:sz w:val="18"/>
          <w:szCs w:val="18"/>
          <w:color w:val="auto"/>
        </w:rPr>
        <w:t>background and experience is described above under “Management”. Mr. Wilkerson brings to the board in-depth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strategy, operations, customers and markets, and a deep understanding of the broader brokered transportation industry.</w:t>
      </w:r>
    </w:p>
    <w:p>
      <w:pPr>
        <w:spacing w:after="0" w:line="10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Christine Breves </w:t>
      </w:r>
      <w:r>
        <w:rPr>
          <w:rFonts w:ascii="Times New Roman" w:cs="Times New Roman" w:eastAsia="Times New Roman" w:hAnsi="Times New Roman"/>
          <w:sz w:val="18"/>
          <w:szCs w:val="18"/>
          <w:color w:val="auto"/>
        </w:rPr>
        <w:t>is executive vice president, business transformation with United States Steel Corporation, where she has held senior roles since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her current position, she served as U.S. Steel’s chief financial officer from November 2019 to August 2022, and earlier held roles as senior vice president, manufacturing support, chief supply chain officer and chief procurement officer. Previously, Ms. Breves was with Alcoa Corporation for 14 years, where she held various leadership positions in the company’s global procurement organization, including chief procurement officer from 2004 to 2012. She has served on the board of directors of Sylvamo Corporation since October 2021 and is a member of the audit committee. Ms. Breves brings to the board executive experience with strategy development and business transformation, as well as expertise with financial systems management, risk management, procurement and manufacturing operations.</w:t>
      </w:r>
    </w:p>
    <w:p>
      <w:pPr>
        <w:spacing w:after="0" w:line="1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AnnaMaria DeSalva </w:t>
      </w:r>
      <w:r>
        <w:rPr>
          <w:rFonts w:ascii="Times New Roman" w:cs="Times New Roman" w:eastAsia="Times New Roman" w:hAnsi="Times New Roman"/>
          <w:sz w:val="18"/>
          <w:szCs w:val="18"/>
          <w:color w:val="auto"/>
        </w:rPr>
        <w:t>has served as a director of XPO since September 2017, and vice chairman of the XPO board since February 2019,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Ms. DeSalva is the global chairman and chief executive officer of Hill+Knowlton Strategies, a position she has held since June 2019; in this role, she serves on the executive committee of parent company WPP plc. Previously, she served as chief communications officer of E.I. du Pont de Nemours &amp; Co. (DuPont) from March 2014 to January 2018; and then as senior advisor to the CEO of DowDuPont until February 2019. Earlier, Ms. DeSalva served as vice president of corporate affairs for biopharmaceutical innovation at Pfizer, was an advisor to the U.S. Food and Drug Administration, and led the global healthcare practice of Hill &amp; Knowlton. For Bristol-Myers Squibb, she led global public affairs for the oncology business and served as the director of the Bristol-Myers Squibb Foundation. Ms. DeSalva served on the board of governors of Argonne National Laboratory of the U.S. Department of Energy from February 2015 to September 2022, where she was a member of the compensation and nominating committees. She is a trustee of the Committee for Economic Development of The Conference Board, and serves on the board of the Raymond A. Mason School of Business at The College of William &amp; Mary. Ms. DeSalva brings to the board global perspective as the chief executive officer of a multinational advisory company serving clients across almost every geography and industrial sector. She also has significant corporate affairs experience, having served in related senior leadership roles at several public companies.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Adrian Kingshott </w:t>
      </w:r>
      <w:r>
        <w:rPr>
          <w:rFonts w:ascii="Times New Roman" w:cs="Times New Roman" w:eastAsia="Times New Roman" w:hAnsi="Times New Roman"/>
          <w:sz w:val="18"/>
          <w:szCs w:val="18"/>
          <w:color w:val="auto"/>
        </w:rPr>
        <w:t>has served as a director of XPO since September 2011, until the separation. Mr. Kingshott is a managing director of Spotlight Advisors,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position he has held since September 2015. Previously, Mr. Kingshott was the chief executive officer of AdSon, LLC from October 2005 to November 2021, a member of the board of directors of Centre Lane Investment Corp. from May 2011 to March 2021, and a senior advisor to Headwaters Merchant Bank from 2013 to June 2018. Previously, with Goldman Sachs, he was co-head of the firm’s Global Leveraged Finance business and held various other positions over a 17-year tenure. More recently, Mr. Kingshott was a managing director and portfolio manager at Amaranth Advisors, LLC. He is an adjunct professor of Global Capital Markets and Investments at Fordham University’s Gabelli School of Business. Mr. Kingshott brings to the board more than 25 years of experience in the investment banking and investment management industries, and expertise with respect to corporate governance, acquisition transactions, debt and equity financing and corporate financial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17" w:right="339" w:bottom="1440" w:gutter="0" w:footer="0" w:header="0"/>
        </w:sectPr>
      </w:pPr>
    </w:p>
    <w:bookmarkStart w:id="100" w:name="page101"/>
    <w:bookmarkEnd w:id="100"/>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Stephen Renna </w:t>
      </w:r>
      <w:r>
        <w:rPr>
          <w:rFonts w:ascii="Times New Roman" w:cs="Times New Roman" w:eastAsia="Times New Roman" w:hAnsi="Times New Roman"/>
          <w:sz w:val="18"/>
          <w:szCs w:val="18"/>
          <w:color w:val="auto"/>
        </w:rPr>
        <w:t>is a senior managing director with Ankura Consulting Group’s Global Strategic Advisory practice, a position he has held since May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Ankura, Mr. Renna served as the chief banking officer of the U.S. Export Import Bank (“EXIM”), the official export credit agency of the United States. In that role, from August 2019 to January 2021, he oversaw the execution of EXIM trade financing arrangements offered to exporters of U.S. goods and services. Previously, Mr. Renna was executive director of The Advocacy Center at the U.S. Department of Commerce from September 2017 to August 2019, and president and chief executive officer of the Commercial Real Estate Finance Council from May 2011 to April 2016. Earlier, he was president of the National Association of Real Estate Investment Managers. Mr. Renna brings to the board more than 30 years of executive experience in the public and private sectors, notably in finance, investment structuring, business planning, capital formation and the functions of federal agencies.</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Thomas Szlosek </w:t>
      </w:r>
      <w:r>
        <w:rPr>
          <w:rFonts w:ascii="Times New Roman" w:cs="Times New Roman" w:eastAsia="Times New Roman" w:hAnsi="Times New Roman"/>
          <w:sz w:val="18"/>
          <w:szCs w:val="18"/>
          <w:color w:val="auto"/>
        </w:rPr>
        <w:t>is chief financial officer of Avantor, Inc., a global partner to customers in the biopharma, healthcare, education and government,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technologies and applied materials industries. He joined Avantor in December 2018 following a 14-year tenure with Honeywell, where he most recently served as CFO from April 2014 to December 2018. Earlier, during eight years with GE Corporation, Mr. Szlosek held various finance leadership roles, including CFO of GE Medical Systems Asia, based in Japan, and CFO of GE Consumer Finance Europe, based in Ireland. He is a certified public accountant, and began his career in the audit practice of Price Waterhouse (now PwC). Mr. Szlosek has served as a director and a member of the audit committee of Janus International Group, Inc. since June 2021. Mr. Szlosek brings to the board more than two decades of financial management experience across a number of different sectors, including medical, technology and manufacturing, and has extensive public company experience as a current and former chief financial officer of Fortune 500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Under our Corporate Governance Guidelines (the “Guidelines”), our board of directors will be responsible for making independence determinations annually with the assistance of the Nominating, Governance and Sustainability Committee. Such independence determinations will be made by reference to the independence standard under the Guidelines and the definition of “independent director” under Section 303A.02 of the NYSE Listed Company Manual.</w:t>
      </w:r>
    </w:p>
    <w:p>
      <w:pPr>
        <w:spacing w:after="0" w:line="1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the independence standards provided in the Guidelines, our board will be responsible for determining that each director who serves on our Audit Committee satisfies standards established by the SEC providing that, to qualify as “independent” for the purposes of membership on that committee, members of audit committees may not: (i) accept directly or indirectly any consulting, advisory or other compensatory fee from RXO other than their director compensation, or (ii) be an affiliated person of RXO or any of its subsidiaries. Our board of directors will also determine that each member of the Compensation Committee satisfies the NYSE standards for independence. Additionally, our board of directors will determine that each member of the Nominating, Governance and Sustainability Committee satisfies the applicable NYSE standards for independence. In making the independence determinations for each director, our board of directors and the Nominating, Governance and Sustainability Committee will analyze certain relationships of the directors that are not required to be disclosed pursuant to Item 404(a) of Regulation S-K.</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is expected to affirmatively determine that all the directors are independent except Mr. Jacobs and Mr. Wilkerson. In the course of its determination regarding independence, the board is expected not to find any material relationships between RXO and any of the directors, other than Brad Jacobs’s role as the executive chairman of XPO and Drew Wilkerson’s role as the Chief Executive Officer of RXO.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Effective upon the completion of the distribution, our board of directors will have the following three standing committees: an Audit Committee, a Compensation Committee, and a Nominating, Governance and Sustainability Committee. The board is expected to adopt written charters for each committee, which will be available on our website.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of the Audit Committee, the Compensation Committee, and the Nominating, Governance and Sustainability Committee is expected to be comprised solely of directors who have been determined by the board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13" w:right="339" w:bottom="1440" w:gutter="0" w:footer="0" w:header="0"/>
        </w:sectPr>
      </w:pPr>
    </w:p>
    <w:bookmarkStart w:id="101" w:name="page102"/>
    <w:bookmarkEnd w:id="101"/>
    <w:p>
      <w:pPr>
        <w:ind w:right="800"/>
        <w:spacing w:after="0" w:line="282" w:lineRule="auto"/>
        <w:rPr>
          <w:sz w:val="20"/>
          <w:szCs w:val="20"/>
          <w:color w:val="auto"/>
        </w:rPr>
      </w:pPr>
      <w:r>
        <w:rPr>
          <w:rFonts w:ascii="Times New Roman" w:cs="Times New Roman" w:eastAsia="Times New Roman" w:hAnsi="Times New Roman"/>
          <w:sz w:val="18"/>
          <w:szCs w:val="18"/>
          <w:color w:val="auto"/>
        </w:rPr>
        <w:t>be independent in accordance with SEC regulations, NYSE listing standards and the independence standards under our Guidelines (including the heightened independence standards for members of the Audit Committee and the Compensation Committee).</w:t>
      </w:r>
    </w:p>
    <w:p>
      <w:pPr>
        <w:spacing w:after="0" w:line="1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Following the completion of the distribution, the members of the Audit Committee are expected to be Thomas Szlosek (chair), Christine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Breves and Adrian Kingshott. RXO’s board of directors is expected to determine that Mr. Szlosek is an “audit committee financial expert” for purposes of the rules of the SEC, and that each member of the Audit Committee is financially literate as required by the rules of the NYSE. Our Audit Committee will be established in accordance with Section 3(a)(58)(A) of the Exchange Act, to assist our board in fulfilling its responsibilities in a number of areas, including, without limitation, oversight of: (i) our accounting and financial reporting processes, including our systems of internal controls and disclosure controls, (ii) the integrity of our financial statements, (iii) our compliance with legal and regulatory requirements, (iv) the qualifications and independence of our independent registered public accounting firm, (v) the performance of our independent registered public accounting firm and internal audit function, and (vi) related party transactions. Each member of the Audit Committee will be required to: (i) satisfy all applicable independence standards, (ii) not have participated in the preparation of our financial statements at any time during the past three years, and (iii) be able to read and understand fundamental financial statements.</w:t>
      </w:r>
    </w:p>
    <w:p>
      <w:pPr>
        <w:spacing w:after="0" w:line="13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Following the completion of the distribution, the members of the Compensation Committee are expected to be Michelle Nettles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Mary Kissel and Stephen Renna. RXO’s board of directors is expected to determine that each member of the Compensation Committee will be independent, as defined by the rules of the NYSE and in accordance with our Guidelines. The primary responsibilities of the Compensation Committee will be, among other things: (i) to oversee the administration of our compensation programs, (ii) to review and approve the compensation of our executive management, (iii) to review and make recommendations concerning director compensation, (iv) to prepare any report on executive compensation required by SEC rules and regulations, and (v) to retain independent compensation consultants and oversee the work of such consultants.</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Nominating, Governance and Sustainability Committee</w:t>
      </w:r>
      <w:r>
        <w:rPr>
          <w:rFonts w:ascii="Times New Roman" w:cs="Times New Roman" w:eastAsia="Times New Roman" w:hAnsi="Times New Roman"/>
          <w:sz w:val="18"/>
          <w:szCs w:val="18"/>
          <w:color w:val="auto"/>
        </w:rPr>
        <w:t>. Following the completion of the distribution, the members of the Nominating, Governance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Sustainability Committee are expected to be AnnaMaria DeSalva (chair), Adrian Kingshott and Stephen Renna. RXO’s board of directors is expected to determine that each of the members of the Nominating, Governance and Sustainability Committee will be independent, as defined by the rules of the NYSE and in accordance with our Guidelines. The primary responsibilities of the Nominating, Governance and Sustainability Committee will be, among other things: (i) to identify individuals qualified to become directors and recommend that our board select such individuals to be presented for stockholder consideration at the annual meeting or to be appointed by the board to fill a vacancy, (ii) to make recommendations to our board concerning committee appointments, (iii) to develop, recommend to our board and annually review the Guidelines and oversee corporate governance matters, (iv) to oversee an annual evaluation of our board and committees, and (v) to support our board in its oversight of our sustainability strategies, performance and external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Make Pay Decisions and Assess Our Compensation Programs</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During our fiscal year ended December 31, 2021, RXO was not an independent company and did not have a compensation committee or any other committee serving a similar function. Decisions as to the compensation of those who currently serve as our executive officers were made by XPO, as described in the section of this information statement titled “Executive Compensation—Compensation Discussion &amp;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Sound Corporate Governance</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RXO will be committed to strong corporate governance practices designed to maintain high standards of independent oversight, accountability, integrity and ethics, while promoting long-term value creation for our stockholders and other stakeholders.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governance structure will enable independent, experienced and accomplished directors to provide advice, insight and oversight to advance the interests of RXO and our stockholders. RXO will strive to maintain sound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17" w:right="339" w:bottom="1440" w:gutter="0" w:footer="0" w:header="0"/>
        </w:sectPr>
      </w:pPr>
    </w:p>
    <w:bookmarkStart w:id="102" w:name="page103"/>
    <w:bookmarkEnd w:id="102"/>
    <w:p>
      <w:pPr>
        <w:ind w:right="80"/>
        <w:spacing w:after="0" w:line="282" w:lineRule="auto"/>
        <w:rPr>
          <w:sz w:val="20"/>
          <w:szCs w:val="20"/>
          <w:color w:val="auto"/>
        </w:rPr>
      </w:pPr>
      <w:r>
        <w:rPr>
          <w:rFonts w:ascii="Times New Roman" w:cs="Times New Roman" w:eastAsia="Times New Roman" w:hAnsi="Times New Roman"/>
          <w:sz w:val="18"/>
          <w:szCs w:val="18"/>
          <w:color w:val="auto"/>
        </w:rPr>
        <w:t>governance standards, to be reflected in our Code of Business Ethics, our Guidelines, our systematic approach to risk management and our commitment to transparent financial reporting and strong internal controls.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documents, as well as additional corporate governance information and materials, will be available on our website at </w:t>
      </w:r>
      <w:r>
        <w:rPr>
          <w:rFonts w:ascii="Times New Roman" w:cs="Times New Roman" w:eastAsia="Times New Roman" w:hAnsi="Times New Roman"/>
          <w:sz w:val="18"/>
          <w:szCs w:val="18"/>
          <w:i w:val="1"/>
          <w:iCs w:val="1"/>
          <w:color w:val="auto"/>
        </w:rPr>
        <w:t>investors.rxo.com</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Certificate of Incorporation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Ethics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addition, the following documents will be available on our website at </w:t>
      </w:r>
      <w:r>
        <w:rPr>
          <w:rFonts w:ascii="Times New Roman" w:cs="Times New Roman" w:eastAsia="Times New Roman" w:hAnsi="Times New Roman"/>
          <w:sz w:val="18"/>
          <w:szCs w:val="18"/>
          <w:i w:val="1"/>
          <w:iCs w:val="1"/>
          <w:color w:val="auto"/>
        </w:rPr>
        <w:t>investors.rxo.com</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of each of our board committees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Copies of these documents will also available in print form at no charge by sending a request to RXO, Inc., 11215 North Community House Road, Charlotte, NC 28277, Attention: Investor Relations.</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RXO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and Board Leadership Structure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Nominating, Governance and Sustainability Committee is expected to routinely review our governance practices and board leadership structure to ensure that it continues to serve RXO’s best interests and the best interests of our stockholders.</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the completion of the distribution, it is expected that Brad Jacobs will serve as RXO’s chairman. To ensure independent oversight and decision-making, RXO will also have a lead independent director and a vice chairman.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Guidelines to be adopted in connection with the distribution, the independent directors will designate a lead independent director to, among other things, preside over meetings of the board of directors at which the chairman is not present and at executive sessions of the independent directors, and to serve as a liaison between the chairman and the independent directors. It is expected that Michelle Nettles will serve as the lead independent director as of the completion of the distribution.</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Additionally, the board of directors will appoint a vice chairman responsible for, among other things, presiding at meetings of the board of directors where the chairman and lead independent director are not present; assisting the chairman, when appropriate, in carrying out his or her duties; assisting the lead independent director, when appropriate, in carrying out his or her duties; and such other duties, responsibilities and assistance as the board of directors or the chairman may determine. It is expected that Mary Kissel will serve as the vice chairman as of the completion of the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distribution, our board of directors will hold regular and special meetings throughout each calendar year. In conjunction with those meetings, executive sessions, which are meetings of the independent directors, will be regularly scheduled throughout the year. Our lead independent director will preside over the executive sessions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20"/>
          </w:cols>
          <w:pgMar w:left="320" w:top="141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 and Director Evaluations</w:t>
      </w:r>
    </w:p>
    <w:p>
      <w:pPr>
        <w:spacing w:after="0" w:line="17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board will annually assess the effectiveness of the full board, the operations of its committees and the contributions of director nominees. The Nominating, Governance and Sustainability Committee will oversee the evaluation of the board as a whole and its committees, as well as individual evaluations of those directors who are being considered for possible re-nomination to the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Selection Process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Nominating, Governance and Sustainability Committee will be responsible for recommending to our board all nominees for election to the board, including nominees for re-election to the board, in each case, after consultation with the chairman of the board. Subject to the foregoing, in considering new nominees for election to our board, the Nominating, Governance and Sustainability Committee will consider, among other things, breadth of experience, financial expertise, wisdom, integrity, an ability to make independent analytical inquiries, an understanding of our company’s business environment, knowledge and experience in such areas as technology and marketing, and other disciplines relevant to our company’s businesses, the nominee’s ownership interest in our company, and a willingness and ability to devote adequate time to board duties, all in the context of the needs of the board at that point in time and with the objective of ensuring diversity in the background, experience and viewpoints of board members. When searching for new directors, our board will endeavor to actively seek out highly qualified women and individuals from underrepresented minorities to include in the pool from which board nominees are chosen. Our board will aim to create a team of directors with diverse experiences and perspectives to provide our company with thoughtful and engaged board oversight. The Nominating, Governance and Sustainability Committee will assess the effectiveness of its diversity efforts through periodic evaluations of the board’s composition.</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Nominating, Governance and Sustainability Committee will be able to identify potential nominees for election to our board from a variety of sources, including recommendations from current directors or management, recommendations from our stockholders or any other source the committee deems appropriate, including engaging a third-party consulting firm to assist in identifying independent director nominees.</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board will consider nominees submitted by our stockholders, subject to the same factors that are brought to bear when it considers nominees referred by other sources. Our stockholders will be permitted to nominate candidates for election as directors by following the procedures set forth in our amended and restated bylaws, which are summarized in the section “Description of Capital Stock”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Risk Oversight</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board of directors will provide overall risk oversight, with a focus on the most significant risks facing our company. In addition, our board will be responsible for ensuring that appropriate crisis management and business continuity plans are in place. The management of risks to our business, and the execution of contingency plans, will be primarily the responsibility of our senior management team.</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board and senior management team will regularly discuss the company’s business strategy, operations, policies, controls, prospects and current and potential risks. Our board will delegate responsibility for the oversight of specific risks to board committees as follows:</w:t>
      </w:r>
    </w:p>
    <w:p>
      <w:pPr>
        <w:spacing w:after="0" w:line="1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will oversee the policies that govern the process by which our exposure to risk is assessed and managed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that role, the Audit Committee will be responsible for discussing with our management major financial risk exposures and the steps taken by management to monitor and control these exposures. The Audit Committee will also be responsible for reviewing risks arising from related party transactions involving our company and for overseeing our company-wide Code of Business Ethics and overall compliance with legal and regulatory requirements.</w:t>
      </w:r>
    </w:p>
    <w:p>
      <w:pPr>
        <w:spacing w:after="0" w:line="129"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The Compensation Committee will monitor the risks associated with our compensation philosophy and programs to ensure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a compensation structure that strikes an appropriate balance between motivating our senior executives to deliver long-term results for the company’s stockholders and simultaneously holding our senior leadership team accountable.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13" w:right="339" w:bottom="1440" w:gutter="0" w:footer="0" w:header="0"/>
        </w:sectPr>
      </w:pPr>
    </w:p>
    <w:bookmarkStart w:id="104" w:name="page105"/>
    <w:bookmarkEnd w:id="104"/>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Nominating, Governance and Sustainability Committee</w:t>
      </w:r>
      <w:r>
        <w:rPr>
          <w:rFonts w:ascii="Times New Roman" w:cs="Times New Roman" w:eastAsia="Times New Roman" w:hAnsi="Times New Roman"/>
          <w:sz w:val="18"/>
          <w:szCs w:val="18"/>
          <w:color w:val="auto"/>
        </w:rPr>
        <w:t>. The Nominating, Governance and Sustainability Committee will oversee risks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structure and processes.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 and Code of Business Ethics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board of directors will remain committed to sound corporate governance principles and practices. The chairman of the board will provide support on key governance matters and stockholder engagement to the board, as well as providing strategic guidance to RXO’s executive management team.</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Guidelines will serve as a framework within which our board will conduct its operations. Among other things, the Guidelines will include criteria for determining the qualifications and independence of the members of our board, requirements for the standing committees of our board, responsibilities for members of our board and an annual evaluation of the effectiveness of our board and its committees. The Nominating, Governance and Sustainability Committee will be responsible for reviewing the Guidelines annually, or more frequently as appropriate, and recommending to our board appropriate changes in light of applicable laws and regulations, the governance standards identified by leading governance authorities and our company’s evolving needs.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Code of Business Ethics will apply to our directors and executive officers. This code will be designed to deter wrongdoing, to promote the honest and ethical conduct of all employees and to promote compliance with applicable governmental laws, rules and regulations, as well as to provide clear channels for reporting concerns. The Code of Business Ethics will constitute a “code of ethics” as defined in Item 406(b) of Regulation S-K. We intend to satisfy the disclosure requirements under applicable SEC rules relating to amendments to the Code of Business Ethics or waivers from any provision thereof applicable to our principal executive officer, our principal financial officer and our principal accounting officer by posting such information on our website pursuant to SEC rules.</w:t>
      </w:r>
    </w:p>
    <w:p>
      <w:pPr>
        <w:spacing w:after="0" w:line="13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The Guidelines and our Code of Business Ethics will be available on our website at </w:t>
      </w:r>
      <w:r>
        <w:rPr>
          <w:rFonts w:ascii="Times New Roman" w:cs="Times New Roman" w:eastAsia="Times New Roman" w:hAnsi="Times New Roman"/>
          <w:sz w:val="18"/>
          <w:szCs w:val="18"/>
          <w:i w:val="1"/>
          <w:iCs w:val="1"/>
          <w:color w:val="auto"/>
        </w:rPr>
        <w:t>investors.rxo.com</w:t>
      </w:r>
      <w:r>
        <w:rPr>
          <w:rFonts w:ascii="Times New Roman" w:cs="Times New Roman" w:eastAsia="Times New Roman" w:hAnsi="Times New Roman"/>
          <w:sz w:val="18"/>
          <w:szCs w:val="18"/>
          <w:color w:val="auto"/>
        </w:rPr>
        <w:t>. Copies of these documents will also be available in print form at no charge by sending a request to RXO, Inc., 11215 North Community House Road, Charlotte, NC 28277, Attention: Investor Relations.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 with the Board</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Guidelines will include the policy on stockholder communications with the Board. Our website (at </w:t>
      </w:r>
      <w:r>
        <w:rPr>
          <w:rFonts w:ascii="Times New Roman" w:cs="Times New Roman" w:eastAsia="Times New Roman" w:hAnsi="Times New Roman"/>
          <w:sz w:val="18"/>
          <w:szCs w:val="18"/>
          <w:i w:val="1"/>
          <w:iCs w:val="1"/>
          <w:color w:val="auto"/>
        </w:rPr>
        <w:t>investors.rxo.com</w:t>
      </w:r>
      <w:r>
        <w:rPr>
          <w:rFonts w:ascii="Times New Roman" w:cs="Times New Roman" w:eastAsia="Times New Roman" w:hAnsi="Times New Roman"/>
          <w:sz w:val="18"/>
          <w:szCs w:val="18"/>
          <w:color w:val="auto"/>
        </w:rPr>
        <w:t>) will include procedures by which stockholders and other interested parties may communicate with our board of directors, any board committee, any individual director, including our lead independent director and vice chairman, or any group of directors (such as our independent directors) by sending written correspondence to: Board of Directors c/o Secretary, RXO, Inc., 11215 North Community House Road, Charlotte, NC 28277. We will not forward communications to the board that qualify as spam, junk mail, mass mailings, resumes or other forms of job inquiries, surveys, business solicitations or advertisements.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Approval of Related Person Transactions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RXO will have a written Related Party Transaction Policy regarding the review, approval and ratification of transactions between RXO and related persons. The policy will apply to any transaction in which RXO or a RXO subsidiary is a participant, the amount involved exceeds $120,000 and a related person has a direct or indirect material interest. A related person will mean any director or executive officer of RXO, any nominee for director, any stockholder known to RXO to be the beneficial owner of more than 5% of any class of RXO’s voting securities, and any immediate family member of any such person.</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this policy, reviews will be conducted by management to determine which transactions or relationships should be referred to the Audit Committee for consideration. The Audit Committee will then review the material facts and circumstances regarding a transaction and determine whether to approve, ratify, revise or reject a related person transaction, or to refer it to the full board or another committee of the board for consideration. RXO’s Related Party Transaction Policy will operate in conjunction with other aspects of RXO’s compliance program, including its Code of Business Ethics, which will require that all directors, officers and employees have a duty to be free from the influence of any conflict of interest when they represent RXO in negotiations or make recommendations with respect to dealings with third parties, or otherwise carry out their duties with respect to RXO.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415" w:right="359" w:bottom="1440" w:gutter="0" w:footer="0" w:header="0"/>
        </w:sectPr>
      </w:pPr>
    </w:p>
    <w:bookmarkStart w:id="105" w:name="page106"/>
    <w:bookmarkEnd w:id="105"/>
    <w:p>
      <w:pPr>
        <w:spacing w:after="0" w:line="282" w:lineRule="auto"/>
        <w:rPr>
          <w:sz w:val="20"/>
          <w:szCs w:val="20"/>
          <w:color w:val="auto"/>
        </w:rPr>
      </w:pPr>
      <w:r>
        <w:rPr>
          <w:rFonts w:ascii="Times New Roman" w:cs="Times New Roman" w:eastAsia="Times New Roman" w:hAnsi="Times New Roman"/>
          <w:sz w:val="18"/>
          <w:szCs w:val="18"/>
          <w:color w:val="auto"/>
        </w:rPr>
        <w:t>The board is expected to consider the following types of potential related person transactions and pre-approve them under RXO’s Related Party Transaction Policy as not presenting material conflicts of interest:</w:t>
      </w:r>
    </w:p>
    <w:p>
      <w:pPr>
        <w:spacing w:after="0" w:line="108" w:lineRule="exact"/>
        <w:rPr>
          <w:sz w:val="20"/>
          <w:szCs w:val="20"/>
          <w:color w:val="auto"/>
        </w:rPr>
      </w:pPr>
    </w:p>
    <w:p>
      <w:pPr>
        <w:ind w:left="660" w:right="200" w:hanging="328"/>
        <w:spacing w:after="0" w:line="312" w:lineRule="auto"/>
        <w:tabs>
          <w:tab w:leader="none" w:pos="65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of RXO executive officers (except employment of a RXO executive officer that is an immediate family member of another RXO executive officer, director, or nominee for director) as long as the Compensation Committee has approved the executive officers’ compensation;</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 that the board has approved;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such as the receipt of dividends, in which all stockholders receive proportional benefits;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ordinary-course transactions such as the purchases of goods and services at market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competitive bids;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the rendering of services as a common or contract carrier, or public utility, at rates or charges fixed in conformity with law or governmental authority; and</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transactions involving the provision of certain financial services (e.g., by a bank depositary of funds, transfer agent, registrar, trustee under a trust indenture or similar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20"/>
          </w:cols>
          <w:pgMar w:left="320" w:top="1417" w:right="359" w:bottom="1440" w:gutter="0" w:footer="0" w:header="0"/>
        </w:sectPr>
      </w:pPr>
    </w:p>
    <w:bookmarkStart w:id="106" w:name="page107"/>
    <w:bookmarkEnd w:id="10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elsewhere in this information statement, XPO is separating into two publicly traded companies, XPO and RXO. RXO is currently a subsidiary of XPO and is not yet an independent company, and its compensation committee has not yet been formed. Following the separation and distribution, RXO will have its own executive officers and its own compensation committee of the RXO board of directors(the “RXO Compensation Committee”). As of the date of this information statement, the following individuals are expected to serve as executive officers of RXO in the positions set forth below effective as of the separation and distribution:</w:t>
      </w:r>
    </w:p>
    <w:p>
      <w:pPr>
        <w:spacing w:after="0" w:line="12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Drew Wilkerson, </w:t>
      </w:r>
      <w:r>
        <w:rPr>
          <w:rFonts w:ascii="Times New Roman" w:cs="Times New Roman" w:eastAsia="Times New Roman" w:hAnsi="Times New Roman"/>
          <w:sz w:val="18"/>
          <w:szCs w:val="18"/>
          <w:i w:val="1"/>
          <w:iCs w:val="1"/>
          <w:color w:val="auto"/>
        </w:rPr>
        <w:t>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Jamie Harris, </w:t>
      </w:r>
      <w:r>
        <w:rPr>
          <w:rFonts w:ascii="Times New Roman" w:cs="Times New Roman" w:eastAsia="Times New Roman" w:hAnsi="Times New Roman"/>
          <w:sz w:val="18"/>
          <w:szCs w:val="18"/>
          <w:i w:val="1"/>
          <w:iCs w:val="1"/>
          <w:color w:val="auto"/>
        </w:rPr>
        <w:t>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Jeff Firestone, </w:t>
      </w:r>
      <w:r>
        <w:rPr>
          <w:rFonts w:ascii="Times New Roman" w:cs="Times New Roman" w:eastAsia="Times New Roman" w:hAnsi="Times New Roman"/>
          <w:sz w:val="18"/>
          <w:szCs w:val="18"/>
          <w:i w:val="1"/>
          <w:iCs w:val="1"/>
          <w:color w:val="auto"/>
        </w:rPr>
        <w:t>Chief Legal Officer</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additional executive officers of RXO are identified prior to the effectiveness of the registration statement of which this information statement forms a part, then the disclosure in this section will be updated to include such identified executive officers.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section discusses the compensation policies and practices that are expected to apply to the RXO executive officers after the separation and distribution. These policies and practices remain subject to the review and approval by the RXO Compensation Committee after the separation and distribution. This section also contains a description of certain RXO executive compensation arrangements that are expected to become effective upon the occurrence of separation and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Executive Compensation Program Objectives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XPO’s executive compensation philosophy is founded on the following core objectives, which we expect to be the core objectives of RXO’s compensation philosophy:</w:t>
      </w:r>
    </w:p>
    <w:p>
      <w:pPr>
        <w:spacing w:after="0" w:line="108" w:lineRule="exact"/>
        <w:rPr>
          <w:sz w:val="20"/>
          <w:szCs w:val="20"/>
          <w:color w:val="auto"/>
        </w:rPr>
      </w:pPr>
    </w:p>
    <w:p>
      <w:pPr>
        <w:ind w:left="660" w:right="20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high-impact, results-oriented executives in a competitive job market who will contribute to XPO’s strategic goals, including maximizing stockholder value.</w:t>
      </w:r>
    </w:p>
    <w:p>
      <w:pPr>
        <w:spacing w:after="0" w:line="10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each executive receives total compensation that encourages his or her long-term retention through business and individual performance assessments.</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executive focus on the company’s top priorities of profitable growth, innovation, operational excellence and customer satisfaction, as well as increased focus on environmental, social and governance (“ESG”) matters, including employee safety and engagement.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ambitious targets that incentivize our executives to responsibly drive long-term stockholder value creation.</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those of our stockholders by emphasizing high growth and high returns in our long-term, performance-based incentives.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stockholder feedback into the decision-making process of compensation committee of XPO (the “XPO Compensation Committee”).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Governance Framework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Policies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that executive equity ownership in the company mitigates a number of risks, including risks related to executive attrition and undue risk-taking. It is expected that RXO’s executive stock ownership guidelines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7" w:name="page108"/>
    <w:bookmarkEnd w:id="107"/>
    <w:p>
      <w:pPr>
        <w:ind w:right="540"/>
        <w:spacing w:after="0" w:line="282" w:lineRule="auto"/>
        <w:rPr>
          <w:sz w:val="20"/>
          <w:szCs w:val="20"/>
          <w:color w:val="auto"/>
        </w:rPr>
      </w:pPr>
      <w:r>
        <w:rPr>
          <w:rFonts w:ascii="Times New Roman" w:cs="Times New Roman" w:eastAsia="Times New Roman" w:hAnsi="Times New Roman"/>
          <w:sz w:val="18"/>
          <w:szCs w:val="18"/>
          <w:color w:val="auto"/>
        </w:rPr>
        <w:t>initially be consistent with XPO’s executive stock ownership guidelines and will therefore be expressed as a multiple of each RXO named executive officer’s annual base salary as follows:</w:t>
      </w:r>
    </w:p>
    <w:p>
      <w:pPr>
        <w:spacing w:after="0" w:line="108"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6x annual 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RXO Named Executive Officers: 3x annual base salary</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Compliance with RXO’s stock ownership guidelines will be determined using the aggregate count of shares of common stock held directly or indirectly by the RXO named executive officer, plus unvested restricted stock units subject solely to time-based vesting. Stock options, whether vested or unvested, and equity-based awards subject to performance-based vesting conditions, will not be counted toward meeting stock ownership guidelines until they have settled or been exercised, as applicable.</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Until the stock ownership guidelines are met, a named executive officer is required to retain 70% of the net shares (after tax withholding) received upon settlement of equity-based awards. A newly appointed executive is required to reach his or her stock ownership guideline no later than five years from the date of appointment.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for Determining Executive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that the RXO Compensation Committee will adopt a similar role to the role of the “XPO Compensation Committee” following the separation and distribution. The XPO Compensation Committee is responsible for approving XPO’s compensation practices and overseeing XPO’s executive compensation program in a manner consistent with XPO's compensation philosophy. The XPO Compensation Committee is tasked with: (i) reviewing the annual and long-term performance goals for XPO Executive Officers; (ii) approving awards under incentive compensation and equity-based plans; and (iii) approving all other compensation and benefits for XPO’s named executive officers. The XPO Compensation Committee acts independently but works closely with the full board of directors of XPO and executive management in making many of its decisions. To assist it in discharging its responsibilities, the XPO Compensation Committee has retained the services of an independent compensation consultant.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RXO management will adopt a similar role in determination of executive compensation to the role of XPO management following the separation and distribution. Executive management provides input to the XPO Compensation Committee, including with respect to the XPO Compensation Committee's evaluation of executive compensation practices. The XPO Compensation Committee carefully and independently reviews the recommendations of management without members of management present and consults its independent advisor before making final determinations. XPO believes this process ensures that its executive compensation program effectively aligns with XPO's compensation philosophy and stockholder interests.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expected that the initial RXO peer group will be as set forth below, subject to the review and approval of the RXO Compensation Committee after the separation and distribution. This peer group reflects a group of companies with similar or adjacent business models, and that source talent from the same labor pools as RXO. In determining the peer group, the following criteria were used to identify the list of peer companies: (i) company is operating within the trucking, air freight or logistics industry and is competitive with RXO, (ii) company’s business includes brokerage, (iii) company is publicly-traded on a major U.S. stock exchange, and (iv) whether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41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within a reasonable size range of RXO, with certain companies falling outside of that range based on industry relevance.</w:t>
      </w:r>
    </w:p>
    <w:p>
      <w:pPr>
        <w:sectPr>
          <w:pgSz w:w="11900" w:h="16838" w:orient="portrait"/>
          <w:cols w:equalWidth="0" w:num="1">
            <w:col w:w="11240"/>
          </w:cols>
          <w:pgMar w:left="320" w:top="1417"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H. Robinson Worldwide,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Uber Technologies,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Expeditors International of Washington, Inc.</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J.B. Hunt Transport Services,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Ryder System,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Knight-Swift Transportation Holdings Inc.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Schneider National,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Dominion Freight Line,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Atlas Air Worldwide Holdings,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ArcBest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Lyft,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Werner Enterprises, Inc.</w:t>
      </w:r>
    </w:p>
    <w:p>
      <w:pPr>
        <w:spacing w:after="0" w:line="200" w:lineRule="exact"/>
        <w:rPr>
          <w:sz w:val="20"/>
          <w:szCs w:val="20"/>
          <w:color w:val="auto"/>
        </w:rPr>
      </w:pPr>
    </w:p>
    <w:p>
      <w:pPr>
        <w:sectPr>
          <w:pgSz w:w="11900" w:h="16838" w:orient="portrait"/>
          <w:cols w:equalWidth="0" w:num="2">
            <w:col w:w="4920" w:space="720"/>
            <w:col w:w="5600"/>
          </w:cols>
          <w:pgMar w:left="320" w:top="1417" w:right="3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Elements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expected that RXO’s executive compensation program will consist of four principal elements: (1) annual base salary, (2) annual short-term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long-term incentives, and (4) employee benefits and limited executive perquisites.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7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Annual base salary provides a fixed incentive that corresponds to an executive’s experience and job scope. We expect that the RXO Compensation Committee will review annual base salaries for RXO’s executive officers each year in order to ensure alignment with current market levels. The annual base salary of each identified RXO executive officer that is expected to be in effect as of immediately following the distribution is set forth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Base Salary</w:t>
            </w:r>
          </w:p>
        </w:tc>
      </w:tr>
      <w:tr>
        <w:trPr>
          <w:trHeight w:val="37"/>
        </w:trPr>
        <w:tc>
          <w:tcPr>
            <w:tcW w:w="9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 Wilkerson, Chief Executive Officer</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$650,000</w:t>
            </w:r>
          </w:p>
        </w:tc>
      </w:tr>
      <w:tr>
        <w:trPr>
          <w:trHeight w:val="24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Harris, Chief Financial Officer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 Firestone, Chief Legal Officer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$525,000</w:t>
            </w:r>
          </w:p>
        </w:tc>
      </w:tr>
      <w:tr>
        <w:trPr>
          <w:trHeight w:val="27"/>
        </w:trPr>
        <w:tc>
          <w:tcPr>
            <w:tcW w:w="9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Short-Term Incentive</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Each RXO named executive officer is eligible for an annual short-term incentive payment. The table below reflects the 2023 annual short-term incentive opportunity of each identified RXO executive officer.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Opportunity (as</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Bonus</w:t>
            </w: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 percentage of base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Opportunity</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 Wilkerson, Chief Executive Officer</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$877,500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2x target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Harris, Chief Financial Officer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2x target</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 Firestone, Chief Legal Officer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2x target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expect that, subject to review and approval by the RXO Compensation Committee, RXO will maintain a 2023 short-term incentive program that utilizes a balanced scorecard of weighted company performance metrics, currently anticipated to consist of:</w:t>
      </w:r>
    </w:p>
    <w:p>
      <w:pPr>
        <w:spacing w:after="0" w:line="10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weighted, adjusted EBITDA growth (year-over-year);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weighted, volume growth (year-over-year).</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that for the 2023 performance year, each performance metric must equal or exceed 90% of target performance in order for each named executive officer to become eligible for a short term incentive award, assuming they remained employed on the payment date. We expect that 2023 short-term incentives would pay out at 50%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17" w:right="339" w:bottom="1440" w:gutter="0" w:footer="0" w:header="0"/>
          <w:type w:val="continuous"/>
        </w:sectPr>
      </w:pPr>
    </w:p>
    <w:bookmarkStart w:id="109" w:name="page110"/>
    <w:bookmarkEnd w:id="109"/>
    <w:p>
      <w:pPr>
        <w:ind w:right="500"/>
        <w:spacing w:after="0" w:line="266" w:lineRule="auto"/>
        <w:rPr>
          <w:sz w:val="20"/>
          <w:szCs w:val="20"/>
          <w:color w:val="auto"/>
        </w:rPr>
      </w:pPr>
      <w:r>
        <w:rPr>
          <w:rFonts w:ascii="Times New Roman" w:cs="Times New Roman" w:eastAsia="Times New Roman" w:hAnsi="Times New Roman"/>
          <w:sz w:val="18"/>
          <w:szCs w:val="18"/>
          <w:color w:val="auto"/>
        </w:rPr>
        <w:t>the target opportunity at a 90% target performance level with upward potential up to a maximum of 200% of the target opportunity for a 120% target performance level. The actual performance goals for each metric and the corresponding payout curve will be confirmed by the RXO Compensation Committee after the separation and distribution.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2022, Mr. Wilkerson was granted an XPO equity award consisting of performance-based stock units relating to XPO common stock (the “Wilkerson Incentive Grant”) with a grant value of $7,500,000 that will vest in installments over the five-year period following the grant date, contingent upon (i) the occurrence of the separation and distribution by December 31, 2022 (which date was subsequently changed to March 31, 2023 through an amendment of the award terms) and (ii) Mr. Wilkerson’s continuous employment with XPO (and RXO after the separation and distribution) through each applicable vesting date. In connection with commencement of employment with XPO, Mr. Harris received a performance-based restricted stock unit award with a grant value of $4,000,000 (the “Harris Incentive Grant”) and Mr. Firestone received a performance-based restricted stock unit award with a grant value of $2,000,000 (the “Firestone Incentive Grant”), in each case, with the same terms and conditions as the Wilkerson Incentive Grant (including the requirement that the separation and distribution occur by March 31, 2023).</w:t>
      </w:r>
    </w:p>
    <w:p>
      <w:pPr>
        <w:spacing w:after="0" w:line="13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Treatment of such XPO performance-based restricted stock unit awards in connection with the separation and distribution is described under “The Separation and Distribution—Treatment of Equity-Based Compensation.”</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It is expected that Mr. Wilkerson and other executive officers of RXO will be eligible for additional long-term incentive awards, to be determined and approved by the RXO Compensation Committee following the separation and distribution. Pursuant to their offer letters, Mr. Harris and Mr. Firestone are eligible for annual long-term incentive awards in the amount of $1,350,000 for Mr. Harris and $1,000,000 for Mr. Firestone.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Limited Executive Perquisites</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expect RXO to offer a variety of health and welfare programs to all eligible employees, including the RXO named executive officers. The RXO named executive officers will be eligible for the same health and welfare benefit programs that apply to, on the same basis as, the rest of our employees, including medical and dental care coverage, life insurance coverage and short and long-term disability.</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expect to limit the use of perquisites as a method of compensation and provide executive officers with only those perquisites that we believe are reasonable and consistent with our compensation goal of enabling us to attract and retain superior executives for key positions.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Forward RXO Compensation Arrangements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XPO has entered into, or expects to enter into, an offer letter with each of the identified RXO executive officers. These offer letters will be assigned to RXO and will become effective as of the separation and distribution. The material terms of these letters are described below.</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and distribution, it is expected that RXO will adopt an executive severance plan (described below) and the 2022 Omnibus Incentive Compensation Plan (which is described in this information statement under the heading “RXO 2022 Omnibus Incentive Compensation Plan”), each of which will be effective for RXO upon the separation and distribution. Following the separation and distribution, the RXO Compensation Committee will consider and develop RXO’s compensation programs, plans, philosophy and practices, consistent with RXO’s business needs and goals.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with RXO Chief Executive Officer</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offer letter with Drew Wilkerson would become effective upon, and subject to the occurrence of, the separation and distribution and provides for Mr. Wilkerson to serve as Chief Executive Officer of RXO and to receive an annual compensation package consisting of a base salary of $650,000 and a target annual bonus award of 135% of base salary. In addition, the offer letter refers to the grant of the Wilkerson Incentive Grant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417" w:right="359" w:bottom="1440" w:gutter="0" w:footer="0" w:header="0"/>
        </w:sectPr>
      </w:pPr>
    </w:p>
    <w:bookmarkStart w:id="110" w:name="page111"/>
    <w:bookmarkEnd w:id="110"/>
    <w:p>
      <w:pPr>
        <w:ind w:right="240"/>
        <w:spacing w:after="0" w:line="282" w:lineRule="auto"/>
        <w:rPr>
          <w:sz w:val="20"/>
          <w:szCs w:val="20"/>
          <w:color w:val="auto"/>
        </w:rPr>
      </w:pPr>
      <w:r>
        <w:rPr>
          <w:rFonts w:ascii="Times New Roman" w:cs="Times New Roman" w:eastAsia="Times New Roman" w:hAnsi="Times New Roman"/>
          <w:sz w:val="18"/>
          <w:szCs w:val="18"/>
          <w:color w:val="auto"/>
        </w:rPr>
        <w:t>contemplates eligibility for additional long-term incentive awards, the amount, form and timing of which will be determined by the RXO Compensation Committee following the separation and distribution.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with RXO Chief Financial Officer</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XPO has entered into an offer letter with Jamie Harris that provides that Mr. Harris will serve, (i) initially, as Chief Financial Officer, NAT at XPO and (ii) effective upon, and subject to the occurrence of, the separation and distribution, as Chief Financial Officer of RXO. The offer letter provides for Mr. Harris to receive an annual compensation package consisting of a base salary of $600,000 and a target annual bonus award of 100% of base salary. In addition, the offer letter refers to the grant of the Harris Incentive Grant and contemplates eligibility for additional long-term incentive awards with a target grant value of $1,350,000, the form and timing of which will be determined by the RXO Compensation Committee following the separation and distribution.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with RXO Chief Legal Officer</w:t>
      </w:r>
    </w:p>
    <w:p>
      <w:pPr>
        <w:spacing w:after="0" w:line="17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XPO has entered into an offer letter with Jeff Firestone that provides that Mr. Firestone will serve, (i) initially, as Chief Legal Officer, NAT at XPO and (ii) effective upon, and subject to the occurrence of, the separation and distribution, as Chief Legal Officer of RXO. The offer letter provides for Mr. Firestone to receive an annual compensation package consisting of a base salary of $525,000 and a target annual bonus award of 100% of base salary. In addition, the offer letter refers to the grant of the Firestone Incentive Grant and contemplates eligibility for additional long-term incentive awards with a target grant value of $1,000,000, the form and timing of which will be determined by the RXO Compensation Committee following the separation and distribution.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RXO Severance Plan</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 is expected that RXO will adopt a severance plan that will become effective upon, and subject to, the occurrence of, the separation and distribution. The eligible participants under the severance plan would include the named executive officers of RXO and its other executive officers and key members of executive management.</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severance plan, any RXO executive officer whose employment is terminated without “cause” at any time other than within the two years following a “change in control” (as such terms are defined in the severance plan) of RXO, would be entitled to receive (subject to the officer’s execution of a release of claims in favor of RXO and continuing compliance with the officer’s confidential information protection agreement that includes restrictive covenants relating to confidentiality, ownership of intellectual property, non-hire and non-solicitation of employees, non-solicitation of customers, non-competition and non-disparagement):</w:t>
      </w:r>
    </w:p>
    <w:p>
      <w:pPr>
        <w:spacing w:after="0" w:line="129"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annual base salary for 18 months (for the Chief Executive Officer) or 12 months (for other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target annual bonus for the year of termination (the “Prorated Bonus”); and</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 months (for the Chief Executive Officer) or 12 months (for other executive officers) of healthcare benefit coverage continuation at the active employee rate for healthcare benefit coverage or a cash payment in lieu thereof (the “Healthcare Benefit”).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severance plan, any RXO executive officer whose employment is terminated without “cause” or who resigns for “good reason” on, or within the two years following, a “change in control” (as such terms are defined in the severance plan) of RXO, would be entitled to receive (subject to the officer’s execution of a release of claims in favor of RXO and continuing compliance with the officer’s confidential information protection agreement, service agreement, or other similar contractual obligations):</w:t>
      </w:r>
    </w:p>
    <w:p>
      <w:pPr>
        <w:spacing w:after="0" w:line="126" w:lineRule="exact"/>
        <w:rPr>
          <w:sz w:val="20"/>
          <w:szCs w:val="20"/>
          <w:color w:val="auto"/>
        </w:rPr>
      </w:pPr>
    </w:p>
    <w:p>
      <w:pPr>
        <w:ind w:left="660" w:right="2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severance payment equal to two and one-half times (for the Chief Executive Officer) and two times (for other executive officers) the sum of (a) the officer’s annual base salary and (b) the officer’s target annual bonus;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Prorated Bonus;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1417" w:right="379" w:bottom="1440" w:gutter="0" w:footer="0" w:header="0"/>
        </w:sectPr>
      </w:pPr>
    </w:p>
    <w:bookmarkStart w:id="111" w:name="page112"/>
    <w:bookmarkEnd w:id="111"/>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Benefit.</w:t>
      </w:r>
    </w:p>
    <w:p>
      <w:pPr>
        <w:spacing w:after="0" w:line="171"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The severance plan provides that, in the event that the payments and benefits to a named executive officer in connection with a change in control, whether pursuant to the severance plan or otherwise, would be subject to the golden parachute excise tax imposed under Sections 280G and 4999 of the Code, then the officer will either receive all such payments and benefits and pay the excise tax, or such payments and benefits will be reduced to the extent necessary so that the excise tax does not apply, whichever approach results in a higher after-tax amount of the payments and benefits being retained by the officer.</w:t>
      </w:r>
    </w:p>
    <w:p>
      <w:pPr>
        <w:spacing w:after="0" w:line="1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severance payable under the severance plan will be offset by any other severance payments to which the officer is entitled in respect of the applicable termination of employment, including pursuant to the RXO confidential information protection agreement, as applicable, which provides for payments of the RXO executive officer’s base salary for the duration of his or her post-termination non-compete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none of our executive officers were previously serving as executive officers of XPO in 2021, there are no executive compensation tables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60"/>
          </w:cols>
          <w:pgMar w:left="320" w:top="1417" w:right="419" w:bottom="1440" w:gutter="0" w:footer="0" w:header="0"/>
        </w:sectPr>
      </w:pPr>
    </w:p>
    <w:bookmarkStart w:id="112" w:name="page113"/>
    <w:bookmarkEnd w:id="11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initial RXO non-employee director compensation program is designed to enable ongoing attraction and retention of highly qualified directors and to address the time, effort, expertise and accountability required of active RXO board membership. This program is described in further detail below. Following the separation and distribution, the director compensation program will be subject to the review and approval of the board of directors or a committee thereof.</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Treatment of outstanding XPO equity-based compensation awards held by RXO non-employee directors in connection with the distribution is described under “The Separation and Distribution—Treatment of Equity-Based Compensation.”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RXO annual non-employee director compensation program will initially consist of the following: (i) an annual cash retainer of $80,000, payable quarterly in arrears, and (ii) an annual grant of time-based restricted stock units with a target value of $190,000, which will generally be granted on the first business day of the calendar year (starting with calendar year 2023) and vest on the later of the first anniversary of grant or the first business day of the following calendar year, subject to continued service on RXO’s board of directors on the vesting date. It is expected that the number of shares of RXO common stock subject to each award will be determined by dividing $190,000 by the average of the closing prices of RXO’s common stock on the ten trading days immediately preceding the grant date.</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vice chairman of the board of directors will receive an additional annual cash retainer of $25,000, payable quarterly in arrears. The lead independent director also will receive an additional $25,000 annual cash retainer, payable quarterly in arrears. The chairperson of each of the board’s Audit Committee, Compensation Committee, and Nominating, Governance and Sustainability Committee will receive an additional cash retainer of $25,000, $20,000 and $20,000, respectively, payable quarterly in arrears.</w:t>
      </w:r>
    </w:p>
    <w:p>
      <w:pPr>
        <w:spacing w:after="0" w:line="12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 other fees will be paid to directors for their attendance at or participation in meetings of the RXO board of directors or its committees. RXO will reimburse directors for expenses incurred in the performance of their duties, including reimbursement for air travel and hotel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RXO 2022 OMNIBUS INCENTIVE COMPENSATION PLAN</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material terms of the RXO 2022 Omnibus Incentive Compensation Plan (the “Plan”) are summarized below. This summary does not contain all information about the Plan. This summary is qualified in its entirety by reference to, and should be read together with the full text of the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provides for the grant of options intended to qualify as incentive stock options (“ISOs”) under Section 422 of the Code, nonqualified stock options (“NSOs”), stock appreciation rights (“SARs”), restricted share awards, restricted stock units (“RSUs”), performance awards, cash incentive awards, deferred share units and other equity-based and equity-related awards, as well as cash-based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Plan is administered by the RXO Compensation Committee or such other committee the RXO board of directors designates to administer the Plan (the “Committee”). Subject to the terms of the Plan and applicable law, the Committee has sole authority to administer the Plan, including, but not limited to, the authority to (1) designate plan participants, (2) determine the type or types of awards to be granted to a participant, (3) determine the number of shares of RXO common stock to be covered by awards, (4) determine the terms and conditions of awards, (5) determine the vesting schedules of awards and, if certain performance criteria were required to be attained in order for an award to vest or be settled or paid, establish such performance criteria and certify whether, and to what extent, such performance criteria have been attained, (6) interpret, administer, reconcile any inconsistency in, correct any default in and/or supply any omission in, the Plan, (7) establish, amend, suspend or waive such rules and regulations and appoint such agents as it should deem appropriate for the proper administration of the Plan, (8) accelerate the vesting or exercisability of, payment for or lapse of restrictions on, awards, and</w:t>
      </w:r>
    </w:p>
    <w:p>
      <w:pPr>
        <w:spacing w:after="0" w:line="1" w:lineRule="exact"/>
        <w:rPr>
          <w:sz w:val="20"/>
          <w:szCs w:val="20"/>
          <w:color w:val="auto"/>
        </w:rPr>
      </w:pPr>
    </w:p>
    <w:p>
      <w:pPr>
        <w:ind w:right="920"/>
        <w:spacing w:after="0" w:line="427" w:lineRule="auto"/>
        <w:rPr>
          <w:sz w:val="20"/>
          <w:szCs w:val="20"/>
          <w:color w:val="auto"/>
        </w:rPr>
      </w:pPr>
      <w:r>
        <w:rPr>
          <w:rFonts w:ascii="Times New Roman" w:cs="Times New Roman" w:eastAsia="Times New Roman" w:hAnsi="Times New Roman"/>
          <w:sz w:val="18"/>
          <w:szCs w:val="18"/>
          <w:color w:val="auto"/>
        </w:rPr>
        <w:t xml:space="preserve">(9) make any other determination and take any other action that the Committee deems necessary or desirable for the administration of the Plan. </w:t>
      </w:r>
      <w:r>
        <w:rPr>
          <w:rFonts w:ascii="Times New Roman" w:cs="Times New Roman" w:eastAsia="Times New Roman" w:hAnsi="Times New Roman"/>
          <w:sz w:val="18"/>
          <w:szCs w:val="18"/>
          <w:b w:val="1"/>
          <w:bCs w:val="1"/>
          <w:color w:val="auto"/>
        </w:rPr>
        <w:t>Shares Available For Awards</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adjustment for changes in capitalization, there are 13,859,000 shares of RXO common stock, in the aggregate, that are currently authorized for delivery pursuant to awards granted under the Plan, 13,859,000 shares of which may be granted pursuant to ISOs. Awards that are settled in cash do not reduce the number of shares available for delivery under the Plan. If any award granted under the Plan is forfeited, or otherwise expires, terminates or is canceled without the delivery of all shares subject thereto, then the number of shares subject to such award that were not issued are not treated as issued for purposes of reducing the maximum aggregate number of shares that may be delivered pursuant to the Plan.</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the foregoing, and for the avoidance of doubt, shares that were surrendered or tendered to us in payment of the exercise price of an award (including with respect to stock-settled SARs) or any taxes required to be withheld in respect of an award and awards based on the fair market value of a share that are settled other than by the delivery of shares (including cash settlement) do not become available again to be delivered pursuant to awards under the Plan or increase the number of shares that may be delivered pursuant to ISOs under the Plan. The maximum value of shares of RXO common stock that are available to be granted pursuant to awards to any non-employee director in the Plan in any fiscal year is $600,000 as of the date of grant, provided that such limit will not apply to equity-based compensation awards issued in connection with the adjustment of outstanding XPO equity-based compensation awards upon the distribution.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Capitalization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event of any extraordinary dividend or other extraordinary distribution, recapitalization, rights offering, stock split, reverse stock split, split-up or spin-off affecting the shares of RXO common stock, the Committee shall make equitable adjustments and other substitutions to the Plan and awards under the Plan in the manner it determined to be appropriate or desirable. In the event of any reorganization, merger, consolidation, combination, repurchase or exchange of RXO common stock or other similar corporate transactions, the Committee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440" w:right="359" w:bottom="1440" w:gutter="0" w:footer="0" w:header="0"/>
        </w:sectPr>
      </w:pPr>
    </w:p>
    <w:bookmarkStart w:id="114" w:name="page115"/>
    <w:bookmarkEnd w:id="114"/>
    <w:p>
      <w:pPr>
        <w:ind w:right="640"/>
        <w:spacing w:after="0" w:line="438" w:lineRule="auto"/>
        <w:rPr>
          <w:sz w:val="20"/>
          <w:szCs w:val="20"/>
          <w:color w:val="auto"/>
        </w:rPr>
      </w:pPr>
      <w:r>
        <w:rPr>
          <w:rFonts w:ascii="Times New Roman" w:cs="Times New Roman" w:eastAsia="Times New Roman" w:hAnsi="Times New Roman"/>
          <w:sz w:val="18"/>
          <w:szCs w:val="18"/>
          <w:color w:val="auto"/>
        </w:rPr>
        <w:t xml:space="preserve">discretion is permitted to make such adjustments and other substitutions to the Plan and awards under the Plan as it deems appropriate or desirable. </w:t>
      </w:r>
      <w:r>
        <w:rPr>
          <w:rFonts w:ascii="Times New Roman" w:cs="Times New Roman" w:eastAsia="Times New Roman" w:hAnsi="Times New Roman"/>
          <w:sz w:val="18"/>
          <w:szCs w:val="18"/>
          <w:b w:val="1"/>
          <w:bCs w:val="1"/>
          <w:color w:val="auto"/>
        </w:rPr>
        <w:t>Substitute Awards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Committee is permitted to grant awards in assumption of, or in substitution for, outstanding awards previously granted by RXO or any of its affiliates or a company that RXO acquired or with which RXO combined. Any shares issued by RXO through the assumption of or substitution for outstanding awards granted by a company that RXO acquired do not reduce the aggregate number of shares of RXO common stock available for awards under the Plan, except that awards issued in substitution for ISOs will reduce the number of shares of RXO common stock available for ISOs under the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of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RXO common stock issued under the Plan consist, in whole or in part, of authorized and unissued shares or of treasury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Eligible Participants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Directors, officers, employees and consultants (including any prospective directors, officers, employees and consultants) of RXO and its affiliates are eligible to receive awards under the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Committee is permitted to grant both ISOs and NSOs under the Plan. The exercise price for stock options may not be less than the fair market value (as defined in the Plan) of RXO common stock on the grant date. The Committee may not reprice any stock option granted under the Plan without the approval of RXO stockholders. All stock options granted under the Plan are NSOs unless the applicable award agreement expressly stated that the stock option was intended to be an ISO. Subject to the provisions of the Plan (including the minimum vesting period described below) and the applicable award agreement, the Committee determines, at or after the grant of a stock option, the vesting criteria, term, methods of exercise and any other terms and conditions of any stock option. Unless otherwise set forth in the applicable award agreement, each stock option expires upon the earlier of (i) the tenth anniversary of the date the stock option was granted and (ii) three months after the participant who was holding the stock option ceased to be a director, officer, employee or consultant for RXO, or one of its affiliates. The exercise price is permitted to be paid with cash (or its equivalent) or, in the sole discretion of the Committee, with previously acquired shares of RXO common stock or through delivery of irrevocable instructions to a broker to sell RXO common stock otherwise deliverable upon the exercise of the stock option (provided that there was a public market for RXO common stock at such time), or, in the sole discretion of the Committee, a combination of any of the foregoing, provided that the combined value of all cash and cash equivalents and the fair market value of any such shares so tendered to us as of the date of such tender, together with any shares withheld by us in respect of taxes relating to a stock option, was at least equal to such aggregate exercise price.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Committee is permitted to grant SARs under the Plan. The exercise price for SARs may not be less than the fair market value (as defined in the Plan) of RXO common stock on the grant date. The Committee may not reprice any SAR granted under the Plan without the approval of RXO stockholders. Upon exercise of a SAR, the holder receives cash, shares of RXO common stock, other securities, other awards, other property or a combination of any of the foregoing, as determined by the Committee, equal in value to the excess, if any, of the fair market value of a share of RXO common stock on the date of exercise of the SAR over the exercise price of the SAR. Subject to the provisions of the Plan (including the minimum vesting period described below) and the applicable award agreement, the Committee determines, at or after the grant of a SAR, the vesting criteria, term, methods of exercise, methods and form of settlement and any other terms and conditions of any SAR. Unless otherwise set forth in the applicable award agreement, each SAR expires upon the earlier of (i) the tenth anniversary of the date the SAR was granted and (ii) three months after the participant who was holding the SAR ceased to be a director, officer, employee or consultant for RXO or one of its affiliates. Under certain circumstances, the Committee has the ability to substitute,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17" w:right="339" w:bottom="1440" w:gutter="0" w:footer="0" w:header="0"/>
        </w:sectPr>
      </w:pPr>
    </w:p>
    <w:bookmarkStart w:id="115" w:name="page116"/>
    <w:bookmarkEnd w:id="115"/>
    <w:p>
      <w:pPr>
        <w:ind w:right="260"/>
        <w:spacing w:after="0" w:line="282" w:lineRule="auto"/>
        <w:rPr>
          <w:sz w:val="20"/>
          <w:szCs w:val="20"/>
          <w:color w:val="auto"/>
        </w:rPr>
      </w:pPr>
      <w:r>
        <w:rPr>
          <w:rFonts w:ascii="Times New Roman" w:cs="Times New Roman" w:eastAsia="Times New Roman" w:hAnsi="Times New Roman"/>
          <w:sz w:val="18"/>
          <w:szCs w:val="18"/>
          <w:color w:val="auto"/>
        </w:rPr>
        <w:t>without the consent of the affected participant, SARs for outstanding NSOs. No SAR granted under the Plan could be exercised more than 10 years after the date of grant.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 and Restricted Stock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Plan, the Committee is permitted to grant restricted shares and RSUs. Restricted shares and RSUs are not permitted to be sold, assigned, transferred, pledged or otherwise encumbered except as provided in the Plan or the applicable award agreement, except that the Committee may determine that restricted shares and RSUs are permitted to be transferred by the participant for no consideration. Restricted shares may be evidenced in such manner as the Committee determines.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 RSU is granted with respect to one share of RXO common stock or has a value equal to the fair market value of one such share. Upon the lapse of restrictions applicable to an RSU, the RSU may be paid in cash, shares of RXO common stock, other securities, other awards or other property, as determined by the Committee, or in accordance with the applicable award agreement. In connection with each grant of restricted shares, except as provided in the applicable award agreement, the holder is entitled to the rights of a stockholder (including the right to vote and receive dividends) in respect of such restricted shares. The Committee is permitted to, on such terms and conditions as it might determine, provide a participant who holds RSUs with dividend equivalents, payable in cash, shares of RXO common stock, other securities, other awards or other property.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Subject to the provisions of the Plan, the Committee is permitted to grant awards under the Plan that are conditioned on the achievement of performance goals established by the Committee. In its discretion, the Committee sets performance goals that, depending on the extent to which they were met during a specified performance period, determine the number of shares of RXO common stock and/or amount of cash or other property that are paid out to the participant. The Committee, in its sole discretion, is permitted to pay earned performance awards in the form of cash, shares of RXO common stock or other property or any combination thereof that has an aggregate fair market value equal to the value of the earned performance units at the close of the applicable performance period. The determination of the Committee with respect to the form and timing of payout of performance units is set forth in the applicable award agreement. The Committee is permitted to, on such terms and conditions as it might determine, provide a participant who holds performance units with dividends or dividend equivalents, payable in cash, shares of RXO common stock, other securities, other awards or other property.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Incentive Awards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Plan, the Committee is permitted to grant cash incentive awards to participants. In its discretion, the Committee determines the number of cash incentive awards to be awarded, the duration of the period in which, and any condition under which, the cash incentive awards vest or are forfeited, and any other terms and conditions applicable to the cash incentive awards. Subject to the provisions of the Plan, the holder of a cash incentive award may receive payment based on the number and value of the cash incentive award earned, which is determined by the Committee, in its discretion, based on the extent to which performance goals or other conditions applicable to the cash incentive award have been achieved.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175"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Plan, the Committee is permitted to grant to participants other equity-based or equity-related compensation awards, including vested stock, which shall be granted pursuant to the five percent limit described below under the header “Minimum Vesting Period.” The Committee is permitted to determine the amounts and terms and conditions of any such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Assumed XPO Awards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any provisions in the Plan to the contrary, each XPO equity award that is assumed by RXO in the distribution shall be subject to the terms and conditions of the equity compensation plan and award agreement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17" w:right="339" w:bottom="1440" w:gutter="0" w:footer="0" w:header="0"/>
        </w:sectPr>
      </w:pPr>
    </w:p>
    <w:bookmarkStart w:id="116" w:name="page117"/>
    <w:bookmarkEnd w:id="116"/>
    <w:p>
      <w:pPr>
        <w:ind w:right="460"/>
        <w:spacing w:after="0" w:line="282" w:lineRule="auto"/>
        <w:rPr>
          <w:sz w:val="20"/>
          <w:szCs w:val="20"/>
          <w:color w:val="auto"/>
        </w:rPr>
      </w:pPr>
      <w:r>
        <w:rPr>
          <w:rFonts w:ascii="Times New Roman" w:cs="Times New Roman" w:eastAsia="Times New Roman" w:hAnsi="Times New Roman"/>
          <w:sz w:val="18"/>
          <w:szCs w:val="18"/>
          <w:color w:val="auto"/>
        </w:rPr>
        <w:t>which such equity award was subject immediately prior to the distribution, subject to the adjustment of such equity award by the XPO Compensation Committee and the terms of the Employee Matters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Clawbacks</w:t>
      </w:r>
    </w:p>
    <w:p>
      <w:pPr>
        <w:spacing w:after="0" w:line="1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may clawback awards provided to eligible employees to the extent required by applicable law and as otherwise determined by the Compensation Committee and set forth in an award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Vesting Period</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Plan is subject to a designated vesting period of at least one year following the date of grant, except that up to five percent of shares available for grant under the Plan may be granted without regard to this requirement. Such minimum vesting period does not apply to equity-based compensation awards issued in connection with the adjustment of outstanding XPO equity-based compensation awards upon the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Subject to any applicable law or government regulation and to the rules of the applicable national stock exchange or quotation system on which the shares of RXO common stock may be listed or quoted, the Plan may be amended, modified or terminated by the RXO Board without the approval of RXO stockholders, except that stockholder approval is required for any amendment that: (i) increases the maximum number of shares of RXO common stock available for awards under the Plan or increases the maximum number of shares of RXO common stock that could be delivered pursuant to ISOs granted under the Plan, (ii) changes the class of employees or other individuals eligible to participate in the Plan, (iii) amends or decreases the exercise price of any option or SAR, (iv) cancels or exchanges any option or SAR at a time when its exercise price exceeds the fair market value of the underlying shares,</w:t>
      </w:r>
    </w:p>
    <w:p>
      <w:pPr>
        <w:spacing w:after="0" w:line="5" w:lineRule="exact"/>
        <w:rPr>
          <w:sz w:val="20"/>
          <w:szCs w:val="20"/>
          <w:color w:val="auto"/>
        </w:rPr>
      </w:pPr>
    </w:p>
    <w:p>
      <w:pPr>
        <w:ind w:right="180" w:firstLine="8"/>
        <w:spacing w:after="0" w:line="253"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repricing of any option or SAR without stockholder approval, or (vi) constitutes a material increase in the benefits to be provided to eligible employees within the meaning of the NYSE rules as of the date hereof. Under these provisions, stockholder approval is not to be required for all possible amendments that might increase the cost of the Plan. No modification, amendment or termination of the Plan that materially and adversely impairs the rights of any participant is effective without the consent of the affected participant, unless otherwise provided by the Committee in the applicable award agreement.</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Committee is permitted to waive any conditions or rights under, amend any terms of, or alter, suspend, discontinue, cancel or terminate any award previously granted under the Plan, prospectively or retroactively. However, unless otherwise provided by the Committee in the applicable award agreement or in the Plan, any such waiver, amendment, alteration, suspension, discontinuance, cancellation or termination that materially and adversely impairs the rights of any participant to any award previously granted is not effective without the consent of the affected participant.</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Committee is authorized to make adjustments in the terms and conditions of awards in the event of any unusual or nonrecurring corporate event (including the occurrence of a change of control of RXO) affecting RXO, any of its affiliates or the financial statements of RXO or any of its affiliates, or of changes in applicable rules, rulings, regulations or other requirements of any governmental body or securities exchange, accounting principles or law whenever the RXO Committee, in its discretion, determined that those adjustments were appropriate or desirable, including providing for the substitution or assumption of awards, accelerating the exercisability of, lapse of restrictions on, or termination of, awards or providing for a period of time for exercise prior to the occurrence of such event and, in its discretion, the RXO Committee is permitted to provide for a cash payment to the holder of an award in consideration for the cancellation of such award.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provides that, unless otherwise provided in an award agreement, in the event of a change of control of RXO, awards will be assumed and replaced by awards of equivalent value in connection with the change of control and such assumed awards will have so-called “double trigger” vesting provisions, such that the awards will vest in full and become immediately exercisable upon qualifying terminations of employment during the two-year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1417" w:right="35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8"/>
          <w:szCs w:val="18"/>
          <w:color w:val="auto"/>
        </w:rPr>
        <w:t>following the change of control. However, in the event that awards are not replaced with awards of equivalent value the vesting of the awards will generally accelerate immediately prior to the change of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pursuant to an award agreement, a change of control is defined to mean any of the following events, generally:</w:t>
      </w:r>
    </w:p>
    <w:p>
      <w:pPr>
        <w:spacing w:after="0" w:line="171" w:lineRule="exact"/>
        <w:rPr>
          <w:sz w:val="20"/>
          <w:szCs w:val="20"/>
          <w:color w:val="auto"/>
        </w:rPr>
      </w:pPr>
    </w:p>
    <w:p>
      <w:pPr>
        <w:ind w:left="660" w:right="20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a change in the composition of a majority of the board of directors, as constituted on the first day of such period, that was not supported by a majority of the incumbent board of directors;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certain mergers or consolidations of RXO with any other corporation following which RXO stockholders hold 50% or less of the combined voting power of the surviving entity;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 a plan of complete liquidation or dissolution of RXO; or</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any individual, entity or group of beneficial ownership of a percentage of the combined voting power of the then outstanding voting securities entitled to vote generally in the election of directors that was equal to or greater than 30%.</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award agreements may provide for a different definition of change of control than is provided for in the Plan, except in the case of a transaction described in the third bullet above, any definition of change of control set forth in any award agreement must provide that a change of control will not occur until consummation or effectiveness of a change of control of RXO, rather than upon the announcement, commencement, stockholder approval or other potential occurrence of any event or transaction that, if completed, will result in a change of control of RXO.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the Plan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Prior to the distribution, the Plan was approved by the RXO Board and by XPO as the sole shareowner of RXO. No award may be granted under the Plan more than ten years after the distribution and no ISO may be granted after the tenth anniversary of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17" w:right="339" w:bottom="1440" w:gutter="0" w:footer="0" w:header="0"/>
        </w:sectPr>
      </w:pPr>
    </w:p>
    <w:bookmarkStart w:id="118" w:name="page119"/>
    <w:bookmarkEnd w:id="11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XPO</w:t>
      </w:r>
    </w:p>
    <w:p>
      <w:pPr>
        <w:spacing w:after="0" w:line="1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Following the separation and distribution, RXO and XPO will each operate separately as an independent public company. In connection with the separation, RXO will enter into a separation agreement with XPO to effect the separation and to provide a framework for RXO’s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RXO and XPO of the assets, employees, liabilities and obligations (including, among others, investments, property and employee benefits, insurance and tax-related assets and liabilities) of XPO and its subsidiaries attributable to periods prior to, at and after the separation and will govern the relationship between RXO and XPO subsequent to the completion of the separation.</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material agreements described below have been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Assets and Assumption of Liabilities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separation agreement will identify the assets to be transferred, the liabilities to be assumed and the contracts to be transferred to each of RXO and XPO as part of the separation of XPO into two independent companies, and will provide for when and how these transfers and assumptions will occur. In particular, the separation agreement will provide that, among other things, subject to the terms and conditions contained therein:</w:t>
      </w:r>
    </w:p>
    <w:p>
      <w:pPr>
        <w:spacing w:after="0" w:line="122"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 related to the RXO Businesses (“RXO Assets”) will be retained by or transferred to RXO or one of its subsidiaries, including:</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in certain RXO subsidiaries that hold assets of the RXO Businesses;</w:t>
      </w:r>
    </w:p>
    <w:p>
      <w:pPr>
        <w:spacing w:after="0" w:line="17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RXO brands, certain other trade names and trademarks, and certain other intellectual property (including patents, know-how and trade secrets), software, information and technology allocated to RXO pursuant to the separation agreement;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real property either owned or leased by XPO, RXO or one of their subsidiaries set forth in the separation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contracts exclusively related to the RXO Businesses;</w:t>
      </w:r>
    </w:p>
    <w:p>
      <w:pPr>
        <w:spacing w:after="0" w:line="17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rights expressly allocated to RXO pursuant to the terms of the separation agreement or certain other agreements entered into in connection with the separation;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that are primarily used or held for use in the RXO Businesses; and</w:t>
      </w:r>
    </w:p>
    <w:p>
      <w:pPr>
        <w:spacing w:after="0" w:line="17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that are included in RXO’s pro forma balance sheet, included in RXO’s Unaudited Pro Forma Condensed Combined Financial Information, which appear in the section titled “Unaudited Pro Forma Condensed Combined Financial Information”;</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liabilities related to the RXO Businesses or the RXO Assets, which we refer to as the “RXO Liabilities,” will be retained by or transferred to RXO; and</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assets (including cash and cash equivalents) and liabilities (including whether accrued, contingent or otherwise) other than the RXO Assets and the RXO Liabilities (such assets and liabilities, other than the RXO Assets and the RXO Liabilities, we refer to as the “XPO Assets” and “XPO Liabilities,” respectively) will be retained by or transferred to XPO.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1440" w:right="359" w:bottom="1440" w:gutter="0" w:footer="0" w:header="0"/>
        </w:sectPr>
      </w:pPr>
    </w:p>
    <w:bookmarkStart w:id="119" w:name="page120"/>
    <w:bookmarkEnd w:id="119"/>
    <w:p>
      <w:pPr>
        <w:ind w:right="60"/>
        <w:spacing w:after="0" w:line="266" w:lineRule="auto"/>
        <w:rPr>
          <w:sz w:val="20"/>
          <w:szCs w:val="20"/>
          <w:color w:val="auto"/>
        </w:rPr>
      </w:pPr>
      <w:r>
        <w:rPr>
          <w:rFonts w:ascii="Times New Roman" w:cs="Times New Roman" w:eastAsia="Times New Roman" w:hAnsi="Times New Roman"/>
          <w:sz w:val="18"/>
          <w:szCs w:val="18"/>
          <w:color w:val="auto"/>
        </w:rPr>
        <w:t>It is anticipated that, on the distribution date, RXO will have approximately $100 million of cash. The separation agreement will provide for an adjustment payment to potentially be made following the distribution from RXO to XPO, or from XPO to RXO, so that RXO’s final cash balance as of the effective time of the distribution is equal to $100 million.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as expressly set forth in the separation agreement or any ancillary agreement, neither of RXO nor XPO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RXO or XPO,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will provide that in the event that the transfer of certain assets and liabilities (or a portion thereof) to RXO or XPO, as applicable, does not occur prior to the separation, then until such assets or liabilities (or a portion thereof) are able to be transferred, RXO or XPO, as applicable, will hold such assets on behalf and for the benefit of the transferee at the expense of the transferee.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separation agreement will also govern the rights and obligations of the parties regarding the distribution following the completion of the separation. On the distribution date, XPO will distribute to its stockholders that hold XPO common stock as of the record date for the distribution of all of the issued and outstanding shares of RXO common stock on a pro rata basis. XPO will not distribute any fractional shares of RXO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Distribution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separation agreement will provide that the distribution is subject to satisfaction (or waiver by XPO in its sole and absolute discretion) of certain conditions. These conditions are described under “The Separation and Distribution—Conditions to the Distribution.” XPO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Releases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separation agreement will provide that, except as expressly set forth in the separation agreement, RXO and its affiliates will release and discharge XPO and its affiliates from all liabilities assumed by RXO as part of the separation, all liabilities arising from or in connection with the transactions and activities to implement the separation and distribution, and all liabilities arising out of acts and events occurring or failing to occur, and all conditions existing, on or before the effective time of the distribution, in each case to the extent relating to the RXO Businesses, the assets transferred to RXO as part of the separation or the liabilities assumed by RXO as part of the separation. The separation agreement will further provide that, except as expressly set forth in the separation agreement, XPO and its affiliates will release and discharge RXO and its affiliates from all liabilities retained by XPO as part of the separation, all liabilities arising from or in connection with the transactions and activities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417" w:right="359" w:bottom="1440" w:gutter="0" w:footer="0" w:header="0"/>
        </w:sectPr>
      </w:pPr>
    </w:p>
    <w:bookmarkStart w:id="120" w:name="page121"/>
    <w:bookmarkEnd w:id="120"/>
    <w:p>
      <w:pPr>
        <w:ind w:right="40"/>
        <w:spacing w:after="0" w:line="266" w:lineRule="auto"/>
        <w:rPr>
          <w:sz w:val="20"/>
          <w:szCs w:val="20"/>
          <w:color w:val="auto"/>
        </w:rPr>
      </w:pPr>
      <w:r>
        <w:rPr>
          <w:rFonts w:ascii="Times New Roman" w:cs="Times New Roman" w:eastAsia="Times New Roman" w:hAnsi="Times New Roman"/>
          <w:sz w:val="18"/>
          <w:szCs w:val="18"/>
          <w:color w:val="auto"/>
        </w:rPr>
        <w:t>implement the separation and distribution, and from all liabilities arising out of acts and events occurring or failing to occur, and all conditions existing, on or before the effective time of the distribution, in each case to the extent relating to the businesses conducted by XPO, except the RXO Businesses, the assets retained by XPO as part of the separation or the liabilities retained by XPO as part of the separation.</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releases will not extend to obligations or liabilities under any agreements between the parties that remain in effect or are entered into between the parties following the separation, which agreements include the separation agreement and the other agreements described under “Certain Relationships and Related Party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separation agreement, RXO will agree to indemnify, defend and hold harmless XPO, each of XPO’s controlled affiliates and each of their respective directors, officers and employees, from and against all liabilities to the extent relating to, arising out of or resulting from:</w:t>
      </w:r>
    </w:p>
    <w:p>
      <w:pPr>
        <w:spacing w:after="0" w:line="108"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RXO Liabilities;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RXO’s failure or the failure of any other person to pay, perform or otherwise promptly discharge in accordance with their respective terms any of the RXO Liabilities, whether prior to, at or after the effective time of the distribution;</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indemnification or contribution obligation in respect of a RXO Liability that is provided by XPO for the benefit of RXO and that survives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RXO of the separation agreement or any of the ancillary agreements; and</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or omission or alleged omission of material fact in the Form 10 or in this information statement (as amended or supplemented), except for any such statements or omissions made explicitly in XPO’s name.</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XPO will agree to indemnify, defend and hold harmless RXO, each of RXO’s controlled affiliates and each of their respective directors, officers and employees from and against all liabilities to the extent relating to, arising out of or resulting from:</w:t>
      </w:r>
    </w:p>
    <w:p>
      <w:pPr>
        <w:spacing w:after="0" w:line="108"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XPO Liabilities;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XPO or any other person to pay, perform or otherwise promptly discharge in accordance with their respective terms any of the XPO Liabilities, whether prior to, at or after the effective time of the distribution;</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indemnification or contribution obligation in respect of an XPO Liability that is provided by RXO for the benefit of XPO and that survives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XPO of the separation agreement or any of the ancillary agreements;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or omission or alleged omission of a material fact made explicitly in XPO’s name in the Form 10 or in this information statement (as amended or supplemented).</w:t>
      </w:r>
    </w:p>
    <w:p>
      <w:pPr>
        <w:spacing w:after="0" w:line="108" w:lineRule="exact"/>
        <w:rPr>
          <w:sz w:val="20"/>
          <w:szCs w:val="20"/>
          <w:color w:val="auto"/>
        </w:rPr>
      </w:pPr>
    </w:p>
    <w:p>
      <w:pPr>
        <w:ind w:right="2140"/>
        <w:spacing w:after="0" w:line="438" w:lineRule="auto"/>
        <w:rPr>
          <w:sz w:val="20"/>
          <w:szCs w:val="20"/>
          <w:color w:val="auto"/>
        </w:rPr>
      </w:pPr>
      <w:r>
        <w:rPr>
          <w:rFonts w:ascii="Times New Roman" w:cs="Times New Roman" w:eastAsia="Times New Roman" w:hAnsi="Times New Roman"/>
          <w:sz w:val="18"/>
          <w:szCs w:val="18"/>
          <w:color w:val="auto"/>
        </w:rPr>
        <w:t xml:space="preserve">The separation agreement will also establish procedures with respect to claims subject to indemnification and related matters. Indemnification with respect to taxes, and the procedures related thereto, will be governed by the tax matters agreement. </w:t>
      </w:r>
      <w:r>
        <w:rPr>
          <w:rFonts w:ascii="Times New Roman" w:cs="Times New Roman" w:eastAsia="Times New Roman" w:hAnsi="Times New Roman"/>
          <w:sz w:val="18"/>
          <w:szCs w:val="18"/>
          <w:b w:val="1"/>
          <w:bCs w:val="1"/>
          <w:i w:val="1"/>
          <w:iCs w:val="1"/>
          <w:color w:val="auto"/>
        </w:rPr>
        <w:t>Non-Compete</w:t>
      </w:r>
    </w:p>
    <w:p>
      <w:pPr>
        <w:spacing w:after="0" w:line="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separation agreement will contain a covenant not to compete, prohibiting, subject to certain customary exceptions: (i) RXO and its subsidiaries from engaging in the XPO retained businesses, and (ii) XPO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80"/>
          </w:cols>
          <w:pgMar w:left="320" w:top="1417"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subsidiaries from engaging in the RXO Businesses, in each case for a period of two years following the distribution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separation agreement will provide for the allocation between the parties of rights and obligations under existing insurance policies with respect to claims covered by XPO’s insurance prior to the distribution and set forth procedures for the administration of insured claims and related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the actions specifically provided for in the separation agreement, except as otherwise set forth therein or in any ancillary agreement, RXO and XPO will agree in the separation agreement to use reasonable best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 Resolution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separation agreement will contain provisions that govern, except as otherwise provided in any ancillary agreement, the resolution of disputes, controversies or claims that may arise between RXO and XPO related to the separation or distribution and that are unable to be resolved through good faith negotiations between RXO and XPO. These provisions will contemplate that efforts will be made to resolve disputes, controversies and claims by escalation of the matter to executives of the parties in dispute. If such efforts are not successful, one of the parties in dispute may submit the dispute, controversy or claim to binding alternative dispute resolution, subject to the provisions of the separation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as expressly set forth in the separation agreement or in any ancillary agreement, XPO will be responsible for all costs and expenses incurred in connection with the separation incurred prior to the distribution date, including costs and expenses relating to legal and tax counsel, financial advisors and accounting advisory work related to the separation. Except as expressly set forth in the separation agreement or in any ancillary agreement, or as otherwise agreed in writing by RXO and XPO, all costs and expenses incurred in connection with the separation after the distribution will be paid by the party incurring such cost and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separation agreement will provide that it may be terminated, and the separation and distribution may be modified or abandoned, at any time prior to the distribution date in the sole and absolute discretion of the XPO board of directors without the approval of any person, including RXO or XPO stockholders. In the event of a termination of the separation agreement, no party, nor any of its directors, officers or employees, will have any liability of any kind to the other parties or any other person. After the distribution date, the separation agreement may not be amended or terminated, except by an agreement in writing signed by both RXO and XPO.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RXO and XPO will enter into a transition services agreement in connection with the separation pursuant to which RXO and XPO and their respective affiliates will provide each other, on an interim, transitional basis, various services, such as, employee benefits administration, information technology services, regulatory services, accounting support, general administrative services and other support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1417" w:right="359" w:bottom="1440" w:gutter="0" w:footer="0" w:header="0"/>
        </w:sectPr>
      </w:pPr>
    </w:p>
    <w:bookmarkStart w:id="122" w:name="page123"/>
    <w:bookmarkEnd w:id="122"/>
    <w:p>
      <w:pPr>
        <w:ind w:right="140"/>
        <w:spacing w:after="0" w:line="266" w:lineRule="auto"/>
        <w:rPr>
          <w:sz w:val="20"/>
          <w:szCs w:val="20"/>
          <w:color w:val="auto"/>
        </w:rPr>
      </w:pPr>
      <w:r>
        <w:rPr>
          <w:rFonts w:ascii="Times New Roman" w:cs="Times New Roman" w:eastAsia="Times New Roman" w:hAnsi="Times New Roman"/>
          <w:sz w:val="18"/>
          <w:szCs w:val="18"/>
          <w:color w:val="auto"/>
        </w:rPr>
        <w:t>The services generally will commence on the distribution date and terminate no later than eight months following the distribution date, subject in certain circumstances to an extension of up to three months. The receiving party may terminate any services by giving prior written notice to the provider of such services and paying any applicable wind-down charges.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liabilities of each party providing services under the transition services agreement will generally be limited to the aggregate charges actually paid to such party by the other party pursuant to the transition services agreement. The transition services agreement also will provide that the provider of a service will not be liable to the recipient of such service for any special, indirect, incidental or consequential damages.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 Agreement</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RXO and XPO will enter into a tax matters agreement that will govern the parties’ respective rights, responsibilities and obligations with respect to taxes (including responsibility for taxes, entitlement to refunds, allocation of tax attributes, preparation of tax returns, control of tax contests and other tax matters).</w:t>
      </w:r>
    </w:p>
    <w:p>
      <w:pPr>
        <w:spacing w:after="0" w:line="12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Under the tax matters agreement, XPO generally will be responsible for all U.S. federal income taxes imposed on the XPO consolidated tax return group and state and foreign income, franchise, capital gain, withholding and similar taxes imposed on a consolidated, combined or unitary tax return group (or similar tax group under non-U.S. law) that includes XPO or one of its subsidiaries with respect to taxable periods (or portions thereof) that end on or prior to the distribution date, except: (i) special rules will apply with respect to certain taxes imposed in connection with the internal reorganization or the separation and distribution, and (ii) RXO will be responsible for taxes resulting from any breach of certain covenants made by RXO in the tax matters agreement or other separation-related agreements. RXO generally will be responsible for all federal, state, or foreign income, franchise, capital gain, withholding or similar taxes imposed on a separate return basis on RXO (or any of its subsidiaries or any subgroup consisting solely of RXO and its subsidiaries), as applicable, with respect to taxable periods (or portions thereof) that end on or prior to the date of the relevant distribution, except: (i) special rules will apply with respect to certain taxes imposed in connection with the internal reorganization or the separation and distribution, and (ii) XPO will be responsible for taxes resulting from any breach of any covenant made by XPO in the tax matters agreement or other separation-related agreements.</w:t>
      </w:r>
    </w:p>
    <w:p>
      <w:pPr>
        <w:spacing w:after="0" w:line="1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tax matters agreement will provide special rules that allocate tax liabilities in the event either: (i) the distribution, together with certain related transactions, fails to qualify as a transaction that is generally tax-free for U.S. federal income tax purposes under Sections 355 and 368(a)(1)(D) of the Code, or (ii) any internal separation transaction that is intended to qualify as a transaction that is generally tax-free fails to so qualify. Under the tax matters agreement, each party will be responsible for any taxes and related amounts imposed on XPO or RXO as a result of the failure to so qualify, to the extent that the failure to so qualify is attributable to actions, events or transactions relating to such party’s respective stock, assets or business, or a breach of the relevant covenants made by that party in the tax matters agreement. Further, under the tax matters agreement, each of XPO and RXO would be responsible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separation transaction that is intended to qualify as a transaction that is generally tax-free to so qualify, in each case, to the extent such amounts did not result from a disqualifying action by, or acquisition of equity securities of, XPO or RXO.</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tax matters agreement will impose certain restrictions on RXO and its subsidiaries during the two-year period following the distribution that will be intended to prevent the distribution, together with certain related transactions, from failing to qualify as a transaction that is generally tax-free for U.S. federal income tax purposes under Sections 355 and 368(a)(1)(D) of the Code. Specifically, during such period, except in specific circumstances, RXO and its subsidiaries will be prohibited from: (i) ceasing to conduct certain businesses, (ii) entering into certain transactions or series of transactions pursuant to which all or a portion of the shares of RXO common stock would be acquired or all or a portion of certain assets of RXO and its subsidiaries would be acquired, (iii) liquidating, merging or consolidating with any other person; (iv) issuing equity securities beyond certain thresholds; (v) repurchasing RXO stock other than in certain open-market transactions, or (vi) taking or failing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17" w:right="339" w:bottom="1440" w:gutter="0" w:footer="0" w:header="0"/>
        </w:sectPr>
      </w:pPr>
    </w:p>
    <w:bookmarkStart w:id="123" w:name="page124"/>
    <w:bookmarkEnd w:id="123"/>
    <w:p>
      <w:pPr>
        <w:spacing w:after="0" w:line="255" w:lineRule="auto"/>
        <w:rPr>
          <w:sz w:val="20"/>
          <w:szCs w:val="20"/>
          <w:color w:val="auto"/>
        </w:rPr>
      </w:pPr>
      <w:r>
        <w:rPr>
          <w:rFonts w:ascii="Times New Roman" w:cs="Times New Roman" w:eastAsia="Times New Roman" w:hAnsi="Times New Roman"/>
          <w:sz w:val="18"/>
          <w:szCs w:val="18"/>
          <w:color w:val="auto"/>
        </w:rPr>
        <w:t>take any other action that would cause the distribution, together with certain related transactions, to fail to qualify as a transaction that is generally tax-free for U.S. federal income tax purposes under Sections 355 and 368(a)(1)(D) of the Code.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(1)(D) of the Code or for applicable non-U.S. income tax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RXO and XPO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current and former employees and non-employee directors of each company.</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employee matters agreement will provide that, unless otherwise specified, each party will be responsible for liabilities associated with current employees of such party and its subsidiaries and former employees of such party’s business for purposes of post-separation compensation and benefit matters. The employee matters agreement will also provide, subject to customary exceptions, that neither XPO nor RXO nor their respective subsidiaries will solicit for employment or hire any individual who is a salaried employee of the other party or its subsidiaries for a period of two years following the distribution date.</w:t>
      </w:r>
    </w:p>
    <w:p>
      <w:pPr>
        <w:spacing w:after="0" w:line="1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employee matters agreement will also govern the terms of equity-based awards granted by XPO prior to the separation. See “The Separation and Distribution—Treatment of Equity-Based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 Agreement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XPO and a subsidiary of RXO will enter into an intellectual property license agreement in connection with the separation to facilitate and provide for an orderly transition in connection with the transaction. The intellectual property license agreement will provide such RXO subsidiary a non-exclusive license to certain XPO software platforms for use in the operation of the RXO Businesses, and XPO will have non-exclusive licenses to certain software platforms and patents owned by RXO subsidiaries for use in the operation of XPO’s retained businesses. The intellectual property license agreement will also provide the parties with reciprocal, non-exclusive licenses under certain intellectual property rights owned by RXO subsidiaries and certain intellectual property rights retained by XPO in order to provide the parties freedom to operate their respective businesses. We believe that there will be relatively little use of the software platforms and other intellectual property rights owned by RXO subsidiaries in XPO’s retained businesses and therefore little impact on the RXO Businesses. In addition, we believe there will be relatively little use of the software platforms and other intellectual property rights retained by XPO in the RXO Businesses and, as a result, that such use should have little impact on the RXO Businesses.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RXO will enter into the Registration Rights Agreement with JPE, an affiliate of Brad Jacobs, who will be appointed as RXO’s chairman following the completion of the distribution. The Registration Rights Agreement provides certain holders of shares of RXO common stock, with certain rights to cause RXO to register the sale of their common stock, other than any such securities that are then freely transferable without registration pursuant to Rule 144 under the Securities Act, without limitation as to volume, manner of sale or other restrictions under Rule 144. Pursuant to the Registration Rights Agreement, JPE may request that we register shares of our common stock held by JPE a total of three times. If such registration involves an underwritten offering, we may be required to agree to be restricted from selling or disposing any of our common stock or securities convertible into or exchangeable or exercisable for common stock for a period of 90 days (subject to certain exceptions and our ability to defer a registration request or suspend use of a registration statement under certain circumstances). In addition, subject to certain exceptions, if we register our securities on a registration statement that permits the inclusion of shares of our common stock held by JPE, we must give JPE prompt written notice thereof and include on such registration statement all shares requested to be included therein. The Registration Rights Agreement also contains customary provisions relating to expenses and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1417" w:right="359" w:bottom="1440" w:gutter="0" w:footer="0" w:header="0"/>
        </w:sectPr>
      </w:pPr>
    </w:p>
    <w:bookmarkStart w:id="124" w:name="page125"/>
    <w:bookmarkEnd w:id="124"/>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October 7, 2022, JPE beneficially owned 1,300,701 shares of XPO common stock, which will represent approximately 1.1% of the outstanding shares of RXO common stock immediately following the completion of the distribution, based on the distribution ratio of one share of RXO common stock for every share of XPO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consequences of the distribution to “U.S. holders” (as defined below) of XPO common stock. This discussion is based on the Code, Treasury Regulations promulgated thereunder, rulings and other administrative pronouncements issued by the Internal Revenue Service (“IRS”), and judicial decisions, in each case as in effect and available as of the date of this information statement and all of which are subject to differing interpretations and change at any time, possibly with retroactive effect. Any such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discussion applies only to U.S. holders of shares of XPO common stock who hold such shares as a capital asset within the meaning of Section 1221 of the Code (generally, property held for investment). This discussion is based upon the assumption that the separation and the distribution, together with certain related transactions, were or will be consummated in accordance with the separation agreement and the other agreements related to the separation and as described in this information statement. Holders of XPO common stock that are not U.S. holders should consult their own tax advisors as to the tax consequences of the distribution.</w:t>
      </w:r>
    </w:p>
    <w:p>
      <w:pPr>
        <w:spacing w:after="0" w:line="1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This summary is for general information only and does not constitute tax advice or an opinion of counsel. This discussion does not address all aspects of U.S. federal income taxation that may be relevant to particular holders of XPO common stock in light of their particular circumstances nor does it address tax consequences applicable to holders that are or may be subject to special treatment under the U.S. federal income tax laws (such as, for example, insurance companies,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organizations, financial institutions, mutual funds, certain former U.S. citizens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residents of the United States,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entities or arrangements treated as partnerships for U.S. federal income tax purposes, or other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entities or owners thereof, traders in securities who elect a mark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method of accounting, holders who hold their XPO common stock as part of a “hedge,” “straddle,” “conversion,” “synthetic security,” “integrated investment” or “constructive sale transaction,” holders who acquired XPO common stock upon the exercise of employee stock options or otherwise as compensation, or holders whose functional currency is not the U.S. dollar). This discussion also does not address any tax consequences arising under the alternative minimum tax, the Medicare tax on net investment income or the Foreign Account Tax Compliance Act (including the Treasury Regulations promulgated thereunder and intergovernmental agreements entered into pursuant thereto or in connection therewith). In addition, no information is provided with respect to any tax consequences under state, local, or foreign laws or U.S. federal laws other than those pertaining to the U.S. federal income tax. This discussion does not address the tax consequences to any person who actually or constructively owns 5% or more of the outstanding shares of XPO common stock.</w:t>
      </w:r>
    </w:p>
    <w:p>
      <w:pPr>
        <w:spacing w:after="0" w:line="14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any entity or arrangement treated as a partnership for U.S. federal income tax purposes holds XPO common stock, the tax treatment of a partner in such partnership will generally depend upon the status of the partner and the activities of the partnership. Holders of XPO common stock that are partnerships and partners in such partnerships should consult their own tax advisors as to the tax consequences of the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XPO common stock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created or organized in or under the laws of the United States,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its administration and one or more U.S. persons have the authority to control all of the substantial decisions of such trust, or (ii) it has a valid election in effect under applicable Treasury Regulations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26" w:name="page127"/>
    <w:bookmarkEnd w:id="126"/>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A SUMMARY OF MATERIAL U.S. FEDERAL INCOME TAX CONSEQUENCES OF THE DISTRIBUTION UNDER CURRENT LAW AND IS FOR GENERAL INFORMATION ONLY. ALL HOLDERS SHOULD CONSULT THEIR OWN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HEREIN.</w:t>
      </w:r>
    </w:p>
    <w:p>
      <w:pPr>
        <w:spacing w:after="0" w:line="13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It is expected that, prior to the distribution, XPO will receive an opinion of its outside counsel, satisfactory to the XPO board of directors, to the effect that, among other things, the distribution, together with certain related transactions, will qualify as a “reorganization” within the meaning of Sections 355 and 368(a)(1)(D) of the Code and therefore will qualify as a transaction that is generally tax-free for U.S. federal income tax purposes under those sections. Receipt of such opinion of counsel is a condition to the distribution. The opinion of counsel will be based upon and rely on, among other things, various facts and assumptions, as well as certain representations, statements and undertakings of RXO and XPO (including those relating to the past and future conduct of RXO and XPO). If any of these facts, assumptions, representations, statements or undertakings is, or becomes, inaccurate or incomplete, or if RXO or XPO breaches any of its respective representations or covenants contained in the separation agreement and certain other separation-related agreements and documents or in any documents relating to the opinion of counsel, such opinion of counsel may be invalid and the conclusions reached therein could be jeopardized.</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receipt by XPO of the opinion of counsel, the IRS could determine that the distribution and/or certain related transactions should be treated as taxable transactions for U.S. federal income tax purposes if it determines that any of the facts, representations, assumptions, statements or undertakings upon which the opinion of counsel was based is false or has been violated, or that the distribution and/or certain related transactions should be taxable for other reasons, including as a result of certain transactions occurring after the distribution. In addition, an opinion of counsel represents the judgment of such counsel and is not binding on the IRS or any court and the IRS or a court may disagree with the conclusions in the opinion of counsel. Accordingly, notwithstanding receipt by XPO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XPO, RXO and XPO stockholders could be subject to significant U.S. federal income tax liability or tax indemnification obligations. Please refer to “—Material U.S. Federal Income Tax Consequences if the Distribution Is Taxable” below.</w:t>
      </w:r>
    </w:p>
    <w:p>
      <w:pPr>
        <w:spacing w:after="0" w:line="13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if the Distribution, Together with Certain Related Transactions, Qualifies as a Transaction That is Generally Tax-Free under Sections 355 and 368(a)(1)(D) of the Code.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distribution, together with certain related transactions, qualifies as a transaction that is generally tax-free for U.S. federal income tax purposes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355 and 368(a)(1)(D) of the Code, the U.S. federal income tax consequences of the distribution generally are as follows:</w:t>
      </w:r>
    </w:p>
    <w:p>
      <w:pPr>
        <w:spacing w:after="0" w:line="153" w:lineRule="exact"/>
        <w:rPr>
          <w:sz w:val="20"/>
          <w:szCs w:val="20"/>
          <w:color w:val="auto"/>
        </w:rPr>
      </w:pPr>
    </w:p>
    <w:p>
      <w:pPr>
        <w:jc w:val="both"/>
        <w:ind w:left="660" w:right="28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XPO as a result of the distribution, other than gain or income arising in connection with certain internal restructurings undertaken in connection with the separation and distribution (including with respect to any portion of the borrowing proceeds transferred to XPO from RXO that is not used for qualifying purposes);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U.S. holders of XPO common stock upon the receipt of RXO common stock in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in the XPO common stock and the RXO common stock received in the distribution in the hands of each U.S. holder of XPO common stock immediately after the distribution will equal the aggregate basis of XPO common stock held by such U.S. holder immediately before the distribution, allocated between the XPO common stock and the RXO common stock in proportion to the relative fair market value of each on the date of the distribution;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20"/>
          </w:cols>
          <w:pgMar w:left="320" w:top="1413" w:right="359" w:bottom="1440" w:gutter="0" w:footer="0" w:header="0"/>
        </w:sectPr>
      </w:pPr>
    </w:p>
    <w:bookmarkStart w:id="127" w:name="page128"/>
    <w:bookmarkEnd w:id="127"/>
    <w:p>
      <w:pPr>
        <w:ind w:left="660" w:right="10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RXO common stock received by each U.S. holder of XPO common stock in the distribution will include the holding period at the time of the distribution for the XPO common stock with respect to which the distribution is made.</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 U.S. holder of XPO common stock holds different blocks of XPO common stock (generally shares of XPO common stock acquired on different dates or at different prices), such holder should consult its own tax advisor regarding the determination of the basis and holding period of shares of RXO common stock received in the distribution in respect of particular blocks of XPO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if the Distribution Is Taxable.</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discussed above, notwithstanding receipt by XPO of an opinion of counsel, the IRS could assert that the distribution does not qualify for tax-free treatment for U.S. federal income tax purposes. If the IRS were successful in taking this position, some or all of the consequences described above would not apply, and XPO, RXO and XPO stockholders could be subject to significant U.S. federal income tax liability. In addition, certain events that may or may not be within the control of XPO or RXO could cause the distribution and certain related transactions not to qualify for tax-free treatment for U.S. federal income tax purposes.</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the distribution, together with certain related transactions, were to fail to qualify as a transaction that is generally tax-free for U.S. federal income tax purposes under Section 355 and 368(a)(1)(D) of the Code, in general, for U.S. federal income tax purposes, XPO would recognize taxable gain as if it had sold the RXO common stock in a taxable sale for its fair market value (unless XPO and RXO jointly make an election under Section 336(e) of the Code with respect to the distribution, in which case, in general: (i) the XPO group would recognize taxable gain as if RXO had sold all of its assets in a taxable sale in exchange for an amount equal to the fair market value of the RXO common stock and the assumption of all RXO’s liabilities and (ii) RXO would obtain a related step up in the basis of its assets), and XPO stockholders who receive shares of RXO common stock in the distribution would be subject to tax as if they had received a taxable distribution equal to the fair market value of such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the distribution, together with certain related transactions, were otherwise to qualify as a tax-free transaction under Sections 355(a) and 368(a)(1)</w:t>
      </w:r>
    </w:p>
    <w:p>
      <w:pPr>
        <w:spacing w:after="0" w:line="27" w:lineRule="exact"/>
        <w:rPr>
          <w:sz w:val="20"/>
          <w:szCs w:val="20"/>
          <w:color w:val="auto"/>
        </w:rPr>
      </w:pPr>
    </w:p>
    <w:p>
      <w:pPr>
        <w:ind w:firstLine="8"/>
        <w:spacing w:after="0" w:line="253" w:lineRule="auto"/>
        <w:tabs>
          <w:tab w:leader="none" w:pos="2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the distribution may result in taxable gain to XPO (but not its stockholders) under Section 355(e) of the Code if the distribution, together with certain related transactions, were deemed to be part of a plan (or series of related transactions) pursuant to which one or more persons acquire, directly or indirectly, shares representing a 50% or greater interest (by vote or value) in XPO or RXO. For this purpose, any acquisitions of XPO or RXO shares within the period beginning two years before, and ending two years after, the distribution are presumed to be part of such a plan, although XPO or RXO may be able to rebut that presumption (including by qualifying for one or more safe harbors under applicable Treasury Regulations).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RXO and XPO will enter into a tax matters agreement that, among other things, will allocate between RXO and XPO the responsibility for tax liabilities incurred by them as a result of the failure of the distribution, together with certain related transactions (or certain transactions undertaken as part of the internal reorganization), to qualify for tax-free treatment. For a discussion of the tax matters agreement, see “Certain Relationships and Related Party Transactions—Tax Matters Agreement.”</w:t>
      </w:r>
    </w:p>
    <w:p>
      <w:pPr>
        <w:spacing w:after="0" w:line="122" w:lineRule="exact"/>
        <w:rPr>
          <w:sz w:val="20"/>
          <w:szCs w:val="20"/>
          <w:color w:val="auto"/>
        </w:rPr>
      </w:pPr>
    </w:p>
    <w:p>
      <w:pPr>
        <w:ind w:right="320"/>
        <w:spacing w:after="0" w:line="224" w:lineRule="exact"/>
        <w:rPr>
          <w:sz w:val="20"/>
          <w:szCs w:val="20"/>
          <w:color w:val="auto"/>
        </w:rPr>
      </w:pPr>
      <w:r>
        <w:rPr>
          <w:rFonts w:ascii="Times New Roman" w:cs="Times New Roman" w:eastAsia="Times New Roman" w:hAnsi="Times New Roman"/>
          <w:sz w:val="17"/>
          <w:szCs w:val="17"/>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XPO COMMON STOCK SHOULD CONSULT THEIR OWN TAX ADVISORS AS TO THE PARTICULAR TAX CONSEQUENCES TO THEM OF THE DISTRIBUTION, INCLUDING THE APPLICATION AND EFFECT OF U.S. FEDERAL, STATE, LOCAL, 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U.S.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00"/>
          </w:cols>
          <w:pgMar w:left="320" w:top="1417" w:right="379" w:bottom="1440" w:gutter="0" w:footer="0" w:header="0"/>
        </w:sectPr>
      </w:pPr>
    </w:p>
    <w:bookmarkStart w:id="128" w:name="page129"/>
    <w:bookmarkEnd w:id="12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issuance or incurrence, as applicable, of the indebtedness described below remains subject to closing conditions and/or entry into definitive documentation. The terms of the Term Loan Facility and Revolving Credit Facility are subject to change and market conditions and will be finalized prior to the consummation of the separation and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11, 2022, our wholly owned subsidiary, XPO Escrow Sub, LLC (the “Escrow Issuer”) priced an offering of $355 million in aggregate principal amount of 7.50% senior notes due 2027 (the “notes”). The notes are expected to be issued on or about October 25, 2022 (subject to customary closing conditions) pursuant to an indenture between the Escrow Issuer and U.S. Bank Trust Company, National Association, as trustee (the “Trustee”). Substantially concurrently with or prior to the consummation of the separation, the Escrow Issuer will merge with and into RXO, as a result of which the notes will become the direct obligations of RXO.</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notes are being offered in the United States only to persons reasonably believed to be qualified institutional buyers in reliance on Rule 144A under the Securities Act, and, outside the United States, only to non-U.S. investors pursuant to Regulation S under the Securities Act. The notes will not be registered under the Securities Act or any state securities laws and may not be offered or sold in the United States absent an effective registration statement or an applicable exemption from registration requirements or in a transaction not subject to the registration requirements of the Securities Act or any state securities laws.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notes will accrue interest at a rate of 7.50% per year, payable semi-annually in cash in arrears on May 15 and November 15 of each year, beginning on May 15, 2023. The notes will mature on November 15, 2027, unless earlier repurchased or redeemed, if applicable. RXO will be permitted to redeem some or all of the notes prior to their maturity at redemption prices described in the indenture.</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indenture will contain customary events of default with respect to the notes, including failure to make required payments, failure to comply with certain agreements or covenants and certain events of bankruptcy and insolvency. The notes are expected to be guaranteed by RXO’s existing and future wholly-owned subsidiaries that guarantee the Revolving Credit Facility, the Term Loan Facility or certain other indebtedness of RXO, subject to certain exceptions. If RXO achieves certain credit ratings, and certain other conditions are satisfied, it is expected that the guarantees will be released.</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net proceeds from the notes are expected to be placed in an escrow account to be released, subject to the satisfaction of certain terms and conditions, prior to the distribution. RXO expects to use the net proceeds of the notes to (i) fund a cash distribution to XPO (which XPO intends to use to repay existing indebtedness prior to the 12-month anniversary of the distribution), (ii) pay fees, costs and expenses incurred in connection with the separation, distribution, such financing transactions and related transactions and/or (iii) provide working capital to RXO.</w:t>
      </w:r>
    </w:p>
    <w:p>
      <w:pPr>
        <w:spacing w:after="0" w:line="12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foregoing description and the other information in this information statement regarding the notes is included in this information statement solely for informational purposes. Nothing in this information statement should be construed as an offer to sell, or the solicitation of an offer to buy, any such notes.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expect to enter into a revolving credit facility with Citibank, N.A., as administrative agent and certain other parties from time to time party thereto (the “Revolving Credit Facility”), prior to the distribution.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It is expected that the Revolving Credit Facility will be a five-year unsecured, multicurrency revolving facility. The obligations under the Revolving Credit Facility are expected to be guaranteed by RXO’s existing and future wholly-owned domestic material subsidiaries, subject to certain exceptions. If RXO achieves certain credit ratings, and certain other conditions are satisfied, it is expected that the guarantees will be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20"/>
          </w:cols>
          <w:pgMar w:left="320" w:top="1440" w:right="359" w:bottom="1440" w:gutter="0" w:footer="0" w:header="0"/>
        </w:sectPr>
      </w:pPr>
    </w:p>
    <w:bookmarkStart w:id="129" w:name="page130"/>
    <w:bookmarkEnd w:id="129"/>
    <w:p>
      <w:pPr>
        <w:ind w:right="40"/>
        <w:spacing w:after="0" w:line="261" w:lineRule="auto"/>
        <w:rPr>
          <w:sz w:val="20"/>
          <w:szCs w:val="20"/>
          <w:color w:val="auto"/>
        </w:rPr>
      </w:pPr>
      <w:r>
        <w:rPr>
          <w:rFonts w:ascii="Times New Roman" w:cs="Times New Roman" w:eastAsia="Times New Roman" w:hAnsi="Times New Roman"/>
          <w:sz w:val="18"/>
          <w:szCs w:val="18"/>
          <w:color w:val="auto"/>
        </w:rPr>
        <w:t>Initially, the aggregate commitment of all lenders under the Revolving Credit Facility is expected to be equal to $500 million, a portion of which will be available for the issuance of letters of credit. The initial availability of revolving loans and letters of credit under the Revolving Credit Facility will be subject to the satisfaction (or waiver) of certain conditions set forth therein, including the consummation of the distribution (such date of initial availability, the “Revolving Closing Date”).</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and following the Revolving Closing Date, it is expected that RXO may, subject to certain conditions set forth in the Revolving Credit Facility, borrow, repay and reborrow revolving loans at any time prior to the fifth anniversary of the Revolving Closing Date. We expect that revolving loans and letters of credit initially will be available, at the option of RXO, Inc., in U.S. dollars or Canadian dollars.</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Loans under the Revolving Credit Facility are expected to bear interest at a fluctuating rate per annum equal to (i) with respect to borrowings in Dollars, at RXO’s option the alternate base rate or a rate referencing the Secured Overnight Funding Rate and (ii) with respect to borrowings in Canadian Dollars, the reserve adjusted Canadian Dollar Offered Rate, in each case, plus an applicable margin calculated based on RXO’s credit ratings.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Revolving Credit Facility is expected to contain representations and warranties, affirmative and negative covenants and events of default customary for unsecured financings of this type, including negative covenants that, among other things, after the distribution, will limit the ability of RXO and its subsidiaries to incur liens, limit the ability of RXO to make certain fundamental changes and limit the ability of certain of RXO’s subsidiaries to incur indebtedness, in each case subject to a number of important exceptions and qualifications. In addition, the Revolving Credit Facility is expected to require, after the distribution, RXO to maintain a maximum consolidated leverage ratio and a minimum interest coverage ratio.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expect to enter into a term loan facility with Citibank, N.A., as administrative agent and certain other parties from time to time party thereto (the “Term Loan Facility”), prior to the distribution.</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It is expected that the Term Loan Facility will be an unsecured facility. The obligations under the Term Loan Facility are expected to be guaranteed by RXO’s existing and future wholly-owned domestic material subsidiaries, subject to certain exceptions. If RXO achieves certain credit ratings, and certain other conditions are satisfied, it is expected that the guarantees will be released.</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Term Loan Facility is expected to provide commitments in an aggregate principal amount of $100 million that may be borrowed by RXO in a single draw. The availability of term loans under the Term Loan Facility will be subject to the satisfaction (or waiver) of certain conditions set forth therein (such date of initial borrowing, which we expect to occur on the day prior to the consummation of the distribution, the “Term Closing Date”). The Term Loan Facility is expected to amortize by an amount customary for unsecured financings of this type.</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Loans under the Term Loan Facility are expected to bear interest at a fluctuating rate per annum equal to, at RXO’s option, the alternate base rate or a rate referencing the Secured Overnight Funding Rate, in each case, plus an applicable margin calculated based on RXO’s credit ratings.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Term Loan Facility is expected to contain representations and warranties, affirmative and negative covenants and events of default customary for unsecured financings of this type, including negative covenants that, among other things, after the distribution, will limit the ability of RXO and its subsidiaries to incur liens, limit the ability of RXO to make certain fundamental changes and limit the ability of certain of RXO’s subsidiaries to incur indebtedness, in each case subject to a number of important exceptions and qualifications. In addition, the Term Loan Facility is expected to require, after the distribution, RXO to maintain a maximum consolidated leverage ratio and a minimum interest coverage ratio.</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RXO expects to transfer all, or a portion of, the net proceeds of the Term Loan Facility and other cash and cash equivalents to XPO (which XPO intends to use to repay existing indebtedness prior to the 12-month anniversary of the distribution) and/or use such proceeds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1417" w:right="359" w:bottom="1440" w:gutter="0" w:footer="0" w:header="0"/>
        </w:sectPr>
      </w:pPr>
    </w:p>
    <w:bookmarkStart w:id="130" w:name="page131"/>
    <w:bookmarkEnd w:id="13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Before the separation and distribution, all of the outstanding shares of RXO common stock will be owned beneficially and of record by XPO. Following the separation and distribution, RXO expects to have outstanding an aggregate of approximately 115,113,629 shares of common stock based upon approximately 115,113,629 shares of XPO common stock issued and outstanding on October 7, 2022, excluding treasury shares, assuming no exercise of XPO options and applying the distribution ratio.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all holders known to RXO that are expected to be beneficial owners of more than 5% of the outstanding shares of RXO common stock immediately following the completion of the distribution, based on information available as of October 7, 2022 and based upon the assumptions that for every share of XPO common stock held by such persons, they will receive one share of RXO common stock.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6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95"/>
        </w:trPr>
        <w:tc>
          <w:tcPr>
            <w:tcW w:w="78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7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MFN Partners, LP</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 MFN Partners Management, LP</w:t>
            </w: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222 Berkeley Street, 13th Floor</w:t>
            </w:r>
          </w:p>
        </w:tc>
        <w:tc>
          <w:tcPr>
            <w:tcW w:w="1580" w:type="dxa"/>
            <w:vAlign w:val="bottom"/>
            <w:vMerge w:val="restart"/>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12,675,369</w:t>
            </w:r>
          </w:p>
        </w:tc>
        <w:tc>
          <w:tcPr>
            <w:tcW w:w="1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Boston, MA 02116</w:t>
            </w: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8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7"/>
                <w:szCs w:val="17"/>
                <w:color w:val="auto"/>
              </w:rPr>
              <w:t>Orbis Investment Management Limited</w:t>
            </w:r>
            <w:r>
              <w:rPr>
                <w:rFonts w:ascii="Times New Roman" w:cs="Times New Roman" w:eastAsia="Times New Roman" w:hAnsi="Times New Roman"/>
                <w:sz w:val="22"/>
                <w:szCs w:val="22"/>
                <w:color w:val="auto"/>
                <w:vertAlign w:val="superscript"/>
              </w:rPr>
              <w:t>(2)</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Orbis House, 25 Front Street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Hamilton Bermuda HM11</w:t>
            </w:r>
          </w:p>
        </w:tc>
        <w:tc>
          <w:tcPr>
            <w:tcW w:w="15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11,104,073</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198"/>
        </w:trPr>
        <w:tc>
          <w:tcPr>
            <w:tcW w:w="78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2"/>
                <w:szCs w:val="22"/>
                <w:color w:val="auto"/>
                <w:vertAlign w:val="superscript"/>
              </w:rPr>
              <w:t>(3)</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55 East 52nd Street</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NY 10055</w:t>
            </w:r>
          </w:p>
        </w:tc>
        <w:tc>
          <w:tcPr>
            <w:tcW w:w="15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9,143,216</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98"/>
        </w:trPr>
        <w:tc>
          <w:tcPr>
            <w:tcW w:w="78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2"/>
                <w:szCs w:val="22"/>
                <w:color w:val="auto"/>
                <w:vertAlign w:val="superscript"/>
              </w:rPr>
              <w:t>(4)</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100 Vanguard Blvd.</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Malvern, PA 19355</w:t>
            </w:r>
          </w:p>
        </w:tc>
        <w:tc>
          <w:tcPr>
            <w:tcW w:w="15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9,032,676</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40" w:right="80" w:hanging="332"/>
        <w:spacing w:after="0" w:line="260"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1 to the Schedule 13G filed on August 12, 2022 by: (i) MFN Partners, LP (the “Partnership”), (ii) MFN Partners GP, LLC (“MFN GP”), as the general partner of the Partnership, (iii) MFN Partners Management, LP (“MFN Management”), as the investment adviser to the Partnership, (iv) MFN Partners Management, LLC (“MFN LLC”), as the general partner of MFN Management, (v) Michael F. DeMichele, as a managing member of MFN GP and of MFN LLC, and (vi) Farhad Nanji, as a managing member of MFN GP and of MFN LLC, which reported that, as of August 11, 2022, the group beneficially owned, has sole voting power and has sole dispositive power over 12,675,369 shares of XPO common stock.</w:t>
      </w:r>
    </w:p>
    <w:p>
      <w:pPr>
        <w:spacing w:after="0" w:line="1" w:lineRule="exact"/>
        <w:rPr>
          <w:rFonts w:ascii="Times New Roman" w:cs="Times New Roman" w:eastAsia="Times New Roman" w:hAnsi="Times New Roman"/>
          <w:sz w:val="14"/>
          <w:szCs w:val="14"/>
          <w:color w:val="auto"/>
        </w:rPr>
      </w:pPr>
    </w:p>
    <w:p>
      <w:pPr>
        <w:ind w:left="340" w:right="100" w:hanging="332"/>
        <w:spacing w:after="0" w:line="256"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9 to the Schedule 13G filed on February 14, 2022 by Orbis Investment Management Limited (“OIML”), Orbis Investment Management (U.S.), L.P. (“OIMUS”) and Allan Gray Australia Pty Ltd (“AGAPL”), which reported that, as of December 31, 2021, OIML beneficially owned 10,952,444 shares of XPO common stock, OIMUS beneficially owned 148,734 shares of XPO common stock, and AGAPL beneficially owned 2,895 shares of XPO common stock. The group has sole voting and sole dispositive power over such shares of XPO common stock.</w:t>
      </w:r>
    </w:p>
    <w:p>
      <w:pPr>
        <w:spacing w:after="0" w:line="1" w:lineRule="exact"/>
        <w:rPr>
          <w:rFonts w:ascii="Times New Roman" w:cs="Times New Roman" w:eastAsia="Times New Roman" w:hAnsi="Times New Roman"/>
          <w:sz w:val="14"/>
          <w:szCs w:val="14"/>
          <w:color w:val="auto"/>
        </w:rPr>
      </w:pPr>
    </w:p>
    <w:p>
      <w:pPr>
        <w:ind w:left="340" w:right="360" w:hanging="332"/>
        <w:spacing w:after="0" w:line="254"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3 to the Schedule 13G filed on February 2, 2022 by BlackRock, Inc., which reported that, as of December 31, 2021, BlackRock, Inc. beneficially owned 9,143,216 shares of our common stock, with sole voting power over 8,609,357 shares of XPO common stock and sole dispositive power over 9,143,216 shares of XPO common stock.</w:t>
      </w:r>
    </w:p>
    <w:p>
      <w:pPr>
        <w:ind w:left="340" w:right="20" w:hanging="332"/>
        <w:spacing w:after="0" w:line="270"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7 to the Schedule 13G filed on February 9, 2022 by The Vanguard Group, which reported that, as of December 31, 2021, The Vanguard Group beneficially owned 9,032,676 shares of XPO common stock with shared voting power over 73,635 shares of XPO common stock, sole dispositive power over 8,819,286 shares of XPO common stock and shared dispositive power over 213,390 shares of XPO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of Directors and Executive Officers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shows the ownership of RXO common stock and restricted share units (“RSUs”) expected to be beneficially owned by our directors, named executive officers, and our directors and current executive officers as a group immediately following the completion of the distribution, based on information available as of October 7, 2022 and based on the assumption that, for every share of XPO common stock held by such persons, they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receive one share of RXO common stock, and XPO restricted stock units will be converted to RXO RSUs with the same terms.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7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6"/>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900" w:type="dxa"/>
            <w:vAlign w:val="bottom"/>
            <w:gridSpan w:val="2"/>
            <w:vMerge w:val="continue"/>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Stock Outstanding</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Jacobs</w:t>
            </w:r>
            <w:r>
              <w:rPr>
                <w:rFonts w:ascii="Times New Roman" w:cs="Times New Roman" w:eastAsia="Times New Roman" w:hAnsi="Times New Roman"/>
                <w:sz w:val="23"/>
                <w:szCs w:val="23"/>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1,688,117</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Nettles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Kissel</w:t>
            </w:r>
            <w:r>
              <w:rPr>
                <w:rFonts w:ascii="Times New Roman" w:cs="Times New Roman" w:eastAsia="Times New Roman" w:hAnsi="Times New Roman"/>
                <w:sz w:val="23"/>
                <w:szCs w:val="23"/>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Breves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AnnaMaria DeSalva</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Adrian Kingshott</w:t>
            </w:r>
            <w:r>
              <w:rPr>
                <w:rFonts w:ascii="Times New Roman" w:cs="Times New Roman" w:eastAsia="Times New Roman" w:hAnsi="Times New Roman"/>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73,742</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Renna</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Szlosek</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NEOs: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 Wilkerson+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Jamie Harris</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 Firestone</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Officers as a Group (11 persons)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1,778,333</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5"/>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Less than 1%</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Director and Executive Officer</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500" w:hanging="332"/>
        <w:spacing w:after="0" w:line="261"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Jacobs has indirect beneficial ownership of the shares of XPO common stock (1,300,701) beneficially owned by JPE as a result of being JPE’s managing member. Also includes 387,416 shares of XPO common stock held directly by Mr. Jacobs following the vesting of equity incentive awards and exercise of stock options.</w:t>
      </w:r>
    </w:p>
    <w:p>
      <w:pPr>
        <w:ind w:left="320" w:hanging="312"/>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2,538 unvested RSUs that will be converted to RXO RSUs on November 1, 2022.</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14,508 vested deferred and unvested RSUs that will be converted to RXO RSUs on November 1, 2022.</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42,261 vested deferred and unvested RSUs that will be converted to RXO RSUs on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17" w:right="339" w:bottom="1440" w:gutter="0" w:footer="0" w:header="0"/>
        </w:sectPr>
      </w:pPr>
    </w:p>
    <w:bookmarkStart w:id="132" w:name="page133"/>
    <w:bookmarkEnd w:id="13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RXO’s certificate of incorporation and bylaws will be amended and restated prior to the distribution. The following briefly summarizes the material terms of our capital stock that will be contained in our amended and restated certificate of incorporation and amended and restated bylaws. These summaries do not describe every aspect of these securities and documents and are subject to all the provisions of our amended and restated certificate of incorporation or amended and restated bylaws that will be in effect at the time of the distribution, and are qualified in their entirety by reference to these documents, which you should read (along with the applicable provisions of Delaware law) for complete information on our capital stock as of the time of the distribution. The amended and restated certificate of incorporation and amended and restated bylaws, each in a form expected to be in effect at the time of the distribution, will be included as exhibits to RXO’s registration statement on Form 10, of which this information statement forms a part. We will include our amended and restated certificate of incorporation and amended and restated bylaws, as in effect at the time of the distribution, in a Current Report on Form 8-K filed with the SEC. The following also summarizes certain relevant provisions of the Delaware General Corporation Law (the “DGCL”). Since the terms of the DGCL are more detailed than the general information provided below, you should read the actual provisions of the DGCL for complete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RXO’s authorized capital stock will consist of 300,000,000 shares of common stock, par value $0.01 per share, and 10,000,000 shares of preferred stock, par value $0.01 per share.</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Immediately following the distribution, we expect that approximately 115,113,629 shares of our common stock will be issued and outstanding, based on approximately 115,113,629 shares of XPO common stock issued and outstanding on October 7, 2022, and that no shares of our preferred stock will be issued and outstanding.</w:t>
      </w:r>
    </w:p>
    <w:p>
      <w:pPr>
        <w:spacing w:after="0" w:line="122" w:lineRule="exact"/>
        <w:rPr>
          <w:sz w:val="20"/>
          <w:szCs w:val="20"/>
          <w:color w:val="auto"/>
        </w:rPr>
      </w:pPr>
    </w:p>
    <w:p>
      <w:pPr>
        <w:ind w:right="4580"/>
        <w:spacing w:after="0" w:line="438" w:lineRule="auto"/>
        <w:rPr>
          <w:sz w:val="20"/>
          <w:szCs w:val="20"/>
          <w:color w:val="auto"/>
        </w:rPr>
      </w:pPr>
      <w:r>
        <w:rPr>
          <w:rFonts w:ascii="Times New Roman" w:cs="Times New Roman" w:eastAsia="Times New Roman" w:hAnsi="Times New Roman"/>
          <w:sz w:val="18"/>
          <w:szCs w:val="18"/>
          <w:color w:val="auto"/>
        </w:rPr>
        <w:t xml:space="preserve">RXO’s common stock has been approved for listing on the NYSE under the symbol “RXO.” </w:t>
      </w:r>
      <w:r>
        <w:rPr>
          <w:rFonts w:ascii="Times New Roman" w:cs="Times New Roman" w:eastAsia="Times New Roman" w:hAnsi="Times New Roman"/>
          <w:sz w:val="18"/>
          <w:szCs w:val="18"/>
          <w:b w:val="1"/>
          <w:bCs w:val="1"/>
          <w:color w:val="auto"/>
        </w:rPr>
        <w:t>Common Stock</w:t>
      </w:r>
    </w:p>
    <w:p>
      <w:pPr>
        <w:spacing w:after="0" w:line="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Immediately following the distribution, we expect that approximately 115,113,629 shares of our common stock will be issued and outstanding, all of which will be fully paid and non-assessable.</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Common stockholders will be entitled to one vote for each share held on all matters submitted to a vote of stockholders. Except as otherwise required by law and except for director elections (see below), whenever any corporate action is to be taken, such action will be authorized by a majority of the shares present in person or represented by proxy at the meeting and entitled to vote thereon.</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Common stockholders will be entitled to share equally in the dividends, if any, that may be declared by RXO’s board of directors out of funds that are legally available to pay dividends, but only after payment of any dividends required to be paid on outstanding preferred stock, if any. Upon any voluntary or involuntary liquidation, dissolution or winding up of RXO, the common stockholders will be entitled to share ratably in all assets of RXO remaining after we pay all of our debts and other liabilities and any amounts we may owe to the holders of our preferred stock, if any.</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Common stockholders will not have any preemptive, subscription, redemption or conversion rights. The rights, preferences and privileges of common stockholders will be subject to the rights of the stockholders of any series of preferred stock that we will or may designate and issue.</w:t>
      </w:r>
    </w:p>
    <w:p>
      <w:pPr>
        <w:spacing w:after="0" w:line="108" w:lineRule="exact"/>
        <w:rPr>
          <w:sz w:val="20"/>
          <w:szCs w:val="20"/>
          <w:color w:val="auto"/>
        </w:rPr>
      </w:pPr>
    </w:p>
    <w:p>
      <w:pPr>
        <w:ind w:right="2260"/>
        <w:spacing w:after="0" w:line="438" w:lineRule="auto"/>
        <w:rPr>
          <w:sz w:val="20"/>
          <w:szCs w:val="20"/>
          <w:color w:val="auto"/>
        </w:rPr>
      </w:pPr>
      <w:r>
        <w:rPr>
          <w:rFonts w:ascii="Times New Roman" w:cs="Times New Roman" w:eastAsia="Times New Roman" w:hAnsi="Times New Roman"/>
          <w:sz w:val="18"/>
          <w:szCs w:val="18"/>
          <w:color w:val="auto"/>
        </w:rPr>
        <w:t xml:space="preserve">Our amended and restated bylaws will provide that our shares will be uncertificated, which is permitted under Delaware law. </w:t>
      </w:r>
      <w:r>
        <w:rPr>
          <w:rFonts w:ascii="Times New Roman" w:cs="Times New Roman" w:eastAsia="Times New Roman" w:hAnsi="Times New Roman"/>
          <w:sz w:val="18"/>
          <w:szCs w:val="18"/>
          <w:b w:val="1"/>
          <w:bCs w:val="1"/>
          <w:color w:val="auto"/>
        </w:rPr>
        <w:t>Preferred Stock</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Delaware law and our amended and restated certificate of incorporation, our board of directors will have the authority, without further action by the stockholders, to issue shares of preferred stock in one or more series, and to fix the rights, preferences and privileges (including voting rights, dividend rights, 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133" w:name="page134"/>
    <w:bookmarkEnd w:id="133"/>
    <w:p>
      <w:pPr>
        <w:ind w:right="2240"/>
        <w:spacing w:after="0" w:line="438" w:lineRule="auto"/>
        <w:rPr>
          <w:sz w:val="20"/>
          <w:szCs w:val="20"/>
          <w:color w:val="auto"/>
        </w:rPr>
      </w:pPr>
      <w:r>
        <w:rPr>
          <w:rFonts w:ascii="Times New Roman" w:cs="Times New Roman" w:eastAsia="Times New Roman" w:hAnsi="Times New Roman"/>
          <w:sz w:val="18"/>
          <w:szCs w:val="18"/>
          <w:color w:val="auto"/>
        </w:rPr>
        <w:t xml:space="preserve">redemption privileges and liquidation preferences) of each series, which may be greater than the rights of the common stock. Immediately following the distribution, we expect no shares of our preferred stock to be issued and outstanding. </w:t>
      </w:r>
      <w:r>
        <w:rPr>
          <w:rFonts w:ascii="Times New Roman" w:cs="Times New Roman" w:eastAsia="Times New Roman" w:hAnsi="Times New Roman"/>
          <w:sz w:val="18"/>
          <w:szCs w:val="18"/>
          <w:b w:val="1"/>
          <w:bCs w:val="1"/>
          <w:color w:val="auto"/>
        </w:rPr>
        <w:t>Corporate Governance</w:t>
      </w:r>
    </w:p>
    <w:p>
      <w:pPr>
        <w:spacing w:after="0" w:line="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will institute strong corporate governance practices, as described below and elsewhere in this information statement. Responsible and appropriate corporate governance will ensure that our management keeps stockholder interests in mind when crafting value-creating strategies at all levels of the organization.</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Single Class Capital Structure</w:t>
      </w:r>
      <w:r>
        <w:rPr>
          <w:rFonts w:ascii="Times New Roman" w:cs="Times New Roman" w:eastAsia="Times New Roman" w:hAnsi="Times New Roman"/>
          <w:sz w:val="18"/>
          <w:szCs w:val="18"/>
          <w:color w:val="auto"/>
        </w:rPr>
        <w:t>. We will have a single class share capital structure with all stockholders entitled to vote for director nominees and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common stock entitled to one vote per share.</w:t>
      </w:r>
    </w:p>
    <w:p>
      <w:pPr>
        <w:spacing w:after="0" w:line="10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Director Elections</w:t>
      </w:r>
      <w:r>
        <w:rPr>
          <w:rFonts w:ascii="Times New Roman" w:cs="Times New Roman" w:eastAsia="Times New Roman" w:hAnsi="Times New Roman"/>
          <w:sz w:val="18"/>
          <w:szCs w:val="18"/>
          <w:color w:val="auto"/>
        </w:rPr>
        <w:t>. The election of directors in an uncontested election will require the affirmative vote of a majority of the votes cast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voted “for” a director’s election exceeds 50% of the total number of votes cast with respect to that director’s election) by holders of shares of our common stock at the meeting at which a quorum is present. Votes cast shall include the shares voted “for” and “against” a director’s election in each case with respect to that director’s election. If any incumbent director standing for re-election receives a greater number of votes “against” his or her election than votes “for” such election, our amended and restated bylaws will require that such person promptly tender his or her resignation to our board of directors. Once an election is determined to be a contested election, directors will be elected by a plurality of the votes cast at the meeting at which a quorum is present.</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As discussed in the section of this information statement captioned “Directors” and as further discussed below, upon completion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separation, we expect to have a classified board until 2026.</w:t>
      </w:r>
    </w:p>
    <w:p>
      <w:pPr>
        <w:spacing w:after="0" w:line="10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Majority Vote for Mergers and Other Business Combinations</w:t>
      </w:r>
      <w:r>
        <w:rPr>
          <w:rFonts w:ascii="Times New Roman" w:cs="Times New Roman" w:eastAsia="Times New Roman" w:hAnsi="Times New Roman"/>
          <w:sz w:val="18"/>
          <w:szCs w:val="18"/>
          <w:color w:val="auto"/>
        </w:rPr>
        <w:t>. Mergers and other business combinations involving RXO will generally be required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by a majority of our outstanding shares of common stock where such stockholder approval is required.</w:t>
      </w:r>
    </w:p>
    <w:p>
      <w:pPr>
        <w:spacing w:after="0" w:line="10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Expected Corporate Governance Features</w:t>
      </w:r>
      <w:r>
        <w:rPr>
          <w:rFonts w:ascii="Times New Roman" w:cs="Times New Roman" w:eastAsia="Times New Roman" w:hAnsi="Times New Roman"/>
          <w:sz w:val="18"/>
          <w:szCs w:val="18"/>
          <w:color w:val="auto"/>
        </w:rPr>
        <w:t>. Governance features related to our board of directors are set forth in the section of this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captioned “Directors.” In addition to the foregoing, it is expected that we will implement stock ownership guidelines for directors and senior executive officers, annual board performance evaluations, clawback, anti-hedging policies and anti-pledging policies, prohibitions on option repricing in equity plans without stockholder approval, risk oversight procedures and other practices and protocols.</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Various Provisions of Delaware Law, our Amended and Restated Certificate of Incorporation, and our Amended and Restated Bylaws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of the DGCL, our amended and restated certificate of incorporation and our amended and restated bylaws could make it more difficult to acquire RXO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RXO to first negotiate with our board of directors. We believe that the benefits of increased protection of our potential ability to negotiate with the proponent of an unfriendly or unsolicited proposal to acquire or restructure RXO outweigh the disadvantages of discouraging takeover or acquisition proposals because, among other things, negotiation of these proposals could result in an improvement of their terms.</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r>
        <w:rPr>
          <w:rFonts w:ascii="Times New Roman" w:cs="Times New Roman" w:eastAsia="Times New Roman" w:hAnsi="Times New Roman"/>
          <w:sz w:val="18"/>
          <w:szCs w:val="18"/>
          <w:color w:val="auto"/>
        </w:rPr>
        <w:t>. Section 203 of the DGCL, an anti-takeover statute, generally prohibits a publicly held Delaware corporation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A “business combination” generally includes a merger, asset or stock sale, or other transaction resulting in a financial benefit to the interested stockholder. An “interested stockholder” generally is a person who, together with affiliates and associates, owns (or within three years prior to the determination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17" w:right="339" w:bottom="1440" w:gutter="0" w:footer="0" w:header="0"/>
        </w:sectPr>
      </w:pPr>
    </w:p>
    <w:bookmarkStart w:id="134" w:name="page135"/>
    <w:bookmarkEnd w:id="134"/>
    <w:p>
      <w:pPr>
        <w:spacing w:after="0" w:line="261" w:lineRule="auto"/>
        <w:rPr>
          <w:sz w:val="20"/>
          <w:szCs w:val="20"/>
          <w:color w:val="auto"/>
        </w:rPr>
      </w:pPr>
      <w:r>
        <w:rPr>
          <w:rFonts w:ascii="Times New Roman" w:cs="Times New Roman" w:eastAsia="Times New Roman" w:hAnsi="Times New Roman"/>
          <w:sz w:val="18"/>
          <w:szCs w:val="18"/>
          <w:color w:val="auto"/>
        </w:rPr>
        <w:t>interested stockholder status did own) 15 percent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A corporation may “opt out” of Section 203 of the DGCL in its certificate of incorporation. RXO will not “opt out” of, and will thus be subject to, Section 203 of the DGCL.</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As described above in the section of this information statement captioned “Directors”, upon completion of the separation,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will initially be divided into three classes, with Class I composed of three directors, Class II composed of three directors and Class III composed of three directors. The directors designated as Class I directors will have terms expiring at the first annual meeting of stockholders following the distribution, which we expect to hold in 2023. The directors designated as Class II directors will have terms expiring at the following year’s annual meeting of stockholders, which we expect to hold in 2024, and the directors designated as Class III directors will have terms expiring at the following year’s annual meeting of stockholders, which we expect to hold in 2025. At the first annual meeting of stockholders following the distribution, the successors of Class I directors will be elected to serve for a term of three years each. Commencing with the second annual meeting of stockholders following the separation,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starting at the 2026 annual meeting of stockholders, all of our directors will stand for election each year for one year terms, and our board will therefore no longer be divided into three classes. Before our board of directors is declassified, it would take at least two elections of directors for any individual or group to gain control of our board of directors. Accordingly, while the classified board is in effect, these provisions could discourage a third-party from initiating a proxy contest, making a tender offer or otherwise attempting to gain control of our company.</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Size of Board and Vacancies</w:t>
      </w:r>
      <w:r>
        <w:rPr>
          <w:rFonts w:ascii="Times New Roman" w:cs="Times New Roman" w:eastAsia="Times New Roman" w:hAnsi="Times New Roman"/>
          <w:sz w:val="18"/>
          <w:szCs w:val="18"/>
          <w:color w:val="auto"/>
        </w:rPr>
        <w:t>. Our amended and restated certificate of incorporation will provide that the number of directors on our board of directors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fixed exclusively by our board of directors pursuant to a resolution adopted by the board of directors. Our amended and restated certificate of incorporation will also provide that the size of the board of directors will be not less than one nor more than twelve members. Any vacancies created in the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our board of directors will be appointed for a term expiring at the next annual meeting of stockholders, and until his or her successor has been elected and qualified.</w:t>
      </w:r>
    </w:p>
    <w:p>
      <w:pPr>
        <w:spacing w:after="0" w:line="12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Director Removal</w:t>
      </w:r>
      <w:r>
        <w:rPr>
          <w:rFonts w:ascii="Times New Roman" w:cs="Times New Roman" w:eastAsia="Times New Roman" w:hAnsi="Times New Roman"/>
          <w:sz w:val="18"/>
          <w:szCs w:val="18"/>
          <w:color w:val="auto"/>
        </w:rPr>
        <w:t>. Our amended and restated certificate of incorporation and our amended and restated bylaws will provide that: (i) prior to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fully declassified, as discussed above, stockholders will be permitted to remove a director only for cause, and (ii) after the board has been fully declassified, stockholders may remove a director with or without cause. Removal will require the affirmative vote of the holders of a majority of the outstanding shares of our common stock entitled to vote generally for the election of directors.</w:t>
      </w:r>
    </w:p>
    <w:p>
      <w:pPr>
        <w:spacing w:after="0" w:line="122"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r>
        <w:rPr>
          <w:rFonts w:ascii="Times New Roman" w:cs="Times New Roman" w:eastAsia="Times New Roman" w:hAnsi="Times New Roman"/>
          <w:sz w:val="18"/>
          <w:szCs w:val="18"/>
          <w:color w:val="auto"/>
        </w:rPr>
        <w:t>. Our amended and restated certificate of incorporation will expressly eliminate the right of our stockholders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written consent effective as of the distribution. Stockholder action must take place at the annual or at a special meeting of RXO stockholders.</w:t>
      </w:r>
    </w:p>
    <w:p>
      <w:pPr>
        <w:spacing w:after="0" w:line="10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r>
        <w:rPr>
          <w:rFonts w:ascii="Times New Roman" w:cs="Times New Roman" w:eastAsia="Times New Roman" w:hAnsi="Times New Roman"/>
          <w:sz w:val="18"/>
          <w:szCs w:val="18"/>
          <w:color w:val="auto"/>
        </w:rPr>
        <w:t>. Our amended and restated certificate of incorporation will provide that the chairman of the board of directors or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pursuant to a resolution adopted by a majority of the entire board of directors may call special meetings of our stockholders. Stockholders may not call special meetings of stockholders.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amended and restated certificate of incorporation will mandate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stockholder nominations for the election of directors be made in accordance with the bylaws. Our amended and restated bylaws will establish advance notice procedures with respect to stockholder proposals and nomination of candidates for election as directors as well as other requirements for stockholders making the proposals 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1417" w:right="359" w:bottom="1440" w:gutter="0" w:footer="0" w:header="0"/>
        </w:sectPr>
      </w:pPr>
    </w:p>
    <w:bookmarkStart w:id="135" w:name="page136"/>
    <w:bookmarkEnd w:id="135"/>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bylaws will provide that a stockholder who wishes to nominate an individual for election as a director at our annual meeting must give us advance written notice. The notice will be required to be delivered to or mailed and received by the secretary of our company not less than 90 days, and not more than 120 days, prior to the earlier of the date of the annual meeting and the first anniversary of the preceding year’s annual meeting. As more specifically provided in our amended and restated bylaws, any nomination will be required to include, among other information: (i) the nominator’s name and address and the number of shares of each class of our capital stock that the nominator owns, (ii) the name and address of any person with whom the nominator is acting in concert and the number of shares of each class of our capital stock that any such person owns, (iii) the information with respect to each such proposed director nominee that would be required to be provided in a proxy statement prepared in accordance with applicable SEC rules, and (iv) the consent of the proposed candidate to serve as a member of our board. Additionally, our amended and restated bylaws will require that candidates for election as director disclose their qualifications and make certain representations.</w:t>
      </w:r>
    </w:p>
    <w:p>
      <w:pPr>
        <w:spacing w:after="0" w:line="13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Any stockholder who wishes to nominate a potential director candidate will be required to follow the specific requirements set forth in our amended and restated bylaws, a copy of which will be available on our website at </w:t>
      </w:r>
      <w:r>
        <w:rPr>
          <w:rFonts w:ascii="Times New Roman" w:cs="Times New Roman" w:eastAsia="Times New Roman" w:hAnsi="Times New Roman"/>
          <w:sz w:val="18"/>
          <w:szCs w:val="18"/>
          <w:i w:val="1"/>
          <w:iCs w:val="1"/>
          <w:color w:val="auto"/>
        </w:rPr>
        <w:t>investors.rxo.com</w:t>
      </w:r>
      <w:r>
        <w:rPr>
          <w:rFonts w:ascii="Times New Roman" w:cs="Times New Roman" w:eastAsia="Times New Roman" w:hAnsi="Times New Roman"/>
          <w:sz w:val="18"/>
          <w:szCs w:val="18"/>
          <w:color w:val="auto"/>
        </w:rPr>
        <w:t xml:space="preserve"> and in print form at no charge by sending a request to RXO, Inc., 11215 North Community House Road, Charlotte, NC 28277, Attention: Investor Relations.</w:t>
      </w:r>
    </w:p>
    <w:p>
      <w:pPr>
        <w:spacing w:after="0" w:line="11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Proxy Access</w:t>
      </w:r>
      <w:r>
        <w:rPr>
          <w:rFonts w:ascii="Times New Roman" w:cs="Times New Roman" w:eastAsia="Times New Roman" w:hAnsi="Times New Roman"/>
          <w:sz w:val="17"/>
          <w:szCs w:val="17"/>
          <w:color w:val="auto"/>
        </w:rPr>
        <w:t>. Our amended and restated bylaws will allow one or more stockholders (up to 20 stockholders, collectively), owning at least 3% of the voting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power of our outstanding shares continuously for at least three years, to nominate for election to our board of directors the greater of two individuals or</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20% of our board of directors, and include those nominees in our proxy materials, provided that proper notice is delivered to our principal executive offices and addressed to our company’s secretary.</w:t>
      </w:r>
    </w:p>
    <w:p>
      <w:pPr>
        <w:spacing w:after="0" w:line="123"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Cumulative Voting</w:t>
      </w:r>
      <w:r>
        <w:rPr>
          <w:rFonts w:ascii="Times New Roman" w:cs="Times New Roman" w:eastAsia="Times New Roman" w:hAnsi="Times New Roman"/>
          <w:sz w:val="17"/>
          <w:szCs w:val="17"/>
          <w:color w:val="auto"/>
        </w:rPr>
        <w:t>. The DGCL provides that stockholders are denied the right to cumulate votes in the election of directors unless a corporation’s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certificate of incorporation provides otherwise. Our amended and restated certificate of incorporation will specifically deny cumulative voting.</w:t>
      </w:r>
    </w:p>
    <w:p>
      <w:pPr>
        <w:spacing w:after="0" w:line="7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r>
        <w:rPr>
          <w:rFonts w:ascii="Times New Roman" w:cs="Times New Roman" w:eastAsia="Times New Roman" w:hAnsi="Times New Roman"/>
          <w:sz w:val="18"/>
          <w:szCs w:val="18"/>
          <w:color w:val="auto"/>
        </w:rPr>
        <w:t>. Our amended and restated certificate of incorporation will authorize 10,000,000 shares of undesignated preferred stock.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result, our board of directors will be permitted, without the approval of holders of our common stock, to issue shares of our preferred stock with super voting, special approval, dividend or other rights or preferences on a discriminatory basis that could impede the success of any attempt to acquire RXO. These and other provisions may have the effect of deferring, delaying or discouraging hostile takeovers or changes in control or management of RXO.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Our amended and restated certificate of incorporation and amended and restated bylaws will include provisions that indemnify, to the fullest extent allowable under the DGCL, the personal liability of directors or officers for monetary damages for actions taken as a director or officer of RXO, or for serving at our request as a director or officer or in another position at another corporation or enterprise, as the case may be. Our amended and restated certificate of incorporation and amended and restated bylaws will also provide that we must indemnify and advance expenses to our directors and officers, subject to our receipt of an undertaking from the indemnitee as may be required under the DGCL. We will also be expressly authorized to, and intend to, carry directors’ and officers’ insurance to protect RXO and our directors, officers, employees and agents from certain liabilities.</w:t>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will be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 of Common and Preferred Stock</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Authorized but unissued shares of our common stock and preferred stock will be available for future issuance without approval by the holders of our common stock. We will be permitted to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our common stock and preferred stock could render more difficult or discourage an attempt to obtain control of RXO by means of a proxy contest, tender offer, merger or otherwise.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our board of directors otherwise determines, the state courts within the State of Delaware (or, if no state court located within the State of Delaware has jurisdiction, the federal district court for the District of Delaware) will be the sole and exclusive forum for: (i) any derivative action or proceeding brought on behalf of RXO, (ii) any action asserting a claim for or based on a breach of a fiduciary duty owed by any current or former director or officer or other employee or stockholder of RXO in such capacity to RXO or to RXO stockholders, including a claim alleging the aiding and abetting of such a breach of fiduciary duty, (iii) any action asserting a claim against RXO or any current or former director or officer or other employee or stockholder of RXO in such capacity arising pursuant to any provision of the DGCL or our amended and restated certificate of incorporation or amended and restated bylaws, (iv) any action asserting a claim relating to or involving RXO governed by the internal affairs doctrine, or (v) any action asserting an “internal corporate claim” as such term is defined in Section 115 of the DGCL.</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have been approved for listing on the NYSE under the symbol “RXO.”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October 7, 2022, RXO issued 100 shares of its common stock to XPO for no consideration in connection with RXO’s conversion into a Delaware corporation. Pursuant to Section 4(a)(2) of the Securities Act, we did not register the issuance of the issued shares under the Securities Act because such issuance did not constitute a public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distribution, the transfer agent and registrar for our common stock will be 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1413" w:right="359" w:bottom="1440" w:gutter="0" w:footer="0" w:header="0"/>
        </w:sectPr>
      </w:pPr>
    </w:p>
    <w:bookmarkStart w:id="137" w:name="page138"/>
    <w:bookmarkEnd w:id="13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have filed a registration statement on Form 10 with the SEC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RXO and RXO common stock, please refer to the registration statement, including its exhibits and schedules. Statements made in this information statement relating to any contract or other document filed as an exhibit to the registration statement include the material terms of such contract or other document. However, such statements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Information contained on or connected to any website referenced in this information statement is not incorporated into this information statement or the registration statement of which this information statement forms a part, or in any other filings with, or any information furnished or submitted to, the SEC.</w:t>
      </w:r>
    </w:p>
    <w:p>
      <w:pPr>
        <w:spacing w:after="0" w:line="1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the distribution, RXO will become subject to the information and reporting requirements of the Exchange Act and, in accordance with the Exchange Act, will file periodic reports, proxy statements and other information with the SEC.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furnish holders of our common stock with annual reports containing combined financial statements prepared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 and audited and reported on, with an opinion expressed, by an independent registered public accounting firm.</w:t>
      </w:r>
    </w:p>
    <w:p>
      <w:pPr>
        <w:spacing w:after="0" w:line="15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00"/>
          </w:cols>
          <w:pgMar w:left="320" w:top="1440" w:right="379" w:bottom="1440" w:gutter="0" w:footer="0" w:header="0"/>
        </w:sectPr>
      </w:pPr>
    </w:p>
    <w:bookmarkStart w:id="138" w:name="page139"/>
    <w:bookmarkEnd w:id="138"/>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7"/>
        </w:trPr>
        <w:tc>
          <w:tcPr>
            <w:tcW w:w="100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000" w:type="dxa"/>
            <w:vAlign w:val="bottom"/>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80"/>
              <w:spacing w:after="0" w:line="182" w:lineRule="exact"/>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Combined Balance Sheets as of December 31, 2021 and 2020</w:t>
            </w:r>
          </w:p>
        </w:tc>
        <w:tc>
          <w:tcPr>
            <w:tcW w:w="5540" w:type="dxa"/>
            <w:vAlign w:val="bottom"/>
            <w:gridSpan w:val="9"/>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F-4</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Combined Statements of Operations for the Years Ended December 31, 2021, 2020 and 2019</w:t>
            </w:r>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Combined Statements of Comprehensive Income for the Years Ended December 31, 2021, 2020 and 2019</w:t>
            </w:r>
          </w:p>
        </w:tc>
        <w:tc>
          <w:tcPr>
            <w:tcW w:w="2360" w:type="dxa"/>
            <w:vAlign w:val="bottom"/>
            <w:gridSpan w:val="5"/>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F-6</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Combined Statements of Cash Flows for the Years Ended December 31, 2021, 2020 and 2019</w:t>
            </w:r>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Combined Statements of Changes in Equity for the Years Ended December 31, 2021, 2020 and 2019</w:t>
            </w:r>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FF"/>
              </w:rPr>
              <w:t>F-8</w:t>
            </w:r>
          </w:p>
        </w:tc>
        <w:tc>
          <w:tcPr>
            <w:tcW w:w="0" w:type="dxa"/>
            <w:vAlign w:val="bottom"/>
          </w:tcPr>
          <w:p>
            <w:pPr>
              <w:spacing w:after="0"/>
              <w:rPr>
                <w:sz w:val="1"/>
                <w:szCs w:val="1"/>
                <w:color w:val="auto"/>
              </w:rPr>
            </w:pPr>
          </w:p>
        </w:tc>
      </w:tr>
      <w:tr>
        <w:trPr>
          <w:trHeight w:val="264"/>
        </w:trPr>
        <w:tc>
          <w:tcPr>
            <w:tcW w:w="2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4280" w:type="dxa"/>
            <w:vAlign w:val="bottom"/>
            <w:tcBorders>
              <w:top w:val="single" w:sz="8" w:color="0000FF"/>
            </w:tcBorders>
            <w:gridSpan w:val="6"/>
          </w:tcPr>
          <w:p>
            <w:pPr>
              <w:spacing w:after="0"/>
              <w:rPr>
                <w:sz w:val="22"/>
                <w:szCs w:val="22"/>
                <w:color w:val="auto"/>
              </w:rPr>
            </w:pPr>
          </w:p>
        </w:tc>
        <w:tc>
          <w:tcPr>
            <w:tcW w:w="2760" w:type="dxa"/>
            <w:vAlign w:val="bottom"/>
            <w:gridSpan w:val="6"/>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F-9</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5"/>
        </w:trPr>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68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Combined Balance Sheets as of June 30, 2022 (unaudited) and December 31, 2021</w:t>
            </w:r>
          </w:p>
        </w:tc>
        <w:tc>
          <w:tcPr>
            <w:tcW w:w="3180" w:type="dxa"/>
            <w:vAlign w:val="bottom"/>
            <w:gridSpan w:val="7"/>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20" w:type="dxa"/>
            <w:vAlign w:val="bottom"/>
            <w:gridSpan w:val="6"/>
            <w:vMerge w:val="continue"/>
          </w:tcPr>
          <w:p>
            <w:pPr>
              <w:spacing w:after="0"/>
              <w:rPr>
                <w:sz w:val="15"/>
                <w:szCs w:val="15"/>
                <w:color w:val="auto"/>
              </w:rPr>
            </w:pPr>
          </w:p>
        </w:tc>
        <w:tc>
          <w:tcPr>
            <w:tcW w:w="318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40"/>
              <w:spacing w:after="0" w:line="182" w:lineRule="exact"/>
              <w:rPr>
                <w:sz w:val="20"/>
                <w:szCs w:val="20"/>
                <w:color w:val="auto"/>
              </w:rPr>
            </w:pPr>
            <w:r>
              <w:rPr>
                <w:rFonts w:ascii="Times New Roman" w:cs="Times New Roman" w:eastAsia="Times New Roman" w:hAnsi="Times New Roman"/>
                <w:sz w:val="18"/>
                <w:szCs w:val="18"/>
                <w:color w:val="0000FF"/>
                <w:w w:val="88"/>
              </w:rPr>
              <w:t>F-25</w:t>
            </w: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Unaudited Condensed Combined Statements of Operations for the Three and Six Months Ended June 30, 2022 and 2021</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F-26</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Unaudited Condensed Combined Statements of Comprehensive Income for the Three and Six Months Ended June 30, 2022 and 2021</w:t>
            </w: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88"/>
              </w:rPr>
              <w:t>F-27</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Unaudited Condensed Combined Statements of Cash Flows for the Six Months Ended June 30, 2022 and 2021</w:t>
            </w:r>
          </w:p>
        </w:tc>
        <w:tc>
          <w:tcPr>
            <w:tcW w:w="1640" w:type="dxa"/>
            <w:vAlign w:val="bottom"/>
            <w:gridSpan w:val="3"/>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88"/>
              </w:rPr>
              <w:t>F-28</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Condensed Combined Statements of Changes in Equity for the Three and Six Months Ended June 30, 2022 and 2021</w:t>
            </w:r>
          </w:p>
        </w:tc>
        <w:tc>
          <w:tcPr>
            <w:tcW w:w="76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88"/>
              </w:rPr>
              <w:t>F-29</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Notes to Condensed Combined Financial Statements</w:t>
            </w:r>
          </w:p>
        </w:tc>
        <w:tc>
          <w:tcPr>
            <w:tcW w:w="5440" w:type="dxa"/>
            <w:vAlign w:val="bottom"/>
            <w:gridSpan w:val="9"/>
          </w:tcPr>
          <w:p>
            <w:pPr>
              <w:spacing w:after="0"/>
              <w:rPr>
                <w:sz w:val="22"/>
                <w:szCs w:val="22"/>
                <w:color w:val="auto"/>
              </w:rPr>
            </w:pPr>
          </w:p>
        </w:tc>
        <w:tc>
          <w:tcPr>
            <w:tcW w:w="76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0000FF"/>
                <w:w w:val="88"/>
              </w:rPr>
              <w:t>F-30</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440" w:right="33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Logistics, Inc.: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Combined Financial Statements</w:t>
      </w:r>
    </w:p>
    <w:p>
      <w:pPr>
        <w:spacing w:after="0" w:line="17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combined balance sheets of RXO (formerly known as NAT SpinCo) (the Company) as of December 31, 2021 and 2020, the related combined statements of operations, comprehensive income, changes in equity, and cash flows for each of the years in the three-year period ended December 31, 2021, and the related notes (collectively, the combined financial statements). In our opinion, the combined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for self-insured claims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discussed in Note 2 to the combined financial statements, the Company uses a combination of self-insurance programs and purchased insurance to provide for the costs of liability, vehicular, and workers’ compensation claims (self-insured claims). The Company records estimates of the undiscounted liability associated with claims incurred as of the balance sheet date, including estimates of claims incurred but not reported, by considering historical cost experience, demographic and severity factors, and judgments about current and expected levels of cost per claim and retention levels. These liabilities are recorded within accrued liabilities and other long-term liabilities as of December 31, 2021.</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estimated liabilities for self-insured claims as a critical audit matter. The evaluation of the uncertainty in the amounts that will ultimately be paid to settle these claims required subjective auditor judgment. Assumptions that may affect the estimated liability of claims include the consideration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1413" w:right="359" w:bottom="1440" w:gutter="0" w:footer="0" w:header="0"/>
        </w:sectPr>
      </w:pPr>
    </w:p>
    <w:bookmarkStart w:id="140" w:name="page141"/>
    <w:bookmarkEnd w:id="140"/>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historical cost experience, severity factors, and judgments about current and expected levels of cost per claims and retention levels that have uncertainty related to future occurrences or events and conditions. Additionally, the Company’s liabilities for self-insured claims included estimates for expenses of claims that have been incurred but have not been reported, and specialized skills were needed to evaluate the actuarial methods and assumptions used to assess these estimates.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self-insurance process. This included controls over the assumptions used in estimating the liabilities for self-insured claims. In addition, we compared the Company’s estimates of liabilities for individual self-insured claims to current available information, which included legal claims, incident and case reports, current and historical cost experience, or other evidence. We involved an actuarial professional with specialized skills and knowledge, who assisted in:</w:t>
      </w:r>
    </w:p>
    <w:p>
      <w:pPr>
        <w:spacing w:after="0" w:line="129"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actuarial reserving methodologies with accepted actuarial methods and procedures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assumptions used in determining the liability, including expected level of cost per claim and retention levels, in relation to recent historical loss payment trends and severity factors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expected range of liabilities, including liabilities for claims that have been incurred but have not been recorded, based on actuarial methodologies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recorded liability to the independently developed liability range.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80"/>
          </w:cols>
          <w:pgMar w:left="320" w:top="1417" w:right="399" w:bottom="1440" w:gutter="0" w:footer="0" w:header="0"/>
        </w:sectPr>
      </w:pPr>
    </w:p>
    <w:bookmarkStart w:id="141" w:name="page142"/>
    <w:bookmarkEnd w:id="14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allowances of $9 and $10,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of $219 and $181 in accumulated depreciation,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Identifiable intangible assets, net of $217 and $197 in accumulated amortization, respectively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long-term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XPO investment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176"/>
        </w:trPr>
        <w:tc>
          <w:tcPr>
            <w:tcW w:w="63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Cost of transportation and services (exclusive of</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Direct operating expense (exclusive of depreciation and</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general and administrative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 net of tax effect of $—, $— and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Repayment of debt and finance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transfers (to) from XPO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008" w:right="339" w:bottom="1440" w:gutter="0" w:footer="0" w:header="0"/>
        </w:sectPr>
      </w:pPr>
    </w:p>
    <w:bookmarkStart w:id="145" w:name="page146"/>
    <w:bookmarkEnd w:id="14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December 31, 2021, 2020 and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3"/>
                <w:szCs w:val="13"/>
                <w:color w:val="auto"/>
              </w:rPr>
            </w:pPr>
          </w:p>
        </w:tc>
        <w:tc>
          <w:tcPr>
            <w:tcW w:w="1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XPO Investment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5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to XPO</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XPO</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XPO</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2021, 2020 and 2019</w:t>
      </w:r>
    </w:p>
    <w:p>
      <w:pPr>
        <w:spacing w:after="0" w:line="171"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RXO, LLC (formerly known as NAT Holdings, LLC (“NAT SpinCo”)) (“RXO”, the “Company” or “we”) is a brokered transportation platform defined by cutting-edge technology and an asset-light business model, with the largest component being our core truck brokerage business. Our operations also include three asset-light, brokered transportation services, all of which are complementary to our truck brokerage business: managed transportation, last mile and freight forwarding. We present our operations in the Combined Financial Statements as one reportable segment. See Note 2—Basis of Presentation and Significant Accounting Policies for additional information on our determination of our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Distribution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8, 2022, the board of directors of our parent company, XPO Logistics, Inc. (together with its subsidiaries, “XPO”), approved a plan to pursue a spin-off of its tech-enabled brokered transportation platform in North America as a publicly traded company named RXO. The spin-off is expected to be completed through a distribution of shares of RXO common stock to XPO stockholders (the “Distribution”). Completion of the transaction is subject to a number of customary market, regulatory and other closing conditions including the approval of XPO’s board of directors. References to RXO or the Company include the subsidiaries of XPO that will be subsidiaries of RXO at the time of the Distribution.</w:t>
      </w:r>
    </w:p>
    <w:p>
      <w:pPr>
        <w:spacing w:after="0" w:line="12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RXO were prepared on a standalone basis and have been derived from the consolidated financial statements and accounting records of XPO. These financial statements reflect the combined historical results of operations, financial position and cash flows of RXO in accordance with U.S. generally accepted accounting principles (“GAAP”).</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Combined Financial Statements are presented as if the RXO businesses had been combined for all periods presented. The assets and liabilities in the Combined Financial Statements have been reflected on a historical cost basis, as immediately prior to the Distribution all of the assets and liabilities presented are wholly-owned by XPO and are being transferred to RXO at a carry-over basis.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Combined Balance Sheets include certain assets and liabilities directly attributable to RXO, and the Combined Statements of Operations include allocations of XPO costs and expenses, as described below. XPO’s third-party debt and the related interest expense were not allocated to us for any of the periods presented as XPO’s borrowings are not our legal obligation.</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40" w:right="339" w:bottom="1440" w:gutter="0" w:footer="0" w:header="0"/>
        </w:sectPr>
      </w:pPr>
    </w:p>
    <w:bookmarkStart w:id="147" w:name="page148"/>
    <w:bookmarkEnd w:id="147"/>
    <w:p>
      <w:pPr>
        <w:ind w:right="100"/>
        <w:spacing w:after="0" w:line="256" w:lineRule="auto"/>
        <w:rPr>
          <w:sz w:val="20"/>
          <w:szCs w:val="20"/>
          <w:color w:val="auto"/>
        </w:rPr>
      </w:pPr>
      <w:r>
        <w:rPr>
          <w:rFonts w:ascii="Times New Roman" w:cs="Times New Roman" w:eastAsia="Times New Roman" w:hAnsi="Times New Roman"/>
          <w:sz w:val="18"/>
          <w:szCs w:val="18"/>
          <w:color w:val="auto"/>
        </w:rPr>
        <w:t>before interest, taxes, depreciation and amortization (“adjusted EBITDA”), which we define as net income before interest expense, income tax, depreciation and amortization expense, transaction and integration costs, restructuring costs and other adjustments, or headcount. These allocated costs are recorded in Sales, general and administrative expense (“SG&amp;A”), Depreciation and amortization expense, Transaction and integration costs and Restructuring costs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Cost of transportation and services (exclusive of depreciation and amortization) primarily includes the cost of providing or procuring freight transportation for RXO customers.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Direct operating expenses (exclusive of depreciation and amortization) are comprised of both fixed and variable expenses and consist mainly of personnel costs, facility and equipment expenses, such as rent, utilities, equipment maintenance and repair, costs of materials and supplies, information technology expenses, and gains and losses on sales of property and equipment.</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SG&amp;A, including the allocated costs of XPO, primarily consists of salaries and commissions for the sales function, salary and benefit costs for executive and certain administration functions, third-party professional fees, facility costs, bad debt expense and legal costs.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XPO investment represents XPO’s historical investment in RXO, and includes the net effects of transactions with and allocations from XPO, as well as RXO’s accumulated earnings. Certain transactions between RXO and XPO, including XPO’s non-RXO subsidiaries, have been included in these Combined Financial Statements, and are considered to be effectively settled at the time the transaction is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RXO and general financing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Combination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include the accounts and business activities distributed across the legal entities of RXO. Significant intercompany balances and transactions among the operations of the RXO legal entities have been eliminated in the Combined Financial Statements. All significant related party transactions between RXO and XPO have been included in these Combined Financial Statements as components of XPO investment. The preparation of the Combined Financial Statements in accordance with GAAP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recognize revenue when we transfer control of promised products or services to customers in an amount equal to the consideration we expect to receive for those products or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10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generate revenue by providing truck brokerage and other transportation services for our customers. Additional services may be provided to our customers under their transportation contracts, including unloading and other incidental services. The transaction price is based on the consideration specified in the customer’s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17" w:right="339" w:bottom="1440" w:gutter="0" w:footer="0" w:header="0"/>
        </w:sectPr>
      </w:pPr>
    </w:p>
    <w:bookmarkStart w:id="148" w:name="page149"/>
    <w:bookmarkEnd w:id="148"/>
    <w:p>
      <w:pPr>
        <w:spacing w:after="0" w:line="254" w:lineRule="auto"/>
        <w:rPr>
          <w:sz w:val="20"/>
          <w:szCs w:val="20"/>
          <w:color w:val="auto"/>
        </w:rPr>
      </w:pPr>
      <w:r>
        <w:rPr>
          <w:rFonts w:ascii="Times New Roman" w:cs="Times New Roman" w:eastAsia="Times New Roman" w:hAnsi="Times New Roman"/>
          <w:sz w:val="18"/>
          <w:szCs w:val="18"/>
          <w:color w:val="auto"/>
        </w:rPr>
        <w:t>A performance obligation is created when a customer under a transportation contract submits a bill of lading for the transport of goods from origin to destination. These performance obligations are satisfied as the shipments move from origin to destination. We recognize transportation revenue proportionally as a shipment moves from origin to destination and the related costs are recognized as incurred. Some of our customer contracts contain our promise to stand ready to provide transportation services. For these contracts, we recognize revenue on a straight-line basis over the term of the contract because the pattern of benefit to the customer, and our efforts to fulfill the contract, are generally distributed evenly throughout the period. Performance obligations are generally short-term, with transit times usually less than one week. Generally, customers are billed on shipment of the freight or on a weekly or monthly basis and make payment according to approved payment terms. When we do not control the specific services, we recognize revenue as the difference between the amount the customer pays us for the service less the amount we are charged by third parties who provide the service.</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Generally, we can adjust our pricing based on contractual provisions related to achieving agreed-upon performance metrics, changes in volumes, services and market conditions.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on the date of purchase to be cash equivalents. As of December 31, 2021 and 2020, there were no cash equivalents or restricted cash. Treasury activities at XPO are generally centralized, while certain balances are managed locally. To the extent cash and cash equivalents are legally owned by RXO, they are reflected in the Combined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record accounts receivable at the contractual amount, and we record an allowance for credit losses for the amount we estimate we may not collect. In determining the allowance for credit losses,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2020 and in accordance with Accounting Standards Update (“ASU”) 2016-13, “Financial Instruments - Credit Losses (Topic 326): Measurement of Credit Losses on Financial Instruments”, we also consider reasonable and supportable forecasts of future economic conditions and their expected impact on customer collections in determining our allowance for credit losses. We write off accounts receivable balances once the receivables are no longer deemed collectible.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roll-forward of the allowance for credit losses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874"/>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874"/>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874"/>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generally record property and equipment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We compute depreciation expense on a straight-line basis over the estimated useful lives of the assets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37"/>
        </w:trPr>
        <w:tc>
          <w:tcPr>
            <w:tcW w:w="8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24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of lease to 40 years</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Vehicles, tractors, trailers and tankers</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to 14 years</w:t>
            </w: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inception. We recognize operating lease right-of-use assets and liabilities at the lease commencement date based on the estimated present value of the lease payments over the lease term. As most of our leases do not provide an implicit rate, we use the incremental borrowing rates of XPO based on the information available at commencement date to determine the present value of future lease payments. This rate is determined from a hypothetical yield curve that takes into consideration market yield levels of XPO’s relevant debt outstanding as well as the index that matches XPO’s credit rating, and then adjusts as if the borrowings were collateralized.</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include options to extend or terminate a lease in the lease term when we are reasonably certain to exercise such options. We exclude variable lease payments (such as payments based on an index or reimbursements of lessor costs) from our initial measurement of the lease liability. We recognize leases with an initial term of 12 months or less as lease expense over the lease term, and those leases are not recorded on our Combined Balance Sheets. We account for lease and non-lease components within a contract as a single lease component for our real estate leases.</w:t>
      </w:r>
    </w:p>
    <w:p>
      <w:pPr>
        <w:spacing w:after="0" w:line="12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Net operating lease activity, including the reduction of the operating lease asset and the accretion of the operating lease liability, are reflected in Depreciation, amortization and net lease activity on our Combined Statements of Cash Flows. For additional information on our leases, see Note 6— 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conduct our business and track our results as one reportable segment based upon the aggregation of our operating segments. Our chief operating decision maker (“CODM”) regularly reviews financial information at the operating segment level to allocate resources and assess performance. We have determined that all our operating segments share the following similar economic and qualitative characteristics and therefore meet the criteria established in Accounting Standards Codification (“ASC”) 280–Segment Reporting for operating segments to be aggregated into one reportable segment:</w:t>
      </w:r>
    </w:p>
    <w:p>
      <w:pPr>
        <w:spacing w:after="0" w:line="126" w:lineRule="exact"/>
        <w:rPr>
          <w:sz w:val="20"/>
          <w:szCs w:val="20"/>
          <w:color w:val="auto"/>
        </w:rPr>
      </w:pPr>
    </w:p>
    <w:p>
      <w:pPr>
        <w:ind w:left="660" w:right="4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segments have similar economic characteristics (e.g., comparable adjusted EBITDA margins, our measure of segment profitability), and similar long-term financial models;</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services offered by each operating segment is similar: all the services leverage technology and an asset-light infrastructure to arrange for the transportation of customer goods by qualified independent carriers;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segments all operate within the transportation industry and in primarily the same geography (North America);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operating segments provide business-to-business services, with no segment transacting directly with the end-user customer;</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operating segment’s customer base spans diversified industry verticals that overlap with other operating segments and have a common salesforce engaged in significant cross-selling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17" w:right="339" w:bottom="1440" w:gutter="0" w:footer="0" w:header="0"/>
        </w:sectPr>
      </w:pPr>
    </w:p>
    <w:bookmarkStart w:id="150" w:name="page151"/>
    <w:bookmarkEnd w:id="150"/>
    <w:p>
      <w:pPr>
        <w:ind w:left="660" w:right="240" w:hanging="328"/>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operating segments conduct business in a similar regulatory environment applicable to the transportation industry, including regulation and licensing by various governmental agencies; most notably, the Federal Motor Carrier Safety Administration of the U.S. Department of Transportation.</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of our operating segments can be expected to have similar future prospects as they have similar economic attributes. The causes for fluctuations in operating and financial performance are generally the same among the operating segments and include such factors as: (i) changes in overall demand for outsourced freight transportation services, (ii) changes in prices charged by third-party carriers, (iii) decisions by customers to develop or expand internal transportation capabilities, and (iv) macroeconomic impacts on supply chains for materials, parts and finished goods.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that were pushed down to RXO.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 We have six reporting units.</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our 2021 goodwill assessment, we performed a quantitative analysis for our reporting units using a market approach. The market approach of determining fair value is based on comparable market multiples for companies engaged in similar businesses, as well as recent transactions within our industry. All of our reporting units had fair values in excess of their carrying values, resulting in no impairment of goodwill.</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our 2020 goodwill assessment, we performed a step-zero qualitative analysis for our reporting units. 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Qualitative assessments consider macroeconomic conditions, industry and market considerations, internal cost factors, and overall financial performance, among other factors.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intangible assets subject to amortization consist of customer relationships. We review long-lived assets to be held-and-used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comparable with the risks associated with the recovery of the asset. We amortize intangible assets on a straight-line basis or on a basis consistent with the pattern in which the economic benefits are realized. The estimated useful life for customer relationships is 9 to 16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80"/>
          </w:cols>
          <w:pgMar w:left="320" w:top="1417" w:right="3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expenses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transportation and facility charges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participate in a combination of self-insurance programs and purchased insurance that are managed by XPO to provide for the costs of medical, casualty, liability, vehicular, cargo, workers’ compensation, cyber risk and property claims. XPO periodically evaluates our level of insurance coverage and adjusts our insurance levels based on risk tolerance and premium expense.</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 At December 31, 2021 and 2020, our insurance liabilities amounted to $55 million and $48 million, respectively, and were included in accrued expenses and other long-term liabilities on our Combined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and are not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periods presented in the Combined Financial Statements, the operations of the Company were included in the consolidated U.S. federal and certain state and local and foreign income tax returns filed by XPO, where applicable. Income tax expense and other income tax related information contained in the Combined Financial Statements are presented on a separate return basis as if the Company had filed its own tax returns. As a result, actual tax transactions included in the consolidated financial statements of XPO may not be included in the Combined Financial Statements. Similarly, the tax treatment of certain items reflected in the Combined Financial Statements may not be reflected in the consolidated financial statements and tax returns of XPO. Therefore, portions of items such as net operating losses (“NOLs”), credit carryforwards, other deferred taxes, and valuation allowances may exist in the Combined Financial Statements that may or may not exist in XPO’s consolidated financial statements and vice versa. In addition, although deferred tax assets have been recognized for NOLs and tax credits in accordance with the separate return method, certain NOLs and credits will not carry over with the Company in connection with the Distribution. The income taxes of the Company as presented in the Combined Financial Statements may not be indicative of the income taxes that the Company will incur in the future. In jurisdictions where the Company has been included in tax returns filed by XPO, any income tax receivables or payables resulting from the related income tax provisions have been reflected in the Combined Balance Sheets within XPO investment.</w:t>
      </w:r>
    </w:p>
    <w:p>
      <w:pPr>
        <w:spacing w:after="0" w:line="13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adopted the separate return approach for the purpose of presenting the Combined Financial Statements, including the income tax provisions (benefits) and the related deferred tax assets and liabilities. The historic operations of the Company reflect a separate return approach for each jurisdiction in which the Company had a presence and XPO filed a tax return.</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on a legal entity and jurisdictional basis, under which we recognize the amount of taxes payable or refundable for the current year and deferred tax assets and liabilities for the future tax consequences of events that have been recognized in our financial statements or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13" w:right="339" w:bottom="1440" w:gutter="0" w:footer="0" w:header="0"/>
        </w:sectPr>
      </w:pPr>
    </w:p>
    <w:bookmarkStart w:id="152" w:name="page153"/>
    <w:bookmarkEnd w:id="152"/>
    <w:p>
      <w:pPr>
        <w:ind w:right="40"/>
        <w:spacing w:after="0" w:line="255" w:lineRule="auto"/>
        <w:rPr>
          <w:sz w:val="20"/>
          <w:szCs w:val="20"/>
          <w:color w:val="auto"/>
        </w:rPr>
      </w:pPr>
      <w:r>
        <w:rPr>
          <w:rFonts w:ascii="Times New Roman" w:cs="Times New Roman" w:eastAsia="Times New Roman" w:hAnsi="Times New Roman"/>
          <w:sz w:val="18"/>
          <w:szCs w:val="18"/>
          <w:color w:val="auto"/>
        </w:rPr>
        <w:t>returns. Our calculation relies on several factors, including pre-tax earnings, differences between tax laws and accounting rules, statutory tax rates, tax credits, uncertain tax positions, and valuation allowances. We use judgment and estimates in evaluating our tax positions. Valuation allowances are established when, in our judgment, it is more likely than not that our deferred tax assets will not be realized based on all available evidence. We record global intangible low-taxed income tax as a period cost.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accumulated other comprehensive income (loss) (“AOCI”) on our Combined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convert foreign currency transactions recognized on our Combined Statements of Operations to USD by applying the exchange rate prevailing on the date of the transaction. Gains and losses arising from foreign currency transactions and the effects of remeasuring monetary assets and liabilities are recorded in Other (income) expense in our Combined Statements of Operations and were not material for any of the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08"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0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generally utilizing pricing models or other valuation techniques that reflect management’s judgment and estimates.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base our fair value estimates on market assumptions and available information. The carrying values of cash, accounts receivable, accounts payable and accrued expenses approximated their fair values as of December 31, 2021 and 2020 due to their short-term nature and/or being receivable or payable on demand.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XPO’s compensation programs include grants of stock-based compensation awards to directors, officers and key employees under XPO’s share-based payment programs. These awards include stock options, restricted stock, restricted stock units, performance-based units, cash incentive awards and other equity-related awards. Our Combined Statements of Operations include all of the share-based payment expenses directly attributable to RXO, as well as an allocation of any related XPO Corporate costs. Our stock-based compensation expense is recorded in SG&amp;A on our Combined Statements of Operations.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based on the equity instrument’s grant date fair value. For grants of restricted stock units subject to service-based or performance-based vesting conditions only, the fair value is established based on the market price of XPO’s stock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20"/>
          </w:cols>
          <w:pgMar w:left="320" w:top="1417" w:right="359" w:bottom="1440" w:gutter="0" w:footer="0" w:header="0"/>
        </w:sectPr>
      </w:pPr>
    </w:p>
    <w:bookmarkStart w:id="153" w:name="page154"/>
    <w:bookmarkEnd w:id="153"/>
    <w:p>
      <w:pPr>
        <w:spacing w:after="0" w:line="261" w:lineRule="auto"/>
        <w:rPr>
          <w:sz w:val="20"/>
          <w:szCs w:val="20"/>
          <w:color w:val="auto"/>
        </w:rPr>
      </w:pPr>
      <w:r>
        <w:rPr>
          <w:rFonts w:ascii="Times New Roman" w:cs="Times New Roman" w:eastAsia="Times New Roman" w:hAnsi="Times New Roman"/>
          <w:sz w:val="18"/>
          <w:szCs w:val="18"/>
          <w:color w:val="auto"/>
        </w:rPr>
        <w:t>We recognize the grant date fair value of equity awards as compensation cost over the requisite service period. We recognize expense for our performance-based restricted stock units over the awards’ requisite service period based on the number of awards expected to vest with consideration to the actual and expected financial results. We do not recognize expense until achievement of the performance targets for a performance-based restricted stock unit award is considered probable.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Transactions between the Company and XPO, and other non-RXO subsidiaries of XPO,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Combined Balance Sheets as of December 31, 2021 and 2020. For those that have been or are expected to be forgiven, the amounts have been recorded as an adjustment of XPO Investment in the Combined Balance Sheets as of December 31, 2021 and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Combined Financial Statements.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The adoption did not have a material effect on our Combined Financial Statements.</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Combined Statement of Operations as the expense for fees of the associated hosting arrangements. We adopted this standard on January 1, 2020 on a prospective basis. The adoption did not have a material effect on our Combined Financial Statements.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core principle of ASU 2016-02 is that a lessee should recognize on its Combined Balance Sheets the assets and liabilities that arise from leases, including operating leases. Under the new requirements, a lessee recognizes on the balance sheet the right-of-use asset representing the right to use the underlying asset and the lease liability representing the present value of future lease payments. We utilized a comprehensive approach to assess the impact of ASU 2016-02 on our financial statements and related disclosures. In particular, we completed a robust review of our lease portfolio and enhanced our internal controls, including those related to the identification, monitoring of, measurement and disclosure of our lease portfolio. We also implemented a new software solution to facilitate compliance with the new guidance. We adopted ASU 2016-02 and its related amendments (Topic 842) on January 1, 2019 on a prospective basis. The adoption did not have a material effect on our Combined Financial Statements. For additional information on our leases, see Note 6—Leases.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20"/>
          </w:cols>
          <w:pgMar w:left="320" w:top="1417"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Effective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ASU increases the transparency surrounding government assistance by requiring disclosure of: (i) the types of assistance received, (ii) an entity’s accounting for the assistance and (iii) the effect of the assistance on the entity’s financial statements. This ASU is effective for fiscal years beginning after December 15, 2021. Early adoption is permitted. We are currently evaluating the impact of the new guidance, which is limited to financial statement disclosures.</w:t>
      </w:r>
    </w:p>
    <w:p>
      <w:pPr>
        <w:spacing w:after="0" w:line="1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disaggregate our revenue by geographic area, service offering and industry sector. The majority of our revenue, based on sales office location, is generated in the U.S. Approximately 9%, 8% and 6% of our revenues were generated outside the U.S. (primarily in North America, excluding the U.S., and Asia) for the years ended December 31, 2021, 2020 and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disaggregated by service offering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Truck brokerage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Last mile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Managed transportation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Freight forwarding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Eliminations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revenue by industry sector, before eliminations, was approximately as follows: retail/e-commerce (37%, 37% and 35% for 2021, 2020 and 2019, respectively); food and beverage (12%, 12% and 10% for 2021, 2020 and 2019, respectively); industrial/manufacturing (16%, 16% and 23% for 2021, 2020 and 2019, respectively); logistics and transportation (7%, 7% and 5% for 2021, 2020 and 2019, respectively); automotive (6%, 7% and 8% for 2021, 2020 and 2019, respectively); and other (22%, 21% and 19% for 2021, 2020 and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December 31, 2021, the fixed consideration component of our remaining performance obligation was approximately $124 million, and we expect approximately 86% of that amount to be recognized over the next three years and the remainder thereafter. We estimate remaining performance obligations at a point in time and actual amounts may differ from these estimates due to changes in foreign currency exchange rates and contract revisions or terminations.</w:t>
      </w:r>
    </w:p>
    <w:p>
      <w:pPr>
        <w:spacing w:after="0" w:line="129"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engage in restructuring actions as part of our ongoing efforts to best use our resources and infrastructure, including actions in response to COVID-19. These actions generally include severance and facility-related costs, including impairment of operating lease assets, and are intended to improve our efficiency and profitability. Additionally, a portion of the restructuring charge recorded in 2019 related to a customer downsizing its business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1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Our restructuring-related activity was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8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3060" w:type="dxa"/>
            <w:vAlign w:val="bottom"/>
            <w:vMerge w:val="restart"/>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60" w:type="dxa"/>
            <w:vAlign w:val="bottom"/>
          </w:tcPr>
          <w:p>
            <w:pPr>
              <w:jc w:val="center"/>
              <w:ind w:left="1068"/>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2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2260" w:type="dxa"/>
            <w:vAlign w:val="bottom"/>
            <w:vMerge w:val="continue"/>
          </w:tcPr>
          <w:p>
            <w:pPr>
              <w:spacing w:after="0"/>
              <w:rPr>
                <w:sz w:val="16"/>
                <w:szCs w:val="16"/>
                <w:color w:val="auto"/>
              </w:rPr>
            </w:pPr>
          </w:p>
        </w:tc>
        <w:tc>
          <w:tcPr>
            <w:tcW w:w="3060" w:type="dxa"/>
            <w:vAlign w:val="bottom"/>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420" w:type="dxa"/>
            <w:vAlign w:val="bottom"/>
            <w:tcBorders>
              <w:top w:val="single" w:sz="8" w:color="auto"/>
            </w:tcBorders>
            <w:shd w:val="clear" w:color="auto" w:fill="CCEEFF"/>
          </w:tcPr>
          <w:p>
            <w:pPr>
              <w:jc w:val="right"/>
              <w:ind w:right="123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14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top w:val="single" w:sz="8" w:color="auto"/>
              <w:bottom w:val="single" w:sz="8" w:color="auto"/>
            </w:tcBorders>
            <w:shd w:val="clear" w:color="auto" w:fill="CCEEFF"/>
          </w:tcPr>
          <w:p>
            <w:pPr>
              <w:jc w:val="right"/>
              <w:ind w:right="123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20" w:type="dxa"/>
            <w:vAlign w:val="bottom"/>
            <w:vMerge w:val="restart"/>
          </w:tcPr>
          <w:p>
            <w:pPr>
              <w:jc w:val="center"/>
              <w:ind w:left="178"/>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vMerge w:val="restart"/>
          </w:tcPr>
          <w:p>
            <w:pPr>
              <w:jc w:val="center"/>
              <w:ind w:right="136"/>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5"/>
        </w:trPr>
        <w:tc>
          <w:tcPr>
            <w:tcW w:w="35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tcPr>
          <w:p>
            <w:pPr>
              <w:jc w:val="center"/>
              <w:ind w:left="138"/>
              <w:spacing w:after="0" w:line="137"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4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500" w:type="dxa"/>
            <w:vAlign w:val="bottom"/>
          </w:tcPr>
          <w:p>
            <w:pPr>
              <w:jc w:val="center"/>
              <w:ind w:right="136"/>
              <w:spacing w:after="0" w:line="137"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1420" w:type="dxa"/>
            <w:vAlign w:val="bottom"/>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420" w:type="dxa"/>
            <w:vAlign w:val="bottom"/>
            <w:shd w:val="clear" w:color="auto" w:fill="CCEEFF"/>
          </w:tcPr>
          <w:p>
            <w:pPr>
              <w:jc w:val="right"/>
              <w:ind w:right="123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14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top w:val="single" w:sz="8" w:color="auto"/>
              <w:bottom w:val="single" w:sz="8" w:color="auto"/>
            </w:tcBorders>
            <w:shd w:val="clear" w:color="auto" w:fill="CCEEFF"/>
          </w:tcPr>
          <w:p>
            <w:pPr>
              <w:jc w:val="right"/>
              <w:ind w:right="123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expect the majority of the cash outlays related to the charges incurred in 2021 will be complete within twelve months. The majority of the cash outlays related to the charges incurred in 2020 were substantially complete by the middle of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property and equipment: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Vehicles, tractors, trailers and tankers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book value of capitalized internally-developed software included in property and equipment,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Depreciation of property and equipment and amortization of computer software was $58 million, $51 million and $39 million for the years ended December 31, 2021, 2020 and 2019, respectively. As of December 31, 2021 and 2020, our long-lived tangible assets outside of the U.S. were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17" w:right="339" w:bottom="1440" w:gutter="0" w:footer="0" w:header="0"/>
        </w:sectPr>
      </w:pPr>
    </w:p>
    <w:bookmarkStart w:id="156" w:name="page157"/>
    <w:bookmarkEnd w:id="156"/>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Most of our leases are operating leases and consist of real estate leases. In addition, we lease trucks, tractors, trailers and chassis. The components of our operating lease expense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0" w:type="dxa"/>
            <w:vAlign w:val="bottom"/>
          </w:tcPr>
          <w:p>
            <w:pPr>
              <w:spacing w:after="0"/>
              <w:rPr>
                <w:sz w:val="1"/>
                <w:szCs w:val="1"/>
                <w:color w:val="auto"/>
              </w:rPr>
            </w:pPr>
          </w:p>
        </w:tc>
      </w:tr>
      <w:tr>
        <w:trPr>
          <w:trHeight w:val="45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was as follows: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7"/>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70"/>
        </w:trPr>
        <w:tc>
          <w:tcPr>
            <w:tcW w:w="63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Cash paid from operating activities for amounts included in the measurement of</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obligations</w:t>
            </w: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6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2021 were as follows: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2021, we had additional operating leases that have not yet commenced with future undiscounted lease payments of $10 million. These operating leases will commence in 2022 with initial lease terms of 3 years to 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413" w:right="339" w:bottom="1440" w:gutter="0" w:footer="0" w:header="0"/>
        </w:sectPr>
      </w:pPr>
    </w:p>
    <w:bookmarkStart w:id="157" w:name="page158"/>
    <w:bookmarkEnd w:id="157"/>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cumulative goodwill impairments as of December 31, 2021.</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identifiable intangible assets consist entirely of customer relationships, all of which are definite-lived. We did not recognize any impairment of our identified intangible assets in 2021 and 2020. We recorded a non-cash, pre-tax charge of $6 million in 2019 related to the impairment of customer relationships intangibles associated with exiting our direct postal injection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amortizable intangible assets for the next five years and thereafter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Actual amounts of amortization expense may differ from estimated amounts due to changes in foreign currency exchange rates, additional intangible asset acquisitions, future impairment of intangible assets, accelerated amortization of intangible assets and other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was $24 million, $25 million and $34 million for the years ended December 31, 2021, 2020 and 2019, respectively.</w:t>
      </w:r>
    </w:p>
    <w:p>
      <w:pPr>
        <w:spacing w:after="0" w:line="167"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Retirement Plans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XPO sponsors qualified defined contribution plans, in which RXO is one of a number of companies that participate. Contributions for employees of RXO for the years ended December 31, 2021, 2020, and 2019 were $7 million, $6 million, and $5 million, respectively. The majority of the expense is recorded in SG&amp;A in the Combined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Medical Plan</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XPO also sponsors a postretirement medical plan that provides health benefits to certain non-contractual employees who are at least 55 years of age with at least 10 years of service (the “Postretirement Plan”). The Postretirement Plan does not provide employer-subsidized retiree medical benefits for employees hired on or after January 1, 1993. Our costs related to this plan were not material for the years ended December 31, 2021, 2020 and 2019.</w:t>
      </w:r>
    </w:p>
    <w:p>
      <w:pPr>
        <w:spacing w:after="0" w:line="118"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tax provisions have been prepared on a separate return basis as if RXO was a separate group of companies under common ownership. The operations have been combined as if RXO was filing on a combined basis for U.S. federal, U.S. state and non-U.S. income tax purposes, where allowable by law. RXO is subject to regulation under a wide variety of U.S. federal, U.S. state and non-U.S. tax laws, regulations and policies. Changes to these laws or regulations may affect our tax liability, return on investments and business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related to our U.S. and foreign operations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13"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The income tax provision is comprised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income tax provision (benefit)</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6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tax expense reconciliations were as follows: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at U.S. federal statutory tax rate</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taxes, net of U.S. federal benefit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Foreign operations</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uncertain tax positions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12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80" w:hanging="332"/>
        <w:spacing w:after="0" w:line="283" w:lineRule="auto"/>
        <w:tabs>
          <w:tab w:leader="none" w:pos="33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operations include the net impact of changes to valuation allowances, the cost of inclusion of foreign income in the U.S. net of foreign taxes, and permanent items related to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the Net Deferred Tax Asset or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 and deferred tax liability were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2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0" w:type="dxa"/>
            <w:vAlign w:val="bottom"/>
            <w:vMerge w:val="continue"/>
          </w:tcPr>
          <w:p>
            <w:pPr>
              <w:spacing w:after="0"/>
              <w:rPr>
                <w:sz w:val="16"/>
                <w:szCs w:val="16"/>
                <w:color w:val="auto"/>
              </w:rPr>
            </w:pPr>
          </w:p>
        </w:tc>
        <w:tc>
          <w:tcPr>
            <w:tcW w:w="16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and other tax attribute carryforwards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980" w:type="dxa"/>
            <w:vAlign w:val="bottom"/>
          </w:tcPr>
          <w:p>
            <w:pPr>
              <w:spacing w:after="0"/>
              <w:rPr>
                <w:sz w:val="21"/>
                <w:szCs w:val="21"/>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23"/>
                <w:szCs w:val="23"/>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980" w:type="dxa"/>
            <w:vAlign w:val="bottom"/>
          </w:tcPr>
          <w:p>
            <w:pPr>
              <w:spacing w:after="0"/>
              <w:rPr>
                <w:sz w:val="23"/>
                <w:szCs w:val="23"/>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allowances</w:t>
            </w:r>
          </w:p>
        </w:tc>
        <w:tc>
          <w:tcPr>
            <w:tcW w:w="1980" w:type="dxa"/>
            <w:vAlign w:val="bottom"/>
          </w:tcPr>
          <w:p>
            <w:pPr>
              <w:spacing w:after="0"/>
              <w:rPr>
                <w:sz w:val="23"/>
                <w:szCs w:val="23"/>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 net</w:t>
            </w:r>
          </w:p>
        </w:tc>
        <w:tc>
          <w:tcPr>
            <w:tcW w:w="1980" w:type="dxa"/>
            <w:vAlign w:val="bottom"/>
          </w:tcPr>
          <w:p>
            <w:pPr>
              <w:spacing w:after="0"/>
              <w:rPr>
                <w:sz w:val="23"/>
                <w:szCs w:val="23"/>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980" w:type="dxa"/>
            <w:vAlign w:val="bottom"/>
          </w:tcPr>
          <w:p>
            <w:pPr>
              <w:spacing w:after="0"/>
              <w:rPr>
                <w:sz w:val="23"/>
                <w:szCs w:val="23"/>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980" w:type="dxa"/>
            <w:vAlign w:val="bottom"/>
          </w:tcPr>
          <w:p>
            <w:pPr>
              <w:spacing w:after="0"/>
              <w:rPr>
                <w:sz w:val="23"/>
                <w:szCs w:val="23"/>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980" w:type="dxa"/>
            <w:vAlign w:val="bottom"/>
          </w:tcPr>
          <w:p>
            <w:pPr>
              <w:spacing w:after="0"/>
              <w:rPr>
                <w:sz w:val="23"/>
                <w:szCs w:val="23"/>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23"/>
                <w:szCs w:val="23"/>
                <w:color w:val="auto"/>
              </w:rPr>
            </w:pPr>
          </w:p>
        </w:tc>
      </w:tr>
      <w:tr>
        <w:trPr>
          <w:trHeight w:val="27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980" w:type="dxa"/>
            <w:vAlign w:val="bottom"/>
          </w:tcPr>
          <w:p>
            <w:pPr>
              <w:spacing w:after="0"/>
              <w:rPr>
                <w:sz w:val="23"/>
                <w:szCs w:val="23"/>
                <w:color w:val="auto"/>
              </w:rPr>
            </w:pPr>
          </w:p>
        </w:tc>
      </w:tr>
      <w:tr>
        <w:trPr>
          <w:trHeight w:val="29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 and deferred tax liability above are reflected on our Combined Balance Sheets as follows: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34"/>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520"/>
        </w:trPr>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(39)</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(27)</w:t>
            </w:r>
          </w:p>
        </w:tc>
        <w:tc>
          <w:tcPr>
            <w:tcW w:w="6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(67)</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0"/>
        </w:trPr>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(50)</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-8255</wp:posOffset>
            </wp:positionV>
            <wp:extent cx="9944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-753110</wp:posOffset>
            </wp:positionH>
            <wp:positionV relativeFrom="paragraph">
              <wp:posOffset>-351155</wp:posOffset>
            </wp:positionV>
            <wp:extent cx="9944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-753110</wp:posOffset>
            </wp:positionH>
            <wp:positionV relativeFrom="paragraph">
              <wp:posOffset>-1036320</wp:posOffset>
            </wp:positionV>
            <wp:extent cx="994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p>
      <w:pPr>
        <w:sectPr>
          <w:pgSz w:w="11900" w:h="16838" w:orient="portrait"/>
          <w:cols w:equalWidth="0" w:num="2">
            <w:col w:w="8480" w:space="720"/>
            <w:col w:w="204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5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and Tax Credit Carryforwards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Our operating loss and tax credit carryforwards were as follows: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6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r>
      <w:tr>
        <w:trPr>
          <w:trHeight w:val="23"/>
        </w:trPr>
        <w:tc>
          <w:tcPr>
            <w:tcW w:w="6000" w:type="dxa"/>
            <w:vAlign w:val="bottom"/>
          </w:tcPr>
          <w:p>
            <w:pPr>
              <w:spacing w:after="0"/>
              <w:rPr>
                <w:sz w:val="2"/>
                <w:szCs w:val="2"/>
                <w:color w:val="auto"/>
              </w:rPr>
            </w:pPr>
          </w:p>
        </w:tc>
        <w:tc>
          <w:tcPr>
            <w:tcW w:w="238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0"/>
        </w:trPr>
        <w:tc>
          <w:tcPr>
            <w:tcW w:w="600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Tax effect (before federal benefit) of state net operating</w:t>
            </w:r>
          </w:p>
        </w:tc>
        <w:tc>
          <w:tcPr>
            <w:tcW w:w="1920" w:type="dxa"/>
            <w:vAlign w:val="bottom"/>
            <w:tcBorders>
              <w:top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Various times starting in</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238"/>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920" w:type="dxa"/>
            <w:vAlign w:val="bottom"/>
            <w:shd w:val="clear" w:color="auto" w:fill="CCEEFF"/>
          </w:tcPr>
          <w:p>
            <w:pPr>
              <w:jc w:val="center"/>
              <w:spacing w:after="0" w:line="237" w:lineRule="exact"/>
              <w:rPr>
                <w:sz w:val="20"/>
                <w:szCs w:val="20"/>
                <w:color w:val="auto"/>
              </w:rPr>
            </w:pPr>
            <w:r>
              <w:rPr>
                <w:rFonts w:ascii="Times New Roman" w:cs="Times New Roman" w:eastAsia="Times New Roman" w:hAnsi="Times New Roman"/>
                <w:sz w:val="18"/>
                <w:szCs w:val="18"/>
                <w:color w:val="auto"/>
                <w:w w:val="88"/>
              </w:rPr>
              <w:t>2022</w:t>
            </w:r>
            <w:r>
              <w:rPr>
                <w:rFonts w:ascii="Times New Roman" w:cs="Times New Roman" w:eastAsia="Times New Roman" w:hAnsi="Times New Roman"/>
                <w:sz w:val="23"/>
                <w:szCs w:val="23"/>
                <w:color w:val="auto"/>
                <w:w w:val="88"/>
                <w:vertAlign w:val="superscript"/>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1"/>
        </w:trPr>
        <w:tc>
          <w:tcPr>
            <w:tcW w:w="6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Foreign net operating losses available to offset future</w:t>
            </w:r>
          </w:p>
        </w:tc>
        <w:tc>
          <w:tcPr>
            <w:tcW w:w="2380" w:type="dxa"/>
            <w:vAlign w:val="bottom"/>
            <w:gridSpan w:val="3"/>
          </w:tcPr>
          <w:p>
            <w:pPr>
              <w:jc w:val="center"/>
              <w:ind w:right="370"/>
              <w:spacing w:after="0" w:line="181" w:lineRule="exact"/>
              <w:rPr>
                <w:sz w:val="20"/>
                <w:szCs w:val="20"/>
                <w:color w:val="auto"/>
              </w:rPr>
            </w:pPr>
            <w:r>
              <w:rPr>
                <w:rFonts w:ascii="Times New Roman" w:cs="Times New Roman" w:eastAsia="Times New Roman" w:hAnsi="Times New Roman"/>
                <w:sz w:val="18"/>
                <w:szCs w:val="18"/>
                <w:color w:val="auto"/>
                <w:w w:val="99"/>
              </w:rPr>
              <w:t>Various times starting in</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0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 income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2022</w:t>
            </w:r>
            <w:r>
              <w:rPr>
                <w:rFonts w:ascii="Times New Roman" w:cs="Times New Roman" w:eastAsia="Times New Roman" w:hAnsi="Times New Roman"/>
                <w:sz w:val="23"/>
                <w:szCs w:val="23"/>
                <w:color w:val="auto"/>
                <w:w w:val="88"/>
                <w:vertAlign w:val="superscript"/>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credits and losses have unlimited carryforward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established a valuation allowance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 have been provided on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13"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The balances and activity related to our valuation allowance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8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and penalties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6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unrecognized tax benefits that, if recognized, would impact the effective income</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rate as of the end of the year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could reflect a reduction to unrecognized tax benefits of up to $1 million over the next 12 months due to the statute of limitations lapsing on positions or because tax positions are sustained on audit.</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and foreign jurisdictions. As of December 31, 2021, we have no tax years under examination by the IRS or in any foreign jurisdictions. We have various U.S. state and local examinations in process. The U.S. federal tax returns after 2008, state and local returns after 2015, and non-U.S. returns after 2009 are open under relevant statutes of limitations and are subject to audit.</w:t>
      </w:r>
    </w:p>
    <w:p>
      <w:pPr>
        <w:spacing w:after="0" w:line="118"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involved, and will continue to be involved, in numerous proceedings arising out of the conduct of our business. These proceedings may include claims for property damage or personal injury incurred in connection with the transportation of freight, environmental liability, commercial disputes, and employment-related claims, including claims involving asserted breaches of employee restrictive covenants. These matters also include several class action and collective action cases involving claims that the contract carriers with which we contract for performance of delivery services, or their delivery workers, should be treated as employees, rather than independent contractors (“misclassification claims”) and may seek substantial monetary damages (including claims for unpaid wages, overtime, unreimbursed business expenses, deductions from wages, penalties and other items), injunctive relief, or both.</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417" w:right="339" w:bottom="1440" w:gutter="0" w:footer="0" w:header="0"/>
        </w:sectPr>
      </w:pPr>
    </w:p>
    <w:bookmarkStart w:id="161" w:name="page162"/>
    <w:bookmarkEnd w:id="161"/>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XPO carries liability and excess umbrella insurance policies that are deemed sufficient to cover potential legal claims arising in the normal course of conducting our operations as a transportation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22" w:lineRule="exact"/>
        <w:rPr>
          <w:sz w:val="20"/>
          <w:szCs w:val="20"/>
          <w:color w:val="auto"/>
        </w:rPr>
      </w:pPr>
    </w:p>
    <w:p>
      <w:pPr>
        <w:ind w:left="640" w:hanging="632"/>
        <w:spacing w:after="0"/>
        <w:tabs>
          <w:tab w:leader="none" w:pos="6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75" w:lineRule="exact"/>
        <w:rPr>
          <w:sz w:val="20"/>
          <w:szCs w:val="20"/>
          <w:color w:val="auto"/>
        </w:rPr>
      </w:pPr>
    </w:p>
    <w:p>
      <w:pPr>
        <w:ind w:right="2120"/>
        <w:spacing w:after="0" w:line="438" w:lineRule="auto"/>
        <w:rPr>
          <w:sz w:val="20"/>
          <w:szCs w:val="20"/>
          <w:color w:val="auto"/>
        </w:rPr>
      </w:pPr>
      <w:r>
        <w:rPr>
          <w:rFonts w:ascii="Times New Roman" w:cs="Times New Roman" w:eastAsia="Times New Roman" w:hAnsi="Times New Roman"/>
          <w:sz w:val="18"/>
          <w:szCs w:val="18"/>
          <w:color w:val="auto"/>
        </w:rPr>
        <w:t xml:space="preserve">Transactions between the Company and XPO, and other non-RXO subsidiaries of XPO, are deemed related-party transactions. </w:t>
      </w:r>
      <w:r>
        <w:rPr>
          <w:rFonts w:ascii="Times New Roman" w:cs="Times New Roman" w:eastAsia="Times New Roman" w:hAnsi="Times New Roman"/>
          <w:sz w:val="18"/>
          <w:szCs w:val="18"/>
          <w:b w:val="1"/>
          <w:bCs w:val="1"/>
          <w:i w:val="1"/>
          <w:iCs w:val="1"/>
          <w:color w:val="auto"/>
        </w:rPr>
        <w:t>Allocation of General Corporate Expenses</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such costs for purposes of preparing these Combined Financial Statements.</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Costs of $72 million, $57 million and $37 million for the years ended December 31, 2021, 2020 and 2019, respectively, have been reflected in SG&amp;A, Depreciation and amortization expense, Transaction and integration costs and Restructuring costs in our Combined Statements of Operations for our allocated share of XPO’s corporate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XPO and its non-RXO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costs generated from related parties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Balances with XPO and its non-RXO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on the Combined Balance Sheets include the following related-party amounts that are expected to be cash settled: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from XPO and its affiliates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Trade receivables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XPO and its affiliates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payables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trade receivables generated from revenue with XPO.</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trade payables due to XPO.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417" w:right="339" w:bottom="1440" w:gutter="0" w:footer="0" w:header="0"/>
        </w:sectPr>
      </w:pPr>
    </w:p>
    <w:bookmarkStart w:id="162" w:name="page163"/>
    <w:bookmarkEnd w:id="16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allowances of $11 and $9, respectively</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of $233 and $219 in accumulated depreciation, respectively</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Identifiable intangible assets, net of $227 and $217 in accumulated amortization, respectively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long-term asset</w:t>
            </w:r>
            <w:r>
              <w:rPr>
                <w:rFonts w:ascii="Times New Roman" w:cs="Times New Roman" w:eastAsia="Times New Roman" w:hAnsi="Times New Roman"/>
                <w:sz w:val="18"/>
                <w:szCs w:val="18"/>
                <w:color w:val="auto"/>
              </w:rPr>
              <w:t>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XPO investment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175"/>
        </w:trPr>
        <w:tc>
          <w:tcPr>
            <w:tcW w:w="48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Cost of transportation and services (exclusive of</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Direct operating expense (exclusive of depreciation and</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general and administrative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4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vMerge w:val="continue"/>
          </w:tcPr>
          <w:p>
            <w:pPr>
              <w:spacing w:after="0"/>
              <w:rPr>
                <w:sz w:val="15"/>
                <w:szCs w:val="15"/>
                <w:color w:val="auto"/>
              </w:rPr>
            </w:pPr>
          </w:p>
        </w:tc>
        <w:tc>
          <w:tcPr>
            <w:tcW w:w="15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7"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8"/>
          <w:szCs w:val="18"/>
          <w:b w:val="1"/>
          <w:bCs w:val="1"/>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Foreign currency translation (loss) gain, net of tax effect of $—,</w:t>
      </w:r>
    </w:p>
    <w:p>
      <w:pPr>
        <w:ind w:left="400"/>
        <w:spacing w:after="0"/>
        <w:tabs>
          <w:tab w:leader="none" w:pos="5060" w:val="left"/>
        </w:tabs>
        <w:rPr>
          <w:sz w:val="20"/>
          <w:szCs w:val="20"/>
          <w:color w:val="auto"/>
        </w:rPr>
      </w:pPr>
      <w:r>
        <w:rPr>
          <w:rFonts w:ascii="Times New Roman" w:cs="Times New Roman" w:eastAsia="Times New Roman" w:hAnsi="Times New Roman"/>
          <w:sz w:val="18"/>
          <w:szCs w:val="18"/>
          <w:color w:val="auto"/>
        </w:rPr>
        <w:t>$—, $—, and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9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 w:lineRule="exact"/>
        <w:rPr>
          <w:sz w:val="20"/>
          <w:szCs w:val="20"/>
          <w:color w:val="auto"/>
        </w:rPr>
      </w:pPr>
    </w:p>
    <w:p>
      <w:pPr>
        <w:sectPr>
          <w:pgSz w:w="11900" w:h="16838" w:orient="portrait"/>
          <w:cols w:equalWidth="0" w:num="2">
            <w:col w:w="5580" w:space="720"/>
            <w:col w:w="49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40" w:right="339" w:bottom="1440" w:gutter="0" w:footer="0" w:header="0"/>
          <w:type w:val="continuous"/>
        </w:sectPr>
      </w:pPr>
    </w:p>
    <w:bookmarkStart w:id="165" w:name="page166"/>
    <w:bookmarkEnd w:id="16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transfers from (to) XPO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3"/>
                <w:szCs w:val="13"/>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XPO Investment</w:t>
            </w:r>
          </w:p>
        </w:tc>
        <w:tc>
          <w:tcPr>
            <w:tcW w:w="180" w:type="dxa"/>
            <w:vAlign w:val="bottom"/>
          </w:tcPr>
          <w:p>
            <w:pPr>
              <w:spacing w:after="0"/>
              <w:rPr>
                <w:sz w:val="13"/>
                <w:szCs w:val="13"/>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13"/>
                <w:szCs w:val="13"/>
                <w:color w:val="auto"/>
              </w:rPr>
            </w:pPr>
          </w:p>
        </w:tc>
        <w:tc>
          <w:tcPr>
            <w:tcW w:w="14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from XPO</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412"/>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4"/>
                <w:szCs w:val="2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XPO Investment</w:t>
            </w:r>
          </w:p>
        </w:tc>
        <w:tc>
          <w:tcPr>
            <w:tcW w:w="18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4"/>
                <w:szCs w:val="24"/>
                <w:color w:val="auto"/>
              </w:rPr>
            </w:pPr>
          </w:p>
        </w:tc>
        <w:tc>
          <w:tcPr>
            <w:tcW w:w="14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XPO</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401"/>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4"/>
                <w:szCs w:val="2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XPO Investment</w:t>
            </w:r>
          </w:p>
        </w:tc>
        <w:tc>
          <w:tcPr>
            <w:tcW w:w="18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4"/>
                <w:szCs w:val="24"/>
                <w:color w:val="auto"/>
              </w:rPr>
            </w:pPr>
          </w:p>
        </w:tc>
        <w:tc>
          <w:tcPr>
            <w:tcW w:w="14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to XPO</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414"/>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4"/>
                <w:szCs w:val="2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XPO Investment</w:t>
            </w:r>
          </w:p>
        </w:tc>
        <w:tc>
          <w:tcPr>
            <w:tcW w:w="18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4"/>
                <w:szCs w:val="24"/>
                <w:color w:val="auto"/>
              </w:rPr>
            </w:pPr>
          </w:p>
        </w:tc>
        <w:tc>
          <w:tcPr>
            <w:tcW w:w="14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to XPO</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RXO, LLC, formerly known as NAT Holdings, LLC (“RXO”, the “Company” or “we”), is a brokered transportation platform defined by cutting-edge technology and an asset-light business model, with the largest component being our core truck brokerage business. Our operations also include three asset-light, brokered transportation services, all of which are complementary to our truck brokerage business: managed transportation, last mile and freight forwarding. We present our operations in the Condensed Combined Financial Statements as one reportable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Distribution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8, 2022, the board of directors of our parent company, XPO Logistics, Inc. (together with its subsidiaries, “XPO”), approved a plan to pursue a spin-off of its tech-enabled brokered transportation platform in North America as a publicly traded company named RXO. The spin-off is expected to be completed through a distribution of shares of RXO common stock to XPO stockholders (the “Distribution”). Completion of the transaction is subject to a number of customary market, regulatory and other closing conditions including the approval of XPO’s board of directors. References to RXO or the Company include the subsidiaries of XPO that will be subsidiaries of RXO at the time of the Distribution.</w:t>
      </w:r>
    </w:p>
    <w:p>
      <w:pPr>
        <w:spacing w:after="0" w:line="125"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Condensed Combined Financial Statements of RXO were prepared on a standalone basis and have been derived from the consolidated financial statements and accounting records of XPO. These financial statements reflect the combined historical results of operations, financial position and cash flows of RXO in accordance with U.S. generally accepted accounting principles (“GAAP”).</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separate financial statements have not been prepared for the Company and it has not operated as a standalone business separate from XPO. The Condensed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Condensed Combined Financial Statements, as they are to be considered effectively settled upon effectiveness of the Distribution. The Condensed Combined Financial Statements are presented as if the RXO businesses had been combined for all periods presented. The assets and liabilities in the Condensed Combined Financial Statements have been reflected on a historical cost basis, as immediately prior to the Distribution all of the assets and liabilities presented are wholly-owned by XPO and are being transferred to RXO at a carry-over basis.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Condensed Combined Balance Sheets include certain assets and liabilities directly attributable to RXO, and the Condensed Combined Statements of Operations include allocations of XPO costs and expenses, as described below. XPO’s third-party debt and the related interest expense were not allocated to us for any of the periods presented as XPO’s borrowings are not our legal obligation.</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Condensed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we define as net income before interest expense, income tax, depreciation and amortization expense, transaction and integration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sectPr>
      </w:pPr>
    </w:p>
    <w:bookmarkStart w:id="168" w:name="page169"/>
    <w:bookmarkEnd w:id="168"/>
    <w:p>
      <w:pPr>
        <w:ind w:right="20"/>
        <w:spacing w:after="0" w:line="261" w:lineRule="auto"/>
        <w:rPr>
          <w:sz w:val="20"/>
          <w:szCs w:val="20"/>
          <w:color w:val="auto"/>
        </w:rPr>
      </w:pPr>
      <w:r>
        <w:rPr>
          <w:rFonts w:ascii="Times New Roman" w:cs="Times New Roman" w:eastAsia="Times New Roman" w:hAnsi="Times New Roman"/>
          <w:sz w:val="18"/>
          <w:szCs w:val="18"/>
          <w:color w:val="auto"/>
        </w:rPr>
        <w:t>restructuring costs and other adjustments, or headcount. These allocated costs are recorded in Sales, general and administrative expense (“SG&amp;A”), Depreciation and amortization expense and Transaction and integration costs in the Condensed Combined Statements of Operations. We believe the assumptions regarding allocations of XPO corporate expenses are reasonable. Nevertheless, the Condensed Combined Financial Statements may not reflect the combined results of operations, financial position and cash flows had the Company been a standalone entity during the periods presented.</w:t>
      </w:r>
    </w:p>
    <w:p>
      <w:pPr>
        <w:spacing w:after="0" w:line="12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XPO investment represents XPO’s historical investment in RXO, and includes the net effects of transactions with and allocations from XPO as well as RXO’s accumulated earnings. Certain transactions between RXO and XPO, including XPO’s non-RXO subsidiaries, have been included in these Condensed Combined Financial Statements, and are considered to be effectively settled at the time the transaction is recorded. The total net effect of the cash settlement of these transactions is reflected in the Condensed Combined Statements of Cash Flows as a financing activity and in the Condensed Combined Balance Sheets as XPO investment. The components of the net transfers to and from XPO include certain costs allocated from Corporate functions, income tax expense, certain cash receipts and payments made on behalf of RXO and general financing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Combination</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Condensed Combined Financial Statements include the accounts and business activities distributed across the legal entities of RXO. Significant intercompany balances and transactions among the operations of the RXO legal entities have been eliminated in the Condensed Combined Financial Statements. All significant related party transactions between RXO and XPO have been included in these Condensed Combined Financial Statements as components of XPO investment. The Condensed Combined Financial Statements reflect all adjustments that are of a normal recurring nature and are necessary for a fair presentation of financial condition, operating results and cash flows for the interim periods presented. Operating results for the three and six months ended June 30, 2022 are not necessarily indicative of the results that may be expected for the year ending December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on the date of purchase to be cash equivalents. As of June 30, 2022 and December 31, 2021, there were no cash equivalents or restricted cash. Treasury activities at XPO are generally centralized, while certain balances are managed locally. To the extent cash and cash equivalents are legally owned by RXO, they are reflected in the Condensed Combined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08"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0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generally utilizing pricing models or other valuation techniques that reflect management’s judgment and estimates.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base our fair value estimates on market assumptions and available information. The carrying values of cash, accounts receivable, accounts payable and accrued expenses approximated their fair values as of June 30, 2022 and December 31, 2021 due to their short-term nature and/or being receivable or payable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20"/>
          </w:cols>
          <w:pgMar w:left="320" w:top="1417"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Accounting Standards Update (“ASU”) 2021-10, “Government Assistance (Topic 832): Disclosures by Business Entities about Government Assistance.” The ASU increases the transparency surrounding government assistance by requiring annual disclosure of (i) the types of assistance received, (ii) an entity’s accounting for the assistance and (iii) the effect of the assistance on the entity’s financial statements. We adopted this standard on January 1, 2022, on a prospective basis. The adoption did not have a material impact on our financial statement disclosures.</w:t>
      </w:r>
    </w:p>
    <w:p>
      <w:pPr>
        <w:spacing w:after="0" w:line="125"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disaggregate our revenue by geographic area, service offering and industry sector. The majority of our revenue, based on sales office location, is generated in the U.S. Approximately 10% and 8% of our revenues were generated outside the U.S. (primarily in North America, excluding the U.S., and Asia) for the three months ended June 30, 2022 and 2021, respectively. Approximately 9% and 8% of our revenues were generated outside the U.S. (primarily in North America, excluding the U.S., and Asia) for the six months ended June 30, 2022 and 2021,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disaggregated by service offering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Truck brokerage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Last mile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Managed transportation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Freight forwarding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Eliminations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revenue by industry sector, before eliminations, was approximately as follows: retail/e-commerce (35% and 38% for the three months ended June 30, 2022 and 2021, respectively); food and beverage (12% and 13% for the three months ended June 30, 2022 and 2021, respectively); industrial/manufacturing (17% and 16% for the three months ended June 30, 2022 and 2021, respectively); logistics and transportation (5% and 6% for the three months ended June 30, 2022 and 2021, respectively); automotive (8% and 6% for the three months ended June 30, 2022 and 2021, respectively); and other (23% and 21% for the three months ended June 30, 2022 and 2021, respectively).</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revenue by industry sector, before eliminations, was approximately as follows: retail/e-commerce (35% and 37% the six months ended June 30, 2022 and 2021, respectively); food and beverage (12% and 13% for the six months ended June 30, 2022 and 2021, respectively); industrial/manufacturing (17% and 16% for the six months ended June 30, 2022 and 2021, respectively); logistics and transportation (6% and 7% for the six months ended June 30, 2022 and 2021, respectively); automotive (7% and 7% for the six months ended June 30, 2022 and 2021, respectively); and other (23% and 20% for the six months ended June 30, 2022 and 2021,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June 30, 2022, the fixed consideration component of our remaining performance obligation was approximately $139 million, and we expect approximately 91% of that amount to be recognized over the next three years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13" w:right="339" w:bottom="1440" w:gutter="0" w:footer="0" w:header="0"/>
        </w:sectPr>
      </w:pPr>
    </w:p>
    <w:bookmarkStart w:id="170" w:name="page171"/>
    <w:bookmarkEnd w:id="170"/>
    <w:p>
      <w:pPr>
        <w:ind w:right="100"/>
        <w:spacing w:after="0" w:line="282" w:lineRule="auto"/>
        <w:rPr>
          <w:sz w:val="20"/>
          <w:szCs w:val="20"/>
          <w:color w:val="auto"/>
        </w:rPr>
      </w:pPr>
      <w:r>
        <w:rPr>
          <w:rFonts w:ascii="Times New Roman" w:cs="Times New Roman" w:eastAsia="Times New Roman" w:hAnsi="Times New Roman"/>
          <w:sz w:val="18"/>
          <w:szCs w:val="18"/>
          <w:color w:val="auto"/>
        </w:rPr>
        <w:t>remainder thereafter. We estimate remaining performance obligations at a point in time and actual amounts may differ from these estimates due to changes in foreign currency exchange rates and contract revisions or terminations.</w:t>
      </w:r>
    </w:p>
    <w:p>
      <w:pPr>
        <w:spacing w:after="0" w:line="104"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engage in restructuring actions as part of our ongoing efforts to best use our resources and infrastructure. These actions generally include severance and facility-related costs, including impairment of operating lease assets, as well as contract termination costs, and are intended to improve our efficiency and profitability going forward.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restructuring-related activity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20" w:type="dxa"/>
            <w:vAlign w:val="bottom"/>
            <w:vMerge w:val="restart"/>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tcPr>
          <w:p>
            <w:pPr>
              <w:jc w:val="center"/>
              <w:ind w:left="139"/>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4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40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48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14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top w:val="single" w:sz="8" w:color="auto"/>
              <w:bottom w:val="single" w:sz="8" w:color="auto"/>
            </w:tcBorders>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majority of the cash outlays related to the charges incurred in the first six months of 2022 will be completed by June 30, 2023.</w:t>
      </w:r>
    </w:p>
    <w:p>
      <w:pPr>
        <w:spacing w:after="0" w:line="167"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involved, and will continue to be involved, in numerous proceedings arising out of the conduct of our business. These proceedings may include claims for property damage or personal injury incurred in connection with the transportation of freight, environmental liability, commercial disputes and employment-related claims, including claims involving asserted breaches of employee restrictive covenants. These matters also include several class action and collective action cases involving claims that the contract carriers with which we contract for performance of delivery services, or their delivery workers, should be treated as employees, rather than independent contractors (“misclassification claims”) and may seek substantial monetary damages (including claims for unpaid wages, overtime, unreimbursed business expenses, deductions from wages, penalties and other items), injunctive relief, or both.</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XPO carries liability and excess umbrella insurance policies that are deemed sufficient to cover potential legal claims arising in the normal course of conducting our operations as a transportation company. The liability and excess umbrella insurance policies generally do not cover the misclassification claims described in this note.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417" w:right="339" w:bottom="1440" w:gutter="0" w:footer="0" w:header="0"/>
        </w:sectPr>
      </w:pPr>
    </w:p>
    <w:bookmarkStart w:id="171" w:name="page172"/>
    <w:bookmarkEnd w:id="171"/>
    <w:p>
      <w:pPr>
        <w:ind w:right="100"/>
        <w:spacing w:after="0" w:line="282" w:lineRule="auto"/>
        <w:rPr>
          <w:sz w:val="20"/>
          <w:szCs w:val="20"/>
          <w:color w:val="auto"/>
        </w:rPr>
      </w:pPr>
      <w:r>
        <w:rPr>
          <w:rFonts w:ascii="Times New Roman" w:cs="Times New Roman" w:eastAsia="Times New Roman" w:hAnsi="Times New Roman"/>
          <w:sz w:val="18"/>
          <w:szCs w:val="18"/>
          <w:color w:val="auto"/>
        </w:rPr>
        <w:t>event we are required to satisfy a legal claim outside the scope of the coverage provided by insurance, our financial condition, results of operations or cash flows could be negatively impacted.</w:t>
      </w:r>
    </w:p>
    <w:p>
      <w:pPr>
        <w:spacing w:after="0" w:line="104"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75" w:lineRule="exact"/>
        <w:rPr>
          <w:sz w:val="20"/>
          <w:szCs w:val="20"/>
          <w:color w:val="auto"/>
        </w:rPr>
      </w:pPr>
    </w:p>
    <w:p>
      <w:pPr>
        <w:ind w:right="2120"/>
        <w:spacing w:after="0" w:line="438" w:lineRule="auto"/>
        <w:rPr>
          <w:sz w:val="20"/>
          <w:szCs w:val="20"/>
          <w:color w:val="auto"/>
        </w:rPr>
      </w:pPr>
      <w:r>
        <w:rPr>
          <w:rFonts w:ascii="Times New Roman" w:cs="Times New Roman" w:eastAsia="Times New Roman" w:hAnsi="Times New Roman"/>
          <w:sz w:val="18"/>
          <w:szCs w:val="18"/>
          <w:color w:val="auto"/>
        </w:rPr>
        <w:t xml:space="preserve">Transactions between the Company and XPO, and other non-RXO subsidiaries of XPO, are deemed related-party transactions. </w:t>
      </w:r>
      <w:r>
        <w:rPr>
          <w:rFonts w:ascii="Times New Roman" w:cs="Times New Roman" w:eastAsia="Times New Roman" w:hAnsi="Times New Roman"/>
          <w:sz w:val="18"/>
          <w:szCs w:val="18"/>
          <w:b w:val="1"/>
          <w:bCs w:val="1"/>
          <w:i w:val="1"/>
          <w:iCs w:val="1"/>
          <w:color w:val="auto"/>
        </w:rPr>
        <w:t>Allocation of General Corporate Expenses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Condensed Combined Statements of Operations include expenses for certain centralized functions and other programs provided and/or administered by XPO that are charged directly to the Company. In addition, for purposes of preparing these Condensed Combined Financial Statements, a portion of XPO’s total corporate expenses have been allocated to the Company. See Note 2 for a discussion of the methodology used to allocate such costs for purposes of preparing these Condensed Combined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included in our Condensed Combined Statements of Operations for our allocated share of XPO’s corporate overhead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7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general and administrative expense</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XPO and its non-RXO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costs generated from related parties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2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5"/>
        </w:trPr>
        <w:tc>
          <w:tcPr>
            <w:tcW w:w="4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transportation and services (exclusive of depreciation</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amortization)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Balances with XPO and its non-RXO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on the Condensed Combined Balance Sheets include the following related-party amounts that are expected to be cash settled: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from XPO and its affiliates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Trade receivables</w:t>
            </w:r>
            <w:r>
              <w:rPr>
                <w:rFonts w:ascii="Times New Roman" w:cs="Times New Roman" w:eastAsia="Times New Roman" w:hAnsi="Times New Roman"/>
                <w:sz w:val="23"/>
                <w:szCs w:val="23"/>
                <w:color w:val="auto"/>
                <w:vertAlign w:val="superscript"/>
              </w:rPr>
              <w:t>(1)</w:t>
            </w:r>
          </w:p>
        </w:tc>
        <w:tc>
          <w:tcPr>
            <w:tcW w:w="1220" w:type="dxa"/>
            <w:vAlign w:val="bottom"/>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XPO and its affiliates</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payables</w:t>
            </w:r>
            <w:r>
              <w:rPr>
                <w:rFonts w:ascii="Times New Roman" w:cs="Times New Roman" w:eastAsia="Times New Roman" w:hAnsi="Times New Roman"/>
                <w:sz w:val="23"/>
                <w:szCs w:val="23"/>
                <w:color w:val="auto"/>
                <w:vertAlign w:val="superscript"/>
              </w:rPr>
              <w:t>(2)</w:t>
            </w:r>
          </w:p>
        </w:tc>
        <w:tc>
          <w:tcPr>
            <w:tcW w:w="1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trade receivables generated from revenue with XPO.</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trade payables due to XPO.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417"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i w:val="1"/>
          <w:iCs w:val="1"/>
          <w:color w:val="auto"/>
        </w:rPr>
        <w:t>Assignment of Operating Lease Assets and Liabilities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the Company finalized the assignment of certain leased assets, primarily office buildings, between XPO and the Company. The leases assigned to the Company resulted in increases of $26 million, $5 million and $24 million to Operating lease assets, Short-term operating lease liabilities and Long-term operating lease liabilities, respectively, in the Condensed Combined Balance Sheets as of June 30, 2022. Costs associated with these leases are recorded in Sales, general and administrative expense in the Condensed Combined Statements of Operations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F-35</w:t>
      </w:r>
    </w:p>
    <w:sectPr>
      <w:pgSz w:w="11900" w:h="16838" w:orient="portrait"/>
      <w:cols w:equalWidth="0" w:num="1">
        <w:col w:w="11060"/>
      </w:cols>
      <w:pgMar w:left="320" w:top="141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2"/>
    </w:lvl>
  </w:abstractNum>
  <w:abstractNum w:abstractNumId="48">
    <w:nsid w:val="BF72B14"/>
    <w:multiLevelType w:val="hybridMultilevel"/>
    <w:lvl w:ilvl="0">
      <w:lvlJc w:val="left"/>
      <w:lvlText w:val="(%1)"/>
      <w:numFmt w:val="lowerLetter"/>
      <w:start w:val="10"/>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emdash "/>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lowerRoman"/>
      <w:start w:val="5"/>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lvl w:ilvl="1">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1)"/>
      <w:numFmt w:val="upperLetter"/>
      <w:start w:val="4"/>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1."/>
      <w:numFmt w:val="decimal"/>
      <w:start w:val="2"/>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1."/>
      <w:numFmt w:val="decimal"/>
      <w:start w:val="3"/>
    </w:lvl>
  </w:abstractNum>
  <w:abstractNum w:abstractNumId="86">
    <w:nsid w:val="49DA307D"/>
    <w:multiLevelType w:val="hybridMultilevel"/>
    <w:lvl w:ilvl="0">
      <w:lvlJc w:val="left"/>
      <w:lvlText w:val="%1."/>
      <w:numFmt w:val="decimal"/>
      <w:start w:val="4"/>
    </w:lvl>
  </w:abstractNum>
  <w:abstractNum w:abstractNumId="87">
    <w:nsid w:val="7055A5F5"/>
    <w:multiLevelType w:val="hybridMultilevel"/>
    <w:lvl w:ilvl="0">
      <w:lvlJc w:val="left"/>
      <w:lvlText w:val="%1."/>
      <w:numFmt w:val="decimal"/>
      <w:start w:val="6"/>
    </w:lvl>
  </w:abstractNum>
  <w:abstractNum w:abstractNumId="88">
    <w:nsid w:val="5FB8370B"/>
    <w:multiLevelType w:val="hybridMultilevel"/>
    <w:lvl w:ilvl="0">
      <w:lvlJc w:val="left"/>
      <w:lvlText w:val="%1."/>
      <w:numFmt w:val="decimal"/>
      <w:start w:val="7"/>
    </w:lvl>
  </w:abstractNum>
  <w:abstractNum w:abstractNumId="89">
    <w:nsid w:val="50801EE1"/>
    <w:multiLevelType w:val="hybridMultilevel"/>
    <w:lvl w:ilvl="0">
      <w:lvlJc w:val="left"/>
      <w:lvlText w:val="%1."/>
      <w:numFmt w:val="decimal"/>
      <w:start w:val="8"/>
    </w:lvl>
  </w:abstractNum>
  <w:abstractNum w:abstractNumId="90">
    <w:nsid w:val="488AC1A"/>
    <w:multiLevelType w:val="hybridMultilevel"/>
    <w:lvl w:ilvl="0">
      <w:lvlJc w:val="left"/>
      <w:lvlText w:val="%1."/>
      <w:numFmt w:val="decimal"/>
      <w:start w:val="9"/>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1."/>
      <w:numFmt w:val="decimal"/>
      <w:start w:val="10"/>
    </w:lvl>
  </w:abstractNum>
  <w:abstractNum w:abstractNumId="94">
    <w:nsid w:val="6FC75AF8"/>
    <w:multiLevelType w:val="hybridMultilevel"/>
    <w:lvl w:ilvl="0">
      <w:lvlJc w:val="left"/>
      <w:lvlText w:val="%1."/>
      <w:numFmt w:val="decimal"/>
      <w:start w:val="11"/>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decimal"/>
      <w:start w:val="2"/>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1."/>
      <w:numFmt w:val="decimal"/>
      <w:start w:val="3"/>
    </w:lvl>
  </w:abstractNum>
  <w:abstractNum w:abstractNumId="100">
    <w:nsid w:val="555C55B5"/>
    <w:multiLevelType w:val="hybridMultilevel"/>
    <w:lvl w:ilvl="0">
      <w:lvlJc w:val="left"/>
      <w:lvlText w:val="%1."/>
      <w:numFmt w:val="decimal"/>
      <w:start w:val="4"/>
    </w:lvl>
  </w:abstractNum>
  <w:abstractNum w:abstractNumId="101">
    <w:nsid w:val="3FA62ACA"/>
    <w:multiLevelType w:val="hybridMultilevel"/>
    <w:lvl w:ilvl="0">
      <w:lvlJc w:val="left"/>
      <w:lvlText w:val="%1."/>
      <w:numFmt w:val="decimal"/>
      <w:start w:val="5"/>
    </w:lvl>
  </w:abstractNum>
  <w:abstractNum w:abstractNumId="102">
    <w:nsid w:val="14FCE74E"/>
    <w:multiLevelType w:val="hybridMultilevel"/>
    <w:lvl w:ilvl="0">
      <w:lvlJc w:val="left"/>
      <w:lvlText w:val="%1."/>
      <w:numFmt w:val="decimal"/>
      <w:start w:val="6"/>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2022-10-20T05:38:12Z</dcterms:created>
  <dcterms:modified xsi:type="dcterms:W3CDTF">2022-10-20T05:38:12Z</dcterms:modified>
</cp:coreProperties>
</file>