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3520" w:right="1620" w:hanging="3494"/>
        <w:spacing w:after="0" w:line="360" w:lineRule="auto"/>
        <w:tabs>
          <w:tab w:leader="none" w:pos="40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auto"/>
        </w:rPr>
        <w:t>____________</w:t>
      </w:r>
      <w:r>
        <w:rPr>
          <w:rFonts w:ascii="Arial" w:cs="Arial" w:eastAsia="Arial" w:hAnsi="Arial"/>
          <w:sz w:val="18"/>
          <w:szCs w:val="18"/>
          <w:b w:val="1"/>
          <w:bCs w:val="1"/>
          <w:color w:val="auto"/>
        </w:rPr>
        <w:t>to</w:t>
      </w:r>
      <w:r>
        <w:rPr>
          <w:rFonts w:ascii="Arial" w:cs="Arial" w:eastAsia="Arial" w:hAnsi="Arial"/>
          <w:sz w:val="14"/>
          <w:szCs w:val="14"/>
          <w:b w:val="1"/>
          <w:bCs w:val="1"/>
          <w:color w:val="auto"/>
        </w:rPr>
        <w:t>____________</w:t>
      </w:r>
    </w:p>
    <w:tbl>
      <w:tblPr>
        <w:tblLayout w:type="fixed"/>
        <w:tblInd w:w="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Commission File Number: 001-32172</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186"/>
        </w:trPr>
        <w:tc>
          <w:tcPr>
            <w:tcW w:w="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156"/>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40"/>
                <w:szCs w:val="40"/>
                <w:b w:val="1"/>
                <w:bCs w:val="1"/>
                <w:color w:val="auto"/>
                <w:w w:val="90"/>
              </w:rPr>
              <w:t>XPO Logistics, Inc.</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1"/>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86"/>
        </w:trPr>
        <w:tc>
          <w:tcPr>
            <w:tcW w:w="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340"/>
        </w:trPr>
        <w:tc>
          <w:tcPr>
            <w:tcW w:w="180" w:type="dxa"/>
            <w:vAlign w:val="bottom"/>
          </w:tcPr>
          <w:p>
            <w:pPr>
              <w:spacing w:after="0"/>
              <w:rPr>
                <w:sz w:val="24"/>
                <w:szCs w:val="24"/>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03-0450326</w:t>
            </w:r>
          </w:p>
        </w:tc>
      </w:tr>
      <w:tr>
        <w:trPr>
          <w:trHeight w:val="144"/>
        </w:trPr>
        <w:tc>
          <w:tcPr>
            <w:tcW w:w="180" w:type="dxa"/>
            <w:vAlign w:val="bottom"/>
          </w:tcPr>
          <w:p>
            <w:pPr>
              <w:spacing w:after="0"/>
              <w:rPr>
                <w:sz w:val="12"/>
                <w:szCs w:val="12"/>
                <w:color w:val="auto"/>
              </w:rPr>
            </w:pPr>
          </w:p>
        </w:tc>
        <w:tc>
          <w:tcPr>
            <w:tcW w:w="3420" w:type="dxa"/>
            <w:vAlign w:val="bottom"/>
            <w:gridSpan w:val="2"/>
          </w:tcPr>
          <w:p>
            <w:pPr>
              <w:jc w:val="center"/>
              <w:ind w:left="142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2"/>
          </w:tcPr>
          <w:p>
            <w:pPr>
              <w:jc w:val="center"/>
              <w:ind w:right="2168"/>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80" w:type="dxa"/>
            <w:vAlign w:val="bottom"/>
          </w:tcPr>
          <w:p>
            <w:pPr>
              <w:spacing w:after="0"/>
              <w:rPr>
                <w:sz w:val="16"/>
                <w:szCs w:val="16"/>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gridSpan w:val="2"/>
          </w:tcPr>
          <w:p>
            <w:pPr>
              <w:jc w:val="center"/>
              <w:ind w:right="2168"/>
              <w:spacing w:after="0"/>
              <w:rPr>
                <w:sz w:val="20"/>
                <w:szCs w:val="20"/>
                <w:color w:val="auto"/>
              </w:rPr>
            </w:pPr>
            <w:r>
              <w:rPr>
                <w:rFonts w:ascii="Arial" w:cs="Arial" w:eastAsia="Arial" w:hAnsi="Arial"/>
                <w:sz w:val="14"/>
                <w:szCs w:val="14"/>
                <w:b w:val="1"/>
                <w:bCs w:val="1"/>
                <w:color w:val="auto"/>
                <w:w w:val="96"/>
              </w:rPr>
              <w:t>Identification No.)</w:t>
            </w:r>
          </w:p>
        </w:tc>
      </w:tr>
      <w:tr>
        <w:trPr>
          <w:trHeight w:val="230"/>
        </w:trPr>
        <w:tc>
          <w:tcPr>
            <w:tcW w:w="180" w:type="dxa"/>
            <w:vAlign w:val="bottom"/>
          </w:tcPr>
          <w:p>
            <w:pPr>
              <w:spacing w:after="0"/>
              <w:rPr>
                <w:sz w:val="19"/>
                <w:szCs w:val="19"/>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8"/>
                <w:szCs w:val="18"/>
                <w:b w:val="1"/>
                <w:bCs w:val="1"/>
                <w:color w:val="auto"/>
                <w:w w:val="91"/>
              </w:rPr>
              <w:t>Five American Lane</w:t>
            </w:r>
          </w:p>
        </w:tc>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25"/>
        </w:trPr>
        <w:tc>
          <w:tcPr>
            <w:tcW w:w="180" w:type="dxa"/>
            <w:vAlign w:val="bottom"/>
          </w:tcPr>
          <w:p>
            <w:pPr>
              <w:spacing w:after="0"/>
              <w:rPr>
                <w:sz w:val="19"/>
                <w:szCs w:val="19"/>
                <w:color w:val="auto"/>
              </w:rPr>
            </w:pPr>
          </w:p>
        </w:tc>
        <w:tc>
          <w:tcPr>
            <w:tcW w:w="3420" w:type="dxa"/>
            <w:vAlign w:val="bottom"/>
            <w:gridSpan w:val="2"/>
          </w:tcPr>
          <w:p>
            <w:pPr>
              <w:ind w:left="1940"/>
              <w:spacing w:after="0"/>
              <w:rPr>
                <w:sz w:val="20"/>
                <w:szCs w:val="20"/>
                <w:color w:val="auto"/>
              </w:rPr>
            </w:pPr>
            <w:r>
              <w:rPr>
                <w:rFonts w:ascii="Arial" w:cs="Arial" w:eastAsia="Arial" w:hAnsi="Arial"/>
                <w:sz w:val="18"/>
                <w:szCs w:val="18"/>
                <w:b w:val="1"/>
                <w:bCs w:val="1"/>
                <w:color w:val="auto"/>
              </w:rPr>
              <w:t>Greenwich, CT</w:t>
            </w:r>
          </w:p>
        </w:tc>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2"/>
          </w:tcPr>
          <w:p>
            <w:pPr>
              <w:jc w:val="right"/>
              <w:ind w:right="2528"/>
              <w:spacing w:after="0"/>
              <w:rPr>
                <w:sz w:val="20"/>
                <w:szCs w:val="20"/>
                <w:color w:val="auto"/>
              </w:rPr>
            </w:pPr>
            <w:r>
              <w:rPr>
                <w:rFonts w:ascii="Arial" w:cs="Arial" w:eastAsia="Arial" w:hAnsi="Arial"/>
                <w:sz w:val="18"/>
                <w:szCs w:val="18"/>
                <w:b w:val="1"/>
                <w:bCs w:val="1"/>
                <w:color w:val="auto"/>
              </w:rPr>
              <w:t>06831</w:t>
            </w:r>
          </w:p>
        </w:tc>
      </w:tr>
      <w:tr>
        <w:trPr>
          <w:trHeight w:val="186"/>
        </w:trPr>
        <w:tc>
          <w:tcPr>
            <w:tcW w:w="180" w:type="dxa"/>
            <w:vAlign w:val="bottom"/>
          </w:tcPr>
          <w:p>
            <w:pPr>
              <w:spacing w:after="0"/>
              <w:rPr>
                <w:sz w:val="16"/>
                <w:szCs w:val="16"/>
                <w:color w:val="auto"/>
              </w:rPr>
            </w:pPr>
          </w:p>
        </w:tc>
        <w:tc>
          <w:tcPr>
            <w:tcW w:w="7460" w:type="dxa"/>
            <w:vAlign w:val="bottom"/>
            <w:gridSpan w:val="5"/>
          </w:tcPr>
          <w:p>
            <w:pPr>
              <w:jc w:val="center"/>
              <w:ind w:right="254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0" w:type="dxa"/>
            <w:vAlign w:val="bottom"/>
          </w:tcPr>
          <w:p>
            <w:pPr>
              <w:spacing w:after="0"/>
              <w:rPr>
                <w:sz w:val="16"/>
                <w:szCs w:val="16"/>
                <w:color w:val="auto"/>
              </w:rPr>
            </w:pPr>
          </w:p>
        </w:tc>
        <w:tc>
          <w:tcPr>
            <w:tcW w:w="3300" w:type="dxa"/>
            <w:vAlign w:val="bottom"/>
          </w:tcPr>
          <w:p>
            <w:pPr>
              <w:jc w:val="center"/>
              <w:ind w:right="2288"/>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w w:val="90"/>
              </w:rPr>
              <w:t>(855) 976-6951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8"/>
        </w:trPr>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140"/>
        </w:trPr>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gridSpan w:val="3"/>
          </w:tcPr>
          <w:p>
            <w:pPr>
              <w:jc w:val="center"/>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205"/>
        </w:trPr>
        <w:tc>
          <w:tcPr>
            <w:tcW w:w="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N/A</w:t>
            </w: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92"/>
        </w:trPr>
        <w:tc>
          <w:tcPr>
            <w:tcW w:w="1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40" w:type="dxa"/>
            <w:vAlign w:val="bottom"/>
            <w:gridSpan w:val="3"/>
          </w:tcPr>
          <w:p>
            <w:pPr>
              <w:jc w:val="center"/>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211"/>
        </w:trPr>
        <w:tc>
          <w:tcPr>
            <w:tcW w:w="180" w:type="dxa"/>
            <w:vAlign w:val="bottom"/>
          </w:tcPr>
          <w:p>
            <w:pPr>
              <w:spacing w:after="0"/>
              <w:rPr>
                <w:sz w:val="18"/>
                <w:szCs w:val="18"/>
                <w:color w:val="auto"/>
              </w:rPr>
            </w:pPr>
          </w:p>
        </w:tc>
        <w:tc>
          <w:tcPr>
            <w:tcW w:w="10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16"/>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w w:val="93"/>
              </w:rPr>
              <w:t>Securities registered pursuant to Section 12(b) of the Act:</w:t>
            </w: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90"/>
        </w:trPr>
        <w:tc>
          <w:tcPr>
            <w:tcW w:w="18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24"/>
                <w:szCs w:val="24"/>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18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XPO</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-3004185</wp:posOffset>
            </wp:positionV>
            <wp:extent cx="251142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458" w:right="399" w:bottom="1440" w:gutter="0" w:footer="0" w:header="0"/>
        </w:sectPr>
      </w:pPr>
    </w:p>
    <w:p>
      <w:pPr>
        <w:spacing w:after="0" w:line="103" w:lineRule="exact"/>
        <w:rPr>
          <w:sz w:val="24"/>
          <w:szCs w:val="24"/>
          <w:color w:val="auto"/>
        </w:rPr>
      </w:pPr>
    </w:p>
    <w:p>
      <w:pP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640" w:space="720"/>
            <w:col w:w="160" w:space="520"/>
            <w:col w:w="2500" w:space="720"/>
            <w:col w:w="180" w:space="440"/>
            <w:col w:w="2160" w:space="720"/>
            <w:col w:w="420"/>
          </w:cols>
          <w:pgMar w:left="320" w:top="458" w:right="399" w:bottom="1440" w:gutter="0" w:footer="0" w:header="0"/>
          <w:type w:val="continuous"/>
        </w:sectPr>
      </w:pPr>
    </w:p>
    <w:p>
      <w:pPr>
        <w:spacing w:after="0" w:line="4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2640" w:space="720"/>
            <w:col w:w="160" w:space="520"/>
            <w:col w:w="2500" w:space="720"/>
            <w:col w:w="3920"/>
          </w:cols>
          <w:pgMar w:left="320" w:top="458" w:right="39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right="13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2020, there were 91,415,716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8" w:right="399" w:bottom="1440" w:gutter="0" w:footer="0" w:header="0"/>
          <w:type w:val="continuous"/>
        </w:sectPr>
      </w:pPr>
    </w:p>
    <w:bookmarkStart w:id="1" w:name="page2"/>
    <w:bookmarkEnd w:id="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I—Financial Information</w:t>
              </w:r>
            </w:hyperlink>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0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8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(Loss)</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Equity</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16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 Management’s Discussion and Analysis of Financial Condition and Results of Operations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21</w:t>
              </w:r>
            </w:hyperlink>
          </w:p>
        </w:tc>
        <w:tc>
          <w:tcPr>
            <w:tcW w:w="0" w:type="dxa"/>
            <w:vAlign w:val="bottom"/>
          </w:tcPr>
          <w:p>
            <w:pPr>
              <w:spacing w:after="0"/>
              <w:rPr>
                <w:sz w:val="1"/>
                <w:szCs w:val="1"/>
                <w:color w:val="auto"/>
              </w:rPr>
            </w:pPr>
          </w:p>
        </w:tc>
      </w:tr>
      <w:tr>
        <w:trPr>
          <w:trHeight w:val="229"/>
        </w:trPr>
        <w:tc>
          <w:tcPr>
            <w:tcW w:w="1008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3. Quantitative and Qualitative Disclosures About Market Risk</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25"/>
        </w:trPr>
        <w:tc>
          <w:tcPr>
            <w:tcW w:w="1008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4. Controls and Procedures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4"/>
        </w:trPr>
        <w:tc>
          <w:tcPr>
            <w:tcW w:w="10080" w:type="dxa"/>
            <w:vAlign w:val="bottom"/>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Part II—Other Information</w:t>
              </w:r>
            </w:hyperlink>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8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 Legal Proceedings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1A. Risk Factors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 Unregistered Sales of Equity Securities and Use of Proceeds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 Defaults Upon Senior Securities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r>
        <w:trPr>
          <w:trHeight w:val="229"/>
        </w:trPr>
        <w:tc>
          <w:tcPr>
            <w:tcW w:w="1008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 Mine Safety Disclosures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5. Other Information</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 Exhibits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39</w:t>
              </w:r>
            </w:hyperlink>
          </w:p>
        </w:tc>
        <w:tc>
          <w:tcPr>
            <w:tcW w:w="0" w:type="dxa"/>
            <w:vAlign w:val="bottom"/>
          </w:tcPr>
          <w:p>
            <w:pPr>
              <w:spacing w:after="0"/>
              <w:rPr>
                <w:sz w:val="1"/>
                <w:szCs w:val="1"/>
                <w:color w:val="auto"/>
              </w:rPr>
            </w:pPr>
          </w:p>
        </w:tc>
      </w:tr>
      <w:tr>
        <w:trPr>
          <w:trHeight w:val="1492"/>
        </w:trPr>
        <w:tc>
          <w:tcPr>
            <w:tcW w:w="10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380" w:type="dxa"/>
            <w:vAlign w:val="bottom"/>
            <w:tcBorders>
              <w:top w:val="single" w:sz="8" w:color="auto"/>
            </w:tcBorders>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Accounts receivable, net of allowances of $79 and $58, respectively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Property and equipment, net of $2,435 and $2,054 in accumulated depreciation, respectively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29"/>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Identifiable intangible assets, net of $914 and $850 in accumulated amortization, respectively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Total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23"/>
        </w:trPr>
        <w:tc>
          <w:tcPr>
            <w:tcW w:w="8480" w:type="dxa"/>
            <w:vAlign w:val="bottom"/>
            <w:gridSpan w:val="2"/>
          </w:tcPr>
          <w:p>
            <w:pPr>
              <w:ind w:left="6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2"/>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Short-term operating lease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Employee benefit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19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480" w:type="dxa"/>
            <w:vAlign w:val="bottom"/>
            <w:gridSpan w:val="2"/>
            <w:shd w:val="clear" w:color="auto" w:fill="CCEEFF"/>
          </w:tcPr>
          <w:p>
            <w:pPr>
              <w:ind w:left="400"/>
              <w:spacing w:after="0" w:line="168" w:lineRule="exact"/>
              <w:rPr>
                <w:sz w:val="20"/>
                <w:szCs w:val="20"/>
                <w:color w:val="auto"/>
              </w:rPr>
            </w:pPr>
            <w:r>
              <w:rPr>
                <w:rFonts w:ascii="Arial" w:cs="Arial" w:eastAsia="Arial" w:hAnsi="Arial"/>
                <w:sz w:val="16"/>
                <w:szCs w:val="16"/>
                <w:color w:val="auto"/>
                <w:w w:val="99"/>
              </w:rPr>
              <w:t>Convertible perpetual preferred stock, $0.001 par value; 10 shares authorized; 0.07 of Series A shares issued and</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2"/>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outstanding as of September 30, 2020 and December 31, 2019, respectively</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gridSpan w:val="2"/>
          </w:tcPr>
          <w:p>
            <w:pPr>
              <w:ind w:left="400"/>
              <w:spacing w:after="0" w:line="166" w:lineRule="exact"/>
              <w:rPr>
                <w:sz w:val="20"/>
                <w:szCs w:val="20"/>
                <w:color w:val="auto"/>
              </w:rPr>
            </w:pPr>
            <w:r>
              <w:rPr>
                <w:rFonts w:ascii="Arial" w:cs="Arial" w:eastAsia="Arial" w:hAnsi="Arial"/>
                <w:sz w:val="16"/>
                <w:szCs w:val="16"/>
                <w:color w:val="auto"/>
                <w:w w:val="94"/>
              </w:rPr>
              <w:t>Common stock, $0.001 par value; 300 shares authorized; 91 and 92 shares issued and outstanding as of September 30,</w:t>
            </w:r>
          </w:p>
        </w:tc>
        <w:tc>
          <w:tcPr>
            <w:tcW w:w="18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2020 and December 31, 2019, respectively</w:t>
            </w: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4"/>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Cost of transportation and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29"/>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Direct operating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4,224</w:t>
            </w:r>
          </w:p>
        </w:tc>
      </w:tr>
      <w:tr>
        <w:trPr>
          <w:trHeight w:val="230"/>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Sales, general and administrative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23"/>
        </w:trPr>
        <w:tc>
          <w:tcPr>
            <w:tcW w:w="53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11,893</w:t>
            </w:r>
          </w:p>
        </w:tc>
      </w:tr>
      <w:tr>
        <w:trPr>
          <w:trHeight w:val="223"/>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(gain) loss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Debt extinguishment loss</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 provision (benefit)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XPO</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 per share data</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56"/>
        </w:trPr>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Basic earnings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57"/>
        </w:trPr>
        <w:tc>
          <w:tcPr>
            <w:tcW w:w="5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534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Weighted-average common shares outstanding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Diluted weighted-average common shares outstanding</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6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400"/>
              <w:spacing w:after="0"/>
              <w:rPr>
                <w:sz w:val="20"/>
                <w:szCs w:val="20"/>
                <w:color w:val="auto"/>
              </w:rPr>
            </w:pPr>
            <w:r>
              <w:rPr>
                <w:rFonts w:ascii="Arial" w:cs="Arial" w:eastAsia="Arial" w:hAnsi="Arial"/>
                <w:sz w:val="18"/>
                <w:szCs w:val="18"/>
                <w:color w:val="auto"/>
              </w:rPr>
              <w:t>Foreign currency translation gain (loss), net of tax effect of $13, $(11), $6 and $(17)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736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Unrealized gain (loss) on financial assets/liabilities designated as hedging instruments, net of</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tax effect of $—, $—, $— and $—</w:t>
            </w: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Defined benefit plans adjustments, net of tax effect of $(1), $—, $1 and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attributable to XPO</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8"/>
        </w:trPr>
        <w:tc>
          <w:tcPr>
            <w:tcW w:w="8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b w:val="1"/>
                <w:bCs w:val="1"/>
                <w:color w:val="auto"/>
              </w:rPr>
              <w:t>2019</w:t>
            </w:r>
          </w:p>
        </w:tc>
      </w:tr>
      <w:tr>
        <w:trPr>
          <w:trHeight w:val="224"/>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8400" w:type="dxa"/>
            <w:vAlign w:val="bottom"/>
            <w:gridSpan w:val="2"/>
          </w:tcPr>
          <w:p>
            <w:pPr>
              <w:ind w:left="3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Depreciation, amortization and net lease activity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Accretion of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Deferred tax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Debt extinguishment loss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Unrealized (gain) loss on foreign currency option and forward contracts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Gains on sales of property and equipment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84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9"/>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Payment for purchases of property and equipment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collected on deferred purchase price receivable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4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Proceeds from borrowings related to securitization program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borrowings on ABL facility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Repayment of borrowings on ABL facility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Repayment of debt and finance leases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Payment for debt issuance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Purchase of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Change in bank overdrafts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Payment for tax withholdings for restricted shares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0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840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400" w:type="dxa"/>
            <w:vAlign w:val="bottom"/>
            <w:gridSpan w:val="2"/>
          </w:tcPr>
          <w:p>
            <w:pPr>
              <w:ind w:left="5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condensed4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91,322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(192)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w:t>
            </w:r>
          </w:p>
        </w:tc>
        <w:tc>
          <w:tcPr>
            <w:tcW w:w="0" w:type="dxa"/>
            <w:vAlign w:val="bottom"/>
          </w:tcPr>
          <w:p>
            <w:pPr>
              <w:spacing w:after="0"/>
              <w:rPr>
                <w:sz w:val="1"/>
                <w:szCs w:val="1"/>
                <w:color w:val="auto"/>
              </w:rPr>
            </w:pPr>
          </w:p>
        </w:tc>
      </w:tr>
      <w:tr>
        <w:trPr>
          <w:trHeight w:val="179"/>
        </w:trPr>
        <w:tc>
          <w:tcPr>
            <w:tcW w:w="37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91,361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7"/>
              </w:rPr>
              <w:t>(129)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136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92,342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(145)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79"/>
        </w:trPr>
        <w:tc>
          <w:tcPr>
            <w:tcW w:w="37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(129)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Changes in Equity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91,992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407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2,912</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2019</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92,234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6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center"/>
              <w:ind w:right="180"/>
              <w:spacing w:after="0" w:line="122" w:lineRule="exact"/>
              <w:rPr>
                <w:sz w:val="20"/>
                <w:szCs w:val="20"/>
                <w:color w:val="auto"/>
              </w:rPr>
            </w:pPr>
            <w:r>
              <w:rPr>
                <w:rFonts w:ascii="Arial" w:cs="Arial" w:eastAsia="Arial" w:hAnsi="Arial"/>
                <w:sz w:val="12"/>
                <w:szCs w:val="12"/>
                <w:b w:val="1"/>
                <w:bCs w:val="1"/>
                <w:color w:val="auto"/>
                <w:w w:val="99"/>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2018</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115,683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395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3,970</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Retirement of common stock</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(23,932)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(1,275)</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2019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92,234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393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Basis of Presentation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XPO Logistics, Inc., together with its subsidiaries (“XPO” or “we”), is a top ten global provider of cutting-edge supply chain solutions to the most successful companies in the world. We use our integrated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2—Segment Reporting for further information on our operations.</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prepared our Condensed Consolidated Financial Statements in accordance with U.S. generally accepted accounting principles (“GAAP”) and on the same basis as the accounting policies described in our annual report on Form 10-K for the year ended December 31, 2019 (the “2019 Form 10-K”), except for the effects of adopting Accounting Standards Update (“ASU”) 2016-13, “Financial Instruments - Credit Losses (Topic 326): Measurement of Credit Losses on Financial Instruments” as of January 1, 2020, as described below. The interim reporting requirements of Form 10-Q allow certain information and note disclosures normally included in annual consolidated financial statements to be condensed or omitted. These Condensed Consolidated Financial Statements should be read in conjunction with the 2019 Form 10-K.</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consolidated financial statements primarily relate to a minority interest in XPO Logistics Europe SA (“XPO Logistics Europe”), formerly known as Norbert Dentressangle SA, a business we acquired in 2015. In July 2020, we purchased a shareholder’s noncontrolling interest in XPO Logistics Europe for €17 million (approximately $20 million). Following this acquisition, the noncontrolling interest was reduced to approximately 4% of XPO Logistics Europe.</w:t>
      </w:r>
    </w:p>
    <w:p>
      <w:pPr>
        <w:spacing w:after="0" w:line="8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Condensed Consolidated Financial Statements are not audited but reflect all adjustments that are of a normal recurring nature and are necessary for a fair presentation of financial condition, operating results and cash flows for the interim periods presented. Operating results for the three and nine months ended September 30, 2020 are not necessarily indicative of the results that may be expected for the fiscal year ending December 31, 2020, particularly in light of the outbreak of a strain of coronavirus, COVID-19, in the first quarter of 2020. The rapid escalation of COVID-19 into a pandemic in the first quarter of 2020 has affected, and will continue to affect, economic activity broadly and customer sectors served by our industry. COVID-19 has had, and we expect will continue to have, significant effects on economic activity, on demand for our services, and on our results of operations in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2020 and December 31, 2019, our restricted cash included in Other long-term assets on our Condensed Consolidated Balance Sheets was $10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the first quarter of 2020 and in accordance with ASU 2016-13,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These borrowings amounted to €43 million ($50 million) as of September 30, 2020. See Note 6—Debt for additional information on these borrowings.</w:t>
      </w:r>
    </w:p>
    <w:p>
      <w:pPr>
        <w:spacing w:after="0" w:line="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maximum amount of net cash proceeds available at any one time under the current securitization program is €400 million (approximately $469 million as of September 30, 2020), and this amount includes any unsecured borrowings related to the program. As of September 30, 2020, €294 million (approximately $345 million) of capacity was utilized under the program and €106 million (approximately $124 million) was available to us. The weighted average interest rate was 0.64% as of September 30, 2020. Charges for commitment fees, which are based on a percentage of available amounts, and charges for administrative fees were not material to our results of operations for the three and nine months ended September 30, 2020 and 2019. The securitization program expires in July 2022 and contains financial covenants customary for this type of arrangement, including maintaining a defined average days sales outstanding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w:t>
            </w:r>
          </w:p>
        </w:tc>
      </w:tr>
    </w:tbl>
    <w:p>
      <w:pPr>
        <w:spacing w:after="0" w:line="9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addition to the cash considerations referenced above, we received $49 million and $186 million in the three and nine months ended September 30, 2019, respectively,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March 2020, XPO Logistics Europe announced that it had entered into a definitive agreement to acquire the majority of Kuehne + Nagel’s contract logistics operations in the United Kingdom. The operations provide a range of logistics services, including inbound and outbound distribution, reverse logistics management and inventory management, and generated annual revenues in 2019 of approximately £500 million ($639 million). The transaction is subject to customary closing conditions and is currently being reviewed by the UK Competition and Markets Authority (the “CMA”). The deadline for a phase 1 decision from the CMA is November 20, 2020. The transaction is not expected to be material to our 2020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September 30, 2020 and December 31, 2019 due to their short-term nature and/or being receivable or payable on demand. The Level 1 cash equivalents included money market funds valued using quoted prices in active markets. The Level 2 cash equivalents included short-term investments valued using published interest rates for instruments with similar terms and maturities. For information on the fair value hierarchy of our derivative instruments, see Note 5—Derivative Instruments and for information on financial liabilities, see Note 6—Debt.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Level 2</w:t>
            </w: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equivalents at September 30, 2020 include a portion of the net proceeds from the issuance of senior notes due 2025 (the “Senior Notes due 2025”) which were invested in money market funds. For further information, see Note 6—Debt.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and recorded an immaterial adjustment to total equity for the cumulative impact of adoption.</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Consolidated Statement of Income as the expense for fees of the associated hosting arrangements. We adopted this standard on January 1, 2020 on a prospective basis. The adoption did not have a material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This ASU is effective for fiscal years beginning after December 15, 2020, including interim periods within that reporting period; however, early adoption is permitted. We are currently evaluating the impact of this standard on our consolidated financial statements.</w:t>
      </w:r>
    </w:p>
    <w:p>
      <w:pPr>
        <w:spacing w:after="0" w:line="8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March 2020, the FASB issued ASU 2020-04, Reference rate reform (Topic 848)—“Facilitation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 transportation assets and service centers. Our transportation services include truck brokerage, less-than-truckload (“LTL”), truckload, expedite, last mile, intermodal and drayage, managed transportation, and global forwarding. Freight brokerage, last mile, global forwarding and managed transportation are non-asset or asset-light businesses while LTL and truckload are primarily asset-based operations.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Logistics segment, which we also refer to as supply chain or contract logistics, we provide a wide range of services differentiated by our proprietary technology and our ability to customize solutions for individual customers. Our services include value-added warehousing and distribution, e-commerce and omnichannel fulfillment, cold-chain logistics, packaging and labeling, factory support, aftermarket support, inventory management, order personalization and supply chain optimization, such as product flow management. In addition, our Logistics segment provides reverse logistics, which is also called returns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chief operating decision maker (“CODM”) regularly reviews financial information at the reporting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Eliminations/Other</w:t>
            </w:r>
          </w:p>
        </w:tc>
        <w:tc>
          <w:tcPr>
            <w:tcW w:w="26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4,221</w:t>
            </w:r>
          </w:p>
        </w:tc>
      </w:tr>
      <w:tr>
        <w:trPr>
          <w:trHeight w:val="229"/>
        </w:trPr>
        <w:tc>
          <w:tcPr>
            <w:tcW w:w="44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4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Three months ended September 30, 2019</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r>
      <w:tr>
        <w:trPr>
          <w:trHeight w:val="229"/>
        </w:trPr>
        <w:tc>
          <w:tcPr>
            <w:tcW w:w="44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11,587</w:t>
            </w:r>
          </w:p>
        </w:tc>
      </w:tr>
      <w:tr>
        <w:trPr>
          <w:trHeight w:val="230"/>
        </w:trPr>
        <w:tc>
          <w:tcPr>
            <w:tcW w:w="44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0"/>
        </w:trPr>
        <w:tc>
          <w:tcPr>
            <w:tcW w:w="4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Nine months ended September 30, 2019</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r>
      <w:tr>
        <w:trPr>
          <w:trHeight w:val="230"/>
        </w:trPr>
        <w:tc>
          <w:tcPr>
            <w:tcW w:w="44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bl>
    <w:p>
      <w:pPr>
        <w:spacing w:after="0" w:line="89"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September 30, 2020 includes $3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September 30, 2019 includes $11 million of restructuring expense.</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Consolidated operating income for the nine months ended September 30, 2020 includes $93 million of transaction and integration costs and $53 million of restructuring expense.</w:t>
      </w:r>
    </w:p>
    <w:p>
      <w:pPr>
        <w:spacing w:after="0" w:line="120" w:lineRule="exact"/>
        <w:rPr>
          <w:rFonts w:ascii="Arial" w:cs="Arial" w:eastAsia="Arial" w:hAnsi="Arial"/>
          <w:sz w:val="13"/>
          <w:szCs w:val="13"/>
          <w:color w:val="auto"/>
        </w:rPr>
      </w:pPr>
    </w:p>
    <w:p>
      <w:pPr>
        <w:ind w:left="480" w:hanging="31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Consolidated operating income for the nine months ended September 30, 2019 includes $2 million of transaction and integration costs and $28 million of restructuring expense.</w:t>
      </w:r>
    </w:p>
    <w:p>
      <w:pPr>
        <w:spacing w:after="0" w:line="1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transaction and integration costs for the first nine months of 2020 are primarily related to our previously announced exploration of strategic alternatives. The review of strategic alternatives was terminated in March 2020. For further information on our restructuring actions, see Note 4— Restructuring Charges. We also incurred in the third quarter and first nine months of 2020, net incremental and direct costs as a result of the COVID-19 pandemic, including costs for personal protective equipment, site cleanings and enhanced employee benefits, such as appreciation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 September 30, 2020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Eliminations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8"/>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 September 30, 2019</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Eliminations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2,460</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5"/>
                <w:szCs w:val="15"/>
                <w:b w:val="1"/>
                <w:bCs w:val="1"/>
                <w:color w:val="auto"/>
                <w:w w:val="92"/>
              </w:rPr>
              <w:t>Nine Months Ended September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Eliminations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6,674</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30"/>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ind w:left="60"/>
              <w:spacing w:after="0"/>
              <w:rPr>
                <w:sz w:val="20"/>
                <w:szCs w:val="20"/>
                <w:color w:val="auto"/>
              </w:rPr>
            </w:pPr>
            <w:r>
              <w:rPr>
                <w:rFonts w:ascii="Arial" w:cs="Arial" w:eastAsia="Arial" w:hAnsi="Arial"/>
                <w:sz w:val="15"/>
                <w:szCs w:val="15"/>
                <w:b w:val="1"/>
                <w:bCs w:val="1"/>
                <w:color w:val="auto"/>
                <w:w w:val="96"/>
              </w:rPr>
              <w:t>Nine Months Ended September 30, 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4"/>
          </w:tcPr>
          <w:p>
            <w:pPr>
              <w:ind w:left="24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Logistics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5"/>
                <w:szCs w:val="15"/>
                <w:b w:val="1"/>
                <w:bCs w:val="1"/>
                <w:color w:val="auto"/>
              </w:rPr>
              <w:t>Eliminations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300" w:type="dxa"/>
            <w:vAlign w:val="bottom"/>
            <w:gridSpan w:val="3"/>
          </w:tcPr>
          <w:p>
            <w:pPr>
              <w:jc w:val="right"/>
              <w:ind w:right="75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jc w:val="right"/>
              <w:ind w:right="130"/>
              <w:spacing w:after="0"/>
              <w:rPr>
                <w:sz w:val="20"/>
                <w:szCs w:val="20"/>
                <w:color w:val="auto"/>
              </w:rPr>
            </w:pPr>
            <w:r>
              <w:rPr>
                <w:rFonts w:ascii="Arial" w:cs="Arial" w:eastAsia="Arial" w:hAnsi="Arial"/>
                <w:sz w:val="18"/>
                <w:szCs w:val="18"/>
                <w:color w:val="auto"/>
                <w:w w:val="90"/>
              </w:rPr>
              <w:t>Our revenue disaggregated by service offering was as follows: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7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49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4"/>
                <w:szCs w:val="14"/>
                <w:b w:val="1"/>
                <w:bCs w:val="1"/>
                <w:color w:val="auto"/>
                <w:w w:val="95"/>
              </w:rPr>
              <w:t>Nine Months Ended September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30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auto"/>
            </w:tcBorders>
            <w:shd w:val="clear" w:color="auto" w:fill="CCEEFF"/>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 segment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Freight brokerage and truckload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1,129</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LTL</w:t>
            </w:r>
          </w:p>
        </w:tc>
        <w:tc>
          <w:tcPr>
            <w:tcW w:w="3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Managed transportation</w:t>
            </w:r>
          </w:p>
        </w:tc>
        <w:tc>
          <w:tcPr>
            <w:tcW w:w="3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Global forwarding</w:t>
            </w:r>
          </w:p>
        </w:tc>
        <w:tc>
          <w:tcPr>
            <w:tcW w:w="3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Transportation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Transportation segment revenue</w:t>
            </w:r>
          </w:p>
        </w:tc>
        <w:tc>
          <w:tcPr>
            <w:tcW w:w="3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Logistics segment revenue</w:t>
            </w:r>
          </w:p>
        </w:tc>
        <w:tc>
          <w:tcPr>
            <w:tcW w:w="3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Comprised of our North American last mile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September 30, 2020, the fixed consideration component of our remaining performance obligation was approximately $1.7 billion, and we expect to recognize approximately 75% of that amount over the next three years and the remainder thereafter.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These actions generally include severance and facility-related costs, including impairment of right-of-use assets, and are intended to improve our efficiency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Condensed Consolidated Statements of Income (Loss)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Cost of transportation and services</w:t>
            </w: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Direct operating expense</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 general and administrative expense</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5"/>
            <w:vMerge w:val="restart"/>
          </w:tcPr>
          <w:p>
            <w:pPr>
              <w:spacing w:after="0"/>
              <w:rPr>
                <w:sz w:val="20"/>
                <w:szCs w:val="20"/>
                <w:color w:val="auto"/>
              </w:rPr>
            </w:pPr>
            <w:r>
              <w:rPr>
                <w:rFonts w:ascii="Arial" w:cs="Arial" w:eastAsia="Arial" w:hAnsi="Arial"/>
                <w:sz w:val="18"/>
                <w:szCs w:val="18"/>
                <w:color w:val="auto"/>
              </w:rPr>
              <w:t>Our restructuring activity was as follows:</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30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gridSpan w:val="2"/>
          </w:tcPr>
          <w:p>
            <w:pPr>
              <w:jc w:val="center"/>
              <w:ind w:left="199"/>
              <w:spacing w:after="0" w:line="135" w:lineRule="exact"/>
              <w:rPr>
                <w:sz w:val="20"/>
                <w:szCs w:val="20"/>
                <w:color w:val="auto"/>
              </w:rPr>
            </w:pPr>
            <w:r>
              <w:rPr>
                <w:rFonts w:ascii="Arial" w:cs="Arial" w:eastAsia="Arial" w:hAnsi="Arial"/>
                <w:sz w:val="14"/>
                <w:szCs w:val="14"/>
                <w:b w:val="1"/>
                <w:bCs w:val="1"/>
                <w:color w:val="auto"/>
                <w:w w:val="88"/>
              </w:rPr>
              <w:t>Reserve Balance as of</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Charges Incurred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right"/>
              <w:ind w:right="35"/>
              <w:spacing w:after="0" w:line="135" w:lineRule="exact"/>
              <w:rPr>
                <w:sz w:val="20"/>
                <w:szCs w:val="20"/>
                <w:color w:val="auto"/>
              </w:rPr>
            </w:pPr>
            <w:r>
              <w:rPr>
                <w:rFonts w:ascii="Arial" w:cs="Arial" w:eastAsia="Arial" w:hAnsi="Arial"/>
                <w:sz w:val="14"/>
                <w:szCs w:val="14"/>
                <w:b w:val="1"/>
                <w:bCs w:val="1"/>
                <w:color w:val="auto"/>
                <w:w w:val="90"/>
              </w:rPr>
              <w:t>Foreign Exchange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b w:val="1"/>
                <w:bCs w:val="1"/>
                <w:color w:val="auto"/>
                <w:w w:val="90"/>
              </w:rPr>
              <w:t>Reserve Balance as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16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555"/>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60"/>
              <w:spacing w:after="0"/>
              <w:rPr>
                <w:sz w:val="20"/>
                <w:szCs w:val="20"/>
                <w:color w:val="auto"/>
              </w:rPr>
            </w:pPr>
            <w:r>
              <w:rPr>
                <w:rFonts w:ascii="Arial" w:cs="Arial" w:eastAsia="Arial" w:hAnsi="Arial"/>
                <w:sz w:val="14"/>
                <w:szCs w:val="14"/>
                <w:b w:val="1"/>
                <w:bCs w:val="1"/>
                <w:color w:val="auto"/>
                <w:w w:val="97"/>
              </w:rPr>
              <w:t>September 30, 2020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Transportation</w:t>
            </w:r>
          </w:p>
        </w:tc>
        <w:tc>
          <w:tcPr>
            <w:tcW w:w="1620" w:type="dxa"/>
            <w:vAlign w:val="bottom"/>
          </w:tcPr>
          <w:p>
            <w:pPr>
              <w:jc w:val="right"/>
              <w:ind w:right="1419"/>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w:t>
            </w:r>
          </w:p>
        </w:tc>
        <w:tc>
          <w:tcPr>
            <w:tcW w:w="1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Transportation</w:t>
            </w: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Logistics</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facilities</w:t>
            </w:r>
          </w:p>
        </w:tc>
        <w:tc>
          <w:tcPr>
            <w:tcW w:w="16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tcPr>
          <w:p>
            <w:pPr>
              <w:jc w:val="right"/>
              <w:ind w:right="1419"/>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expect to incur additional restructuring charges during the fourth quarter of fiscal 2020 of approximately $10 million under previously approved restructuring actions. We expect the majority of the cash outlays related to the charges incurred in 2020 will be complete within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not designated as hedges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Foreign currency option contracts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w w:val="91"/>
              </w:rPr>
              <w:t>Other long-term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Other current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Derivatives not designated as hedges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 currency option contracts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Other current assets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and nonderivative instruments designated as hedges on our Condensed Consolidated Statements of Income (Loss)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2"/>
              </w:rPr>
              <w:t>Amount of Gain (Loss)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2"/>
              </w:rPr>
              <w:t>Amount of Gain (Loss)</w:t>
            </w: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4"/>
          </w:tcPr>
          <w:p>
            <w:pPr>
              <w:jc w:val="center"/>
              <w:ind w:left="168"/>
              <w:spacing w:after="0" w:line="135" w:lineRule="exact"/>
              <w:rPr>
                <w:sz w:val="20"/>
                <w:szCs w:val="20"/>
                <w:color w:val="auto"/>
              </w:rPr>
            </w:pPr>
            <w:r>
              <w:rPr>
                <w:rFonts w:ascii="Arial" w:cs="Arial" w:eastAsia="Arial" w:hAnsi="Arial"/>
                <w:sz w:val="14"/>
                <w:szCs w:val="14"/>
                <w:b w:val="1"/>
                <w:bCs w:val="1"/>
                <w:color w:val="auto"/>
                <w:w w:val="93"/>
              </w:rPr>
              <w:t>Recognized in 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vMerge w:val="continue"/>
          </w:tcPr>
          <w:p>
            <w:pPr>
              <w:spacing w:after="0"/>
              <w:rPr>
                <w:sz w:val="11"/>
                <w:szCs w:val="11"/>
                <w:color w:val="auto"/>
              </w:rPr>
            </w:pPr>
          </w:p>
        </w:tc>
        <w:tc>
          <w:tcPr>
            <w:tcW w:w="2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4"/>
          </w:tcPr>
          <w:p>
            <w:pPr>
              <w:jc w:val="center"/>
              <w:ind w:left="168"/>
              <w:spacing w:after="0" w:line="135" w:lineRule="exact"/>
              <w:rPr>
                <w:sz w:val="20"/>
                <w:szCs w:val="20"/>
                <w:color w:val="auto"/>
              </w:rPr>
            </w:pPr>
            <w:r>
              <w:rPr>
                <w:rFonts w:ascii="Arial" w:cs="Arial" w:eastAsia="Arial" w:hAnsi="Arial"/>
                <w:sz w:val="14"/>
                <w:szCs w:val="14"/>
                <w:b w:val="1"/>
                <w:bCs w:val="1"/>
                <w:color w:val="auto"/>
                <w:w w:val="91"/>
              </w:rPr>
              <w:t>Comprehensive Income 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Reclassified from AOCI into</w:t>
            </w:r>
          </w:p>
        </w:tc>
        <w:tc>
          <w:tcPr>
            <w:tcW w:w="180" w:type="dxa"/>
            <w:vAlign w:val="bottom"/>
          </w:tcPr>
          <w:p>
            <w:pPr>
              <w:spacing w:after="0"/>
              <w:rPr>
                <w:sz w:val="11"/>
                <w:szCs w:val="11"/>
                <w:color w:val="auto"/>
              </w:rPr>
            </w:pPr>
          </w:p>
        </w:tc>
        <w:tc>
          <w:tcPr>
            <w:tcW w:w="2560" w:type="dxa"/>
            <w:vAlign w:val="bottom"/>
            <w:gridSpan w:val="4"/>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b w:val="1"/>
                <w:bCs w:val="1"/>
                <w:color w:val="auto"/>
                <w:w w:val="90"/>
              </w:rPr>
              <w:t>Derivatives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Net Income (Loss)</w:t>
            </w: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rate swaps</w:t>
            </w:r>
          </w:p>
        </w:tc>
        <w:tc>
          <w:tcPr>
            <w:tcW w:w="7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9"/>
              </w:rPr>
              <w:t>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63</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2"/>
              </w:rPr>
              <w:t>Amount of Gain (Loss)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vMerge w:val="restart"/>
          </w:tcPr>
          <w:p>
            <w:pPr>
              <w:jc w:val="center"/>
              <w:ind w:left="148"/>
              <w:spacing w:after="0"/>
              <w:rPr>
                <w:sz w:val="20"/>
                <w:szCs w:val="20"/>
                <w:color w:val="auto"/>
              </w:rPr>
            </w:pPr>
            <w:r>
              <w:rPr>
                <w:rFonts w:ascii="Arial" w:cs="Arial" w:eastAsia="Arial" w:hAnsi="Arial"/>
                <w:sz w:val="14"/>
                <w:szCs w:val="14"/>
                <w:b w:val="1"/>
                <w:bCs w:val="1"/>
                <w:color w:val="auto"/>
                <w:w w:val="92"/>
              </w:rPr>
              <w:t>Amount of Gain (Loss)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tcPr>
          <w:p>
            <w:pPr>
              <w:jc w:val="center"/>
              <w:ind w:left="208"/>
              <w:spacing w:after="0" w:line="135" w:lineRule="exact"/>
              <w:rPr>
                <w:sz w:val="20"/>
                <w:szCs w:val="20"/>
                <w:color w:val="auto"/>
              </w:rPr>
            </w:pPr>
            <w:r>
              <w:rPr>
                <w:rFonts w:ascii="Arial" w:cs="Arial" w:eastAsia="Arial" w:hAnsi="Arial"/>
                <w:sz w:val="14"/>
                <w:szCs w:val="14"/>
                <w:b w:val="1"/>
                <w:bCs w:val="1"/>
                <w:color w:val="auto"/>
                <w:w w:val="93"/>
              </w:rPr>
              <w:t>Recognized in Other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tcPr>
          <w:p>
            <w:pPr>
              <w:jc w:val="center"/>
              <w:ind w:left="188"/>
              <w:spacing w:after="0" w:line="135" w:lineRule="exact"/>
              <w:rPr>
                <w:sz w:val="20"/>
                <w:szCs w:val="20"/>
                <w:color w:val="auto"/>
              </w:rPr>
            </w:pPr>
            <w:r>
              <w:rPr>
                <w:rFonts w:ascii="Arial" w:cs="Arial" w:eastAsia="Arial" w:hAnsi="Arial"/>
                <w:sz w:val="14"/>
                <w:szCs w:val="14"/>
                <w:b w:val="1"/>
                <w:bCs w:val="1"/>
                <w:color w:val="auto"/>
                <w:w w:val="89"/>
              </w:rPr>
              <w:t>Comprehensive Loss 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Reclassified from AOCI into</w:t>
            </w:r>
          </w:p>
        </w:tc>
        <w:tc>
          <w:tcPr>
            <w:tcW w:w="280" w:type="dxa"/>
            <w:vAlign w:val="bottom"/>
          </w:tcPr>
          <w:p>
            <w:pPr>
              <w:spacing w:after="0"/>
              <w:rPr>
                <w:sz w:val="11"/>
                <w:szCs w:val="11"/>
                <w:color w:val="auto"/>
              </w:rPr>
            </w:pPr>
          </w:p>
        </w:tc>
        <w:tc>
          <w:tcPr>
            <w:tcW w:w="2460" w:type="dxa"/>
            <w:vAlign w:val="bottom"/>
            <w:gridSpan w:val="4"/>
          </w:tcPr>
          <w:p>
            <w:pPr>
              <w:jc w:val="center"/>
              <w:ind w:right="208"/>
              <w:spacing w:after="0" w:line="135"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0"/>
              </w:rPr>
              <w:t>Derivatives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w w:val="92"/>
              </w:rPr>
              <w:t>Net Income (Loss)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208"/>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9"/>
              </w:rPr>
              <w:t>Nine Months Ended September 30,</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rate swaps</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loss of $1 million and a gain of $1 million for the three and nine months ended September 30, 2020, respectively, and a gain of $5 million and a loss of $5 million for the three and nine months ended September 30, 2019, respectively. These amounts are recorded in Foreign currency (gain) loss on our Condensed Consolidated Statements of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enter into cross-currency swap agreements to manage the foreign currency exchange risk related to our international operations by effectively converting our fixed-rate U.S. Dollar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6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(gain) loss to offset the foreign exchange impact in earnings created by the intercompany loans. Cash flows related to these cash flow hedges are included in Operating activities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interest rate swaps mature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were not designated as qualifying hedging instruments as of September 30, 2020. The contracts are used to manage our exposure to foreign currency exchange rate fluctuations and are not speculative. The contracts generally expire in 12 months or less. Gains or losses on the contracts are recorded in Foreign currency (gain) loss on our Condensed Consolidated Statements of Income (Loss). Cash flows related to the foreign currency contracts are included in Investing activities on our Condensed Consolidated Statements of Cash Flows, consistent with the nature and purpose for which these derivatives were acquired.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w w:val="99"/>
              </w:rPr>
              <w:t>September 30, 2020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6"/>
                <w:szCs w:val="16"/>
                <w:color w:val="auto"/>
              </w:rPr>
            </w:pPr>
          </w:p>
        </w:tc>
      </w:tr>
      <w:tr>
        <w:trPr>
          <w:trHeight w:val="188"/>
        </w:trPr>
        <w:tc>
          <w:tcPr>
            <w:tcW w:w="57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3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Principal Balance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9"/>
              </w:rPr>
              <w:t>Carrying Value</w:t>
            </w:r>
          </w:p>
        </w:tc>
        <w:tc>
          <w:tcPr>
            <w:tcW w:w="120" w:type="dxa"/>
            <w:vAlign w:val="bottom"/>
          </w:tcPr>
          <w:p>
            <w:pPr>
              <w:spacing w:after="0"/>
              <w:rPr>
                <w:sz w:val="16"/>
                <w:szCs w:val="16"/>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Principal 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20" w:type="dxa"/>
            <w:vAlign w:val="bottom"/>
          </w:tcPr>
          <w:p>
            <w:pPr>
              <w:spacing w:after="0"/>
              <w:rPr>
                <w:sz w:val="16"/>
                <w:szCs w:val="16"/>
                <w:color w:val="auto"/>
              </w:rPr>
            </w:pPr>
          </w:p>
        </w:tc>
      </w:tr>
      <w:tr>
        <w:trPr>
          <w:trHeight w:val="224"/>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Term loan facilities</w:t>
            </w: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19"/>
                <w:szCs w:val="19"/>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6.50%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6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6.125% Senior notes due 2023</w:t>
            </w: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6.75%</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6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9"/>
                <w:szCs w:val="19"/>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6.25%</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debentures due 2034</w:t>
            </w:r>
          </w:p>
        </w:tc>
        <w:tc>
          <w:tcPr>
            <w:tcW w:w="6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Borrowings related to securitization program</w:t>
            </w: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leases, asset financing and other</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r>
      <w:tr>
        <w:trPr>
          <w:trHeight w:val="223"/>
        </w:trPr>
        <w:tc>
          <w:tcPr>
            <w:tcW w:w="5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debt</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9"/>
                <w:szCs w:val="19"/>
                <w:color w:val="auto"/>
              </w:rPr>
            </w:pPr>
          </w:p>
        </w:tc>
      </w:tr>
      <w:tr>
        <w:trPr>
          <w:trHeight w:val="223"/>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r>
      <w:tr>
        <w:trPr>
          <w:trHeight w:val="22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9"/>
                <w:szCs w:val="19"/>
                <w:color w:val="auto"/>
              </w:rPr>
            </w:pPr>
          </w:p>
        </w:tc>
      </w:tr>
      <w:tr>
        <w:trPr>
          <w:trHeight w:val="20"/>
        </w:trPr>
        <w:tc>
          <w:tcPr>
            <w:tcW w:w="5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340" w:type="dxa"/>
            <w:vAlign w:val="bottom"/>
            <w:gridSpan w:val="4"/>
          </w:tcPr>
          <w:p>
            <w:pPr>
              <w:spacing w:after="0"/>
              <w:rPr>
                <w:sz w:val="20"/>
                <w:szCs w:val="20"/>
                <w:color w:val="auto"/>
              </w:rPr>
            </w:pPr>
            <w:r>
              <w:rPr>
                <w:rFonts w:ascii="Arial" w:cs="Arial" w:eastAsia="Arial" w:hAnsi="Arial"/>
                <w:sz w:val="18"/>
                <w:szCs w:val="18"/>
                <w:color w:val="auto"/>
                <w:w w:val="93"/>
              </w:rPr>
              <w:t>The fair value of our debt and classification in the fair value hierarchy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57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r>
      <w:tr>
        <w:trPr>
          <w:trHeight w:val="229"/>
        </w:trPr>
        <w:tc>
          <w:tcPr>
            <w:tcW w:w="57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December 31, 2019</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20"/>
                <w:szCs w:val="20"/>
                <w:color w:val="auto"/>
              </w:rPr>
            </w:pPr>
          </w:p>
        </w:tc>
      </w:tr>
    </w:tbl>
    <w:p>
      <w:pPr>
        <w:spacing w:after="0" w:line="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2020, we had a borrowing base of $1.1 billion and availability under our revolving loan credit agreement (the “ABL Facility”) of $884 million after considering outstanding letters of credit on the ABL Facility of $16 million. The average interest rate on outstanding borrowings as of September 30, 2020 was 1.65%. As of September 30, 2020, we were in compliance with the ABL Facility’s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April 2020, we entered into a Senior Secured Term Loan Credit Agreement, comprised of a $150 million committed secured term loan facility and a $200 million uncommitted secured evergreen letter of credit facility. The term loan facility is available to be drawn upon, subject to customary conditions, in multiple borrowings within nine months of the closing date. Any term loans thereunder will bear interest at a rate equal to LIBOR or base rate, at our election, plus an applicable margin of 3.00% to 4.50%, for LIBOR loans, or 2.00% to 3.50%, for base rate loans, in each case depending upon the time elapsed since the closing date. The term loan facility matures in April 2021.</w:t>
      </w:r>
    </w:p>
    <w:p>
      <w:pPr>
        <w:spacing w:after="0" w:line="8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Letters of credit under the letter of credit facility shall expire within one year of issuance and may contain automatic one-year renewals until the letter of credit facility terminates. As of September 30, 2020, we have issued $199 million in aggregate face amount of letters of credit, and have not drawn 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March 2019, we entered into an amendment to our Term Loan Credit Agreement and borrowed an additional $500 million of incremental loans under a new tranche of term loans (the “Incremental Term Loan Facility”), increasing our total borrowing under the Term Loan Credit Agreement to $2.0 billion. Proceeds from borrowings under the Incremental Term Loan Facility were used: (i) for general corporate purposes, including to fund purchases of our equity interests described in Note 7—Stockholders’ Equity; and (ii) to pay fees and expenses relating to, or in connection with, the transactions contemplated by the amendment. The incremental loans under the Incremental Term Loan Facility were issued at a price of 99.50% of par.</w:t>
      </w:r>
    </w:p>
    <w:p>
      <w:pPr>
        <w:spacing w:after="0" w:line="53" w:lineRule="exact"/>
        <w:rPr>
          <w:sz w:val="20"/>
          <w:szCs w:val="20"/>
          <w:color w:val="auto"/>
        </w:rPr>
      </w:pPr>
    </w:p>
    <w:p>
      <w:pPr>
        <w:ind w:right="680"/>
        <w:spacing w:after="0" w:line="406" w:lineRule="auto"/>
        <w:rPr>
          <w:sz w:val="20"/>
          <w:szCs w:val="20"/>
          <w:color w:val="auto"/>
        </w:rPr>
      </w:pPr>
      <w:r>
        <w:rPr>
          <w:rFonts w:ascii="Arial" w:cs="Arial" w:eastAsia="Arial" w:hAnsi="Arial"/>
          <w:sz w:val="18"/>
          <w:szCs w:val="18"/>
          <w:color w:val="auto"/>
        </w:rPr>
        <w:t xml:space="preserve">The interest rates on the term loan facility and the Incremental Term Loan Facility were 2.15% and 2.65%, respectively, as of September 30, 2020. </w:t>
      </w:r>
      <w:r>
        <w:rPr>
          <w:rFonts w:ascii="Arial" w:cs="Arial" w:eastAsia="Arial" w:hAnsi="Arial"/>
          <w:sz w:val="18"/>
          <w:szCs w:val="18"/>
          <w:b w:val="1"/>
          <w:bCs w:val="1"/>
          <w:i w:val="1"/>
          <w:iCs w:val="1"/>
          <w:color w:val="auto"/>
        </w:rPr>
        <w:t>Senior Notes due 2025</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The Senior Notes due 2025 mature on May 1, 2025 and bear interest at a rate of 6.25% per annum. Interest on the notes is paid semi-annually. $850 million of the notes were issued at par, and $300 million of the notes were issued subsequently at 101.75% of face value. Net proceeds from the notes were invested in cash and cash equivalents.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Senior Notes due 2025 are guaranteed by each of our direct and indirect wholly-owned restricted subsidiaries (other than some excluded subsidiaries) that are obligors under, or guarantee obligations under, our ABL Facility or existing term loan facilities or guarantee certain of our other indebtedness. The Senior Notes due 2025 and the related guarantees are unsecured, unsubordinated indebtedness for us and our guarantors. The Senior Notes due 2025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December 2018, our Board of Directors authorized the repurchase of up to $1 billion of our common stock (the “2018 Program”), which was completed in the first quarter of 2019. The share repurchases under the 2018 Program were funded by an unsecured credit facility and our available cash.</w:t>
      </w:r>
    </w:p>
    <w:p>
      <w:pPr>
        <w:spacing w:after="0" w:line="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r>
      <w:tr>
        <w:trPr>
          <w:trHeight w:val="224"/>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Aggregate value</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1,347</w:t>
            </w: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53.41</w:t>
            </w: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Remaining authorization</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140" w:type="dxa"/>
            <w:vAlign w:val="bottom"/>
          </w:tcPr>
          <w:p>
            <w:pPr>
              <w:jc w:val="right"/>
              <w:ind w:right="9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0"/>
                <w:szCs w:val="20"/>
                <w:color w:val="auto"/>
              </w:rPr>
            </w:pP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Series A Convertible Perpetual Preferred Stock pays quarterly cash dividends equal to the greater of: (i) the “as-converted” dividends on our underlying common stock for the relevant quarter; and (ii) 4% of the then-applicable liquidation preference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compute basic and diluted earnings per share using the two-class method, which allocates earnings to participating securities. The participating securities consist of our Series A Convertible Perpetual Preferred Stock. The undistributed earnings are allocated between common shares and participating securities as if all earnings had been distributed during the period. Losses are not allocated to the preferred shares.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5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24"/>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Net income (loss) attributable to XPO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Series A preferred stock dividends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Non-cash allocation of undistributed earnings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shares, basic</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shares,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Dilutive effect of non-participating stock-based awards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Potential common shares excluded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(loss) per share because the effect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and Regulatory Matters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involving claims that our owner-operators or contract carriers should be treated as employees, rather than independent contractors (“misclassification claims”). These lawsuits and proceedings may seek substantial monetary damages (including claims for unpaid wages, overtime, failure to provide meal and rest breaks, unreimbursed business expenses, penalties and other items), injunctive relief, or both.</w:t>
      </w:r>
    </w:p>
    <w:p>
      <w:pPr>
        <w:spacing w:after="0" w:line="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and with the audited consolidated financial statements and related notes thereto included in the 2019 Annual Report on Form 10-K. Forward-looking statements set forth in this Quarterly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XPO Logistics, Inc., a Delaware corporation, together with its subsidiaries (“XPO,” or “we”), is a top ten global provider of cutting-edge supply chain solutions to the most successful companies in the world.</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two reporting segments: Transportation and Logistics. In 2019, approximately 64% of our revenue came from Transportation; the other 36% came from Logistics. Within each segment, we have robust service offerings that are positioned to capitalize on fast-growing areas of customer demand.</w:t>
      </w:r>
    </w:p>
    <w:p>
      <w:pPr>
        <w:spacing w:after="0" w:line="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operations help our customers move their goods most efficiently throughout their supply chains. Substantially all of our services operate under the single brand of XPO Logistics. As of September 30, 2020, we had approximately 97,000 employees and 1,499 locations in 30 countries, and over 50,000 customers.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impacts our customers, employees and other business partners. See “Effects of COVID-19”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Transportation segment includes our services for truck brokerage, less-than-truckload (“LTL”), truckload, expedite, last mile, intermodal and drayage, managed transportation and global forwarding. We offer these services in both North America and Europe with the exception of intermodal and drayage, which are North American services, and truckload, which is primarily in Europe. Within each region, the complementary nature of our services is an opportunity to provide multiple solutions to our larger customers.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Globally, we are the second largest freight brokerage provider, and a top five provider of managed transportation. Many of our other transportation services hold market-leading positions in their respective geographies.</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North America, we are the largest provider of last mile logistics for heavy goods, the largest manager of expedited shipments, a top three provider of LTL transportation and a top three provider of intermodal services, with a national drayage network. We also offer ocean, air, ground and cross-border freight forwarding services domestically and internationally.</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Europe, we provide truckload transportation as a brokered service using independent carriers, and as dedicated and non-dedicated capacity using our owned fleet. Our other transportation offerings in Europe are LTL trucking of palletized and partial loads, which we provide with one of the largest LTL networks in Western Europe, last mile logistics for heavy goods and freight forwarding.</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Transportation segment uses a blended model of owned, contracted and brokered capacity that gives us extensive flexibility in providing shippers with optimal solutions. The non-asset portion of our model is predominately variable-cost and includes our brokerage operations, as well as contracted capacity with independent providers. As of September 30, 2020, globally, we had approximately 10,000 independent carriers and owner-operators under contract to provide drayage, expedite, last mile and LTL services to our customers, and more than 50,000 independent brokered carriers representing over 1,000,000 trucks on the road.</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asset portion of our transportation model encompasses approximately 15,000 tractors and 39,000 trailers operated by professional drivers employed by XPO. These assets are primarily related to our LTL operations in North America and our truckload operations in Europe. Our owned fleet also provides supplemental capacity for our brokerage operations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Logistics segment, which we sometimes refer to as supply chain or contract logistics, provides order fulfillment and other distribution services differentiated by our ability to deliver technology-enabled, customized solutions. XPO is the second largest provider of contract logistics globally. We have the largest outsourced e-fulfillment platform in Europe and a major platform for e-fulfillment in North America. Once we secure a logistics contract, the average customer tenure is approximately five years and can lead to more opportunities.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logistics services include high-value-add warehousing and distribution, e-commerce and omnichannel fulfillment, cold-chain logistics, packaging and labeling, factory support, aftermarket support, inventory management, order personalization and supply chain optimization, such as production flow management. In addition, we are a major provider of reverse logistics, which is also called returns management. Reverse logistics is a fast-growing area of contract logistics that includes the inspection, repackaging, refurbishment, resale or disposal of returned merchandise, as well as refunding and warranty management. These services are highly valued by companies with consumer end-markets, as shoppers increasingly “test-drive” the products they buy online.</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September 30, 2020, we operated 200 million square feet (19 million square meters) of contract logistics warehouse space worldwide. Approximately 96 million square feet (9 million square meters) was located in North America; 96 million square feet (9 million square meters) was located in Europe; and 8 million square feet (1 million square meters) was located in Asia. We are a market leader in logistics capacity in both North America and Europe.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Customers served by our global Logistics segment include many preeminent companies in e-commerce and retail, food and beverage, consumer packaged goods, technology, aerospace, telecommunications, industrial and manufacturing, chemicals, agribusiness, life sciences and healthcare. These are all sectors where we have significant expertise.</w:t>
      </w:r>
    </w:p>
    <w:p>
      <w:pPr>
        <w:spacing w:after="0" w:line="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logistics network benefits from deep roots in the e-commerce sector, which continues to show strong, secular growth. Before COVID-19, e-commerce was already growing globally at a double-digit rate, and that growth has accelerated as more consumers opt to purchase goods online. This level of growth makes it difficult for many companies to handle fulfillment and returns in-house while providing high levels of service. We have the capabilities to provide solutions for pure-play e-commerce companies, omnichannel retailers, manufacturers with aftermarket distribution channels, and the reverse logistics inflows that have become a natural byproduct of order fulfillment.</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2020, we announced a definitive agreement to acquire the majority of Kuehne + Nagel’s contract logistics operations in the United Kingdom. The acquisition will expand our platform in European e-commerce — where we are the largest outsourced e-fulfillment provider — and deepen our presence in the beverage, technology and food service sectors. The transaction is subject to customary closing conditions and is currently being reviewed by the UK Competition and Markets Authority (the “CMA”). The deadline for a phase 1 decision from the CMA is November 20, 2020. The transaction is not expected to be material to our 2020 operating results.</w:t>
      </w:r>
    </w:p>
    <w:p>
      <w:pPr>
        <w:spacing w:after="0" w:line="8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experience with fast-growing product categories makes us a valuable partner to customers who need agile logistics processes. Together with XPO Direct™, our shared-space distribution offering, our Logistics segment provides companies with superior control, flexible warehousing and staffing, advanced automation and predictive analytics that help manage peaks in demand.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that our rapid pace of innovation differentiates our services, allows us to better utilize our assets and makes the most of the talent within our organization. Our proprietary technology strengthens our relationships with customers by addressing their immediate supply chain needs and anticipating their future needs. Technology allows us to be a true partner to our customers, helping them meet their objectives for efficiency, safety and customer service.</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concentrate our technology efforts in four areas: our digital freight marketplace, automation and intelligent machines, dynamic data science, and visibility and customer service, specifically in the e-commerce supply chain. Our 2019 investment in technology was among the highest in our industry at approximately $550 million. Our global team of approximately 1,600 technology professionals works closely with our operations in North America and Europe and can deploy new software very rapidly on our cloud-based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prioritize innovations that can benefit our customers and create value for our shareholders. For example, our XPO Smart™ analytics and planning tools use machine learning to drive productivity in our logistics and LTL operations. Our XPO Connect™ digital marketplace gives our transportation customers a bird’s-eye view of available capacity and real-time market conditions, and strengthens our relationships with carriers. The platform matches shippers and carriers with digital efficiency, benefitting both parties and contributing to our financial performance.</w:t>
      </w:r>
    </w:p>
    <w:p>
      <w:pPr>
        <w:spacing w:after="0" w:line="6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 xml:space="preserve">Environmental sustainability is another area where our commitment sets an example in the industry. In the U.S., XPO has been named a Top 75 Green Supply Chain Partner by </w:t>
      </w:r>
      <w:r>
        <w:rPr>
          <w:rFonts w:ascii="Arial" w:cs="Arial" w:eastAsia="Arial" w:hAnsi="Arial"/>
          <w:sz w:val="16"/>
          <w:szCs w:val="16"/>
          <w:i w:val="1"/>
          <w:iCs w:val="1"/>
          <w:color w:val="auto"/>
        </w:rPr>
        <w:t>Inbound Logistics</w:t>
      </w:r>
      <w:r>
        <w:rPr>
          <w:rFonts w:ascii="Arial" w:cs="Arial" w:eastAsia="Arial" w:hAnsi="Arial"/>
          <w:sz w:val="16"/>
          <w:szCs w:val="16"/>
          <w:color w:val="auto"/>
        </w:rPr>
        <w:t xml:space="preserve"> for five consecutive years. In France, where XPO has been awarded the designation Objectif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for outstanding environmental performance by the Ministry of the Environment, we have renewed our commitment to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Charter for another three years. In Spain, all of our sites meet Leadership in Energy and Environmental Design (“LEED”) energy certification standards for 100% consumption of renewable energy. In the United Kingdom, the warehouse of the future we created with Nestlé is a reality, operating with environmentally friendly ammonia refrigeration systems, energy-saving lighting, air-source heat pumps for administration areas and rainwater harvesting.</w:t>
      </w:r>
    </w:p>
    <w:p>
      <w:pPr>
        <w:spacing w:after="0" w:line="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number of our logistics facilities are ISO 14001-certified, which ensures environmental and other regulatory compliances. We monitor fuel emissions from forklifts in our warehouses, with protocols in place to take immediate corrective action if needed. Our packaging engineers ensure that the optimal carton size is used for each product slated for distribution, and when feasible, we purchase recycled packaging. As a byproduct of our reverse logistics operations, we recycle millions of electronic components and batteries each year.</w:t>
      </w:r>
    </w:p>
    <w:p>
      <w:pPr>
        <w:spacing w:after="0" w:line="7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transportation, we have made substantial investments in fuel-efficient Freightliner Cascadia tractors in North America; these use Environmental Protection Agency (“EPA”) 2013-compliant and Greenhouse Gas 2014-compliant Selective Catalytic Reduction technology. Our North American LTL locations have energy-saving policies in place and are implementing a phased upgrade to LED lighting. In Europe, we own one of the industry’s most modern road fleets: our tractors are 98% compliant with Euro V, EEV and Euro VI standards.</w:t>
      </w:r>
    </w:p>
    <w:p>
      <w:pPr>
        <w:spacing w:after="0" w:line="6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also own a large fleet of natural gas trucks operating in France, the United Kingdom, Spain and Portugal and, in 2019, we invested in 100 new Stralis Natural Power Euro VI tractors for our LTL network in France. These tractors use a combination of liquified and compressed natural gas to reduce NOx emissions below the Euro VI standard and lessen noise in densely populated areas. In Spain, where we own government-approved mega-trucks, we are collaborating with the General State Administration to test a duo-trailer vehicle and help determine its viability for commercial freight use. Our last mile operations in Europe are using electric vehicles for deliveries in certain urban areas, reducing those emissions to zero.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and equipment in the markets we serve, XPO is considered an “essential business,” providing supply chain solutions to crucial industries and delivering critical consumer goods. As a result, the substantial majority of our sites have remained open and operating, and we have continued to serve our customers while employing significant measures to protect our employees and keep them safe.</w:t>
      </w:r>
    </w:p>
    <w:p>
      <w:pPr>
        <w:spacing w:after="0" w:line="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COVID-19 pandemic and associated impacts on economic activity had an adverse effect on our results of operations and financial condition for the three and nine months ended September 30, 2020, as discussed below. We experienced declines in demand for our services that began in the first quarter, had a substantial impact in the second quarter, and abated throughout the third quarter. Impacts on our business generally began a few weeks earlier in Europe than in the U.S., but have meaningfully affected our year-to-date results in both regions.</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Due to the unprecedented and evolving nature of the COVID-19 pandemic, it remains very difficult to predict the extent of the impact on our industry generally and our business in particular. Furthermore, the extent and pace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recovery remains uncertain and may differ significantly among the countries in which we operate. We anticipate that our results of operations will continue to be impacted by this pandemic in the fourth quarter of 2020.</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incurred net incremental costs related to COVID-19 to ensure that we meet the needs of our customers and employees; these include costs for personal protective equipment (“PPE”), temporary site closures, site cleanings and enhanced employee benefits. In the second quarter of 2020,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do not expect to be able to fully offset the decrease in demand for our services arising from the economic disruption of the pandemic in 2020, the actions we are taking and have taken, combined with the variable components of our cost structure, should help mitigate the impact on our profitability relative to the impact on our revenue and volumes.</w:t>
      </w:r>
    </w:p>
    <w:p>
      <w:pPr>
        <w:spacing w:after="0" w:line="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Maintaining strong liquidity has been and will continue to be a top priority for XPO amid the current economic disruption. As discussed in greater detail below, as of September 30, 2020, we had $3.1 billion of available liquidity, including $2.0 billion of cash and cash equivalents. In the second quarter of 2020, we expanded our liquidity by $1.5 billion through the addition of a $350 million letter of credit and term loan facility and the issuance of $1.15 billion in senior notes. We expect to incur incremental interest expense in 2020 as a result of issuing this new debt. We reduced our planned capital expenditures for 2020, while continuing to invest in key growth initiatives.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response to the pandemic, we are using a combination of rigorous protective measures, technology and virtual communications to keep our employees safe, including these and other actions: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Globally, many of our employees have worked remotely if able to do so.</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employees who need to work on site, we follow the guidance of the World Health Organization, the U.S. Centers for Disease Control, local regulators, and our own health and safety protocols.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providing PPE in all our workplaces, and social distancing is in effect.</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facilities worldwide engage in ongoing cleaning of high-touch areas, as well as deep cleaning in facilities likely to have been exposed to COVID-19.</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added Pandemic Paid Sick Leave to provide U.S. and Canadian employees an additional two weeks of fully-paid sick leave.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guarantee up to three additional paid days for employees of a facility that closes temporarily for deep cleaning.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instituted a contactless delivery policy to ensure that our drivers can maintain a safe distance from customers when delivering freight.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provided Frontline Employee Appreciation Pay to U.S. and Canadian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expanded access to mental health counseling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further discussion of the impact of the COVID-19 pandemic on our business is set forth below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8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Percent of Revenue</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8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Percent of Revenue</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840" w:type="dxa"/>
            <w:vAlign w:val="bottom"/>
            <w:gridSpan w:val="4"/>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2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28"/>
              <w:spacing w:after="0" w:line="185" w:lineRule="exact"/>
              <w:rPr>
                <w:sz w:val="20"/>
                <w:szCs w:val="20"/>
                <w:color w:val="auto"/>
              </w:rPr>
            </w:pPr>
            <w:r>
              <w:rPr>
                <w:rFonts w:ascii="Arial" w:cs="Arial" w:eastAsia="Arial" w:hAnsi="Arial"/>
                <w:sz w:val="14"/>
                <w:szCs w:val="14"/>
                <w:b w:val="1"/>
                <w:bCs w:val="1"/>
                <w:color w:val="auto"/>
                <w:w w:val="92"/>
              </w:rPr>
              <w:t xml:space="preserve">2020 </w:t>
            </w:r>
            <w:r>
              <w:rPr>
                <w:rFonts w:ascii="Arial" w:cs="Arial" w:eastAsia="Arial" w:hAnsi="Arial"/>
                <w:sz w:val="18"/>
                <w:szCs w:val="18"/>
                <w:b w:val="1"/>
                <w:bCs w:val="1"/>
                <w:color w:val="auto"/>
                <w:w w:val="92"/>
                <w:vertAlign w:val="superscript"/>
              </w:rPr>
              <w:t>(1)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28"/>
              <w:spacing w:after="0" w:line="185"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8"/>
                <w:szCs w:val="18"/>
                <w:b w:val="1"/>
                <w:bCs w:val="1"/>
                <w:color w:val="auto"/>
                <w:w w:val="92"/>
                <w:vertAlign w:val="superscript"/>
              </w:rPr>
              <w:t>(2)</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48"/>
              <w:spacing w:after="0" w:line="185" w:lineRule="exact"/>
              <w:rPr>
                <w:sz w:val="20"/>
                <w:szCs w:val="20"/>
                <w:color w:val="auto"/>
              </w:rPr>
            </w:pPr>
            <w:r>
              <w:rPr>
                <w:rFonts w:ascii="Arial" w:cs="Arial" w:eastAsia="Arial" w:hAnsi="Arial"/>
                <w:sz w:val="14"/>
                <w:szCs w:val="14"/>
                <w:b w:val="1"/>
                <w:bCs w:val="1"/>
                <w:color w:val="auto"/>
                <w:w w:val="92"/>
              </w:rPr>
              <w:t xml:space="preserve">2020 </w:t>
            </w:r>
            <w:r>
              <w:rPr>
                <w:rFonts w:ascii="Arial" w:cs="Arial" w:eastAsia="Arial" w:hAnsi="Arial"/>
                <w:sz w:val="18"/>
                <w:szCs w:val="18"/>
                <w:b w:val="1"/>
                <w:bCs w:val="1"/>
                <w:color w:val="auto"/>
                <w:w w:val="92"/>
                <w:vertAlign w:val="superscript"/>
              </w:rPr>
              <w:t>(3)</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48"/>
              <w:spacing w:after="0" w:line="185"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8"/>
                <w:szCs w:val="18"/>
                <w:b w:val="1"/>
                <w:bCs w:val="1"/>
                <w:color w:val="auto"/>
                <w:w w:val="92"/>
                <w:vertAlign w:val="superscript"/>
              </w:rPr>
              <w:t>(4)</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83"/>
        </w:trPr>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12,512</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Cost of transportation and</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48.3 %</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49.8 %</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5,577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48.1 %</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50.1 %</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8"/>
        </w:trPr>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Direct operating expense</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Sales, general and</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11.2 %</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administrative expense</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9"/>
        </w:trPr>
        <w:tc>
          <w:tcPr>
            <w:tcW w:w="2000" w:type="dxa"/>
            <w:vAlign w:val="bottom"/>
            <w:gridSpan w:val="2"/>
          </w:tcPr>
          <w:p>
            <w:pPr>
              <w:ind w:left="22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43.9 %</w:t>
            </w:r>
          </w:p>
        </w:tc>
        <w:tc>
          <w:tcPr>
            <w:tcW w:w="0" w:type="dxa"/>
            <w:vAlign w:val="bottom"/>
          </w:tcPr>
          <w:p>
            <w:pPr>
              <w:spacing w:after="0"/>
              <w:rPr>
                <w:sz w:val="1"/>
                <w:szCs w:val="1"/>
                <w:color w:val="auto"/>
              </w:rPr>
            </w:pPr>
          </w:p>
        </w:tc>
      </w:tr>
      <w:tr>
        <w:trPr>
          <w:trHeight w:val="192"/>
        </w:trPr>
        <w:tc>
          <w:tcPr>
            <w:tcW w:w="2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(gain) loss</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6"/>
        </w:trPr>
        <w:tc>
          <w:tcPr>
            <w:tcW w:w="2000" w:type="dxa"/>
            <w:vAlign w:val="bottom"/>
            <w:gridSpan w:val="2"/>
          </w:tcPr>
          <w:p>
            <w:pPr>
              <w:ind w:left="220"/>
              <w:spacing w:after="0"/>
              <w:rPr>
                <w:sz w:val="20"/>
                <w:szCs w:val="20"/>
                <w:color w:val="auto"/>
              </w:rPr>
            </w:pPr>
            <w:r>
              <w:rPr>
                <w:rFonts w:ascii="Arial" w:cs="Arial" w:eastAsia="Arial" w:hAnsi="Arial"/>
                <w:sz w:val="14"/>
                <w:szCs w:val="14"/>
                <w:color w:val="auto"/>
              </w:rPr>
              <w:t>Debt extinguishment loss</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2"/>
        </w:trPr>
        <w:tc>
          <w:tcPr>
            <w:tcW w:w="2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15"/>
        </w:trPr>
        <w:tc>
          <w:tcPr>
            <w:tcW w:w="20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Income (loss) before income</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88"/>
        </w:trPr>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provision (benefit)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4"/>
                <w:szCs w:val="14"/>
                <w:color w:val="auto"/>
              </w:rPr>
              <w:t>Income tax provision</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(benefit)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September 30, 2020 includes $3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September 30, 2019 includes $11 million of restructuring expense.</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operating income for the nine months ended September 30, 2020 includes $93 million of transaction and integration costs and $53 million of restructuring expense.</w:t>
      </w:r>
    </w:p>
    <w:p>
      <w:pPr>
        <w:spacing w:after="0" w:line="120" w:lineRule="exact"/>
        <w:rPr>
          <w:rFonts w:ascii="Arial" w:cs="Arial" w:eastAsia="Arial" w:hAnsi="Arial"/>
          <w:sz w:val="13"/>
          <w:szCs w:val="13"/>
          <w:color w:val="auto"/>
        </w:rPr>
      </w:pPr>
    </w:p>
    <w:p>
      <w:pPr>
        <w:ind w:left="480" w:hanging="310"/>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operating income for the nine months ended September 30, 2019 includes $2 million of transaction and integration costs and $28 million of restructuring expense.</w:t>
      </w:r>
    </w:p>
    <w:p>
      <w:pPr>
        <w:spacing w:after="0" w:line="125"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The transaction and integration costs for the first nine months of 2020 are primarily related to our previously announced exploration of strategic alternatives. The review of strategic alternatives was terminated in March 2020. For further information on our restructuring actions, see Note 4— Restructuring Charges to the Condensed Consolidated Financial Statements. We also incurred in the third quarter and first nine months of 2020, net incremental and direct costs as a result of the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2020 Compared with Three and Nine Months Ended September 30, 2019</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for the third quarter of 2020 increased 1.6% to $4.2 billion, compared with the same quarter in 2019. Revenue for the first nine months of 2020 decreased 7.4% to $11.6 billion, compared with the same period in 2019. The increase in revenue in the third quarter of 2020 compared to the same quarter in 2019 was primarily due to strong growth in our European logistics and North American transportation businesses, partially offset by the continued impact of COVID-19 and the elimination of certain low-margin business. The decrease in revenue in the first nine months of 2020 compared to the same period in 2019 reflects the impact of COVID-19, the curtailment of our direct postal injection business in the first quarter of 2019 and the elimination of certain low-margin business. Additionally, foreign currency movement increased revenue by approximately 1.8 percentage points in the third quarter of 2020. Foreign currency movement had no impact on revenue for the first nine months of 2020.</w:t>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truckload and LTL businesses.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Cost of transportation and services for the third quarter of 2020 was $2.0 billion, or 48.3% of revenue, compared with $2.1 billion, or 49.8% of revenue, for the same quarter in 2019. Cost of transportation and services for the first nine months of 2020 was $5.6 billion, or 48.1% of revenue, compared with $6.3 billion, or 50.1% of revenue,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same period in 2019. The year-over-year reduction as a percentage of revenue in both periods was primarily driven by a higher mix of contract logistics revenue and lower fuel costs. Also impacting the year-over-year decrease as a percentage of revenue for the first nine months of 2020 were lower third-party transportation costs in our transportation segment, partially offset by incremental PPE and other COVID-19-related costs.</w:t>
      </w:r>
    </w:p>
    <w:p>
      <w:pPr>
        <w:spacing w:after="0" w:line="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contract logistics facilities, last mile warehousing facilities, LTL service centers and European LTL network. Direct operating expenses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Direct operating expense for the third quarter of 2020 was $1.5 billion, or 34.6% of revenue, compared with $1.4 billion, or 33.7% of revenue, for the same quarter in 2019. Direct operating expense for the first nine months of 2020 was $4.2 billion, or 36.2% of revenue, compared with $4.2 billion, or 33.8% of revenue, for the same period in 2019. The year-over-year increases as a percentage of revenue were primarily driven by a higher mix of contract logistics revenue, higher facility and payroll costs, and incremental PPE and other COVID-19-related costs. Also impacting the year-over-year increase as a percentage of revenue for the first nine months of 2020 was the significant decline in revenue due to COVID-19, partially offset by lower temporary labor costs. The third quarters of 2020 and 2019 included $29 million and $33 million, respectively, and the first nine months of 2020 and 2019 included $68 million and $73 million, respectively, from gains on sales of property and equipment.</w:t>
      </w:r>
    </w:p>
    <w:p>
      <w:pPr>
        <w:spacing w:after="0" w:line="6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salaries and commissions for the sales function, salary and benefit costs for executive and certain administration functions, depreciation and amortization expense, professional fees, facility costs, bad debt expense and legal costs.</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SG&amp;A for the third quarter of 2020 was $499 million, or 11.8% of revenue, compared with $456 million, or 11.0% of revenue, for the same quarter in 2019. SG&amp;A for the first nine months of 2020 was $1.7 billion, or 14.3% of revenue, compared with $1.4 billion, or 11.2% of revenue, for the same period in 2019. The year-over-year increase as a percentage of revenue in the third quarter of 2020 primarily resulted from higher compensation, self-insurance, COVID-19-related and depreciation expenses, partially offset by lower restructuring costs. The year-over-year increase as a percentage of revenue in the first nine months of 2020 primarily resulted from the significant decline in revenue due to COVID-19, higher compensation and restructuring costs, increased self-insurance and bad debt expenses, and incremental PPE and other COVID-19-related costs. Additionally, SG&amp;A for the first nine months of 2020 included approximately $74 million of expenses related to our exploration of strategic alternatives, including professional service fees and employee retention costs.</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income primarily consists of pension income. Other income for the third quarter of 2020 was $20 million of income, compared with $11 million of income for the same quarter in 2019. Other income for the first nine months of 2020 was $59 million of income, compared with $41 million of income for the same period in 2019. The year-over-year increases primarily reflect higher net periodic pension income of $7 million in the third quarter of 2020 and $20 million in the first nine months of 2020, compared with the same periods in 2019.</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Foreign currency (gain) loss was a loss of under $1 million for the third quarter of 2020, compared with a $5 million gain for the same quarter in 2019. Foreign currency gain in the third quarter of 2019 primarily reflected unrealized gains on foreign currency option and forward contracts. Foreign currency (gain) loss was a $5 million gain for the first nine months of 2020, compared with a $5 million loss for the same period in 2019. Foreign currency gain in the first nine months of 2020 primarily reflected realized gains on foreign currency option and forward contracts and other derivative contracts, including a gain on a terminated net investment hedge. Foreign currency loss in the first nine months of 2019 primarily reflected unrealized losses on foreign currency option and forward contracts. For additional information on our foreign currency option and forward contracts, see Note 5—Derivative Instruments to our Condensed Consolidated Financial Statements.</w:t>
      </w:r>
    </w:p>
    <w:p>
      <w:pPr>
        <w:spacing w:after="0" w:line="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Debt extinguishment loss was $5 million for the first nine months of 2019 and related to the write-off of debt issuance costs for an unsecured credit facility that was repaid in the first quarter of 2019. There were no debt extinguishment losses in the third quarter of 2019 or in the first nine months of 2020.</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increased to $86 million for the third quarter of 2020 from $75 million for the third quarter of 2019. Interest expense increased to $240 million for the first nine months of 2020 from $218 million for the first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months of 2019. The increases in interest expense in both the third quarter and the nine-month period were primarily due to higher average total indebtedness, including the senior notes due 2025 (the “Senior Notes due 2025”) that were issued in the second quarter of 2020, partially offset by lower interest rates in the third quarter and first nine months of 2020.</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effective income tax rates were 37.6% and 20.0% for the third quarter of 2020 and 2019, respectively, and 12.8% and 22.9% for the first nine months of 2020 and 2019, respectively. The effective tax rates for both the third quarter and nine-month periods of 2020 and 2019 were based on forecasted full-year effective tax rates, adjusted for discrete items that occurred within the periods presented. There were no material discrete items impacting the effective tax rate for the third quarter and first nine months of 2020. The primary item impacting the effective tax rate for the third quarter of 2019 was a discrete tax benefit of $8 million from foreign currency losses recognized. The primary items impacting the effective tax rate for the first nine months of 2019 included discrete tax benefits of $8 million from foreign currency losses recognized and $6 million from changes in reserves for uncertain tax positions. The changes in our effective income tax rate for the third quarter and first nine months of 2020 compared to the same periods in 2019 were primarily driven by contribution- and margin-based taxes, the mix of earnings among jurisdictions and the impact of discrete items in 2019. These drivers caused an increase to our effective tax rate in the third quarter of 2020 and a decrease to our rate for the nine-month period because we generated positive pretax income in the third quarter and a pretax loss for the nine-month period.</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realized a $4 million reduction in cash taxes as well as an immaterial income tax benefit on our Condensed Consolidated Statements of Income (Loss) in the first quarter of 2020. Additionally, we are benefiting from the ability to defer the payment of certain payroll taxes that would otherwise be required in 2020. We have not applied for any government loans under the CARES Act or similar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Condensed Consolidated Statements of Income (Loss)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transportation and services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 operating expense</w:t>
            </w:r>
          </w:p>
        </w:tc>
        <w:tc>
          <w:tcPr>
            <w:tcW w:w="280" w:type="dxa"/>
            <w:vAlign w:val="bottom"/>
          </w:tcPr>
          <w:p>
            <w:pPr>
              <w:spacing w:after="0"/>
              <w:rPr>
                <w:sz w:val="23"/>
                <w:szCs w:val="23"/>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more information, see Note 4—Restructuring Charges to the Condensed Consolidated Financial Statements. Upon successful completion of the restructuring initiatives recorded in the first nine months of 2020, we expect to achieve annualized pre-tax savings of approximately $100 million by mid-2021. We expect to incur additional restructuring charges during the fourth quarter of fiscal 2020 of approximately $10 million under previously approved restructuring actions. In addition, we may incur incremental restructuring costs in 2020 as we modify and right-size our operations due to the business impacts of COVID-19; however, we are currently unable to reasonably estimate these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60" w:type="dxa"/>
            <w:vAlign w:val="bottom"/>
            <w:gridSpan w:val="4"/>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8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84"/>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8,090</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8"/>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36"/>
        </w:trPr>
        <w:tc>
          <w:tcPr>
            <w:tcW w:w="1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Total depreciation and</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8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Transportation segment revenue decreased 0.3% to $2.7 billion for the third quarter of 2020, compared with $2.7 billion for the same quarter in 2019. Revenue decreased 10.2% to $7.3 billion for the first nine months of 2020, compared with $8.1 billion for the same period in 2019. The decline in revenue in both the third quarter and the nine-month period of 2020 reflected the impact of COVID-19. Partially offsetting the decline in the third quarter of 2020 was growth in freight brokerage and last mile revenues compared to the same quarter in 2019. The revenue decrease in the first nine months of 2020 also reflected the curtailment of our direct postal injection business in the first quarter of 2019. Additionally, foreign currency movement increased revenue by approximately 1.2 percentage points in the third quarter of 2020. Foreign currency movement had no impact on revenue for the first nine months of 2020.</w:t>
      </w:r>
    </w:p>
    <w:p>
      <w:pPr>
        <w:spacing w:after="0" w:line="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Transportation segment operating income was $202 million, or 7.6% of revenue, for the third quarter of 2020, compared with operating income of $208 million, or 7.7% of revenue, for the same quarter in 2019. Operating income for the first nine months of 2020 was $307 million, or 4.2% of revenue, compared with $579 million, or 7.2% of revenue, for the same period in 2019. The decrease in operating income in the third quarter of 2020 reflects incremental PPE and other COVID-19 related costs. The decrease in operating income in the first nine months of 2020 was primarily driven by lower revenue, higher facility costs, expenses related to our exploration of strategic alternatives, higher restructuring and bad debt expenses, and incremental PPE and other COVID-19-related costs. These higher costs were partially offset by lower third-party transportation, fuel and personnel costs. Depreciation and amortization expense in the first nine months of 2019 included $6 million related to the impairment of customer relationship intangible assets associated with exiting the direct postal injection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120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60" w:type="dxa"/>
            <w:vAlign w:val="bottom"/>
            <w:gridSpan w:val="4"/>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8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84"/>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36"/>
        </w:trPr>
        <w:tc>
          <w:tcPr>
            <w:tcW w:w="1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Total depreciation and</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8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Logistics segment revenue increased 4.6% to $1.6 billion for the third quarter of 2020, compared with $1.5 billion for the same quarter in 2019. Revenue decreased 2.4% to $4.4 billion for the first nine months of 2020, compared with $4.5 billion for the same period in 2019. The increase in revenue in the third quarter of 2020 compared to the same quarter in 2019 reflects strong growth in our European business, particularly in the e-commerce and food and beverage sectors. This increase was partially offset by the continued impact of COVID-19 and our elimination of certain low-margin business. The decrease in revenue in the first nine months of 2020 compared to the same period in 2019 reflects the impact of COVID-19, our elimination of certain low-margin business and the downsizing of business by our largest customer in North America. Additionally, foreign currency movement increased revenue by approximately 2.9 percentage points in the third quarter of 2020. Foreign currency movement had no impact on revenue for the first nine months of 2020.</w:t>
      </w:r>
    </w:p>
    <w:p>
      <w:pPr>
        <w:spacing w:after="0" w:line="5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Logistics segment operating income was $77 million, or 4.9% of revenue, for the third quarter of 2020, compared with operating income of $61 million, or 4.0% of revenue, for the same quarter in 2019. Operating income for the first nine months of 2020 was $72 million, or 1.6% of revenue, compared with operating income of $168 million,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3.7% of revenue, for the same period in 2019. The increase in operating income in the third quarter of 2020 compared to the same quarter in 2019 reflects higher revenue, partially offset by higher personnel and facility costs. The decrease in operating income in the first nine months of 2020 compared to the same period in 2019 was primarily driven by lower revenue, increased depreciation and amortization expense, expenses related to our exploration of strategic alternatives, restructuring expenses and incremental PPE and other COVID-19-related costs, partially offset by lower temporary labor costs. Depreciation and amortization expense was higher in the first nine months of 2020 compared to the prior-year period due to the impact of prior capital investments, new contract startups, and accelerated depreciation due to contract modifications.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we had cash and cash equivalents of $2.0 billion. Our principal existing sources of cash are (i) cash generated from operations;</w:t>
      </w:r>
    </w:p>
    <w:p>
      <w:pPr>
        <w:spacing w:after="0" w:line="46" w:lineRule="exact"/>
        <w:rPr>
          <w:sz w:val="20"/>
          <w:szCs w:val="20"/>
          <w:color w:val="auto"/>
        </w:rPr>
      </w:pPr>
    </w:p>
    <w:p>
      <w:pPr>
        <w:ind w:right="260" w:firstLine="8"/>
        <w:spacing w:after="0" w:line="273"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borrowings available under our Second Amended and Restated Revolving Loan Credit Agreement, as amended (the “ABL Facility”) and a Senior Secured Term Loan Credit Agreement; and (iii) proceeds from the issuance of other debt. As of September 30, 2020, we have $884 million available to draw under our ABL Facility, based on a borrowing base of $1.1 billion, outstanding borrowings of $200 million and outstanding letters of credit of $16 million. We also have $150 million available to draw under the Senior Secured Term Loan Credit Agreement.</w:t>
      </w:r>
    </w:p>
    <w:p>
      <w:pPr>
        <w:spacing w:after="0" w:line="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Managing our balance sheet prudently and maintaining appropriate liquidity are high priorities during the disruption caused by COVID-19. In order to best position us to navigate this uncertain period, we have taken a number of actions to further strengthen our liquidity.</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borrowed a net $200 million in revolving loans under our existing ABL Facility during the nine months ended September 30, 2020. In addition, in early April 2020 we entered into the Senior Secured Term Loan Credit Agreement which allows us to borrow up to $150 million in aggregate principal amount of committed secured term loans and request the issuance of up to $200 million in aggregate face amount of secured letters of credit under an evergreen letter of credit facility. Also in the second quarter of 2020, we completed private placements of $1.15 billion aggregate principal amount of Senior Notes due 2025. The Senior Secured Term Loan Credit Agreement and Senior Notes due 2025 are discussed further below. In June 2020, we amended certain provisions of the ABL Facility to provide additional debt financing flexibility.</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previously sold receivables, which we report within short-term debt on our Condensed Consolidated Balance Sheets. These borrowings amounted to €43 million ($50 million) as of September 30, 2020. See Note 6—Debt to our Condensed Consolidated Financial Statements for additional information on these borrowings.</w:t>
      </w:r>
    </w:p>
    <w:p>
      <w:pPr>
        <w:spacing w:after="0" w:line="7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maximum amount of net cash proceeds available at any one time under the current securitization program is €400 million (approximately $469 million as of September 30, 2020), and this amount includes any unsecured borrowings related to the program. As of September 30, 2020, €294 million (approximately $345 million) of capacity was utilized under the program and €106 million (approximately $124 million) was available to us. The securitization program expires in July 2022 and contains financial covenants customary for this type of arrangement, including maintaining a defined average days sales outstanding ratio.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w:t>
            </w:r>
          </w:p>
        </w:tc>
      </w:tr>
    </w:tbl>
    <w:p>
      <w:pPr>
        <w:spacing w:after="0" w:line="9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addition to the cash considerations referenced above, we received $49 million and $186 million in the three and nine months ended September 30, 2019, respectively, for the realization of cash on the deferred purchase price receivable for our prior securitization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April 2020, we entered into the Senior Secured Term Loan Credit Agreement, comprised of a $150 million committed secured term loan facility and a $200 million uncommitted secured evergreen letter of credit facility. The term loan facility is available to be drawn upon, subject to customary conditions, in multiple borrowings within nine months of the closing date. Any term loans thereunder will bear interest at a rate equal to London Interbank Offered Rate (“LIBOR”) or base rate, at our election, plus an applicable margin of 3.00% to 4.50%, for LIBOR loans, or 2.00% to 3.50%, for base rate loans, in each case depending upon the time elapsed since the closing date. The term loan facility matures in April 2021.</w:t>
      </w:r>
    </w:p>
    <w:p>
      <w:pPr>
        <w:spacing w:after="0" w:line="6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Letters of credit under the letter of credit facility shall expire within one year of issuance and may contain automatic one-year renewals until the letter of credit facility terminates. As of September 30, 2020, we have issued $199 million in aggregate face amount of letters of credit, and have not drawn 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March 2019, we entered into an amendment to our senior secured term loan credit agreement and borrowed an additional $500 million of incremental loans under a new tranche of term loans. For more information on these amendments, refer to Note 6—Debt to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The Senior Notes due 2025 mature on May 1, 2025 and bear interest at a rate of 6.25% per annum. Interest on the notes is paid semi-annually. $850 million of the notes were issued at par, and $300 million of the notes were issued subsequently at 101.75% of face value. Net proceeds from the notes were invested in cash and cash equivalents.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Senior Notes due 2025 are guaranteed by each of our direct and indirect wholly-owned restricted subsidiaries (other than some excluded subsidiaries) that are obligors under, or guarantee obligations under, our ABL Facility or existing term loan facilities or guarantee certain of our other indebtedness. The Senior Notes due 2025 and the related guarantees are unsecured, unsubordinated indebtedness for us and our guarantors. The Senior Notes due 2025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 to our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trade receivables securitization program permits us to borrow, on an unsecured basis, cash collected in a servicing capacity on previously sold receivables. These borrowings, which amounted to $50 million as of September 30, 2020, are owed to the program’s Purchasers and are included in short-term debt until they are repaid in the following month’s settlement. There were no borrowings related to the program at December 31, 2019.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 to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December 2018, our Board of Directors authorized the repurchase of up to $1 billion of our common stock (the “2018 Program”), which was completed in the first quarter of 2019. The share repurchases under the 2018 Program were funded by an unsecured credit facility and our available cash.</w:t>
      </w:r>
    </w:p>
    <w:p>
      <w:pPr>
        <w:spacing w:after="0" w:line="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r>
      <w:tr>
        <w:trPr>
          <w:trHeight w:val="224"/>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Aggregate value</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1,347</w:t>
            </w: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53.41</w:t>
            </w: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Remaining authorization</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140" w:type="dxa"/>
            <w:vAlign w:val="bottom"/>
          </w:tcPr>
          <w:p>
            <w:pPr>
              <w:jc w:val="right"/>
              <w:ind w:right="9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0"/>
                <w:szCs w:val="20"/>
                <w:color w:val="auto"/>
              </w:rPr>
            </w:pP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As of September 30, 2020, we were in compliance with the covenants and other provisions of our debt agreements. Any failure to comply with any material provision or covenant of these agreements could have a material adverse effect on our liquidity and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September 30, 2020, we: (i) generated cash from operating activities of $692 million; (ii) generated proceeds from sales of property and equipment (primarily real estate) of $148 million; and (iii) received net proceeds of $1.4 billion from our issuances of debt and short-term borrowings. We used cash during this period primarily to: (i) purchase property and equipment of $377 million; (ii) repurchase common stock of $114 million; and (iii) make payments on debt and finance leases of $65 million.</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nine months ended September 30, 2019, we: (i) generated cash from operating activities of $442 million; (ii) generated proceeds from sales of property and equipment of $192 million; (iii) collected $186 million on a deferred purchase price receivable, and (iv) received proceeds of $1.8 billion from our issuances of long-term debt. We used cash during this period primarily to: (i) purchase property and equipment of $413 million, (ii) repurchase common stock of $1.3 billion, and (iii) make payments on long-term debt and capital leases of $850 million.</w:t>
      </w:r>
    </w:p>
    <w:p>
      <w:pPr>
        <w:spacing w:after="0" w:line="6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flows from operating activities for the nine months ended September 30, 2020 increased by $250 million, compared with the same period in 2019. The increase reflects the impact of lower cash usage of $567 million from operating assets and liabilities, partially offset by $317 million of lower cash-related net income for the nine months ended September 30, 2020, compared with the same period in 2019. Cash-related net income represents total cash flows from operating activities less changes in assets and liabilities on the Condensed Consolidated Statements of Cash Flows. The largest components of cash-related net income are generally Net income (loss) plus Depreciation, amortization and net lease activity. Within operating assets and liabilities, accrued expenses and other liabilities was a significant source of cash for the nine months ended September 30, 2020 as compared to a use of cash in the prior period. This fluctuation reflects the deferral of certain tax payments and an increase in compensation, insurance and severance accruals.</w:t>
      </w:r>
    </w:p>
    <w:p>
      <w:pPr>
        <w:spacing w:after="0" w:line="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Investing activities used $224 million and $35 million of cash in the nine months ended September 30, 2020 and 2019, respectively. During the nine months ended September 30, 2020, we used $377 million of cash to purchase property and equipment and received $148 million from sales of property and equipment. During the nine months ended September 30, 2019, we used $413 million of cash to purchase property and equipment, received $192 million from sales of property and equipment and received proceeds of $186 million related to the realization of cash on deferred purchase price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Financing activities provided $1.2 billion of cash in the nine months ended September 30, 2020 and used $479 million of cash in the nine months ended September 30, 2019. The primary sources of cash from financing activities during the nine months ended September 30, 2020 were: (i) $1.1 billion of net proceeds from the issuance of Senior Notes due 2025; (ii) $200 million of proceeds from borrowings on our ABL Facility, net of payments; and (iii) $48 million from borrowings related to our securitization program. The primary uses of cash from financing activities during the first nine months of 2020 were $114 million used to purchase XPO common stock, and $65 million used to repay debt and finance leases. By comparison, the primary uses of cash during the nine months ended September 30, 2019 were the $1.3 billion repurchase of XPO common stock and $850 million used to repay debt and finance leases. The primary sources of cash from financing activities during the nine months ended September 30, 2019 were $1.7 billion of net proceeds from the issuance of long-term debt, consisting of the incremental term loans, Senior Notes due 2024 and borrowings under an unsecured credit facility that terminated in February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described in more detail above, we received proceeds of approximately $1.15 billion from our issuance of Senior Notes due 2025 in the second quarter of 2020. Additional interest payments related to this debt of approximately $36 million are due in the fourth quarter of 2020, and additional annual interest payments of approximately $72 million are due in 2021 through 2024 and $36 million in 2025. During the nine months ended September 30, 2020, there were no other material changes to our December 31, 2019 contractual obligations. We anticipate net capital expenditures will be approximately</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$100 million to $120 million in the fourth quarter of 2020 and $330 million to $350 million for full-year 2020, which reflects a decrease of approximately $160 million from the estimate provided in our 2019 Form 10-K, primarily due to the impact of COVID-19, as discussed previously.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related to new accounting standards is included in Note 1—Organization, Description of Business and Basis of Presentation to our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market risk related to changes in interest rates, foreign currency exchange rates and commodity risk. Other than the broad effects on economic conditions as a result of the COVID-19 pandemic, there have been no material changes to our quantitative and qualitative disclosures about market risk during the nine months ended September 30, 2020, as compared with the quantitative and qualitative disclosures about market risk described in our Annual Report on Form 10-K for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September 30, 2020. Based on that evaluation, our CEO and CFO concluded that our disclosure controls and procedures as of September 30, 2020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of our intermodal drayage subsidiaries are defendants in several multi-plaintiff and class action litigations brought by independent contract carriers in California who contracted with these subsidiaries. In these cases, the contract carriers, and in some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reimbursement of certain of the contract carriers’ business expenses, and Labor Code penalties under California’s Private Attorneys General Act. In two cases in which a federal district court in Los Angeles has certified classes, we are contesting the certification rulings. We are unable at this time to estimate the amount of the possible loss or range of loss, if any, that we may incur as a result of these claims given, among other reasons, that the range of potential loss could be impacted substantially by future rulings by the courts involved, including on the merits of the claims.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 Classification Claims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Some of our last mile logistics subsidiaries are defendants in several putative class action litigations brought by independent contract carriers in multiple jurisdictions who contracted with these subsidiaries. In these cases, the contract carriers, and in certain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and reimbursement of the contract carriers’ business expenses. We are unable at this time to estimate the amount of the possible loss or range of loss, if any, in excess of our accrued liability that we may incur as a result of these claims given, among other reasons, that the number and identities of plaintiffs in these lawsuits are uncertain and the range of potential loss could be impacted substantially by future rulings by the courts involved, including on the merits of the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December 14, 2018, a putative class action captioned </w:t>
      </w:r>
      <w:r>
        <w:rPr>
          <w:rFonts w:ascii="Arial" w:cs="Arial" w:eastAsia="Arial" w:hAnsi="Arial"/>
          <w:sz w:val="18"/>
          <w:szCs w:val="18"/>
          <w:i w:val="1"/>
          <w:iCs w:val="1"/>
          <w:color w:val="auto"/>
        </w:rPr>
        <w:t>Labul v. XPO Logistics, Inc. et al.</w:t>
      </w:r>
      <w:r>
        <w:rPr>
          <w:rFonts w:ascii="Arial" w:cs="Arial" w:eastAsia="Arial" w:hAnsi="Arial"/>
          <w:sz w:val="18"/>
          <w:szCs w:val="18"/>
          <w:color w:val="auto"/>
        </w:rPr>
        <w:t>,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 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Briefing on defendants’ motion was completed on June 18, 2020, and the Court heard oral argument on June 30, 2020. The Court has not yet issued a decision on defendants’ motion to dismiss.</w:t>
      </w:r>
    </w:p>
    <w:p>
      <w:pPr>
        <w:spacing w:after="0" w:line="8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xml:space="preserve">, (“Jez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Jez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 Logistics, Inc.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On December 12, 2019, the court ordered plaintiffs to designate an operative complaint or file an amended complaint within 45 days.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27, 2020, plaintiffs designated the Jez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Defendants have not yet answered or moved against the operative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against the allegations. We are unable at this time to determine the amount of the possible loss or range of loss, if any, that we may incur as a result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to the information set forth in this Form 10-Q and the risk factors previously disclosed in Part I, Item 1A of our Annual Report on Form 10-K for the year ended December 31, 2019, you should carefully consider the following risk factors which could materially affect our business, financial condition or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4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our customers, employees and other business partners. The COVID-19 pandemic has created significant volatility, uncertainty and economic disruption, which will adversely affect our business operations and may materially and adversely affect our results of operations, cash flows and financial position.</w:t>
      </w:r>
    </w:p>
    <w:p>
      <w:pPr>
        <w:spacing w:after="0" w:line="4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For example, customer demand for our services in many parts of our business has been materially and negatively impacted by the mandated closure of our customers’ operations or points of sale, while customer demand for our services in other parts of our business has increased as consumers stockpile goods or switch to e-commerce platforms to make purchases. We experienced declines in demand for our services that began in the first quarter, had a substantial impact in the second quarter, and abated throughout the third quarter. Impacts on our business generally began a few weeks earlier in Europe than in the U.S., but have meaningfully affected our year-to-date results in both regions.</w:t>
      </w:r>
    </w:p>
    <w:p>
      <w:pPr>
        <w:spacing w:after="0" w:line="6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have incurred additional costs to ensure we meet the needs of our customers and employees, including costs for PPE, site closures and cleaning, and enhanced employee benefits such as additional paid leave and health benefits (including pandemic paid sick leave). We expect to continue to incur additional costs, which may be significant, as we implement operational changes in response to the pandemic.</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 our management is focused on mitigating the effects of COVID-19 on our business operations while protecting the health of our employees, which has required and will continue to require, a large investment of time and resources across our enterprise. In addition, we reduced our capital expenditures this year substantially from the level at which we have invested in our business in prior years.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do not respond appropriately to the pandemic, or if customers do not perceive our response to be adequate for the United States, Europe or our other international markets, we could suffer damage to our reputation and our brand, which could adversely affect our business. Likewise, an extended period of remote work arrangements could strain our business continuity plans, introduce operational risk, including but not limited to cybersecurity risks, and impair our ability to manage our business.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effect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including: the severity and duration of the outbreak; governmental, business and other actions (which could include limitations on our operations, mandates to provide services in a specified manner or specified liability for workplace infections); the promotion of social distancing and the adoption of shelter-in-place orders affecting our ability to provide our services; the impact of the pandemic on economic activity; the extent and duration of the effect on consumer confidence and spending, customer demand and buying patterns; the health of and the effect on our workforce and our ability to meet staffing needs, particularly if members of our workforce are quarantined as a result of exposure; any impairment in value of our tangible or intangible assets which could be recorded as a result of weaker economic conditions; and the potential effects on our internal controls including those over financial reporting as a result of changes in working environments such as shelter-in-place and similar orders that are applicable to our employees and business partners, among others. Further, provisions for bad debt expense may increase given the financial difficulty faced by our business partners, which could, among other things, impact our ability to borrow under our trade receivables securitization program and/or our revolving credit facility. In addition, if the pandemic continues to create disruptions or turmoil in the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markets, or impacts our credit ratings, it could adversely affect our ability to access capital on favorable terms and continue to meet our liquidity needs, all of which are highly uncertain and cannot be predicted.</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There are no comparable recent events that provide guidance as to the effect the spread of COVID-19 as a global pandemic may have, and, as a result, the ultimate impact of the outbreak is highly uncertain and subject to change. Due to the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anticipate that our results of operations will continue to be impacted by this pandemic in the fourth quarter of 2020, and the pandemic could have a material impact on our results of operations and heighten many of our known risks described in this Form 10-Q and the “Risk Factors” section of our Annual Report on Form 10-K for the year ended December 31, 2019, which is incorporated by reference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5.</w:t>
            </w:r>
          </w:p>
        </w:tc>
        <w:tc>
          <w:tcPr>
            <w:tcW w:w="34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 Information.</w:t>
            </w:r>
          </w:p>
        </w:tc>
        <w:tc>
          <w:tcPr>
            <w:tcW w:w="7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i w:val="1"/>
                <w:iCs w:val="1"/>
                <w:color w:val="auto"/>
              </w:rPr>
              <w:t>None.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34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Exhibits.</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gridSpan w:val="4"/>
          </w:tcPr>
          <w:p>
            <w:pPr>
              <w:jc w:val="center"/>
              <w:ind w:right="2700"/>
              <w:spacing w:after="0"/>
              <w:rPr>
                <w:sz w:val="20"/>
                <w:szCs w:val="20"/>
                <w:color w:val="auto"/>
              </w:rPr>
            </w:pPr>
            <w:r>
              <w:rPr>
                <w:rFonts w:ascii="Arial" w:cs="Arial" w:eastAsia="Arial" w:hAnsi="Arial"/>
                <w:sz w:val="14"/>
                <w:szCs w:val="14"/>
                <w:color w:val="auto"/>
                <w:w w:val="99"/>
              </w:rPr>
              <w:t>Exhibit</w:t>
            </w:r>
          </w:p>
        </w:tc>
        <w:tc>
          <w:tcPr>
            <w:tcW w:w="7240" w:type="dxa"/>
            <w:vAlign w:val="bottom"/>
            <w:vMerge w:val="restart"/>
          </w:tcPr>
          <w:p>
            <w:pPr>
              <w:ind w:left="19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Number</w:t>
            </w:r>
          </w:p>
        </w:tc>
        <w:tc>
          <w:tcPr>
            <w:tcW w:w="12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7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229" w:right="339" w:bottom="1440" w:gutter="0" w:footer="0" w:header="0"/>
        </w:sectPr>
      </w:pPr>
    </w:p>
    <w:p>
      <w:pPr>
        <w:ind w:left="420"/>
        <w:spacing w:after="0"/>
        <w:rPr>
          <w:sz w:val="20"/>
          <w:szCs w:val="20"/>
          <w:color w:val="auto"/>
        </w:rPr>
      </w:pPr>
      <w:r>
        <w:rPr>
          <w:rFonts w:ascii="Arial" w:cs="Arial" w:eastAsia="Arial" w:hAnsi="Arial"/>
          <w:sz w:val="17"/>
          <w:szCs w:val="17"/>
          <w:color w:val="auto"/>
        </w:rPr>
        <w:t>10.1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10.2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10.3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 *</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31.2 *</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32.1 **</w:t>
      </w: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32.2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60"/>
        <w:spacing w:after="0" w:line="263"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Employment Agreement, effective as of July 31, 2020, between the registrant and Bradley S. Jacobs (incorporated herein by reference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to Exhibit 10.5 to the registrant’s quarterly report on Form 10-Q for the quarter ended June 30, 2020 filed with the SEC on August 3,</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2020).</w:t>
        </w:r>
      </w:hyperlink>
    </w:p>
    <w:p>
      <w:pPr>
        <w:spacing w:after="0" w:line="184" w:lineRule="exact"/>
        <w:rPr>
          <w:rFonts w:ascii="Arial" w:cs="Arial" w:eastAsia="Arial" w:hAnsi="Arial"/>
          <w:sz w:val="18"/>
          <w:szCs w:val="18"/>
          <w:u w:val="single" w:color="auto"/>
          <w:color w:val="0000FF"/>
        </w:rPr>
      </w:pPr>
    </w:p>
    <w:p>
      <w:pPr>
        <w:ind w:right="120"/>
        <w:spacing w:after="0" w:line="263"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Employment Agreement, effective as of July 31, 2020, between the registrant and Troy A. Cooper (incorporated herein by reference to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Exhibit 10.6 to the registrant’s quarterly report on Form 10-Q for the quarter ended June 30, 2020 filed with the SEC on August 3,</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2020).</w:t>
        </w:r>
      </w:hyperlink>
    </w:p>
    <w:p>
      <w:pPr>
        <w:spacing w:after="0" w:line="184" w:lineRule="exact"/>
        <w:rPr>
          <w:rFonts w:ascii="Arial" w:cs="Arial" w:eastAsia="Arial" w:hAnsi="Arial"/>
          <w:sz w:val="18"/>
          <w:szCs w:val="18"/>
          <w:u w:val="single" w:color="auto"/>
          <w:color w:val="0000FF"/>
        </w:rPr>
      </w:pPr>
    </w:p>
    <w:p>
      <w:pPr>
        <w:ind w:right="140"/>
        <w:spacing w:after="0" w:line="263"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Employment Agreement, effective as of July 31, 2020, between the registrant and Mario A. Harik (incorporated herein by reference to</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Exhibit 10.7 to the registrant’s quarterly report on Form 10-Q for the quarter ended June 30, 2020 filed with the SEC on August 3,</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2020).</w:t>
        </w:r>
      </w:hyperlink>
    </w:p>
    <w:p>
      <w:pPr>
        <w:spacing w:after="0" w:line="184" w:lineRule="exact"/>
        <w:rPr>
          <w:rFonts w:ascii="Arial" w:cs="Arial" w:eastAsia="Arial" w:hAnsi="Arial"/>
          <w:sz w:val="18"/>
          <w:szCs w:val="18"/>
          <w:u w:val="single" w:color="auto"/>
          <w:color w:val="0000FF"/>
        </w:rPr>
      </w:pPr>
    </w:p>
    <w:p>
      <w:pPr>
        <w:ind w:right="720"/>
        <w:spacing w:after="0" w:line="277"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 of the Principal Executive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registrant’s Quarterly Report on Form 10-Q for the fiscal quarter ended September 30, 2020.</w:t>
        </w:r>
      </w:hyperlink>
    </w:p>
    <w:p>
      <w:pPr>
        <w:spacing w:after="0" w:line="170" w:lineRule="exact"/>
        <w:rPr>
          <w:sz w:val="20"/>
          <w:szCs w:val="20"/>
          <w:color w:val="auto"/>
        </w:rPr>
      </w:pPr>
    </w:p>
    <w:p>
      <w:pPr>
        <w:ind w:right="760"/>
        <w:spacing w:after="0" w:line="277" w:lineRule="auto"/>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Certification of the Principal Financial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registrant’s Quarterly Report on Form 10-Q for the fiscal quarter ended September 30, 2020.</w:t>
        </w:r>
      </w:hyperlink>
    </w:p>
    <w:p>
      <w:pPr>
        <w:spacing w:after="0" w:line="170" w:lineRule="exact"/>
        <w:rPr>
          <w:sz w:val="20"/>
          <w:szCs w:val="20"/>
          <w:color w:val="auto"/>
        </w:rPr>
      </w:pPr>
    </w:p>
    <w:p>
      <w:pPr>
        <w:ind w:right="720"/>
        <w:spacing w:after="0" w:line="277" w:lineRule="auto"/>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the Principal Executive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registrant’s Quarterly Report on Form 10-Q for the fiscal quarter ended September 30, 2020.</w:t>
        </w:r>
      </w:hyperlink>
    </w:p>
    <w:p>
      <w:pPr>
        <w:spacing w:after="0" w:line="170" w:lineRule="exact"/>
        <w:rPr>
          <w:sz w:val="20"/>
          <w:szCs w:val="20"/>
          <w:color w:val="auto"/>
        </w:rPr>
      </w:pPr>
    </w:p>
    <w:p>
      <w:pPr>
        <w:ind w:right="760"/>
        <w:spacing w:after="0" w:line="277" w:lineRule="auto"/>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 of the Principal Financial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registrant’s Quarterly Report on Form 10-Q for the fiscal quarter ended September 30, 2020.</w:t>
        </w:r>
      </w:hyperlink>
    </w:p>
    <w:p>
      <w:pPr>
        <w:spacing w:after="0" w:line="200" w:lineRule="exact"/>
        <w:rPr>
          <w:sz w:val="20"/>
          <w:szCs w:val="20"/>
          <w:color w:val="auto"/>
        </w:rPr>
      </w:pPr>
    </w:p>
    <w:p>
      <w:pPr>
        <w:sectPr>
          <w:pgSz w:w="11900" w:h="16838" w:orient="portrait"/>
          <w:cols w:equalWidth="0" w:num="2">
            <w:col w:w="920" w:space="500"/>
            <w:col w:w="982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Arial" w:cs="Arial" w:eastAsia="Arial" w:hAnsi="Arial"/>
                <w:sz w:val="14"/>
                <w:szCs w:val="14"/>
                <w:color w:val="auto"/>
                <w:w w:val="99"/>
              </w:rPr>
              <w:t>Exhibit</w:t>
            </w:r>
          </w:p>
        </w:tc>
        <w:tc>
          <w:tcPr>
            <w:tcW w:w="3220" w:type="dxa"/>
            <w:vAlign w:val="bottom"/>
            <w:vMerge w:val="restart"/>
          </w:tcPr>
          <w:p>
            <w:pPr>
              <w:ind w:left="2540"/>
              <w:spacing w:after="0"/>
              <w:rPr>
                <w:sz w:val="20"/>
                <w:szCs w:val="20"/>
                <w:color w:val="auto"/>
              </w:rPr>
            </w:pPr>
            <w:r>
              <w:rPr>
                <w:rFonts w:ascii="Arial" w:cs="Arial" w:eastAsia="Arial" w:hAnsi="Arial"/>
                <w:sz w:val="14"/>
                <w:szCs w:val="14"/>
                <w:color w:val="auto"/>
                <w:w w:val="94"/>
              </w:rPr>
              <w:t>Description</w:t>
            </w:r>
          </w:p>
        </w:tc>
        <w:tc>
          <w:tcPr>
            <w:tcW w:w="0" w:type="dxa"/>
            <w:vAlign w:val="bottom"/>
          </w:tcPr>
          <w:p>
            <w:pPr>
              <w:spacing w:after="0"/>
              <w:rPr>
                <w:sz w:val="1"/>
                <w:szCs w:val="1"/>
                <w:color w:val="auto"/>
              </w:rPr>
            </w:pPr>
          </w:p>
        </w:tc>
      </w:tr>
      <w:tr>
        <w:trPr>
          <w:trHeight w:val="182"/>
        </w:trPr>
        <w:tc>
          <w:tcPr>
            <w:tcW w:w="3040" w:type="dxa"/>
            <w:vAlign w:val="bottom"/>
          </w:tcPr>
          <w:p>
            <w:pPr>
              <w:jc w:val="center"/>
              <w:ind w:right="2488"/>
              <w:spacing w:after="0"/>
              <w:rPr>
                <w:sz w:val="20"/>
                <w:szCs w:val="20"/>
                <w:color w:val="auto"/>
              </w:rPr>
            </w:pPr>
            <w:r>
              <w:rPr>
                <w:rFonts w:ascii="Arial" w:cs="Arial" w:eastAsia="Arial" w:hAnsi="Arial"/>
                <w:sz w:val="14"/>
                <w:szCs w:val="14"/>
                <w:color w:val="auto"/>
                <w:w w:val="96"/>
              </w:rPr>
              <w:t>Number</w:t>
            </w: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101.INS *</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101.SCH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101.CAL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101.DEF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101.LAB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101.PRE *</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104 *</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Calculation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Definition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Presentation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 Page Interactive Data File (formatted as inline XBRL and contained in Exhibit 101).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60" w:space="160"/>
            <w:col w:w="9560"/>
          </w:cols>
          <w:pgMar w:left="320" w:top="229" w:right="5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Jacobs</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Brad Jacobs</w:t>
            </w:r>
          </w:p>
        </w:tc>
      </w:tr>
      <w:tr>
        <w:trPr>
          <w:trHeight w:val="230"/>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Wyshner</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David Wyshner</w:t>
            </w:r>
          </w:p>
        </w:tc>
      </w:tr>
      <w:tr>
        <w:trPr>
          <w:trHeight w:val="229"/>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2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Jacobs, certify that:</w:t>
      </w:r>
    </w:p>
    <w:p>
      <w:pPr>
        <w:spacing w:after="0" w:line="117" w:lineRule="exact"/>
        <w:rPr>
          <w:sz w:val="20"/>
          <w:szCs w:val="20"/>
          <w:color w:val="auto"/>
        </w:rPr>
      </w:pPr>
    </w:p>
    <w:p>
      <w:pPr>
        <w:ind w:left="640" w:hanging="18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11240"/>
          </w:cols>
          <w:pgMar w:left="320" w:top="141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Wyshner, certify that:</w:t>
      </w:r>
    </w:p>
    <w:p>
      <w:pPr>
        <w:spacing w:after="0" w:line="117" w:lineRule="exact"/>
        <w:rPr>
          <w:sz w:val="20"/>
          <w:szCs w:val="20"/>
          <w:color w:val="auto"/>
        </w:rPr>
      </w:pPr>
    </w:p>
    <w:p>
      <w:pPr>
        <w:ind w:left="640" w:hanging="18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11240"/>
          </w:cols>
          <w:pgMar w:left="320" w:top="141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Quarterly Report on Form 10-Q of the Company for the quarter ended September 30,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11240"/>
          </w:cols>
          <w:pgMar w:left="320" w:top="141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Quarterly Report on Form 10-Q of the Company for the quarter ended September 30,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8" Type="http://schemas.openxmlformats.org/officeDocument/2006/relationships/hyperlink" Target="http://www.sec.gov/Archives/edgar/data/1166003/000116600320000047/xpo2020q2ex-105.htm" TargetMode="External"/><Relationship Id="rId49" Type="http://schemas.openxmlformats.org/officeDocument/2006/relationships/hyperlink" Target="http://www.sec.gov/Archives/edgar/data/1166003/000116600320000047/xpo2020q2ex-106.htm" TargetMode="External"/><Relationship Id="rId50" Type="http://schemas.openxmlformats.org/officeDocument/2006/relationships/hyperlink" Target="http://www.sec.gov/Archives/edgar/data/1166003/000116600320000047/xpo2020q2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2020-11-06T15:49:11Z</dcterms:created>
  <dcterms:modified xsi:type="dcterms:W3CDTF">2020-11-06T15:49:11Z</dcterms:modified>
</cp:coreProperties>
</file>