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w:t>
      </w:r>
    </w:p>
    <w:p>
      <w:pPr>
        <w:pStyle w:val="TextBody"/>
        <w:bidi w:val="0"/>
        <w:spacing w:lineRule="auto" w:line="288" w:before="4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transition period from</w:t>
      </w:r>
      <w:r>
        <w:rPr>
          <w:rFonts w:ascii="Times New Roman;serif" w:hAnsi="Times New Roman;serif"/>
          <w:b/>
          <w:color w:val="000000"/>
          <w:sz w:val="16"/>
        </w:rPr>
        <w:t>____________</w:t>
      </w:r>
      <w:r>
        <w:rPr>
          <w:rFonts w:ascii="Times New Roman;serif" w:hAnsi="Times New Roman;serif"/>
          <w:b/>
          <w:color w:val="000000"/>
          <w:sz w:val="20"/>
        </w:rPr>
        <w:t>to</w:t>
      </w:r>
      <w:r>
        <w:rPr>
          <w:rFonts w:ascii="Times New Roman;serif" w:hAnsi="Times New Roman;serif"/>
          <w:b/>
          <w:color w:val="000000"/>
          <w:sz w:val="16"/>
        </w:rPr>
        <w:t>____________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001-32172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w:t>
      </w:r>
    </w:p>
    <w:p>
      <w:pPr>
        <w:pStyle w:val="TextBody"/>
        <w:bidi w:val="0"/>
        <w:spacing w:before="120" w:after="120"/>
        <w:jc w:val="center"/>
        <w:rPr/>
      </w:pPr>
      <w:r>
        <w:rPr/>
        <w:drawing>
          <wp:inline distT="0" distB="0" distL="0" distR="0">
            <wp:extent cx="128587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5875" cy="48577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XPO,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w:t>
      </w:r>
    </w:p>
    <w:tbl>
      <w:tblPr>
        <w:tblW w:w="4736" w:type="dxa"/>
        <w:jc w:val="center"/>
        <w:tblInd w:w="0" w:type="dxa"/>
        <w:tblLayout w:type="fixed"/>
        <w:tblCellMar>
          <w:top w:w="28" w:type="dxa"/>
          <w:left w:w="28" w:type="dxa"/>
          <w:bottom w:w="28" w:type="dxa"/>
          <w:right w:w="28" w:type="dxa"/>
        </w:tblCellMar>
      </w:tblPr>
      <w:tblGrid>
        <w:gridCol w:w="539"/>
        <w:gridCol w:w="473"/>
        <w:gridCol w:w="473"/>
        <w:gridCol w:w="473"/>
        <w:gridCol w:w="473"/>
        <w:gridCol w:w="494"/>
        <w:gridCol w:w="109"/>
        <w:gridCol w:w="109"/>
        <w:gridCol w:w="109"/>
        <w:gridCol w:w="433"/>
        <w:gridCol w:w="433"/>
        <w:gridCol w:w="618"/>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03-0450326</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Five American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Greenwich,</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06831</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(855) 976-6951</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60" w:after="283"/>
        <w:jc w:val="center"/>
        <w:rPr>
          <w:rFonts w:ascii="Times New Roman;serif" w:hAnsi="Times New Roman;serif"/>
          <w:b/>
          <w:color w:val="000000"/>
          <w:sz w:val="8"/>
        </w:rPr>
      </w:pPr>
      <w:r>
        <w:rPr>
          <w:rFonts w:ascii="Times New Roman;serif" w:hAnsi="Times New Roman;serif"/>
          <w:b/>
          <w:color w:val="000000"/>
          <w:sz w:val="8"/>
        </w:rPr>
        <w:t>______________________________________________________________________________________________________________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8"/>
        </w:rPr>
      </w:pPr>
      <w:r>
        <w:rPr>
          <w:rFonts w:ascii="Times New Roman;serif" w:hAnsi="Times New Roman;serif"/>
          <w:b/>
          <w:color w:val="000000"/>
          <w:sz w:val="8"/>
        </w:rPr>
        <w:t>______________________________________________________________________________________________________________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60" w:after="283"/>
        <w:jc w:val="left"/>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542" w:type="dxa"/>
        <w:jc w:val="center"/>
        <w:tblInd w:w="0" w:type="dxa"/>
        <w:tblLayout w:type="fixed"/>
        <w:tblCellMar>
          <w:top w:w="28" w:type="dxa"/>
          <w:left w:w="28" w:type="dxa"/>
          <w:bottom w:w="28" w:type="dxa"/>
          <w:right w:w="28" w:type="dxa"/>
        </w:tblCellMar>
      </w:tblPr>
      <w:tblGrid>
        <w:gridCol w:w="1128"/>
        <w:gridCol w:w="989"/>
        <w:gridCol w:w="1003"/>
        <w:gridCol w:w="109"/>
        <w:gridCol w:w="109"/>
        <w:gridCol w:w="109"/>
        <w:gridCol w:w="484"/>
        <w:gridCol w:w="484"/>
        <w:gridCol w:w="486"/>
        <w:gridCol w:w="109"/>
        <w:gridCol w:w="109"/>
        <w:gridCol w:w="109"/>
        <w:gridCol w:w="970"/>
        <w:gridCol w:w="970"/>
        <w:gridCol w:w="1374"/>
      </w:tblGrid>
      <w:tr>
        <w:trPr/>
        <w:tc>
          <w:tcPr>
            <w:tcW w:w="112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XPO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09"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July 24, 2026, there were 117,086,465 shares of the registrant’s common stock, par value $0.001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XPO,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180" w:after="283"/>
        <w:jc w:val="center"/>
        <w:rPr>
          <w:color w:val="000000"/>
        </w:rPr>
      </w:pPr>
      <w:r>
        <w:rPr>
          <w:color w:val="000000"/>
        </w:rPr>
        <w:t> </w:t>
      </w:r>
    </w:p>
    <w:tbl>
      <w:tblPr>
        <w:tblW w:w="8878" w:type="dxa"/>
        <w:jc w:val="left"/>
        <w:tblInd w:w="0" w:type="dxa"/>
        <w:tblLayout w:type="fixed"/>
        <w:tblCellMar>
          <w:top w:w="28" w:type="dxa"/>
          <w:left w:w="28" w:type="dxa"/>
          <w:bottom w:w="28" w:type="dxa"/>
          <w:right w:w="28" w:type="dxa"/>
        </w:tblCellMar>
      </w:tblPr>
      <w:tblGrid>
        <w:gridCol w:w="2892"/>
        <w:gridCol w:w="2539"/>
        <w:gridCol w:w="2548"/>
        <w:gridCol w:w="263"/>
        <w:gridCol w:w="263"/>
        <w:gridCol w:w="373"/>
      </w:tblGrid>
      <w:tr>
        <w:trPr/>
        <w:tc>
          <w:tcPr>
            <w:tcW w:w="2892"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10">
              <w:r>
                <w:rPr>
                  <w:rStyle w:val="InternetLink"/>
                  <w:rFonts w:ascii="Times New Roman;serif" w:hAnsi="Times New Roman;serif"/>
                  <w:b/>
                  <w:color w:val="0000FF"/>
                  <w:sz w:val="20"/>
                  <w:u w:val="single"/>
                </w:rPr>
                <w:t>Part I—Financial Information</w:t>
              </w:r>
            </w:hyperlink>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13">
              <w:r>
                <w:rPr>
                  <w:rStyle w:val="InternetLink"/>
                  <w:rFonts w:ascii="Times New Roman;serif" w:hAnsi="Times New Roman;serif"/>
                  <w:b w:val="false"/>
                  <w:color w:val="0000FF"/>
                  <w:sz w:val="20"/>
                  <w:u w:val="single"/>
                </w:rPr>
                <w:t>Item 1. Financial Statements (Unaudited):</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16">
              <w:r>
                <w:rPr>
                  <w:rStyle w:val="InternetLink"/>
                  <w:rFonts w:ascii="Times New Roman;serif" w:hAnsi="Times New Roman;serif"/>
                  <w:b w:val="false"/>
                  <w:color w:val="0000FF"/>
                  <w:sz w:val="20"/>
                  <w:u w:val="single"/>
                </w:rPr>
                <w:t>Condensed Consolidated Balance Sheets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16">
              <w:r>
                <w:rPr>
                  <w:rStyle w:val="InternetLink"/>
                  <w:rFonts w:ascii="Times New Roman;serif" w:hAnsi="Times New Roman;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19">
              <w:r>
                <w:rPr>
                  <w:rStyle w:val="InternetLink"/>
                  <w:rFonts w:ascii="Times New Roman;serif" w:hAnsi="Times New Roman;serif"/>
                  <w:b w:val="false"/>
                  <w:color w:val="0000FF"/>
                  <w:sz w:val="20"/>
                  <w:u w:val="single"/>
                </w:rPr>
                <w:t>Condensed Consolidated Statements of Income</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19">
              <w:r>
                <w:rPr>
                  <w:rStyle w:val="InternetLink"/>
                  <w:rFonts w:ascii="Times New Roman;serif" w:hAnsi="Times New Roman;serif"/>
                  <w:b w:val="false"/>
                  <w:color w:val="0000FF"/>
                  <w:sz w:val="20"/>
                  <w:u w:val="single"/>
                </w:rPr>
                <w:t>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22">
              <w:r>
                <w:rPr>
                  <w:rStyle w:val="InternetLink"/>
                  <w:rFonts w:ascii="Times New Roman;serif" w:hAnsi="Times New Roman;serif"/>
                  <w:b w:val="false"/>
                  <w:color w:val="0000FF"/>
                  <w:sz w:val="20"/>
                  <w:u w:val="single"/>
                </w:rPr>
                <w:t>Condensed Consolidated Statements of Comprehensive Income</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22">
              <w:r>
                <w:rPr>
                  <w:rStyle w:val="InternetLink"/>
                  <w:rFonts w:ascii="Times New Roman;serif" w:hAnsi="Times New Roman;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25">
              <w:r>
                <w:rPr>
                  <w:rStyle w:val="InternetLink"/>
                  <w:rFonts w:ascii="Times New Roman;serif" w:hAnsi="Times New Roman;serif"/>
                  <w:b w:val="false"/>
                  <w:color w:val="0000FF"/>
                  <w:sz w:val="20"/>
                  <w:u w:val="single"/>
                </w:rPr>
                <w:t>Condensed Consolidated Statements of Cash Flows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25">
              <w:r>
                <w:rPr>
                  <w:rStyle w:val="InternetLink"/>
                  <w:rFonts w:ascii="Times New Roman;serif" w:hAnsi="Times New Roman;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28">
              <w:r>
                <w:rPr>
                  <w:rStyle w:val="InternetLink"/>
                  <w:rFonts w:ascii="Times New Roman;serif" w:hAnsi="Times New Roman;serif"/>
                  <w:b w:val="false"/>
                  <w:color w:val="0000FF"/>
                  <w:sz w:val="20"/>
                  <w:u w:val="single"/>
                </w:rPr>
                <w:t>Condensed Consolidated Statements of Changes in Equity</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28">
              <w:r>
                <w:rPr>
                  <w:rStyle w:val="InternetLink"/>
                  <w:rFonts w:ascii="Times New Roman;serif" w:hAnsi="Times New Roman;serif"/>
                  <w:b w:val="false"/>
                  <w:color w:val="0000FF"/>
                  <w:sz w:val="20"/>
                  <w:u w:val="singl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31">
              <w:r>
                <w:rPr>
                  <w:rStyle w:val="InternetLink"/>
                  <w:rFonts w:ascii="Times New Roman;serif" w:hAnsi="Times New Roman;serif"/>
                  <w:b w:val="false"/>
                  <w:color w:val="0000FF"/>
                  <w:sz w:val="20"/>
                  <w:u w:val="single"/>
                </w:rPr>
                <w:t>Notes to Condensed Consolidated Financial Statements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31">
              <w:r>
                <w:rPr>
                  <w:rStyle w:val="InternetLink"/>
                  <w:rFonts w:ascii="Times New Roman;serif" w:hAnsi="Times New Roman;serif"/>
                  <w:b w:val="false"/>
                  <w:color w:val="0000FF"/>
                  <w:sz w:val="20"/>
                  <w:u w:val="singl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73">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73">
              <w:r>
                <w:rPr>
                  <w:rStyle w:val="InternetLink"/>
                  <w:rFonts w:ascii="Times New Roman;serif" w:hAnsi="Times New Roman;serif"/>
                  <w:b w:val="false"/>
                  <w:color w:val="0000FF"/>
                  <w:sz w:val="20"/>
                  <w:u w:val="single"/>
                </w:rPr>
                <w:t>20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91">
              <w:r>
                <w:rPr>
                  <w:rStyle w:val="InternetLink"/>
                  <w:rFonts w:ascii="Times New Roman;serif" w:hAnsi="Times New Roman;serif"/>
                  <w:b w:val="false"/>
                  <w:color w:val="0000FF"/>
                  <w:sz w:val="20"/>
                  <w:u w:val="single"/>
                </w:rPr>
                <w:t>Item 3. Quantitative and Qualitative Disclosures About Market Risk</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91">
              <w:r>
                <w:rPr>
                  <w:rStyle w:val="InternetLink"/>
                  <w:rFonts w:ascii="Times New Roman;serif" w:hAnsi="Times New Roman;serif"/>
                  <w:b w:val="false"/>
                  <w:color w:val="0000FF"/>
                  <w:sz w:val="20"/>
                  <w:u w:val="single"/>
                </w:rPr>
                <w:t>29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94">
              <w:r>
                <w:rPr>
                  <w:rStyle w:val="InternetLink"/>
                  <w:rFonts w:ascii="Times New Roman;serif" w:hAnsi="Times New Roman;serif"/>
                  <w:b w:val="false"/>
                  <w:color w:val="0000FF"/>
                  <w:sz w:val="20"/>
                  <w:u w:val="single"/>
                </w:rPr>
                <w:t>Item 4. Controls and Procedures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94">
              <w:r>
                <w:rPr>
                  <w:rStyle w:val="InternetLink"/>
                  <w:rFonts w:ascii="Times New Roman;serif" w:hAnsi="Times New Roman;serif"/>
                  <w:b w:val="false"/>
                  <w:color w:val="0000FF"/>
                  <w:sz w:val="20"/>
                  <w:u w:val="single"/>
                </w:rPr>
                <w:t>29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97">
              <w:r>
                <w:rPr>
                  <w:rStyle w:val="InternetLink"/>
                  <w:rFonts w:ascii="Times New Roman;serif" w:hAnsi="Times New Roman;serif"/>
                  <w:b/>
                  <w:color w:val="0000FF"/>
                  <w:sz w:val="20"/>
                  <w:u w:val="single"/>
                </w:rPr>
                <w:t>Part II—Other Information</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100">
              <w:r>
                <w:rPr>
                  <w:rStyle w:val="InternetLink"/>
                  <w:rFonts w:ascii="Times New Roman;serif" w:hAnsi="Times New Roman;serif"/>
                  <w:b w:val="false"/>
                  <w:color w:val="0000FF"/>
                  <w:sz w:val="20"/>
                  <w:u w:val="single"/>
                </w:rPr>
                <w:t>Item 1. Legal Proceedings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100">
              <w:r>
                <w:rPr>
                  <w:rStyle w:val="InternetLink"/>
                  <w:rFonts w:ascii="Times New Roman;serif" w:hAnsi="Times New Roman;serif"/>
                  <w:b w:val="false"/>
                  <w:color w:val="0000FF"/>
                  <w:sz w:val="20"/>
                  <w:u w:val="single"/>
                </w:rPr>
                <w:t>29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103">
              <w:r>
                <w:rPr>
                  <w:rStyle w:val="InternetLink"/>
                  <w:rFonts w:ascii="Times New Roman;serif" w:hAnsi="Times New Roman;serif"/>
                  <w:b w:val="false"/>
                  <w:color w:val="0000FF"/>
                  <w:sz w:val="20"/>
                  <w:u w:val="single"/>
                </w:rPr>
                <w:t>Item 1A. Risk Factors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103">
              <w:r>
                <w:rPr>
                  <w:rStyle w:val="InternetLink"/>
                  <w:rFonts w:ascii="Times New Roman;serif" w:hAnsi="Times New Roman;serif"/>
                  <w:b w:val="false"/>
                  <w:color w:val="0000FF"/>
                  <w:sz w:val="20"/>
                  <w:u w:val="single"/>
                </w:rPr>
                <w:t>30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106">
              <w:r>
                <w:rPr>
                  <w:rStyle w:val="InternetLink"/>
                  <w:rFonts w:ascii="Times New Roman;serif" w:hAnsi="Times New Roman;serif"/>
                  <w:b w:val="false"/>
                  <w:color w:val="0000FF"/>
                  <w:sz w:val="20"/>
                  <w:u w:val="single"/>
                </w:rPr>
                <w:t>Item 2. Unregistered Sales of Equity Securities and Use of Proceeds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106">
              <w:r>
                <w:rPr>
                  <w:rStyle w:val="InternetLink"/>
                  <w:rFonts w:ascii="Times New Roman;serif" w:hAnsi="Times New Roman;serif"/>
                  <w:b w:val="false"/>
                  <w:color w:val="0000FF"/>
                  <w:sz w:val="20"/>
                  <w:u w:val="single"/>
                </w:rPr>
                <w:t>30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109">
              <w:r>
                <w:rPr>
                  <w:rStyle w:val="InternetLink"/>
                  <w:rFonts w:ascii="Times New Roman;serif" w:hAnsi="Times New Roman;serif"/>
                  <w:b w:val="false"/>
                  <w:color w:val="0000FF"/>
                  <w:sz w:val="20"/>
                  <w:u w:val="single"/>
                </w:rPr>
                <w:t>Item 3. Defaults Upon Senior Securities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109">
              <w:r>
                <w:rPr>
                  <w:rStyle w:val="InternetLink"/>
                  <w:rFonts w:ascii="Times New Roman;serif" w:hAnsi="Times New Roman;serif"/>
                  <w:b w:val="false"/>
                  <w:color w:val="0000FF"/>
                  <w:sz w:val="20"/>
                  <w:u w:val="single"/>
                </w:rPr>
                <w:t>30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112">
              <w:r>
                <w:rPr>
                  <w:rStyle w:val="InternetLink"/>
                  <w:rFonts w:ascii="Times New Roman;serif" w:hAnsi="Times New Roman;serif"/>
                  <w:b w:val="false"/>
                  <w:color w:val="0000FF"/>
                  <w:sz w:val="20"/>
                  <w:u w:val="single"/>
                </w:rPr>
                <w:t>Item 4. Mine Safety Disclosures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112">
              <w:r>
                <w:rPr>
                  <w:rStyle w:val="InternetLink"/>
                  <w:rFonts w:ascii="Times New Roman;serif" w:hAnsi="Times New Roman;serif"/>
                  <w:b w:val="false"/>
                  <w:color w:val="0000FF"/>
                  <w:sz w:val="20"/>
                  <w:u w:val="single"/>
                </w:rPr>
                <w:t>30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115">
              <w:r>
                <w:rPr>
                  <w:rStyle w:val="InternetLink"/>
                  <w:rFonts w:ascii="Times New Roman;serif" w:hAnsi="Times New Roman;serif"/>
                  <w:b w:val="false"/>
                  <w:color w:val="0000FF"/>
                  <w:sz w:val="20"/>
                  <w:u w:val="single"/>
                </w:rPr>
                <w:t>Item 5. Other Information</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115">
              <w:r>
                <w:rPr>
                  <w:rStyle w:val="InternetLink"/>
                  <w:rFonts w:ascii="Times New Roman;serif" w:hAnsi="Times New Roman;serif"/>
                  <w:b w:val="false"/>
                  <w:color w:val="0000FF"/>
                  <w:sz w:val="20"/>
                  <w:u w:val="single"/>
                </w:rPr>
                <w:t>31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118">
              <w:r>
                <w:rPr>
                  <w:rStyle w:val="InternetLink"/>
                  <w:rFonts w:ascii="Times New Roman;serif" w:hAnsi="Times New Roman;serif"/>
                  <w:b w:val="false"/>
                  <w:color w:val="0000FF"/>
                  <w:sz w:val="20"/>
                  <w:u w:val="single"/>
                </w:rPr>
                <w:t>Item 6. Exhibits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118">
              <w:r>
                <w:rPr>
                  <w:rStyle w:val="InternetLink"/>
                  <w:rFonts w:ascii="Times New Roman;serif" w:hAnsi="Times New Roman;serif"/>
                  <w:b w:val="false"/>
                  <w:color w:val="0000FF"/>
                  <w:sz w:val="20"/>
                  <w:u w:val="single"/>
                </w:rPr>
                <w:t>31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876fc1d67a49bbb2d7a0a0a3a95e25_121">
              <w:r>
                <w:rPr>
                  <w:rStyle w:val="InternetLink"/>
                  <w:rFonts w:ascii="Times New Roman;serif" w:hAnsi="Times New Roman;serif"/>
                  <w:b w:val="false"/>
                  <w:color w:val="0000FF"/>
                  <w:sz w:val="20"/>
                  <w:u w:val="single"/>
                </w:rPr>
                <w:t>Signatures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876fc1d67a49bbb2d7a0a0a3a95e25_121">
              <w:r>
                <w:rPr>
                  <w:rStyle w:val="InternetLink"/>
                  <w:rFonts w:ascii="Times New Roman;serif" w:hAnsi="Times New Roman;serif"/>
                  <w:b w:val="false"/>
                  <w:color w:val="0000FF"/>
                  <w:sz w:val="20"/>
                  <w:u w:val="singl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XPO,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33"/>
        <w:gridCol w:w="2368"/>
        <w:gridCol w:w="2380"/>
        <w:gridCol w:w="109"/>
        <w:gridCol w:w="109"/>
        <w:gridCol w:w="109"/>
        <w:gridCol w:w="211"/>
        <w:gridCol w:w="616"/>
        <w:gridCol w:w="109"/>
        <w:gridCol w:w="109"/>
        <w:gridCol w:w="109"/>
        <w:gridCol w:w="109"/>
        <w:gridCol w:w="243"/>
        <w:gridCol w:w="711"/>
        <w:gridCol w:w="180"/>
      </w:tblGrid>
      <w:tr>
        <w:trPr/>
        <w:tc>
          <w:tcPr>
            <w:tcW w:w="2733"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$40 and $40,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$2,427 and $2,360 in accumulated depreciation,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net of $604 and $580 in accumulated amortization,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and 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$0.001 par value; 300 shares authorized; 117 shares issued and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Amounts may not add due to rounding.</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050"/>
                <wp:effectExtent l="0" t="0" r="0" b="0"/>
                <wp:wrapNone/>
                <wp:docPr id="4" name="Frame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XPO,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9690" w:type="dxa"/>
        <w:jc w:val="center"/>
        <w:tblInd w:w="0" w:type="dxa"/>
        <w:tblLayout w:type="fixed"/>
        <w:tblCellMar>
          <w:top w:w="28" w:type="dxa"/>
          <w:left w:w="28" w:type="dxa"/>
          <w:bottom w:w="28" w:type="dxa"/>
          <w:right w:w="28" w:type="dxa"/>
        </w:tblCellMar>
      </w:tblPr>
      <w:tblGrid>
        <w:gridCol w:w="1638"/>
        <w:gridCol w:w="1442"/>
        <w:gridCol w:w="1450"/>
        <w:gridCol w:w="109"/>
        <w:gridCol w:w="109"/>
        <w:gridCol w:w="109"/>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63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wages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operating expenses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taxes and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sales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Pre-Con-way acquisition environmental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matters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extinguishment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Amounts may not add due to rounding.</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050"/>
                <wp:effectExtent l="0" t="0" r="0" b="0"/>
                <wp:wrapNone/>
                <wp:docPr id="5" name="Frame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XPO,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9889" w:type="dxa"/>
        <w:jc w:val="center"/>
        <w:tblInd w:w="0" w:type="dxa"/>
        <w:tblLayout w:type="fixed"/>
        <w:tblCellMar>
          <w:top w:w="28" w:type="dxa"/>
          <w:left w:w="28" w:type="dxa"/>
          <w:bottom w:w="28" w:type="dxa"/>
          <w:right w:w="28" w:type="dxa"/>
        </w:tblCellMar>
      </w:tblPr>
      <w:tblGrid>
        <w:gridCol w:w="2071"/>
        <w:gridCol w:w="1386"/>
        <w:gridCol w:w="1403"/>
        <w:gridCol w:w="109"/>
        <w:gridCol w:w="109"/>
        <w:gridCol w:w="109"/>
        <w:gridCol w:w="251"/>
        <w:gridCol w:w="556"/>
        <w:gridCol w:w="130"/>
        <w:gridCol w:w="130"/>
        <w:gridCol w:w="130"/>
        <w:gridCol w:w="130"/>
        <w:gridCol w:w="251"/>
        <w:gridCol w:w="556"/>
        <w:gridCol w:w="130"/>
        <w:gridCol w:w="109"/>
        <w:gridCol w:w="109"/>
        <w:gridCol w:w="109"/>
        <w:gridCol w:w="229"/>
        <w:gridCol w:w="507"/>
        <w:gridCol w:w="118"/>
        <w:gridCol w:w="118"/>
        <w:gridCol w:w="118"/>
        <w:gridCol w:w="118"/>
        <w:gridCol w:w="229"/>
        <w:gridCol w:w="507"/>
        <w:gridCol w:w="167"/>
      </w:tblGrid>
      <w:tr>
        <w:trPr/>
        <w:tc>
          <w:tcPr>
            <w:tcW w:w="207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 net of tax effect of</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$(1), $14, $(4) and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assets/liabilities</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designated as hedging instruments, net of tax effect of</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 $— and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Amounts may not add due to rounding.</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050"/>
                <wp:effectExtent l="0" t="0" r="0" b="0"/>
                <wp:wrapNone/>
                <wp:docPr id="6" name="Frame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XPO,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8662" w:type="dxa"/>
        <w:jc w:val="center"/>
        <w:tblInd w:w="0" w:type="dxa"/>
        <w:tblLayout w:type="fixed"/>
        <w:tblCellMar>
          <w:top w:w="28" w:type="dxa"/>
          <w:left w:w="28" w:type="dxa"/>
          <w:bottom w:w="28" w:type="dxa"/>
          <w:right w:w="28" w:type="dxa"/>
        </w:tblCellMar>
      </w:tblPr>
      <w:tblGrid>
        <w:gridCol w:w="2248"/>
        <w:gridCol w:w="1978"/>
        <w:gridCol w:w="1998"/>
        <w:gridCol w:w="109"/>
        <w:gridCol w:w="109"/>
        <w:gridCol w:w="109"/>
        <w:gridCol w:w="229"/>
        <w:gridCol w:w="507"/>
        <w:gridCol w:w="118"/>
        <w:gridCol w:w="118"/>
        <w:gridCol w:w="118"/>
        <w:gridCol w:w="118"/>
        <w:gridCol w:w="229"/>
        <w:gridCol w:w="507"/>
        <w:gridCol w:w="167"/>
      </w:tblGrid>
      <w:tr>
        <w:trPr/>
        <w:tc>
          <w:tcPr>
            <w:tcW w:w="2248"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2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to net 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sales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settlement of cross-currency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finance leases and 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bank overdrafts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tax withholdings for 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Amounts may not add due to rounding.</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050"/>
                <wp:effectExtent l="0" t="0" r="0" b="0"/>
                <wp:wrapNone/>
                <wp:docPr id="7" name="Frame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XPO,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52"/>
        <w:gridCol w:w="447"/>
        <w:gridCol w:w="451"/>
        <w:gridCol w:w="109"/>
        <w:gridCol w:w="109"/>
        <w:gridCol w:w="109"/>
        <w:gridCol w:w="109"/>
        <w:gridCol w:w="109"/>
        <w:gridCol w:w="137"/>
        <w:gridCol w:w="137"/>
        <w:gridCol w:w="385"/>
        <w:gridCol w:w="366"/>
        <w:gridCol w:w="138"/>
        <w:gridCol w:w="109"/>
        <w:gridCol w:w="109"/>
        <w:gridCol w:w="109"/>
        <w:gridCol w:w="196"/>
        <w:gridCol w:w="406"/>
        <w:gridCol w:w="109"/>
        <w:gridCol w:w="109"/>
        <w:gridCol w:w="109"/>
        <w:gridCol w:w="109"/>
        <w:gridCol w:w="225"/>
        <w:gridCol w:w="656"/>
        <w:gridCol w:w="125"/>
        <w:gridCol w:w="109"/>
        <w:gridCol w:w="109"/>
        <w:gridCol w:w="109"/>
        <w:gridCol w:w="207"/>
        <w:gridCol w:w="605"/>
        <w:gridCol w:w="115"/>
        <w:gridCol w:w="109"/>
        <w:gridCol w:w="109"/>
        <w:gridCol w:w="109"/>
        <w:gridCol w:w="282"/>
        <w:gridCol w:w="628"/>
        <w:gridCol w:w="158"/>
        <w:gridCol w:w="109"/>
        <w:gridCol w:w="109"/>
        <w:gridCol w:w="109"/>
        <w:gridCol w:w="109"/>
        <w:gridCol w:w="109"/>
        <w:gridCol w:w="146"/>
        <w:gridCol w:w="109"/>
        <w:gridCol w:w="196"/>
        <w:gridCol w:w="571"/>
        <w:gridCol w:w="160"/>
      </w:tblGrid>
      <w:tr>
        <w:trPr/>
        <w:tc>
          <w:tcPr>
            <w:tcW w:w="85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6" w:type="dxa"/>
            <w:gridSpan w:val="4"/>
            <w:tcBorders/>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(Shares in thousands,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117,408</w:t>
            </w: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1,055</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989</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(194)</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1,851</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Exercise and vesting of stock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Tax withholdings related to vesting of stock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117,083</w:t>
            </w:r>
            <w:r>
              <w:rPr>
                <w:color w:val="000000"/>
              </w:rPr>
              <w:t>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1,005</w:t>
            </w:r>
            <w:r>
              <w:rPr>
                <w:color w:val="000000"/>
              </w:rPr>
              <w:t>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1,151</w:t>
            </w:r>
            <w:r>
              <w:rPr>
                <w:color w:val="000000"/>
              </w:rPr>
              <w:t>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(194)</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1,962</w:t>
            </w:r>
            <w:r>
              <w:rPr>
                <w:color w:val="000000"/>
              </w:rPr>
              <w:t>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52"/>
        <w:gridCol w:w="447"/>
        <w:gridCol w:w="451"/>
        <w:gridCol w:w="109"/>
        <w:gridCol w:w="109"/>
        <w:gridCol w:w="109"/>
        <w:gridCol w:w="109"/>
        <w:gridCol w:w="109"/>
        <w:gridCol w:w="137"/>
        <w:gridCol w:w="137"/>
        <w:gridCol w:w="385"/>
        <w:gridCol w:w="366"/>
        <w:gridCol w:w="138"/>
        <w:gridCol w:w="109"/>
        <w:gridCol w:w="109"/>
        <w:gridCol w:w="109"/>
        <w:gridCol w:w="196"/>
        <w:gridCol w:w="406"/>
        <w:gridCol w:w="109"/>
        <w:gridCol w:w="109"/>
        <w:gridCol w:w="109"/>
        <w:gridCol w:w="109"/>
        <w:gridCol w:w="225"/>
        <w:gridCol w:w="656"/>
        <w:gridCol w:w="125"/>
        <w:gridCol w:w="109"/>
        <w:gridCol w:w="109"/>
        <w:gridCol w:w="109"/>
        <w:gridCol w:w="207"/>
        <w:gridCol w:w="605"/>
        <w:gridCol w:w="115"/>
        <w:gridCol w:w="109"/>
        <w:gridCol w:w="109"/>
        <w:gridCol w:w="109"/>
        <w:gridCol w:w="282"/>
        <w:gridCol w:w="628"/>
        <w:gridCol w:w="158"/>
        <w:gridCol w:w="109"/>
        <w:gridCol w:w="109"/>
        <w:gridCol w:w="109"/>
        <w:gridCol w:w="109"/>
        <w:gridCol w:w="109"/>
        <w:gridCol w:w="146"/>
        <w:gridCol w:w="109"/>
        <w:gridCol w:w="196"/>
        <w:gridCol w:w="571"/>
        <w:gridCol w:w="160"/>
      </w:tblGrid>
      <w:tr>
        <w:trPr/>
        <w:tc>
          <w:tcPr>
            <w:tcW w:w="85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6" w:type="dxa"/>
            <w:gridSpan w:val="4"/>
            <w:tcBorders/>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(Shares in thousands,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116,954</w:t>
            </w: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1,160</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888</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(187)</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1,861</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Exercise and vesting of stock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Tax withholdings related to vesting of stock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117,083</w:t>
            </w:r>
            <w:r>
              <w:rPr>
                <w:color w:val="000000"/>
              </w:rPr>
              <w:t>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1,005</w:t>
            </w:r>
            <w:r>
              <w:rPr>
                <w:color w:val="000000"/>
              </w:rPr>
              <w:t>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1,151</w:t>
            </w:r>
            <w:r>
              <w:rPr>
                <w:color w:val="000000"/>
              </w:rPr>
              <w:t>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(194)</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1,962</w:t>
            </w:r>
            <w:r>
              <w:rPr>
                <w:color w:val="000000"/>
              </w:rPr>
              <w:t>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4050"/>
                <wp:effectExtent l="0" t="0" r="0" b="0"/>
                <wp:wrapNone/>
                <wp:docPr id="8" name="Frame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81"/>
        <w:gridCol w:w="483"/>
        <w:gridCol w:w="486"/>
        <w:gridCol w:w="109"/>
        <w:gridCol w:w="109"/>
        <w:gridCol w:w="109"/>
        <w:gridCol w:w="109"/>
        <w:gridCol w:w="109"/>
        <w:gridCol w:w="139"/>
        <w:gridCol w:w="139"/>
        <w:gridCol w:w="385"/>
        <w:gridCol w:w="366"/>
        <w:gridCol w:w="140"/>
        <w:gridCol w:w="109"/>
        <w:gridCol w:w="109"/>
        <w:gridCol w:w="109"/>
        <w:gridCol w:w="196"/>
        <w:gridCol w:w="406"/>
        <w:gridCol w:w="109"/>
        <w:gridCol w:w="109"/>
        <w:gridCol w:w="109"/>
        <w:gridCol w:w="109"/>
        <w:gridCol w:w="230"/>
        <w:gridCol w:w="671"/>
        <w:gridCol w:w="127"/>
        <w:gridCol w:w="109"/>
        <w:gridCol w:w="109"/>
        <w:gridCol w:w="109"/>
        <w:gridCol w:w="219"/>
        <w:gridCol w:w="487"/>
        <w:gridCol w:w="121"/>
        <w:gridCol w:w="109"/>
        <w:gridCol w:w="109"/>
        <w:gridCol w:w="109"/>
        <w:gridCol w:w="285"/>
        <w:gridCol w:w="634"/>
        <w:gridCol w:w="159"/>
        <w:gridCol w:w="109"/>
        <w:gridCol w:w="109"/>
        <w:gridCol w:w="109"/>
        <w:gridCol w:w="109"/>
        <w:gridCol w:w="109"/>
        <w:gridCol w:w="109"/>
        <w:gridCol w:w="109"/>
        <w:gridCol w:w="196"/>
        <w:gridCol w:w="571"/>
        <w:gridCol w:w="159"/>
      </w:tblGrid>
      <w:tr>
        <w:trPr/>
        <w:tc>
          <w:tcPr>
            <w:tcW w:w="8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4"/>
            <w:tcBorders/>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(Shares in thousands,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8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117,788</w:t>
            </w: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1,227</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641</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(228)</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1,640</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Exercise and vesting of stock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Tax withholdings related to vesting of stock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117,745</w:t>
            </w:r>
            <w:r>
              <w:rPr>
                <w:color w:val="000000"/>
              </w:rPr>
              <w:t>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1,233</w:t>
            </w:r>
            <w:r>
              <w:rPr>
                <w:color w:val="000000"/>
              </w:rPr>
              <w:t>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747</w:t>
            </w:r>
            <w:r>
              <w:rPr>
                <w:color w:val="000000"/>
              </w:rPr>
              <w:t>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(199)</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1,781</w:t>
            </w:r>
            <w:r>
              <w:rPr>
                <w:color w:val="000000"/>
              </w:rPr>
              <w:t>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81"/>
        <w:gridCol w:w="483"/>
        <w:gridCol w:w="486"/>
        <w:gridCol w:w="109"/>
        <w:gridCol w:w="109"/>
        <w:gridCol w:w="109"/>
        <w:gridCol w:w="109"/>
        <w:gridCol w:w="109"/>
        <w:gridCol w:w="139"/>
        <w:gridCol w:w="139"/>
        <w:gridCol w:w="385"/>
        <w:gridCol w:w="366"/>
        <w:gridCol w:w="140"/>
        <w:gridCol w:w="109"/>
        <w:gridCol w:w="109"/>
        <w:gridCol w:w="109"/>
        <w:gridCol w:w="196"/>
        <w:gridCol w:w="406"/>
        <w:gridCol w:w="109"/>
        <w:gridCol w:w="109"/>
        <w:gridCol w:w="109"/>
        <w:gridCol w:w="109"/>
        <w:gridCol w:w="230"/>
        <w:gridCol w:w="671"/>
        <w:gridCol w:w="127"/>
        <w:gridCol w:w="109"/>
        <w:gridCol w:w="109"/>
        <w:gridCol w:w="109"/>
        <w:gridCol w:w="219"/>
        <w:gridCol w:w="487"/>
        <w:gridCol w:w="121"/>
        <w:gridCol w:w="109"/>
        <w:gridCol w:w="109"/>
        <w:gridCol w:w="109"/>
        <w:gridCol w:w="285"/>
        <w:gridCol w:w="634"/>
        <w:gridCol w:w="159"/>
        <w:gridCol w:w="109"/>
        <w:gridCol w:w="109"/>
        <w:gridCol w:w="109"/>
        <w:gridCol w:w="109"/>
        <w:gridCol w:w="109"/>
        <w:gridCol w:w="109"/>
        <w:gridCol w:w="109"/>
        <w:gridCol w:w="196"/>
        <w:gridCol w:w="571"/>
        <w:gridCol w:w="159"/>
      </w:tblGrid>
      <w:tr>
        <w:trPr/>
        <w:tc>
          <w:tcPr>
            <w:tcW w:w="8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4"/>
            <w:tcBorders/>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(Shares in thousands,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8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117,174</w:t>
            </w: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1,274</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572</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(246)</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1,601</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Exercise and vesting of stock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Tax withholdings related to vesting of stock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117,745</w:t>
            </w:r>
            <w:r>
              <w:rPr>
                <w:color w:val="000000"/>
              </w:rPr>
              <w:t>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1,233</w:t>
            </w:r>
            <w:r>
              <w:rPr>
                <w:color w:val="000000"/>
              </w:rPr>
              <w:t>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747</w:t>
            </w:r>
            <w:r>
              <w:rPr>
                <w:color w:val="000000"/>
              </w:rPr>
              <w:t>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(199)</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1,781</w:t>
            </w:r>
            <w:r>
              <w:rPr>
                <w:color w:val="000000"/>
              </w:rPr>
              <w:t>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Amounts may not add due to rounding.</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54050"/>
                <wp:effectExtent l="0" t="0" r="0" b="0"/>
                <wp:wrapNone/>
                <wp:docPr id="9" name="Frame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XPO,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 Description of Business and Basis of Presentation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Nature of Operations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XPO, Inc., together with its subsidiaries (“XPO,” “we” or the “Company”), is a leading provider of freight transportation services. We use our proprietary technology to move goods efficiently through our customers’ supply chains in North America and Europe. See Note 2—Segment Reporting for additional information on our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prepared our Condensed Consolidated Financial Statements in accordance with U.S. generally accepted accounting principles (“GAAP”) and on the same basis as the accounting policies described in our Annual Report on Form 10-K for the year ended December 31, 2025 (the “2025 Form 10-K”). The interim reporting requirements of Form 10-Q allow certain information and note disclosures normally included in annual consolidated financial statements to be condensed or omitted. These Condensed Consolidated Financial Statements should be read in conjunction with the 2025 Form 10-K.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are not audited but reflect all adjustments that are of a normal recurring nature and are necessary for a fair presentation of the financial condition, operating results and cash flows for the interim periods presented. Operating results for the six months ended June 30, 2026 are not necessarily indicative of the results that may be expected for the year ending December 31,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Within our Condensed Consolidated Financial Statements and the accompanying notes, certain amounts may not add due to the use of rounded numbers. Unless otherwise indicated, percentages presented are calculated from the underlying numbers in millions.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our restricted cash included in Other long-term assets on our Condensed Consolidated Balance Sheets was $16 million and $20 million, respectively.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Trade Receivables Securitization and Factoring Programs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our European Transportation business, we sell certain of our trade accounts receivable under securitization and factoring programs. We use trade receivables securitization and factoring programs to help manage our cash flows and offset the impact of extended payment terms for some of our 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maximum amount of net cash proceeds available at any one time under our securitization program, inclusive of any unsecured borrowings, is €200 million (approximately $228 million as of June 30, 2026). As of June 30, 2026, the maximum amount available under the program was utilized. The weighted average interest rate was 3.69% as of June 30, 2026. In January 2026, the program was amended to extend the maturity date through March 2029.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54050"/>
                <wp:effectExtent l="0" t="0" r="0" b="0"/>
                <wp:wrapNone/>
                <wp:docPr id="10" name="Frame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Information related to the trade receivables sold was as follows:</w:t>
      </w:r>
    </w:p>
    <w:tbl>
      <w:tblPr>
        <w:tblW w:w="7309" w:type="dxa"/>
        <w:jc w:val="left"/>
        <w:tblInd w:w="0" w:type="dxa"/>
        <w:tblLayout w:type="fixed"/>
        <w:tblCellMar>
          <w:top w:w="28" w:type="dxa"/>
          <w:left w:w="28" w:type="dxa"/>
          <w:bottom w:w="28" w:type="dxa"/>
          <w:right w:w="28" w:type="dxa"/>
        </w:tblCellMar>
      </w:tblPr>
      <w:tblGrid>
        <w:gridCol w:w="824"/>
        <w:gridCol w:w="723"/>
        <w:gridCol w:w="733"/>
        <w:gridCol w:w="109"/>
        <w:gridCol w:w="109"/>
        <w:gridCol w:w="109"/>
        <w:gridCol w:w="251"/>
        <w:gridCol w:w="556"/>
        <w:gridCol w:w="130"/>
        <w:gridCol w:w="130"/>
        <w:gridCol w:w="130"/>
        <w:gridCol w:w="130"/>
        <w:gridCol w:w="251"/>
        <w:gridCol w:w="556"/>
        <w:gridCol w:w="130"/>
        <w:gridCol w:w="109"/>
        <w:gridCol w:w="109"/>
        <w:gridCol w:w="109"/>
        <w:gridCol w:w="229"/>
        <w:gridCol w:w="507"/>
        <w:gridCol w:w="118"/>
        <w:gridCol w:w="118"/>
        <w:gridCol w:w="118"/>
        <w:gridCol w:w="118"/>
        <w:gridCol w:w="229"/>
        <w:gridCol w:w="507"/>
        <w:gridCol w:w="167"/>
      </w:tblGrid>
      <w:tr>
        <w:trPr/>
        <w:tc>
          <w:tcPr>
            <w:tcW w:w="82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Securitization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Receivables sold in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Factoring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Receivables sold in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levels of inputs used to measure fair value 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Level 1—Quoted prices for identical instruments in active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Level 2—Quoted prices for similar instruments in active markets; quoted prices for identical or similar instruments in markets that are not active; and model-derived valuations in which all significant inputs are observable in active markets;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Level 3—Valuations based on inputs that are unobservable, generally utilizing pricing models or other valuation techniques that reflect management’s judgment and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base our fair value estimates on market assumptions and available information. The carrying values of cash and cash equivalents, accounts receivable, accounts payable, accrued expenses and current maturities of long-term debt approximated their fair values as of June 30, 2026 and December 31, 2025 due to their short-term nature and/or being receivable or payable on demand. The Level 1 cash equivalents include money market funds valued using quoted prices in active markets and cash deposited for the securitization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hierarchy of cash equivalents was as follows:</w:t>
      </w:r>
    </w:p>
    <w:tbl>
      <w:tblPr>
        <w:tblW w:w="5634" w:type="dxa"/>
        <w:jc w:val="left"/>
        <w:tblInd w:w="0" w:type="dxa"/>
        <w:tblLayout w:type="fixed"/>
        <w:tblCellMar>
          <w:top w:w="28" w:type="dxa"/>
          <w:left w:w="28" w:type="dxa"/>
          <w:bottom w:w="28" w:type="dxa"/>
          <w:right w:w="28" w:type="dxa"/>
        </w:tblCellMar>
      </w:tblPr>
      <w:tblGrid>
        <w:gridCol w:w="612"/>
        <w:gridCol w:w="538"/>
        <w:gridCol w:w="544"/>
        <w:gridCol w:w="109"/>
        <w:gridCol w:w="109"/>
        <w:gridCol w:w="109"/>
        <w:gridCol w:w="334"/>
        <w:gridCol w:w="738"/>
        <w:gridCol w:w="172"/>
        <w:gridCol w:w="109"/>
        <w:gridCol w:w="109"/>
        <w:gridCol w:w="109"/>
        <w:gridCol w:w="237"/>
        <w:gridCol w:w="525"/>
        <w:gridCol w:w="122"/>
        <w:gridCol w:w="109"/>
        <w:gridCol w:w="109"/>
        <w:gridCol w:w="109"/>
        <w:gridCol w:w="211"/>
        <w:gridCol w:w="46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r>
      <w:tr>
        <w:trPr/>
        <w:tc>
          <w:tcPr>
            <w:tcW w:w="1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information on the fair value hierarchy of our derivative instruments and financial liabilities, see Note 5—Derivative Instruments and Note 6—Debt, respectively.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Accounting Pronouncements Issued but Not Yet Effective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the Financial Accounting Standards Board (“FASB”) issued ASU 2026-02, “Environmental Credits and Environmental Credit Obligations (Topic 818).” This ASU establishes recognition, measurement, presentation and disclosure requirements for (i) environmental credits and (ii) compliance obligations that may be settled by using environmental credits and is effective for annual and interim periods beginning in 2028. Early adoption is permitted. We are currently evaluating the impact of the new standard.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 Accounting for Government Grants Received by Business Entities.” This ASU provides recognition, measurement and presentation guidance for government grants received by business entities and is effective for annual and interim periods beginning in 2029. Early adoption is permitted. We are currently evaluating the impact of the new standard.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54050"/>
                <wp:effectExtent l="0" t="0" r="0" b="0"/>
                <wp:wrapNone/>
                <wp:docPr id="11" name="Frame1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The ASU updates the guidance on accounting for internal-use software costs by (i) removing all references to software development stages, and (ii) requiring that an entity capitalize software costs when both management has authorized and committed to funding the software project, and it is probable that the project will be completed and the software will be used to perform the function intended. This ASU is effective for annual and interim periods beginning in 2028. Early adoption is permitted. We are currently evaluating the impact of the new standard.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The ASU requires new tabular disclosures disaggregating prescribed expense categories within relevant income statement captions. In addition, the ASU requires disclosure of the total amount of selling expenses and, in annual periods, an entity’s definition of selling expenses, among other disclosure requirements. This ASU is effective for annual periods beginning in 2027, and for interim periods beginning January 1, 2028. Early adoption is permitted. We are currently evaluating the impact of the new standard, which is limited to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 Segment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organized into two reportable segments: North American LTL, the largest component of our business, and European Transportation.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our North American LTL segment, we provide shippers with geographic density and day-definite domestic and cross-border services to the U.S., as well as Mexico, Canada and the Caribbean. Our North American LTL segment also includes the results of our trailer manufacturing operation.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our European Transportation segment, we serve an extensive base of customers within the consumer, trade and industrial markets. We offer dedicated truckload, LTL, full truckload brokerage, warehousing, managed transportation, last mile, freight forwarding, and multimodal solutions.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includes corporate headquarters costs for executive officers and certain legal and financial functions, and other costs and credits not attributed to our reportable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our chairman and chief executive officer. Our CODM regularly reviews financial information at the operating segment level to allocate resources to the segments and to assess their performance. We include items directly attributable to a segment, and those that can be allocated on a reasonable basis, including corporate costs, in segment results reported to the CODM. We do not provide asset information by segment to the CODM.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CODM evaluates segment profit (loss) based on adjusted earnings before interest, taxes, depreciation and amortization (“adjusted EBITDA”), which we define as income before debt extinguishment loss, interest expense, income tax provision, depreciation and amortization expense, legal matters, transaction and integration costs, restructuring costs and other adjustments.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CODM uses adjusted EBITDA to allocate resources, including property and equipment and financial or capital resources, to the segments and to assess their performance by monitoring budget-to-actual and year-over-year variances.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54050"/>
                <wp:effectExtent l="0" t="0" r="0" b="0"/>
                <wp:wrapNone/>
                <wp:docPr id="12" name="Frame1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revenue and significant segment expenses that are included within adjusted EBITDA:</w:t>
      </w:r>
    </w:p>
    <w:tbl>
      <w:tblPr>
        <w:tblW w:w="10205" w:type="dxa"/>
        <w:jc w:val="left"/>
        <w:tblInd w:w="0" w:type="dxa"/>
        <w:tblLayout w:type="fixed"/>
        <w:tblCellMar>
          <w:top w:w="28" w:type="dxa"/>
          <w:left w:w="28" w:type="dxa"/>
          <w:bottom w:w="28" w:type="dxa"/>
          <w:right w:w="28" w:type="dxa"/>
        </w:tblCellMar>
      </w:tblPr>
      <w:tblGrid>
        <w:gridCol w:w="1273"/>
        <w:gridCol w:w="1095"/>
        <w:gridCol w:w="1104"/>
        <w:gridCol w:w="109"/>
        <w:gridCol w:w="109"/>
        <w:gridCol w:w="109"/>
        <w:gridCol w:w="361"/>
        <w:gridCol w:w="1026"/>
        <w:gridCol w:w="201"/>
        <w:gridCol w:w="109"/>
        <w:gridCol w:w="109"/>
        <w:gridCol w:w="109"/>
        <w:gridCol w:w="514"/>
        <w:gridCol w:w="1105"/>
        <w:gridCol w:w="286"/>
        <w:gridCol w:w="109"/>
        <w:gridCol w:w="109"/>
        <w:gridCol w:w="109"/>
        <w:gridCol w:w="281"/>
        <w:gridCol w:w="583"/>
        <w:gridCol w:w="157"/>
        <w:gridCol w:w="109"/>
        <w:gridCol w:w="109"/>
        <w:gridCol w:w="109"/>
        <w:gridCol w:w="196"/>
        <w:gridCol w:w="556"/>
        <w:gridCol w:w="159"/>
      </w:tblGrid>
      <w:tr>
        <w:trPr/>
        <w:tc>
          <w:tcPr>
            <w:tcW w:w="127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3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American LTL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European 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Corporate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operating expenses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taxes and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sales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73"/>
        <w:gridCol w:w="1095"/>
        <w:gridCol w:w="1104"/>
        <w:gridCol w:w="109"/>
        <w:gridCol w:w="109"/>
        <w:gridCol w:w="109"/>
        <w:gridCol w:w="361"/>
        <w:gridCol w:w="1026"/>
        <w:gridCol w:w="201"/>
        <w:gridCol w:w="109"/>
        <w:gridCol w:w="109"/>
        <w:gridCol w:w="109"/>
        <w:gridCol w:w="514"/>
        <w:gridCol w:w="1105"/>
        <w:gridCol w:w="286"/>
        <w:gridCol w:w="109"/>
        <w:gridCol w:w="109"/>
        <w:gridCol w:w="109"/>
        <w:gridCol w:w="281"/>
        <w:gridCol w:w="583"/>
        <w:gridCol w:w="157"/>
        <w:gridCol w:w="109"/>
        <w:gridCol w:w="109"/>
        <w:gridCol w:w="109"/>
        <w:gridCol w:w="196"/>
        <w:gridCol w:w="556"/>
        <w:gridCol w:w="159"/>
      </w:tblGrid>
      <w:tr>
        <w:trPr/>
        <w:tc>
          <w:tcPr>
            <w:tcW w:w="127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American LTL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European 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Corporate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operating expenses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taxes and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sales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73"/>
        <w:gridCol w:w="1095"/>
        <w:gridCol w:w="1104"/>
        <w:gridCol w:w="109"/>
        <w:gridCol w:w="109"/>
        <w:gridCol w:w="109"/>
        <w:gridCol w:w="361"/>
        <w:gridCol w:w="1026"/>
        <w:gridCol w:w="201"/>
        <w:gridCol w:w="109"/>
        <w:gridCol w:w="109"/>
        <w:gridCol w:w="109"/>
        <w:gridCol w:w="432"/>
        <w:gridCol w:w="1231"/>
        <w:gridCol w:w="242"/>
        <w:gridCol w:w="109"/>
        <w:gridCol w:w="109"/>
        <w:gridCol w:w="109"/>
        <w:gridCol w:w="281"/>
        <w:gridCol w:w="583"/>
        <w:gridCol w:w="157"/>
        <w:gridCol w:w="109"/>
        <w:gridCol w:w="109"/>
        <w:gridCol w:w="109"/>
        <w:gridCol w:w="196"/>
        <w:gridCol w:w="556"/>
        <w:gridCol w:w="159"/>
      </w:tblGrid>
      <w:tr>
        <w:trPr/>
        <w:tc>
          <w:tcPr>
            <w:tcW w:w="127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American LTL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European 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Corporate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operating expenses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taxes and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sales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73"/>
        <w:gridCol w:w="1095"/>
        <w:gridCol w:w="1104"/>
        <w:gridCol w:w="109"/>
        <w:gridCol w:w="109"/>
        <w:gridCol w:w="109"/>
        <w:gridCol w:w="361"/>
        <w:gridCol w:w="1026"/>
        <w:gridCol w:w="201"/>
        <w:gridCol w:w="109"/>
        <w:gridCol w:w="109"/>
        <w:gridCol w:w="109"/>
        <w:gridCol w:w="432"/>
        <w:gridCol w:w="1231"/>
        <w:gridCol w:w="242"/>
        <w:gridCol w:w="109"/>
        <w:gridCol w:w="109"/>
        <w:gridCol w:w="109"/>
        <w:gridCol w:w="281"/>
        <w:gridCol w:w="583"/>
        <w:gridCol w:w="157"/>
        <w:gridCol w:w="109"/>
        <w:gridCol w:w="109"/>
        <w:gridCol w:w="109"/>
        <w:gridCol w:w="196"/>
        <w:gridCol w:w="556"/>
        <w:gridCol w:w="159"/>
      </w:tblGrid>
      <w:tr>
        <w:trPr/>
        <w:tc>
          <w:tcPr>
            <w:tcW w:w="127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American LTL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European 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Corporate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operating expenses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taxes and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sales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Primarily represents unallocated corporate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54050"/>
                <wp:effectExtent l="0" t="0" r="0" b="0"/>
                <wp:wrapNone/>
                <wp:docPr id="13" name="Frame1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adjusted EBITDA by segment and provides a reconciliation to consolidated net income:</w:t>
      </w:r>
    </w:p>
    <w:tbl>
      <w:tblPr>
        <w:tblW w:w="8434" w:type="dxa"/>
        <w:jc w:val="left"/>
        <w:tblInd w:w="0" w:type="dxa"/>
        <w:tblLayout w:type="fixed"/>
        <w:tblCellMar>
          <w:top w:w="28" w:type="dxa"/>
          <w:left w:w="28" w:type="dxa"/>
          <w:bottom w:w="28" w:type="dxa"/>
          <w:right w:w="28" w:type="dxa"/>
        </w:tblCellMar>
      </w:tblPr>
      <w:tblGrid>
        <w:gridCol w:w="1229"/>
        <w:gridCol w:w="1082"/>
        <w:gridCol w:w="1094"/>
        <w:gridCol w:w="109"/>
        <w:gridCol w:w="109"/>
        <w:gridCol w:w="109"/>
        <w:gridCol w:w="251"/>
        <w:gridCol w:w="556"/>
        <w:gridCol w:w="130"/>
        <w:gridCol w:w="130"/>
        <w:gridCol w:w="130"/>
        <w:gridCol w:w="130"/>
        <w:gridCol w:w="251"/>
        <w:gridCol w:w="556"/>
        <w:gridCol w:w="130"/>
        <w:gridCol w:w="109"/>
        <w:gridCol w:w="109"/>
        <w:gridCol w:w="109"/>
        <w:gridCol w:w="229"/>
        <w:gridCol w:w="507"/>
        <w:gridCol w:w="118"/>
        <w:gridCol w:w="118"/>
        <w:gridCol w:w="118"/>
        <w:gridCol w:w="118"/>
        <w:gridCol w:w="229"/>
        <w:gridCol w:w="507"/>
        <w:gridCol w:w="167"/>
      </w:tblGrid>
      <w:tr>
        <w:trPr/>
        <w:tc>
          <w:tcPr>
            <w:tcW w:w="122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34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American LTL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extinguishment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Pre-Con-way acquisition environmental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Legal matters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Reflects the settlement of claims against certain truck manufacturers related to purchases by our European Transportation segment covering periods prior to our acquisition of Norbert Dentressangle SA in 2015.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depreciation and amortization expense by segment:</w:t>
      </w:r>
    </w:p>
    <w:tbl>
      <w:tblPr>
        <w:tblW w:w="8328" w:type="dxa"/>
        <w:jc w:val="left"/>
        <w:tblInd w:w="0" w:type="dxa"/>
        <w:tblLayout w:type="fixed"/>
        <w:tblCellMar>
          <w:top w:w="28" w:type="dxa"/>
          <w:left w:w="28" w:type="dxa"/>
          <w:bottom w:w="28" w:type="dxa"/>
          <w:right w:w="28" w:type="dxa"/>
        </w:tblCellMar>
      </w:tblPr>
      <w:tblGrid>
        <w:gridCol w:w="1192"/>
        <w:gridCol w:w="1048"/>
        <w:gridCol w:w="1059"/>
        <w:gridCol w:w="109"/>
        <w:gridCol w:w="109"/>
        <w:gridCol w:w="109"/>
        <w:gridCol w:w="251"/>
        <w:gridCol w:w="556"/>
        <w:gridCol w:w="130"/>
        <w:gridCol w:w="130"/>
        <w:gridCol w:w="130"/>
        <w:gridCol w:w="130"/>
        <w:gridCol w:w="251"/>
        <w:gridCol w:w="556"/>
        <w:gridCol w:w="130"/>
        <w:gridCol w:w="109"/>
        <w:gridCol w:w="109"/>
        <w:gridCol w:w="109"/>
        <w:gridCol w:w="229"/>
        <w:gridCol w:w="507"/>
        <w:gridCol w:w="118"/>
        <w:gridCol w:w="118"/>
        <w:gridCol w:w="118"/>
        <w:gridCol w:w="118"/>
        <w:gridCol w:w="229"/>
        <w:gridCol w:w="507"/>
        <w:gridCol w:w="167"/>
      </w:tblGrid>
      <w:tr>
        <w:trPr/>
        <w:tc>
          <w:tcPr>
            <w:tcW w:w="119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32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American LTL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held long-lived tangible assets outside of the U.S., including right of use assets, of $843 million and $844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54050"/>
                <wp:effectExtent l="0" t="0" r="0" b="0"/>
                <wp:wrapNone/>
                <wp:docPr id="14" name="Frame1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revenue disaggregated by geographic area based on sales office location was as follows:</w:t>
      </w:r>
    </w:p>
    <w:tbl>
      <w:tblPr>
        <w:tblW w:w="9885" w:type="dxa"/>
        <w:jc w:val="left"/>
        <w:tblInd w:w="0" w:type="dxa"/>
        <w:tblLayout w:type="fixed"/>
        <w:tblCellMar>
          <w:top w:w="28" w:type="dxa"/>
          <w:left w:w="28" w:type="dxa"/>
          <w:bottom w:w="28" w:type="dxa"/>
          <w:right w:w="28" w:type="dxa"/>
        </w:tblCellMar>
      </w:tblPr>
      <w:tblGrid>
        <w:gridCol w:w="1457"/>
        <w:gridCol w:w="1282"/>
        <w:gridCol w:w="1295"/>
        <w:gridCol w:w="109"/>
        <w:gridCol w:w="109"/>
        <w:gridCol w:w="109"/>
        <w:gridCol w:w="371"/>
        <w:gridCol w:w="1087"/>
        <w:gridCol w:w="192"/>
        <w:gridCol w:w="117"/>
        <w:gridCol w:w="117"/>
        <w:gridCol w:w="117"/>
        <w:gridCol w:w="527"/>
        <w:gridCol w:w="1164"/>
        <w:gridCol w:w="274"/>
        <w:gridCol w:w="117"/>
        <w:gridCol w:w="117"/>
        <w:gridCol w:w="117"/>
        <w:gridCol w:w="117"/>
        <w:gridCol w:w="109"/>
        <w:gridCol w:w="211"/>
        <w:gridCol w:w="616"/>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4"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090" w:type="dxa"/>
            <w:gridSpan w:val="4"/>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American LTL</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European Transportation</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(excluding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(excluding France and 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23" w:type="dxa"/>
        <w:jc w:val="left"/>
        <w:tblInd w:w="0" w:type="dxa"/>
        <w:tblLayout w:type="fixed"/>
        <w:tblCellMar>
          <w:top w:w="28" w:type="dxa"/>
          <w:left w:w="28" w:type="dxa"/>
          <w:bottom w:w="28" w:type="dxa"/>
          <w:right w:w="28" w:type="dxa"/>
        </w:tblCellMar>
      </w:tblPr>
      <w:tblGrid>
        <w:gridCol w:w="1457"/>
        <w:gridCol w:w="1282"/>
        <w:gridCol w:w="1295"/>
        <w:gridCol w:w="109"/>
        <w:gridCol w:w="109"/>
        <w:gridCol w:w="109"/>
        <w:gridCol w:w="371"/>
        <w:gridCol w:w="1087"/>
        <w:gridCol w:w="191"/>
        <w:gridCol w:w="128"/>
        <w:gridCol w:w="128"/>
        <w:gridCol w:w="128"/>
        <w:gridCol w:w="527"/>
        <w:gridCol w:w="1164"/>
        <w:gridCol w:w="274"/>
        <w:gridCol w:w="128"/>
        <w:gridCol w:w="128"/>
        <w:gridCol w:w="109"/>
        <w:gridCol w:w="109"/>
        <w:gridCol w:w="109"/>
        <w:gridCol w:w="211"/>
        <w:gridCol w:w="616"/>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308" w:type="dxa"/>
            <w:gridSpan w:val="6"/>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American LTL</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European Transportation</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(excluding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(excluding France and 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28" w:type="dxa"/>
        <w:jc w:val="center"/>
        <w:tblInd w:w="0" w:type="dxa"/>
        <w:tblLayout w:type="fixed"/>
        <w:tblCellMar>
          <w:top w:w="28" w:type="dxa"/>
          <w:left w:w="28" w:type="dxa"/>
          <w:bottom w:w="28" w:type="dxa"/>
          <w:right w:w="28" w:type="dxa"/>
        </w:tblCellMar>
      </w:tblPr>
      <w:tblGrid>
        <w:gridCol w:w="1457"/>
        <w:gridCol w:w="1282"/>
        <w:gridCol w:w="1295"/>
        <w:gridCol w:w="109"/>
        <w:gridCol w:w="109"/>
        <w:gridCol w:w="109"/>
        <w:gridCol w:w="372"/>
        <w:gridCol w:w="1086"/>
        <w:gridCol w:w="192"/>
        <w:gridCol w:w="109"/>
        <w:gridCol w:w="109"/>
        <w:gridCol w:w="109"/>
        <w:gridCol w:w="442"/>
        <w:gridCol w:w="1293"/>
        <w:gridCol w:w="229"/>
        <w:gridCol w:w="109"/>
        <w:gridCol w:w="109"/>
        <w:gridCol w:w="109"/>
        <w:gridCol w:w="109"/>
        <w:gridCol w:w="109"/>
        <w:gridCol w:w="211"/>
        <w:gridCol w:w="616"/>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090" w:type="dxa"/>
            <w:gridSpan w:val="4"/>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American LTL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European 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(excluding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(excluding France and 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38" w:type="dxa"/>
        <w:jc w:val="center"/>
        <w:tblInd w:w="0" w:type="dxa"/>
        <w:tblLayout w:type="fixed"/>
        <w:tblCellMar>
          <w:top w:w="28" w:type="dxa"/>
          <w:left w:w="28" w:type="dxa"/>
          <w:bottom w:w="28" w:type="dxa"/>
          <w:right w:w="28" w:type="dxa"/>
        </w:tblCellMar>
      </w:tblPr>
      <w:tblGrid>
        <w:gridCol w:w="1457"/>
        <w:gridCol w:w="1282"/>
        <w:gridCol w:w="1295"/>
        <w:gridCol w:w="109"/>
        <w:gridCol w:w="109"/>
        <w:gridCol w:w="109"/>
        <w:gridCol w:w="372"/>
        <w:gridCol w:w="1087"/>
        <w:gridCol w:w="191"/>
        <w:gridCol w:w="111"/>
        <w:gridCol w:w="111"/>
        <w:gridCol w:w="111"/>
        <w:gridCol w:w="442"/>
        <w:gridCol w:w="1293"/>
        <w:gridCol w:w="229"/>
        <w:gridCol w:w="111"/>
        <w:gridCol w:w="111"/>
        <w:gridCol w:w="109"/>
        <w:gridCol w:w="109"/>
        <w:gridCol w:w="109"/>
        <w:gridCol w:w="211"/>
        <w:gridCol w:w="616"/>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308" w:type="dxa"/>
            <w:gridSpan w:val="6"/>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American LTL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European Transportation</w:t>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(excluding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(excluding France and 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54050"/>
                <wp:effectExtent l="0" t="0" r="0" b="0"/>
                <wp:wrapNone/>
                <wp:docPr id="15" name="Frame1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4. Restructuring Charges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engage in restructuring actions as part of our ongoing efforts to best use our resources and infrastructure. These actions primarily relate to business optimization initiatives and generally include severance and facility-related costs, including impairment of lease assets, as well as contract termination costs, and are intended to improve our efficiency and profitability.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restructuring-related activity was as follows:</w:t>
      </w:r>
    </w:p>
    <w:tbl>
      <w:tblPr>
        <w:tblW w:w="9245" w:type="dxa"/>
        <w:jc w:val="left"/>
        <w:tblInd w:w="0" w:type="dxa"/>
        <w:tblLayout w:type="fixed"/>
        <w:tblCellMar>
          <w:top w:w="28" w:type="dxa"/>
          <w:left w:w="28" w:type="dxa"/>
          <w:bottom w:w="28" w:type="dxa"/>
          <w:right w:w="28" w:type="dxa"/>
        </w:tblCellMar>
      </w:tblPr>
      <w:tblGrid>
        <w:gridCol w:w="775"/>
        <w:gridCol w:w="679"/>
        <w:gridCol w:w="690"/>
        <w:gridCol w:w="109"/>
        <w:gridCol w:w="109"/>
        <w:gridCol w:w="109"/>
        <w:gridCol w:w="463"/>
        <w:gridCol w:w="794"/>
        <w:gridCol w:w="243"/>
        <w:gridCol w:w="109"/>
        <w:gridCol w:w="109"/>
        <w:gridCol w:w="109"/>
        <w:gridCol w:w="401"/>
        <w:gridCol w:w="773"/>
        <w:gridCol w:w="206"/>
        <w:gridCol w:w="140"/>
        <w:gridCol w:w="140"/>
        <w:gridCol w:w="140"/>
        <w:gridCol w:w="272"/>
        <w:gridCol w:w="562"/>
        <w:gridCol w:w="140"/>
        <w:gridCol w:w="140"/>
        <w:gridCol w:w="109"/>
        <w:gridCol w:w="109"/>
        <w:gridCol w:w="109"/>
        <w:gridCol w:w="109"/>
        <w:gridCol w:w="109"/>
        <w:gridCol w:w="109"/>
        <w:gridCol w:w="377"/>
        <w:gridCol w:w="727"/>
        <w:gridCol w:w="275"/>
      </w:tblGrid>
      <w:tr>
        <w:trPr/>
        <w:tc>
          <w:tcPr>
            <w:tcW w:w="77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10"/>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8"/>
            <w:tcBorders/>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Reserve Balance</w:t>
              <w:br/>
              <w:t xml:space="preserve">as of </w:t>
              <w:b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Charges Incurred</w:t>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w:t>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Reserve Balance </w:t>
              <w:br/>
              <w:t xml:space="preserve">as of </w:t>
              <w:br/>
              <w:t>June 30, 2026</w:t>
            </w:r>
          </w:p>
        </w:tc>
      </w:tr>
      <w:tr>
        <w:trPr/>
        <w:tc>
          <w:tcPr>
            <w:tcW w:w="21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American LTL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severance charges noted in the table above, we recorded restructuring-related charges in our European Transportation segment, North American LTL segment and Corporate of $6 million, $1 million and $1 million, respectively, during the first six months of 2026, which are primarily facility-related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expect that the majority of the cash outlays related to the severance charges incurred in the first six months of 2026 will be completed within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5. Derivative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are exposed to risks arising from business operations and economic factors, including fluctuations in interest rates and foreign currencies. We use derivative instruments to manage the volatility related to these exposures. The objective of these derivative instruments is to reduce fluctuations in our earnings and cash flows associated with changes in foreign currency exchange rates and interest rates. These financial instruments are not used for trading or other speculative purposes. Historically, we have not incurred, and do not expect to incur in the future, any losses as a result of counterparty default.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our derivative instruments and the related notional amounts were as follows:</w:t>
      </w:r>
    </w:p>
    <w:tbl>
      <w:tblPr>
        <w:tblW w:w="10205" w:type="dxa"/>
        <w:jc w:val="left"/>
        <w:tblInd w:w="0" w:type="dxa"/>
        <w:tblLayout w:type="fixed"/>
        <w:tblCellMar>
          <w:top w:w="28" w:type="dxa"/>
          <w:left w:w="28" w:type="dxa"/>
          <w:bottom w:w="28" w:type="dxa"/>
          <w:right w:w="28" w:type="dxa"/>
        </w:tblCellMar>
      </w:tblPr>
      <w:tblGrid>
        <w:gridCol w:w="823"/>
        <w:gridCol w:w="687"/>
        <w:gridCol w:w="682"/>
        <w:gridCol w:w="109"/>
        <w:gridCol w:w="109"/>
        <w:gridCol w:w="109"/>
        <w:gridCol w:w="340"/>
        <w:gridCol w:w="733"/>
        <w:gridCol w:w="192"/>
        <w:gridCol w:w="109"/>
        <w:gridCol w:w="109"/>
        <w:gridCol w:w="109"/>
        <w:gridCol w:w="540"/>
        <w:gridCol w:w="524"/>
        <w:gridCol w:w="527"/>
        <w:gridCol w:w="109"/>
        <w:gridCol w:w="109"/>
        <w:gridCol w:w="109"/>
        <w:gridCol w:w="236"/>
        <w:gridCol w:w="489"/>
        <w:gridCol w:w="130"/>
        <w:gridCol w:w="109"/>
        <w:gridCol w:w="109"/>
        <w:gridCol w:w="109"/>
        <w:gridCol w:w="583"/>
        <w:gridCol w:w="566"/>
        <w:gridCol w:w="569"/>
        <w:gridCol w:w="125"/>
        <w:gridCol w:w="125"/>
        <w:gridCol w:w="125"/>
        <w:gridCol w:w="233"/>
        <w:gridCol w:w="475"/>
        <w:gridCol w:w="193"/>
      </w:tblGrid>
      <w:tr>
        <w:trPr/>
        <w:tc>
          <w:tcPr>
            <w:tcW w:w="82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Caption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Caption</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Derivatives designated as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Cross-currency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Other current liabilities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Cross-currency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Other long-term liabilities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Other current liabilities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54050"/>
                <wp:effectExtent l="0" t="0" r="0" b="0"/>
                <wp:wrapNone/>
                <wp:docPr id="16" name="Frame1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23"/>
        <w:gridCol w:w="687"/>
        <w:gridCol w:w="682"/>
        <w:gridCol w:w="109"/>
        <w:gridCol w:w="109"/>
        <w:gridCol w:w="109"/>
        <w:gridCol w:w="340"/>
        <w:gridCol w:w="733"/>
        <w:gridCol w:w="192"/>
        <w:gridCol w:w="109"/>
        <w:gridCol w:w="109"/>
        <w:gridCol w:w="109"/>
        <w:gridCol w:w="540"/>
        <w:gridCol w:w="524"/>
        <w:gridCol w:w="527"/>
        <w:gridCol w:w="109"/>
        <w:gridCol w:w="109"/>
        <w:gridCol w:w="109"/>
        <w:gridCol w:w="236"/>
        <w:gridCol w:w="489"/>
        <w:gridCol w:w="130"/>
        <w:gridCol w:w="109"/>
        <w:gridCol w:w="109"/>
        <w:gridCol w:w="109"/>
        <w:gridCol w:w="583"/>
        <w:gridCol w:w="566"/>
        <w:gridCol w:w="569"/>
        <w:gridCol w:w="125"/>
        <w:gridCol w:w="125"/>
        <w:gridCol w:w="125"/>
        <w:gridCol w:w="233"/>
        <w:gridCol w:w="475"/>
        <w:gridCol w:w="193"/>
      </w:tblGrid>
      <w:tr>
        <w:trPr/>
        <w:tc>
          <w:tcPr>
            <w:tcW w:w="82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Caption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Caption</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Derivatives designated as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Cross-currency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Other current liabilities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Cross-currency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Other long-term liabilities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Other current liabilities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derivatives are classified as Level 2 within the fair value hierarchy. The derivatives are valued using inputs other than quoted prices, such as foreign exchange rates and yield curves.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 of derivative and nonderivative instruments designated as hedges on our Condensed Consolidated Statements of Income was as follows:</w:t>
      </w:r>
    </w:p>
    <w:tbl>
      <w:tblPr>
        <w:tblW w:w="10205" w:type="dxa"/>
        <w:jc w:val="left"/>
        <w:tblInd w:w="0" w:type="dxa"/>
        <w:tblLayout w:type="fixed"/>
        <w:tblCellMar>
          <w:top w:w="28" w:type="dxa"/>
          <w:left w:w="28" w:type="dxa"/>
          <w:bottom w:w="28" w:type="dxa"/>
          <w:right w:w="28" w:type="dxa"/>
        </w:tblCellMar>
      </w:tblPr>
      <w:tblGrid>
        <w:gridCol w:w="842"/>
        <w:gridCol w:w="572"/>
        <w:gridCol w:w="548"/>
        <w:gridCol w:w="109"/>
        <w:gridCol w:w="109"/>
        <w:gridCol w:w="109"/>
        <w:gridCol w:w="396"/>
        <w:gridCol w:w="488"/>
        <w:gridCol w:w="220"/>
        <w:gridCol w:w="220"/>
        <w:gridCol w:w="220"/>
        <w:gridCol w:w="220"/>
        <w:gridCol w:w="396"/>
        <w:gridCol w:w="822"/>
        <w:gridCol w:w="220"/>
        <w:gridCol w:w="109"/>
        <w:gridCol w:w="109"/>
        <w:gridCol w:w="109"/>
        <w:gridCol w:w="109"/>
        <w:gridCol w:w="109"/>
        <w:gridCol w:w="359"/>
        <w:gridCol w:w="359"/>
        <w:gridCol w:w="647"/>
        <w:gridCol w:w="1343"/>
        <w:gridCol w:w="368"/>
        <w:gridCol w:w="109"/>
        <w:gridCol w:w="109"/>
        <w:gridCol w:w="109"/>
        <w:gridCol w:w="196"/>
        <w:gridCol w:w="406"/>
        <w:gridCol w:w="164"/>
      </w:tblGrid>
      <w:tr>
        <w:trPr/>
        <w:tc>
          <w:tcPr>
            <w:tcW w:w="84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 in Other Comprehensive Income (Loss)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6"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Recognized in Income on Derivative (Amount Excluded from Effectiveness Testing)</w:t>
            </w:r>
          </w:p>
        </w:tc>
        <w:tc>
          <w:tcPr>
            <w:tcW w:w="1093" w:type="dxa"/>
            <w:gridSpan w:val="6"/>
            <w:tcBorders/>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810" w:type="dxa"/>
            <w:gridSpan w:val="10"/>
            <w:tcBorders/>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1"/>
        <w:gridCol w:w="571"/>
        <w:gridCol w:w="546"/>
        <w:gridCol w:w="109"/>
        <w:gridCol w:w="109"/>
        <w:gridCol w:w="109"/>
        <w:gridCol w:w="381"/>
        <w:gridCol w:w="644"/>
        <w:gridCol w:w="212"/>
        <w:gridCol w:w="212"/>
        <w:gridCol w:w="212"/>
        <w:gridCol w:w="212"/>
        <w:gridCol w:w="381"/>
        <w:gridCol w:w="750"/>
        <w:gridCol w:w="212"/>
        <w:gridCol w:w="109"/>
        <w:gridCol w:w="109"/>
        <w:gridCol w:w="109"/>
        <w:gridCol w:w="109"/>
        <w:gridCol w:w="109"/>
        <w:gridCol w:w="358"/>
        <w:gridCol w:w="358"/>
        <w:gridCol w:w="646"/>
        <w:gridCol w:w="1340"/>
        <w:gridCol w:w="367"/>
        <w:gridCol w:w="109"/>
        <w:gridCol w:w="109"/>
        <w:gridCol w:w="109"/>
        <w:gridCol w:w="196"/>
        <w:gridCol w:w="406"/>
        <w:gridCol w:w="161"/>
      </w:tblGrid>
      <w:tr>
        <w:trPr/>
        <w:tc>
          <w:tcPr>
            <w:tcW w:w="8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 in Other Comprehensive Income (Loss)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9"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Recognized in Income on Derivative (Amount Excluded from Effectiveness Testing)</w:t>
            </w:r>
          </w:p>
        </w:tc>
        <w:tc>
          <w:tcPr>
            <w:tcW w:w="1090" w:type="dxa"/>
            <w:gridSpan w:val="6"/>
            <w:tcBorders/>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801" w:type="dxa"/>
            <w:gridSpan w:val="10"/>
            <w:tcBorders/>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Cross-Currency Swap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enter into cross-currency swap agreements to manage the foreign currency exchange risk related to our international operations by effectively converting our fixed-rate USD-denominated debt, including the associated interest payments, to fixed-rate, euro (“EUR”)-denominated debt. The risk management objective of these transactions is to manage foreign currency risk relating to net investments in subsidiaries denominated in foreign currencies and reduce the variability in the functional currency equivalent cash flows of this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term of the swap contracts, we receive interest on a quarterly basis from the counterparties based on USD fixed interest rates, and we pay interest, also on a quarterly basis, to the counterparties based on EUR fixed interest rates. At maturity, we will repay the original principal amount in EUR and receive the principal amount in USD. These agreements expire at various dates through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54050"/>
                <wp:effectExtent l="0" t="0" r="0" b="0"/>
                <wp:wrapNone/>
                <wp:docPr id="17" name="Frame1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designated these cross-currency swaps as qualifying hedging instruments and account for them as net investment hedges. We apply the simplified method of assessing the effectiveness of our net investment hedging relationships. Under this method, for each reporting period, the change in the fair value of the cross-currency swaps is initially recognized in Accumulated other comprehensive income (loss) (“AOCI”). The change in the fair value due to foreign exchange remains in AOCI and the initial component excluded from effectiveness testing will initially remain in AOCI and then will be reclassified from AOCI to Interest expense each period in a systematic manner. Cash flows related to the periodic exchange of interest payments for these net investment hedges are included in Cash flows from operating activities on our Condensed Consolidated Statements of 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March 2026, we paid approximately $3 million related to cross-currency swaps that were partially settled during the period. The fair value adjustments related to these swaps remain in AOCI and partially offset foreign currency translation adjustment losses on our net investments in foreign subsidiaries. The payments were included in Cash flows from investing activities on our Condensed Consolidated Statements of Cash Flows.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Interest Rate Hedging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execute short-term interest rate swaps to mitigate variability in forecasted interest payments on our term loan facilities. The interest rate swaps convert floating-rate interest payments into fixed rate interest payments. We designated the interest rate swaps as qualifying hedging instruments and account for these derivatives as cash flow hedges. Our outstanding interest rate swaps mature in the fourth quarter of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record gains and losses resulting from fair value adjustments to the designated portion of interest rate swaps in AOCI and reclassify them to Interest expense on the dates that interest payments accrue. Cash flows related to the interest rate swaps are included in Cash flows from operating activities on our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Debt</w:t>
      </w:r>
    </w:p>
    <w:tbl>
      <w:tblPr>
        <w:tblW w:w="10205" w:type="dxa"/>
        <w:jc w:val="left"/>
        <w:tblInd w:w="0" w:type="dxa"/>
        <w:tblLayout w:type="fixed"/>
        <w:tblCellMar>
          <w:top w:w="28" w:type="dxa"/>
          <w:left w:w="28" w:type="dxa"/>
          <w:bottom w:w="28" w:type="dxa"/>
          <w:right w:w="28" w:type="dxa"/>
        </w:tblCellMar>
      </w:tblPr>
      <w:tblGrid>
        <w:gridCol w:w="1521"/>
        <w:gridCol w:w="1248"/>
        <w:gridCol w:w="1259"/>
        <w:gridCol w:w="109"/>
        <w:gridCol w:w="109"/>
        <w:gridCol w:w="109"/>
        <w:gridCol w:w="282"/>
        <w:gridCol w:w="825"/>
        <w:gridCol w:w="145"/>
        <w:gridCol w:w="109"/>
        <w:gridCol w:w="109"/>
        <w:gridCol w:w="109"/>
        <w:gridCol w:w="260"/>
        <w:gridCol w:w="762"/>
        <w:gridCol w:w="134"/>
        <w:gridCol w:w="109"/>
        <w:gridCol w:w="109"/>
        <w:gridCol w:w="109"/>
        <w:gridCol w:w="282"/>
        <w:gridCol w:w="825"/>
        <w:gridCol w:w="145"/>
        <w:gridCol w:w="109"/>
        <w:gridCol w:w="109"/>
        <w:gridCol w:w="109"/>
        <w:gridCol w:w="258"/>
        <w:gridCol w:w="755"/>
        <w:gridCol w:w="196"/>
      </w:tblGrid>
      <w:tr>
        <w:trPr/>
        <w:tc>
          <w:tcPr>
            <w:tcW w:w="152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4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0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6.25% senior secured notes due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7.125% senior notes due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7.125% senior notes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6.70% senior debentures due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borrowings and 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our debt and classification in the fair value hierarchy was as follows:</w:t>
      </w:r>
    </w:p>
    <w:tbl>
      <w:tblPr>
        <w:tblW w:w="5528" w:type="dxa"/>
        <w:jc w:val="center"/>
        <w:tblInd w:w="0" w:type="dxa"/>
        <w:tblLayout w:type="fixed"/>
        <w:tblCellMar>
          <w:top w:w="28" w:type="dxa"/>
          <w:left w:w="28" w:type="dxa"/>
          <w:bottom w:w="28" w:type="dxa"/>
          <w:right w:w="28" w:type="dxa"/>
        </w:tblCellMar>
      </w:tblPr>
      <w:tblGrid>
        <w:gridCol w:w="612"/>
        <w:gridCol w:w="538"/>
        <w:gridCol w:w="544"/>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r>
      <w:tr>
        <w:trPr/>
        <w:tc>
          <w:tcPr>
            <w:tcW w:w="1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valued Level 1 debt using quoted prices in active markets and Level 2 debt using bid evaluation pricing models.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54050"/>
                <wp:effectExtent l="0" t="0" r="0" b="0"/>
                <wp:wrapNone/>
                <wp:docPr id="18" name="Frame1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Revolving Credit Facility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2025, we terminated our Second Amended and Restated Revolving Credit Agreement, as amended (the “ABL Facility”), and entered into a Revolving Credit Agreement (the “Revolving Credit Agreement”). The Revolving Credit Agreement provides for revolving credit commitments in an aggregate amount of $600 million (the “Revolving Credit Facility”), of which $200 million is available for issuances of letters of credit. The maturity date of the Revolving Credit Facility is April 30, 2030.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have approximately $600 million available to draw under our Revolving Credit Facility, after considering outstanding letters of credit of less than $1 million.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the Revolving Credit Facility’s financial covenants.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Letters of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have $131 million in aggregate face amount of letters of credit outstanding under our $200 million uncommitted secured evergreen letter of credit facility.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Term Loan A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we entered into a Senior Secured Term Loan A Credit Agreement (the “Term Loan A Credit Agreement”). The agreement provides for a senior secured term loan A facility in an initial aggregate amount of $500 million, maturing on May 29, 2029 (the “Term Loan A Facility”). Proceeds from the Term Loan A Facility were drawn in full on the closing date and, together with the proceeds from the 2026 Term Loan B Facility, defined below, were used to repay borrowings under the existing term loan B credit agreement.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A Facility bears interest at a rate per annum equal to, at the Company’s option, either alternate base rate (“ABR”) or Term Secured Overnight Financing Rate (“SOFR”) plus (i) in the case of ABR loans, 0.25% or, (ii) in the case of Term SOFR loans, 1.25%, which, on or after September 30, 2026, shall be reduced by 0.125% upon achievement of a leverage ratio defined in the Term Loan A Credit Agreement. In the third year of the facility, the Term Loan A Facility is subject to amortization of principal, payable in quarterly installments, equal to 5% of the original principal amount per annum, which may be reduced by prepayments.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Subject to customary exceptions, the Term Loan A Facility includes customary prepayment requirements, representations and warranties, events of default, reporting and other affirmative and negative covenants, including limitations on indebtedness, liens, investments, dividends, repayments of junior financings and asset sales, and is secured by a lien on substantially all of our assets and the assets of our guarantors. Certain covenants under the Term Loan A Credit Agreement will terminate or be amended, and all guarantees and liens securing the facility will be released, upon the Company’s achievement of investment grade ratings from at least two rating agencies.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the Term Loan A Facility’s financial covenants. The interest rate on our Term Loan A Facility was approximately 4.87% as of June 30, 2026.</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Term Loan B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May 2026, we amended our Senior Secured Term Loan Credit Agreement (“Amended Term Loan B Credit Agreement”). Pursuant to the amendment, the lenders provided the Company a new tranche of Term B-4 loans in an initial aggregate principal amount of $385 million, maturing on February 1, 2031 (the “2026 Term Loan B Facility”). The proceeds from the 2026 Term Loan B Facility, together with the proceeds from the Term Loan A Facility, were used to repay $885 million of outstanding principal, representing all outstanding indebtedness under our existing term loan B credit agreement. During the first half of 2026, prior to the refinancing, we used cash on hand to repay $100 million of outstanding principal under the existing term loan B credit agreement. We recorded a debt extinguishment loss of $5 million during the six months ended June 30, 2026, primarily related to the refinancing, and a debt extinguishment loss of $5 million during the six months ended June 30, 2025 related to the refinancing of our term loans in February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54050"/>
                <wp:effectExtent l="0" t="0" r="0" b="0"/>
                <wp:wrapNone/>
                <wp:docPr id="19" name="Frame1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2026 Term Loan B Facility bears interest at a rate per annum equal to, at the Company’s option, either ABR or Term SOFR plus (i) in the case of ABR loans, 0.50% or, (ii) in the case of Term SOFR loans, 1.50%, which, after November 29, 2026, shall be reduced by 0.125% upon achievement of a leverage ratio defined in the Amended Term Loan B Credit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2026 Term Loan B Facility includes customary prepayment requirements, representations and warranties, events of default, reporting and other affirmative and negative covenants, including limitations on indebtedness, liens, investments, dividends, repayments of junior financings and asset sales, subject to customary exceptions.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July 2026, we used cash on hand to repay $100 million of outstanding principal under the 2026 Term Loan B Facility, which was classified within Short-term borrowings and current maturities of long-term debt as of June 30, 2026. The debt extinguishment loss recorded in connection with the repayment was not material. Including the July repayment, we used cash on hand to repay $200 million of outstanding principal under our term loans on a cumulative basis year to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interest rate on our 2026 Term Loan B Facility was approximately 5.12%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7. Stockholders</w:t>
      </w:r>
      <w:r>
        <w:rPr>
          <w:color w:val="000000"/>
        </w:rPr>
        <w:t xml:space="preserve">’ </w:t>
      </w:r>
      <w:r>
        <w:rPr>
          <w:rFonts w:ascii="Times New Roman;serif" w:hAnsi="Times New Roman;serif"/>
          <w:b/>
          <w:color w:val="000000"/>
          <w:sz w:val="20"/>
        </w:rPr>
        <w:t>Equity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our Board of Directors authorized repurchases of up to $750 million of our common stock. The repurchase authorization permits us to purchase shares in both the open market and in private transactions, with the timing and number of shares dependent on a variety of factors, including price, general business and market conditions, alternative investment opportunities and funding considerations. We retire common shares that we repurchase upon settlement. The share repurchase program has no expiration date and may be utilized over time, with no obligation to repurchase any specific number of shares. We may suspend or discontinue this program at any time. This plan replaced our previous share repurchase plan, authorized in February 2019.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we repurchased 341 thousand shares of common stock with an aggregate value of $70 million at an average price of $205.22 per share. In the first six months of 2026, we repurchased 497 thousand shares of common stock with an aggregate value of $100 million at an average price of $201.13 per share. The share repurchases were funded by cash on hand. In the second quarter and first six months of 2025, we repurchased 83 thousand shares of common stock with an aggregate value of $10 million at an average price of $120.41 per share. As of June 30, 2026, our remaining share repurchase authorization was $525 million, reflecting $225 million of cumulative repurchases to date under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Earnings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computations of basic and diluted earnings per share were as follows:</w:t>
      </w:r>
    </w:p>
    <w:tbl>
      <w:tblPr>
        <w:tblW w:w="9822" w:type="dxa"/>
        <w:jc w:val="left"/>
        <w:tblInd w:w="0" w:type="dxa"/>
        <w:tblLayout w:type="fixed"/>
        <w:tblCellMar>
          <w:top w:w="28" w:type="dxa"/>
          <w:left w:w="28" w:type="dxa"/>
          <w:bottom w:w="28" w:type="dxa"/>
          <w:right w:w="28" w:type="dxa"/>
        </w:tblCellMar>
      </w:tblPr>
      <w:tblGrid>
        <w:gridCol w:w="615"/>
        <w:gridCol w:w="544"/>
        <w:gridCol w:w="544"/>
        <w:gridCol w:w="1026"/>
        <w:gridCol w:w="1026"/>
        <w:gridCol w:w="1037"/>
        <w:gridCol w:w="109"/>
        <w:gridCol w:w="109"/>
        <w:gridCol w:w="109"/>
        <w:gridCol w:w="240"/>
        <w:gridCol w:w="582"/>
        <w:gridCol w:w="124"/>
        <w:gridCol w:w="124"/>
        <w:gridCol w:w="124"/>
        <w:gridCol w:w="124"/>
        <w:gridCol w:w="240"/>
        <w:gridCol w:w="582"/>
        <w:gridCol w:w="124"/>
        <w:gridCol w:w="109"/>
        <w:gridCol w:w="109"/>
        <w:gridCol w:w="109"/>
        <w:gridCol w:w="219"/>
        <w:gridCol w:w="531"/>
        <w:gridCol w:w="113"/>
        <w:gridCol w:w="113"/>
        <w:gridCol w:w="113"/>
        <w:gridCol w:w="113"/>
        <w:gridCol w:w="219"/>
        <w:gridCol w:w="531"/>
        <w:gridCol w:w="160"/>
      </w:tblGrid>
      <w:tr>
        <w:trPr/>
        <w:tc>
          <w:tcPr>
            <w:tcW w:w="61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tcPr>
          <w:p>
            <w:pPr>
              <w:pStyle w:val="TableContents"/>
              <w:bidi w:val="0"/>
              <w:spacing w:before="0" w:after="283"/>
              <w:jc w:val="left"/>
              <w:rPr>
                <w:sz w:val="4"/>
                <w:szCs w:val="4"/>
              </w:rPr>
            </w:pPr>
            <w:r>
              <w:rPr>
                <w:sz w:val="4"/>
                <w:szCs w:val="4"/>
              </w:rPr>
            </w:r>
          </w:p>
        </w:tc>
      </w:tr>
      <w:tr>
        <w:trPr/>
        <w:tc>
          <w:tcPr>
            <w:tcW w:w="47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tcPr>
          <w:p>
            <w:pPr>
              <w:pStyle w:val="TableContents"/>
              <w:bidi w:val="0"/>
              <w:spacing w:before="0" w:after="283"/>
              <w:jc w:val="left"/>
              <w:rPr>
                <w:sz w:val="4"/>
                <w:szCs w:val="4"/>
              </w:rPr>
            </w:pPr>
            <w:r>
              <w:rPr>
                <w:sz w:val="4"/>
                <w:szCs w:val="4"/>
              </w:rPr>
            </w:r>
          </w:p>
        </w:tc>
      </w:tr>
      <w:tr>
        <w:trPr/>
        <w:tc>
          <w:tcPr>
            <w:tcW w:w="47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54050"/>
                <wp:effectExtent l="0" t="0" r="0" b="0"/>
                <wp:wrapNone/>
                <wp:docPr id="20" name="Frame1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involved, and expect to continue to be involved, in numerous proceedings arising out of the conduct of our business. These proceedings may include claims for property damage or personal injury incurred in connection with the transportation of freight, cargo damage or loss, environmental liability, commercial disputes, insurance coverage disputes and employment-related claims, including claims involving asserted breaches of employee restrictive covenants.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establish accruals for specific legal proceedings when it is considered probable that a loss has been incurred and the amount of the loss can be reasonably estimated. We review and adjust, as appropriate, accruals for loss contingencies at least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be considered reasonably possible or probable is based on our assessment, together with legal counsel, regarding the ultimate outcome of the matter.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carry liability and excess umbrella insurance policies that we deem sufficient to cover potential legal claims arising in the normal course of conducting our operations as a transportation company. In the event we are required to satisfy a legal claim outside the scope of the coverage provided by insurance, our financial condition, results of operations or cash flows could be negatively impacted.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Insurance Contribution Litigation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been engaged in litigation in a case captioned Allianz Global Risks US Ins. Co. v. ACE Property &amp; Casualty Ins. Co., et al., Multnomah County Circuit Court (Case No. 1204-04552) since we acquired Con-way in 2015. In April 2012, prior to the acquisition, Allianz Global Risks US Ins. Co. (“Allianz”) filed suit against eighteen insurance companies seeking contribution on environmental and product liability claims that Allianz agreed to defend and indemnify on behalf of its insured, Daimler Trucks North America (“DTNA”). These claims involved truck and part manufacturing plants of Freightliner, a former subsidiary of Con-way, which Con-way sold to DTNA in 1981. The defendants had insured Freightliner’s assets and Con-way and Freightliner had self-insured under fronting agreements with three of the defendant insurers, ACE, Westport, and General. Under those agreements, Con-way agreed to indemnify the fronting carriers for damages assessed under the fronting policies. Con-way’s captive insurer, Centron, was also a named defendant. In connection with the acquisition of Con-way, we became responsible for any potential liability of Con-way related to 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54050"/>
                <wp:effectExtent l="0" t="0" r="0" b="0"/>
                <wp:wrapNone/>
                <wp:docPr id="21" name="Frame2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After a seven-week jury trial in 2014, the jury found that Con-way and the fronting insurers never intended that the fronting insurers defend or indemnify any claims against Freightliner. In June 2015, Allianz appealed to the Oregon Court of Appeals. In May 2019, the Oregon Court of Appeals upheld the jury verdict. In September 2019, Allianz appealed to the Oregon Supreme Court. In March 2021, the Oregon Supreme Court reversed the jury verdict, holding that it was an error to allow the jury to decide how the parties intended the fronting policies to operate, and also holding that the trial court improperly instructed the jury concerning application of certain policy pollution exclusions. In July 2021, the matter was remanded to the trial court for further proceedings consistent with the Oregon Supreme Court’s decision. In June 2023, the trial court decided the parties’ cross-motions for summary judgment and determined that the fronting policies do provide coverage for the environmental and product liability claims. The pollution exclusion and allocation issues remained open. The trial on the pollution exclusion issue took place in October 2024, where the jury issued a favorable verdict, finding that the pollution exclusion applied to the General policy over several years for which Allianz seeks contribution. The trial addressing legal and factual issues relating to the allocation of defense and indemnity costs among the applicable insurance policies took place during the first half of 2025 and final hearings on allocation and potential application of prejudgment interest took place in October 2025 and early February 2026, respectively. A hearing on the final judgment occurred in May 2026, and the court entered its final judgment. In the third quarter of 2025, in anticipation of a final judgment, we revised our estimate for our share of the liability associated with this matter and recognized a charge of approximately $35 million, which included an allocation of defense and indemnity costs already incurred by Allianz as well as an estimate of future allocated defense and indemnity costs. The final judgment entered was in alignment with the amount accrued and the expected allocation of defense and indemnity costs already incurred by Allianz. The final judgment is now subject to appeal by Allianz as well as multiple defendants, with Notice of Appeal submitted in June 2026. No appellate schedule, including briefing schedule, has yet been established, nor have the portions of the final judgment which are subject to the appeals been identified.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matter is solely related to a legacy Con-way truck manufacturing business and is unrelated to our current Less-than-Truckload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54050"/>
                <wp:effectExtent l="0" t="0" r="0" b="0"/>
                <wp:wrapNone/>
                <wp:docPr id="22" name="Frame2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Cautionary Statement Regarding Forward-Looking Statements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future results, levels of activity, performance or achievements to be materially different from our expected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Quarterly Report on Form 10-Q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following discussion should be read in conjunction with the Company’s unaudited Condensed Consolidated Financial Statements and related notes thereto included elsewhere in this Quarterly Report on Form 10-Q, and with the audited consolidated financial statements and related notes thereto included in the Annual Report on Form 10-K for the year ended December 31, 2025 (the “2025 Form 10-K”). Forward-looking statements set forth in this Quarterly Report on Form 10-Q speak only as of the date hereof, and we do not undertake any obligation to update forward-looking statements to reflect subsequent events or circumstances, changes in expectations or the occurrence of unanticipated events, except to the extent required by law.</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XPO, Inc., together with its subsidiaries (“XPO,” “we” or the “Company”), is a leading provider of freight transportation services, with company-specific avenues for value creation. We use our proprietary technology to move goods efficiently through our customers’ supply chains in North America and Europe. As of June 30, 2026, we had approximately 38,000 employees serving approximately 55,000 customers through 586 owned and leased locations in 17 countries.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company has two reportable segments: North American Less-Than-Truckload (“LTL”), the largest component of our business, and European Transportation. Our North American LTL segment includes the results of our trailer manufacturing operation.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Within the tables presented, certain amounts may not add due to the use of rounded numbers. Unless otherwise indicated, percentages presented are calculated from the underlying numbers in millions.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North American LTL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LTL in North America is a bedrock industry providing a critical service to the economy, with secular growth drivers, a favorable pricing environment and an established competitive landscape. XPO operates one of the largest LTL networks in North America, with approximately 9% share of the U.S. market, estimated to be $52 billion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54050"/>
                <wp:effectExtent l="0" t="0" r="0" b="0"/>
                <wp:wrapNone/>
                <wp:docPr id="23" name="Frame2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network serves approximately 38,000 shippers with critical geographic density and day-definite domestic services to approximately 99% of U.S. ZIP codes, as well as cross-border services to Mexico, Canada and the Caribbean. We operate the business to high service standards for on-time delivery and damage-free transport, while balancing our network to leverage our fixed costs. In 2025, we developed new linehaul models that use artificial intelligence (AI) to improve the efficiency of our freight flows, piloted routing innovations for pickup-and-delivery operations and continued to improve productivity with real-time labor analytics at the service center level. Our proprietary developments in intelligent automation and AI-enabled decision-making are directly enhancing profitability.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LTL business historically has generated a high return on invested capital and robust free cash flow, funding our ongoing investments in people, capacity and technology. For example, since implementing our growth plan in the fourth quarter of 2021, we have added more than 2,000 net new doors to our network, expanding our presence in high-growth markets while improving our operating ratio.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created a strategic growth opportunity by building more than 30% excess door capacity into our network. Additionally, we invest in advancing a host of XPO-specific initiatives that are largely independent of the macroeconomic environment. Our trailer manufacturing facility and commercial truck driver schools are self-reliant competitive advantages for our company, particularly when industry conditions make it difficult to source equipment or drivers.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positions us to capture profitable market share gains and drive higher incremental margins as market conditions improve. LTL industry capacity is currently constrained below pre-pandemic levels in North America, and we believe that our combination of capacity and technology puts us in a unique position to respond quickly to rebounds in demand as the freight recession 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proprietary, AI-driven capabilities to become increasingly essential to how we operate, compete and create value in all these areas. For more information, see “Technology” below.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European Transportation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XPO has a unique pan-European transportation platform with leading positions in key geographies and deep expertise in consumer, trade and industrial markets. We are the #1 full truckload broker and the #1 pallet network (LTL) provider in France; the #1 full truckload broker and the #1 LTL provider in Iberia (Spain and Portugal); and, in the U.K., we are a market leader in warehousing, a top-tier dedicated truckload provider and have the largest single-owner LTL network. Our extensive customer base includes many sector leaders that have long-tenured relationships with us.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full range of freight services in Europe encompasses dedicated truckload, LTL, full truckload brokerage, warehousing, managed transportation, last mile delivery, freight forwarding and, increasingly, multimodal solutions designed for specific customer needs. We use our proprietary technology to manage these services efficiently within our digital ecosystem in Europe.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previously announced authorization by our Board of Directors to divest the European business remains in effect. There can be no assurance that the divestiture will occur, or of the terms or timing of a transaction.</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Technology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One of the ways in which we deliver superior service to our customers is by empowering our employees with technology. Our industry is evolving, and customers want to de-risk their supply chains by forming relationships with reliable service providers that have invested in innovation.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built a highly scalable ecosystem on the cloud that deploys our software consistently across our operating footprint. In our North American LTL business, the caliber of our technology is mission-critical to our success; it optimizes pricing, linehaul, pickup-and-delivery and dock operations — the main components of the service we provide. We have been investing in proprietary AI technology and are implementing these initiatives across a number of high-impact applications where intelligent automation and better decision making are directly enhancing profitability. We see AI playing a major role in how we operate, price our services, compete, and create value over the long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54050"/>
                <wp:effectExtent l="0" t="0" r="0" b="0"/>
                <wp:wrapNone/>
                <wp:docPr id="24" name="Frame2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 LTL network of our scale has hundreds of thousands of activities underway at any given time, all managed on our technology. For the trailing 12 months ended June 30, 2026, we moved approximately 16 billion pounds of freight 784 million miles, including moving linehaul freight an average of 2.5 million miles a day.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intelligent route-building, we can reduce empty miles in our linehaul network and improve load factor. Our proprietary optimization models analyze massive amounts of data including volume, capacity, and dimensions and generate instructions to maximize trailer utilization, reduce cost, and enhance service. We use our real-time visualization tools to drive efficiencies with pickups and deliveries and a robust pricing platform for contractual account management.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Consolidated Summary Financial Table</w:t>
      </w:r>
    </w:p>
    <w:tbl>
      <w:tblPr>
        <w:tblW w:w="13326" w:type="dxa"/>
        <w:jc w:val="left"/>
        <w:tblInd w:w="0" w:type="dxa"/>
        <w:tblLayout w:type="fixed"/>
        <w:tblCellMar>
          <w:top w:w="28" w:type="dxa"/>
          <w:left w:w="28" w:type="dxa"/>
          <w:bottom w:w="28" w:type="dxa"/>
          <w:right w:w="28" w:type="dxa"/>
        </w:tblCellMar>
      </w:tblPr>
      <w:tblGrid>
        <w:gridCol w:w="809"/>
        <w:gridCol w:w="501"/>
        <w:gridCol w:w="221"/>
        <w:gridCol w:w="109"/>
        <w:gridCol w:w="109"/>
        <w:gridCol w:w="109"/>
        <w:gridCol w:w="196"/>
        <w:gridCol w:w="556"/>
        <w:gridCol w:w="109"/>
        <w:gridCol w:w="109"/>
        <w:gridCol w:w="109"/>
        <w:gridCol w:w="109"/>
        <w:gridCol w:w="196"/>
        <w:gridCol w:w="556"/>
        <w:gridCol w:w="109"/>
        <w:gridCol w:w="109"/>
        <w:gridCol w:w="109"/>
        <w:gridCol w:w="109"/>
        <w:gridCol w:w="286"/>
        <w:gridCol w:w="270"/>
        <w:gridCol w:w="241"/>
        <w:gridCol w:w="109"/>
        <w:gridCol w:w="109"/>
        <w:gridCol w:w="109"/>
        <w:gridCol w:w="286"/>
        <w:gridCol w:w="270"/>
        <w:gridCol w:w="241"/>
        <w:gridCol w:w="109"/>
        <w:gridCol w:w="109"/>
        <w:gridCol w:w="109"/>
        <w:gridCol w:w="312"/>
        <w:gridCol w:w="259"/>
        <w:gridCol w:w="349"/>
        <w:gridCol w:w="109"/>
        <w:gridCol w:w="109"/>
        <w:gridCol w:w="109"/>
        <w:gridCol w:w="196"/>
        <w:gridCol w:w="556"/>
        <w:gridCol w:w="109"/>
        <w:gridCol w:w="109"/>
        <w:gridCol w:w="109"/>
        <w:gridCol w:w="109"/>
        <w:gridCol w:w="196"/>
        <w:gridCol w:w="556"/>
        <w:gridCol w:w="109"/>
        <w:gridCol w:w="109"/>
        <w:gridCol w:w="109"/>
        <w:gridCol w:w="109"/>
        <w:gridCol w:w="286"/>
        <w:gridCol w:w="270"/>
        <w:gridCol w:w="241"/>
        <w:gridCol w:w="109"/>
        <w:gridCol w:w="109"/>
        <w:gridCol w:w="109"/>
        <w:gridCol w:w="286"/>
        <w:gridCol w:w="270"/>
        <w:gridCol w:w="241"/>
        <w:gridCol w:w="109"/>
        <w:gridCol w:w="109"/>
        <w:gridCol w:w="109"/>
        <w:gridCol w:w="302"/>
        <w:gridCol w:w="269"/>
        <w:gridCol w:w="402"/>
      </w:tblGrid>
      <w:tr>
        <w:trPr/>
        <w:tc>
          <w:tcPr>
            <w:tcW w:w="8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15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Salaries, wages and employee</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Purchased 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Fuel, operating expenses and</w:t>
              <w:br/>
              <w:t>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taxes and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Insurance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on sales of property and</w:t>
              <w:br/>
              <w:t>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br/>
              <w: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Pre-Con-way acquisition</w:t>
              <w:br/>
              <w:t>         environmental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Legal matters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and integration</w:t>
              <w:br/>
              <w: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4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extinguishment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tax</w:t>
              <w:br/>
              <w:t>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4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Three and Six Months Ended June 30, 2026 Compared with Three and Six Months Ended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consolidated revenue for the second quarter of 2026 increased 13.2% to $2.4 billion, compared with the same quarter in 2025. Our consolidated revenue for the first six months of 2026 increased 10.3% to $4.5 billion, compared with the same period in 2025. Foreign currency movement increased revenue by approximately 1.0 percentage point in the second quarter of 2026 and by approximately 2.6 percentage points in the first six months of 2026. The increase in revenue during the second quarter of 2026 and the first six months of 2026 compared to the same periods in 2025, after taking into effect the impact of foreign currency movements, primarily reflects higher revenue in both our North American LTL and European Transportation segments, further explained below, and includes the impact of higher revenue from fuel surcharges.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54050"/>
                <wp:effectExtent l="0" t="0" r="0" b="0"/>
                <wp:wrapNone/>
                <wp:docPr id="25" name="Frame2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Salaries, wages and employee benefits includes compensation-related costs for our employees, including salaries, wages, incentive compensation, healthcare-related costs and payroll taxes, and covers drivers and dockworkers, operations and facility workers and employees in support roles and other positions. Salaries, wages and employee benefits for the second quarter of 2026 was $929 million, or 39.4% of revenue, compared with $871 million, or 41.9% of revenue, for the same quarter in 2025. Salaries, wages and employee benefits for the first six months of 2026 was $1.8 billion, or 40.6% of revenue, compared with $1.7 billion, or 42.2% of revenue, for the same period in 2025. The year-over-year increase in both periods primarily reflects wage inflation, higher volumes and higher incentive compensation, partially offset by productivity improvements enabled by our AI-driven optimization tools. As a percentage of revenue, the year-over-year decrease reflects leveraging compensation costs across a larger revenue base.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Purchased transportation includes costs of procuring third-party freight transportation. Purchased transportation for the second quarter of 2026 was $464 million, or 19.7% of revenue, compared with $426 million, or 20.5% of revenue, for the same quarter in 2025. Purchased transportation for the first six months of 2026 was $887 million, or 19.9% of revenue, compared with $826 million, or 20.5% of revenue, for the same period in 2025. The year-over-year increase in both periods primarily reflects higher prices for purchased transportation, driven in part by higher fuel prices, partially offset by the insourcing of a greater proportion of linehaul from third-party transportation providers in our North American LTL segment. As a percentage of revenue, the year-over-year decrease reflects proportionally higher revenue growth.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Fuel, operating expenses and supplies includes the cost of fuel purchased for use in our vehicles as well as related taxes, maintenance and lease costs for our equipment, including tractors and trailers, costs related to operating our owned and leased facilities, bad debt expense, third-party professional fees, information technology expenses and supplies expense. Fuel, operating expenses and supplies for the second quarter of 2026 was $476 million, or 20.2% of revenue, compared with $384 million, or 18.5% of revenue, for the same quarter in 2025. Fuel, operating expenses and supplies for the first six months of 2026 was $899 million, or 20.2% of revenue, compared with $777 million, or 19.3% of revenue, for the same period in 2025. As a percentage of revenue, the year-over-year increase in both periods primarily reflects higher fuel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taxes and licenses includes tax expenses related to our vehicles and our owned and leased facilities as well as license expenses to operate our vehicles. Operating taxes and licenses for the second quarter of 2026 was $22 million, compared with $21 million for the same period in 2025. Operating taxes and licenses for the first six months of 2026 was $43 million, compared with $40 million for the same period in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Insurance and claims includes costs related to vehicular and cargo claims for both purchased insurance and self-insurance programs. Insurance and claims for the second quarter of 2026 was $40 million, compared with $40 million for the same quarter in 2025. Insurance and claims for the first six months of 2026 was $75 million, compared with $75 million for the same period in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Gains on sales of property and equipment for the second quarter of 2026 was $7 million, compared with $1 million for the same quarter in 2025. Gains on sales of property and equipment for the first six months of 2026 was $8 million, compared with $3 million for the same period in 2025. The year-over-year increase was due to the timing of gains on real estate transactions in our North American LTL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the second quarter of 2026 was $134 million, compared with $131 million for the same quarter in 2025. Depreciation and amortization expense for the first six months of 2026 was $265 million, compared with $254 million for the same period in 2025. The year-over-year increase primarily reflects the impact of capital investments in property, tractors and trailers in our North American LTL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Legal matters for the second quarter of 2025 and the first six months of 2025 was a gain of $2 million and $13 million, respectively, which reflects the settlement of claims against certain truck manufacturers related to purchases by our European Transportation segment covering periods prior to our acquisition of Norbert Dentressangle SA in 2015. There was no comparable gain or loss in the first six months of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 for the second quarter of 2026 were $2 million, compared with $3 million for the same quarter in 2025. Transaction and integration costs for the first six months of 2026 were $4 million, compared with $6 million for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54050"/>
                <wp:effectExtent l="0" t="0" r="0" b="0"/>
                <wp:wrapNone/>
                <wp:docPr id="26" name="Frame2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for the second quarter of 2026 were $22 million, compared with $8 million for the same quarter in 2025. Restructuring costs for the first six months of 2026 were $31 million, compared with $20 million for the same period in 2025. Restructuring costs in both periods primarily related to restructuring actions in our European Transportation segment. We engage in restructuring actions as part of our ongoing efforts to best use our resources and infrastructure. For more information, see Note 4—Restructuring Charges to our Condensed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income for the second quarter of 2026 was $4 million, compared with $2 million for the same quarter in 2025. Other income for the first six months of 2026 was $7 million, compared with $3 million for the same period in 2025. The year-over-year increase in both periods primarily reflects an increase in net periodic pension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Debt extinguishment loss for the second quarter of 2026 was $5 million, compared with $0 million for the same period in 2025. Debt extinguishment loss for the first six months of 2026 was $5 million, compared with $5 million for the same period in 2025. Debt extinguishment loss in both years primarily related to refinancings of our term loan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decreased to $51 million for the second quarter of 2026, compared with $56 million for the same quarter in 2025. Interest expense decreased to $104 million for the first six months of 2026, compared with $112 million for the same period in 2025. The year-over-year decrease is primarily due to the repayment of debt as well as lower interest rates on our variable rate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income tax rates were 25.8% and 25.9% for the second quarters of 2026 and 2025, respectively, and 23.1% and 25.3% for the first six months of 2026 and 2025, respectively. The effective income tax rates for the second quarter and six-month periods of 2026 and 2025 were based on forecasted full-year effective income tax rates, adjusted for discrete items that occurred within the periods presented.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second quarter of 2026 was consistent with the second quarter of 2025, remaining essentially flat year over year. The primary items impacting the effective tax rate for the second quarter of 2026 were losses for which no tax benefit can be recognized and forecasted non-deductible executive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decrease in our effective income tax rate for the first six months of 2026 compared to the same period in 2025 was primarily driven by an increase in a discrete tax benefit from stock-based compensation and a change in estimate related to the discrete benefit associated with a legal entity reorganization in our European Transportation business that occurred in 2024, partially offset by losses for which no tax benefit can be recognized. The primary items impacting the effective tax rate for the first six months of 2026 were losses for which no tax benefit can be recognized and forecasted non-deductible executive compensation partially offset by a discrete tax benefit from stock-based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remaining cash refund we expect to receive in connection with the legal entity reorganization in our European Transportation business is $6 million. This amount is expected to be received in 2026 or 2027.</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Segment Financial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(“CODM”) regularly reviews financial information at the operating segment level to allocate resources to the segments and to assess their performance. For our North American LTL and European Transportation segments, our CODM evaluates segment profit (loss) based on adjusted earnings before interest, taxes, depreciation and amortization (“adjusted EBITDA”), which we define as income before debt extinguishment loss, interest expense, income tax provision, depreciation and amortization expense, legal matters, transaction and integration costs, restructuring costs and other adjustments. Segment adjusted EBITDA includes an allocation of corporate costs. See Note 2—Segment Reporting to our Condensed Consolidated Financial Statements for further information and a reconciliation of adjusted EBITDA to consolidated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54050"/>
                <wp:effectExtent l="0" t="0" r="0" b="0"/>
                <wp:wrapNone/>
                <wp:docPr id="27" name="Frame2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North American Less-Than-Truckload Segment</w:t>
      </w:r>
    </w:p>
    <w:tbl>
      <w:tblPr>
        <w:tblW w:w="12681" w:type="dxa"/>
        <w:jc w:val="left"/>
        <w:tblInd w:w="0" w:type="dxa"/>
        <w:tblLayout w:type="fixed"/>
        <w:tblCellMar>
          <w:top w:w="28" w:type="dxa"/>
          <w:left w:w="28" w:type="dxa"/>
          <w:bottom w:w="28" w:type="dxa"/>
          <w:right w:w="28" w:type="dxa"/>
        </w:tblCellMar>
      </w:tblPr>
      <w:tblGrid>
        <w:gridCol w:w="646"/>
        <w:gridCol w:w="229"/>
        <w:gridCol w:w="221"/>
        <w:gridCol w:w="109"/>
        <w:gridCol w:w="109"/>
        <w:gridCol w:w="109"/>
        <w:gridCol w:w="196"/>
        <w:gridCol w:w="556"/>
        <w:gridCol w:w="109"/>
        <w:gridCol w:w="109"/>
        <w:gridCol w:w="109"/>
        <w:gridCol w:w="109"/>
        <w:gridCol w:w="196"/>
        <w:gridCol w:w="556"/>
        <w:gridCol w:w="109"/>
        <w:gridCol w:w="109"/>
        <w:gridCol w:w="109"/>
        <w:gridCol w:w="109"/>
        <w:gridCol w:w="286"/>
        <w:gridCol w:w="270"/>
        <w:gridCol w:w="241"/>
        <w:gridCol w:w="109"/>
        <w:gridCol w:w="109"/>
        <w:gridCol w:w="109"/>
        <w:gridCol w:w="286"/>
        <w:gridCol w:w="270"/>
        <w:gridCol w:w="241"/>
        <w:gridCol w:w="109"/>
        <w:gridCol w:w="109"/>
        <w:gridCol w:w="109"/>
        <w:gridCol w:w="262"/>
        <w:gridCol w:w="204"/>
        <w:gridCol w:w="349"/>
        <w:gridCol w:w="109"/>
        <w:gridCol w:w="109"/>
        <w:gridCol w:w="109"/>
        <w:gridCol w:w="196"/>
        <w:gridCol w:w="556"/>
        <w:gridCol w:w="109"/>
        <w:gridCol w:w="109"/>
        <w:gridCol w:w="109"/>
        <w:gridCol w:w="109"/>
        <w:gridCol w:w="196"/>
        <w:gridCol w:w="556"/>
        <w:gridCol w:w="109"/>
        <w:gridCol w:w="109"/>
        <w:gridCol w:w="109"/>
        <w:gridCol w:w="109"/>
        <w:gridCol w:w="286"/>
        <w:gridCol w:w="270"/>
        <w:gridCol w:w="241"/>
        <w:gridCol w:w="109"/>
        <w:gridCol w:w="109"/>
        <w:gridCol w:w="109"/>
        <w:gridCol w:w="286"/>
        <w:gridCol w:w="270"/>
        <w:gridCol w:w="241"/>
        <w:gridCol w:w="109"/>
        <w:gridCol w:w="109"/>
        <w:gridCol w:w="109"/>
        <w:gridCol w:w="248"/>
        <w:gridCol w:w="218"/>
        <w:gridCol w:w="402"/>
      </w:tblGrid>
      <w:tr>
        <w:trPr/>
        <w:tc>
          <w:tcPr>
            <w:tcW w:w="6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Adjusted EBITDA </w:t>
            </w:r>
            <w:r>
              <w:rPr>
                <w:rFonts w:ascii="Times New Roman;serif" w:hAnsi="Times New Roman;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Percent of Revenue is calculated using the underlying unrounded amounts.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in our North American LTL segment increased 15.2% to $1.4 billion for the second quarter of 2026, compared with $1.2 billion for the same quarter in 2025. Revenue in our North American LTL segment increased 10.2% to $2.7 billion for the first six months of 2026, compared with $2.4 billion for the same period in 2025. Revenue included fuel surcharge revenue of $314 million and $183 million, respectively, for the second quarters of 2026 and 2025, and $515 million and $361 million, respectively, for the first six months of 2026 and 2025. The increase in fuel surcharge revenue was primarily driven by higher diesel prices.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evaluate the revenue performance of our LTL business using several commonly used metrics, including tonnage (weight per day in pounds) and yield, which is a commonly used measure of LTL pricing trends. We measure yield using gross revenue per hundredweight, excluding fuel surcharges. Impacts on yield can include weight per shipment and length of haul, among other factors, while impacts on tonnage can include shipments per day and weight per shipment. The following table summarizes our key revenue metrics:</w:t>
      </w:r>
    </w:p>
    <w:tbl>
      <w:tblPr>
        <w:tblW w:w="10205" w:type="dxa"/>
        <w:jc w:val="left"/>
        <w:tblInd w:w="0" w:type="dxa"/>
        <w:tblLayout w:type="fixed"/>
        <w:tblCellMar>
          <w:top w:w="28" w:type="dxa"/>
          <w:left w:w="28" w:type="dxa"/>
          <w:bottom w:w="28" w:type="dxa"/>
          <w:right w:w="28" w:type="dxa"/>
        </w:tblCellMar>
      </w:tblPr>
      <w:tblGrid>
        <w:gridCol w:w="1085"/>
        <w:gridCol w:w="794"/>
        <w:gridCol w:w="800"/>
        <w:gridCol w:w="109"/>
        <w:gridCol w:w="109"/>
        <w:gridCol w:w="109"/>
        <w:gridCol w:w="211"/>
        <w:gridCol w:w="616"/>
        <w:gridCol w:w="109"/>
        <w:gridCol w:w="109"/>
        <w:gridCol w:w="109"/>
        <w:gridCol w:w="109"/>
        <w:gridCol w:w="211"/>
        <w:gridCol w:w="616"/>
        <w:gridCol w:w="109"/>
        <w:gridCol w:w="109"/>
        <w:gridCol w:w="109"/>
        <w:gridCol w:w="109"/>
        <w:gridCol w:w="225"/>
        <w:gridCol w:w="227"/>
        <w:gridCol w:w="429"/>
        <w:gridCol w:w="109"/>
        <w:gridCol w:w="109"/>
        <w:gridCol w:w="109"/>
        <w:gridCol w:w="211"/>
        <w:gridCol w:w="616"/>
        <w:gridCol w:w="109"/>
        <w:gridCol w:w="109"/>
        <w:gridCol w:w="109"/>
        <w:gridCol w:w="109"/>
        <w:gridCol w:w="211"/>
        <w:gridCol w:w="616"/>
        <w:gridCol w:w="109"/>
        <w:gridCol w:w="109"/>
        <w:gridCol w:w="109"/>
        <w:gridCol w:w="109"/>
        <w:gridCol w:w="225"/>
        <w:gridCol w:w="227"/>
        <w:gridCol w:w="487"/>
      </w:tblGrid>
      <w:tr>
        <w:trPr/>
        <w:tc>
          <w:tcPr>
            <w:tcW w:w="108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2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Pounds per day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Shipments per day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weight per shipment (in pounds)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Gross revenue per hundredweight, excluding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fuel surcharges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Percentages presented are calculated using the underlying unrounded amounts.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year-over-year increase in revenue, excluding fuel surcharge revenue, for both the second quarter and first six months of 2026 reflects higher yield, primarily related to our improvements in service quality and the benefit of numerous pricing initiatives, and higher tonnage. The increase in tonnage for both the second quarter and first six months of 2026 reflects higher shipments per day partially offset by lower average weight per shipment.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Adjusted EBITDA was $390 million for the second quarter of 2026, compared with $300 million for the same quarter in 2025. Adjusted EBITDA was $680 million for the first six months of 2026, compared with $550 million for the same period in 2025. The increase in adjusted EBITDA reflects higher yield, shipments per day and fuel surcharge revenue, as well as productivity improvements, partially offset by lower average weight per shipment, higher fuel costs and wage inflation.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to $100 million in the second quarter of 2026 compared with $96 million for the same quarter in 2025. Depreciation and amortization expense increased to $197 million in the first six months of 2026 compared with $185 million for the same period in 2025. The year-over-year increase was primarily due to the impact of capital investments in property, tractors and trailers.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54050"/>
                <wp:effectExtent l="0" t="0" r="0" b="0"/>
                <wp:wrapNone/>
                <wp:docPr id="28" name="Frame2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European Transportation Segment</w:t>
      </w:r>
    </w:p>
    <w:tbl>
      <w:tblPr>
        <w:tblW w:w="12411" w:type="dxa"/>
        <w:jc w:val="left"/>
        <w:tblInd w:w="0" w:type="dxa"/>
        <w:tblLayout w:type="fixed"/>
        <w:tblCellMar>
          <w:top w:w="28" w:type="dxa"/>
          <w:left w:w="28" w:type="dxa"/>
          <w:bottom w:w="28" w:type="dxa"/>
          <w:right w:w="28" w:type="dxa"/>
        </w:tblCellMar>
      </w:tblPr>
      <w:tblGrid>
        <w:gridCol w:w="646"/>
        <w:gridCol w:w="229"/>
        <w:gridCol w:w="221"/>
        <w:gridCol w:w="109"/>
        <w:gridCol w:w="109"/>
        <w:gridCol w:w="109"/>
        <w:gridCol w:w="196"/>
        <w:gridCol w:w="421"/>
        <w:gridCol w:w="109"/>
        <w:gridCol w:w="109"/>
        <w:gridCol w:w="109"/>
        <w:gridCol w:w="109"/>
        <w:gridCol w:w="196"/>
        <w:gridCol w:w="421"/>
        <w:gridCol w:w="109"/>
        <w:gridCol w:w="109"/>
        <w:gridCol w:w="109"/>
        <w:gridCol w:w="109"/>
        <w:gridCol w:w="286"/>
        <w:gridCol w:w="270"/>
        <w:gridCol w:w="241"/>
        <w:gridCol w:w="109"/>
        <w:gridCol w:w="109"/>
        <w:gridCol w:w="109"/>
        <w:gridCol w:w="286"/>
        <w:gridCol w:w="270"/>
        <w:gridCol w:w="241"/>
        <w:gridCol w:w="109"/>
        <w:gridCol w:w="109"/>
        <w:gridCol w:w="109"/>
        <w:gridCol w:w="262"/>
        <w:gridCol w:w="204"/>
        <w:gridCol w:w="349"/>
        <w:gridCol w:w="109"/>
        <w:gridCol w:w="109"/>
        <w:gridCol w:w="109"/>
        <w:gridCol w:w="196"/>
        <w:gridCol w:w="556"/>
        <w:gridCol w:w="109"/>
        <w:gridCol w:w="109"/>
        <w:gridCol w:w="109"/>
        <w:gridCol w:w="109"/>
        <w:gridCol w:w="196"/>
        <w:gridCol w:w="556"/>
        <w:gridCol w:w="109"/>
        <w:gridCol w:w="109"/>
        <w:gridCol w:w="109"/>
        <w:gridCol w:w="109"/>
        <w:gridCol w:w="286"/>
        <w:gridCol w:w="270"/>
        <w:gridCol w:w="241"/>
        <w:gridCol w:w="109"/>
        <w:gridCol w:w="109"/>
        <w:gridCol w:w="109"/>
        <w:gridCol w:w="286"/>
        <w:gridCol w:w="270"/>
        <w:gridCol w:w="241"/>
        <w:gridCol w:w="109"/>
        <w:gridCol w:w="109"/>
        <w:gridCol w:w="109"/>
        <w:gridCol w:w="248"/>
        <w:gridCol w:w="218"/>
        <w:gridCol w:w="402"/>
      </w:tblGrid>
      <w:tr>
        <w:trPr/>
        <w:tc>
          <w:tcPr>
            <w:tcW w:w="6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Adjusted EBITDA </w:t>
            </w:r>
            <w:r>
              <w:rPr>
                <w:rFonts w:ascii="Times New Roman;serif" w:hAnsi="Times New Roman;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Percent of Revenue is calculated using the underlying unrounded amounts.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in our European Transportation segment increased 10.2% to $927 million for the second quarter of 2026, compared with $841 million for the same quarter in 2025. Revenue increased 10.6% to $1.8 billion for the first six months of 2026, compared with $1.6 billion for the same period in 2025. Foreign currency movement increased revenue by approximately 2.4 percentage points in the second quarter of 2026 and by approximately 6.4 percentage points in the first six months of 2026. The increase in revenue reflects improved pricing, the impact of foreign currency movements and higher fuel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Adjusted EBITDA was $48 million for the second quarter of 2026, compared with $44 million for the same quarter in 2025. Adjusted EBITDA was $81 million for the first six months of 2026, compared with $76 million for the same period in 2025. The increase in adjusted EBITDA in both the second quarter and the first six months of 2026 primarily reflects higher revenue, partially offset by higher fuel costs, operating lease and facility costs, purchased transportation and salaries, wages and employee benefits.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decreased to $33 million in the second quarter of 2026, compared with $34 million for the same quarter in 2025. Depreciation and amortization expense decreased to $66 million in the first six months of 2026, compared with $67 million for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balance was $298 million as of June 30, 2026, compared to $310 million as of December 31, 2025. Our principal existing sources of cash are: (i) cash generated from operations; (ii) borrowings available under our Revolving Credit Facility (as defined below); and (iii) proceeds from the issuance of other debt. As of June 30, 2026, we have approximately $600 million available to draw under our Revolving Credit Facility, after considering outstanding letters of credit of less than $1 million. Additionally, we have a $200 million uncommitted secured evergreen letter of credit facility, under which we had issued $131 million in aggregate face amount of letters of credit as of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February 2025, we terminated our Second Amended and Restated Revolving Credit Agreement, as amended, and entered into a Revolving Credit Agreement (the “Revolving Credit Agreement”). The Revolving Credit Agreement provides for revolving credit commitments in an aggregate amount of $600 million (the “Revolving Credit Facility”). See Note 6—Debt to our Condensed Consolidated Financial Statements for further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total liquidity, comprised of cash and cash equivalents and availability under the Revolving Credit Facility, was approximately $898 million. We continually evaluate our liquidity requirements in light of our operating needs, growth initiatives and capital resources. We believe that our existing liquidity and sources of capital are sufficient to support our operations over the next 12 months and for the foreseeable future thereafter.</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Trade Receivables Securitization and Factoring Programs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our European Transportation business, we sell certain of our trade accounts receivable under securitization and factoring programs. We use trade receivables securitization and factoring programs to help manage our cash flows and offset the impact of extended payment terms for some of our customers. For more information, see Note 1—Description of Business and Basis of Presentation to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54050"/>
                <wp:effectExtent l="0" t="0" r="0" b="0"/>
                <wp:wrapNone/>
                <wp:docPr id="29" name="Frame2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maximum amount of net cash proceeds available at any one time under our securitization program, inclusive of any unsecured borrowings, is €200 million (approximately $228 million as of June 30, 2026). As of June 30, 2026, the maximum amount available under the program was utilized. Under the securitization program, we service the receivables we sell on behalf of the purchasers. In January 2026, the program was amended to extend the maturity date through March 2029.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Term Loan A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we entered into a Senior Secured Term Loan A Credit Agreement (the “Term Loan A Credit Agreement”). The agreement provides for a senior secured term loan A facility in an initial aggregate amount of $500 million, maturing on May 29, 2029 (the “Term Loan A Facility”). Proceeds from the Term Loan A Facility were drawn in full on the closing date and, together with the proceeds from the 2026 Term Loan B Facility, defined below, were used to repay borrowings under the existing term loan B credit agreement.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A Facility bears interest at a rate per annum equal to, at the Company’s option, either alternate base rate (“ABR”) or Term Secured Overnight Financing Rate (“SOFR”) plus (i) in the case of ABR loans, 0.25% or, (ii) in the case of Term SOFR loans, 1.25%, which, on or after September 30, 2026, shall be reduced by 0.125% upon achievement of a leverage ratio defined in the Term Loan A Credit Agreement. In the third year of the facility, the Term Loan A Facility is subject to amortization of principal, payable in quarterly installments, equal to 5% of the original principal amount per annum, which may be reduced by prepayments.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Subject to customary exceptions, the Term Loan A Facility includes customary prepayment requirements, representations and warranties, events of default, reporting and other affirmative and negative covenants, including limitations on indebtedness, liens, investments, dividends, repayments of junior financings and asset sales, and is secured by a lien on substantially all of our assets and the assets of our guarantors. Certain covenants under the Term Loan A Credit Agreement will terminate or be amended, and all guarantees and liens securing the facility will be released, upon the Company’s achievement of investment grade ratings from at least two rating agencies.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the Term Loan A Facility’s financial covenants. The interest rate on our Term Loan A Facility was approximately 4.87% as of June 30, 2026.</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Term Loan B Facility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May 2026, we amended our Senior Secured Term Loan Credit Agreement (“Amended Term Loan B Credit Agreement”). Pursuant to the amendment, the lenders provided the Company a new tranche of Term B-4 loans in an initial aggregate principal amount of $385 million, maturing on February 1, 2031 (the “2026 Term Loan B Facility”). The proceeds from the 2026 Term Loan B Facility, together with the proceeds from the Term Loan A Facility, were used to repay $885 million of outstanding principal, representing all outstanding indebtedness under our existing term loan B credit agreement. During the first half of 2026, prior to the refinancing, we used cash on hand to repay $100 million of outstanding principal under the existing term loan B credit agreement. We recorded a debt extinguishment loss of $5 million during the six months ended June 30, 2026, primarily related to the refinancing, and a debt extinguishment loss of $5 million during the six months ended June 30, 2025 related to the refinancing of our term loans in February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2026 Term Loan B Facility bears interest at a rate per annum equal to, at the Company’s option, either ABR or Term SOFR plus (i) in the case of ABR loans, 0.50% or, (ii) in the case of Term SOFR loans, 1.50%, which, after November 29, 2026, shall be reduced by 0.125% upon achievement of a leverage ratio defined in the Amended Term Loan B Credit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2026 Term Loan B Facility includes customary prepayment requirements, representations and warranties, events of default, reporting and other affirmative and negative covenants, including limitations on indebtedness, liens, investments, dividends, repayments of junior financings and asset sales, subject to customary exceptions.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July 2026, we used cash on hand to repay $100 million of outstanding principal under the 2026 Term Loan B Facility, which was classified within Short-term borrowings and current maturities of long-term debt as of June 30, 2026. The debt extinguishment loss recorded in connection with the repayment was not material. Including the July repayment, we used cash on hand to repay $200 million of outstanding principal under our term loans on a cumulative basis year to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54050"/>
                <wp:effectExtent l="0" t="0" r="0" b="0"/>
                <wp:wrapNone/>
                <wp:docPr id="30" name="Frame2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interest rate on our 2026 Term Loan B Facility was approximately 5.12% as of June 30, 2026.</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March 2025, our Board of Directors authorized repurchases of up to $750 million of our common stock. The repurchase authorization permits us to purchase shares in both the open market and in private transactions, with the timing and number of shares dependent on a variety of factors, including price, general business and market conditions, alternative investment opportunities and funding considerations. We retire common shares that we repurchase upon settlement. The share repurchase program has no expiration date and may be utilized over time, with no obligation to repurchase any specific number of shares. We may suspend or discontinue this program at any time. This plan replaced our previous share repurchase plan, authorized in February 2019.</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we repurchased 341 thousand shares of common stock with an aggregate value of $70 million at an average price of $205.22 per share. In the first six months of 2026, we repurchased 497 thousand shares of common stock with an aggregate value of $100 million at an average price of $201.13 per share. The share repurchases were funded by cash on hand. In the second quarter and first six months of 2025, we repurchased 83 thousand shares of common stock with an aggregate value of $10 million at an average price of $120.41 per share. As of June 30, 2026, our remaining share repurchase authorization was $525 million, reflecting $225 million of cumulative repurchases to date under the program.</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Loan Covenants and Compliance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the covenants and other provisions of our debt agreements. Any failure to comply with any material provision or covenant of these agreements could have a material adverse effect on our liquidity and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Sources and Uses of Cash</w:t>
      </w:r>
    </w:p>
    <w:tbl>
      <w:tblPr>
        <w:tblW w:w="5903" w:type="dxa"/>
        <w:jc w:val="left"/>
        <w:tblInd w:w="0" w:type="dxa"/>
        <w:tblLayout w:type="fixed"/>
        <w:tblCellMar>
          <w:top w:w="28" w:type="dxa"/>
          <w:left w:w="28" w:type="dxa"/>
          <w:bottom w:w="28" w:type="dxa"/>
          <w:right w:w="28" w:type="dxa"/>
        </w:tblCellMar>
      </w:tblPr>
      <w:tblGrid>
        <w:gridCol w:w="1251"/>
        <w:gridCol w:w="1102"/>
        <w:gridCol w:w="1112"/>
        <w:gridCol w:w="109"/>
        <w:gridCol w:w="109"/>
        <w:gridCol w:w="109"/>
        <w:gridCol w:w="229"/>
        <w:gridCol w:w="507"/>
        <w:gridCol w:w="118"/>
        <w:gridCol w:w="118"/>
        <w:gridCol w:w="118"/>
        <w:gridCol w:w="118"/>
        <w:gridCol w:w="229"/>
        <w:gridCol w:w="507"/>
        <w:gridCol w:w="167"/>
      </w:tblGrid>
      <w:tr>
        <w:trPr/>
        <w:tc>
          <w:tcPr>
            <w:tcW w:w="125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(i) generated cash from operating activities of $491 million and (ii) received proceeds of $885 million from the issuance of the Term Loan A Facility and the 2026 Term Loan B Facility. We used cash during the period primarily to: (i) repay $985 million of outstanding principal under our existing term loan B credit agreement; (ii) purchase property and equipment of $238 million; (iii) repurchase common stock of $100 million; (iv) make net payments of $88 million related to tax withholding obligations in connection with the vesting of stock compensation awards; and (v) repay $39 million of finance leases and other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generated cash from operating activities of $389 million. We used cash during this period primarily to: (i) purchase property and equipment of $395 million; (ii) make net payments of $48 million related to tax withholding obligations in connection with the vesting of stock compensation awards; and (iii) repay $36 million of finance leases and other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 for the six months ended June 30, 2026 increased by $102 million, compared with the same period in 2025. The increase primarily reflects higher net income of $88 million in the first six months of 2026, compared with the same period in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 used $208 million of cash in the six months ended June 30, 2026 and $382 million of cash in the six months ended June 30, 2025. During the six months ended June 30, 2026, we used $238 million to purchase property and equipment, as compared to a $395 million usage of cash in the same period in 2025. The decrease is due to planned reductions in capital expenditures in 2026 compared to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54050"/>
                <wp:effectExtent l="0" t="0" r="0" b="0"/>
                <wp:wrapNone/>
                <wp:docPr id="31" name="Frame3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 used $300 million of cash in the six months ended June 30, 2026 and $74 million of cash in the six months ended June 30, 2025. The primary uses of cash from financing activities during the first six months of 2026 were $985 million to repay outstanding principal under our existing term loan B credit agreement, $100 million to repurchase common stock, $88 million to make net payments for tax withholdings on vested stock compensation awards, primarily during the first quarter of 2026, and $39 million to repay finance leases and other debt. The primary uses of cash from financing activities during the first six months of 2025 were $48 million to make net payments for tax withholdings on vested stock compensation awards, primarily during the first quarter of 2025, and $36 million to repay finance leases and other debt. The primary source of cash from financing activities during the first six months of 2026 was $885 million of proceeds from the issuance of the Term Loan A Facility and the 2026 Term Loan B Facility and $26 million of proceeds from bank overdrafts, compared to $22 million of proceeds from bank overdrafts in the same period of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Except as set forth above under Term Loan A Facility and Term Loan B Facility, there were no material changes to our December 31, 2025 contractual obligations during the six months ended June 30, 2026. We anticipate full year gross capital expenditures to be between $500 million and $600 million in 2026, funded by cash on hand, cash generated from operations and available liquidity.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New Accounting Standards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Information related to new accounting standards is included in Note 1—Description of Business and Basis of Presentation to our Condensed Consolidated Financial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interest rates, foreign currency exchange rates and commodity prices. There have been no material changes to our quantitative and qualitative disclosures about market risk during the six months ended June 30, 2026, as compared with the quantitative and qualitative disclosures about market risk described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Controls and Procedures.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Conclusion Regarding the Effectiveness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as of June 30, 2026. Based on that evaluation, our CEO and CFO concluded that our disclosure controls and procedures were effective as of June 30, 2026,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not been any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1.</w:t>
      </w:r>
      <w:r>
        <w:rPr>
          <w:color w:val="000000"/>
        </w:rPr>
        <w:t xml:space="preserve"> </w:t>
      </w:r>
      <w:r>
        <w:rPr>
          <w:rFonts w:ascii="Times New Roman;serif" w:hAnsi="Times New Roman;serif"/>
          <w:b/>
          <w:i/>
          <w:color w:val="000000"/>
          <w:sz w:val="20"/>
        </w:rPr>
        <w:t>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information related to our legal proceedings, refer to “Legal Proceedings” in the Company’s Annual Report on Form 10-K for the year ended December 31, 2025 and Note 9—Commitments and Contingencies of Item 1,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54050"/>
                <wp:effectExtent l="0" t="0" r="0" b="0"/>
                <wp:wrapNone/>
                <wp:docPr id="32" name="Frame3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pPr>
      <w:r>
        <w:rPr>
          <w:rFonts w:ascii="Times New Roman;serif" w:hAnsi="Times New Roman;serif"/>
          <w:b/>
          <w:color w:val="000000"/>
          <w:sz w:val="20"/>
        </w:rPr>
        <w:t>Item 1A.</w:t>
      </w:r>
      <w:r>
        <w:rPr>
          <w:color w:val="000000"/>
        </w:rPr>
        <w:t xml:space="preserve"> </w:t>
      </w:r>
      <w:r>
        <w:rPr>
          <w:rFonts w:ascii="Times New Roman;serif" w:hAnsi="Times New Roman;serif"/>
          <w:b/>
          <w:i/>
          <w:color w:val="000000"/>
          <w:sz w:val="20"/>
        </w:rPr>
        <w:t>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are no material changes to the risk factors previously disclosed in Part I, Item 1A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Unregistered Sales of Equity Securities and Use of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issuances of unregistered securities during the quarter ended June 30, 2026.</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477"/>
        <w:gridCol w:w="421"/>
        <w:gridCol w:w="423"/>
        <w:gridCol w:w="109"/>
        <w:gridCol w:w="109"/>
        <w:gridCol w:w="109"/>
        <w:gridCol w:w="566"/>
        <w:gridCol w:w="439"/>
        <w:gridCol w:w="441"/>
        <w:gridCol w:w="109"/>
        <w:gridCol w:w="109"/>
        <w:gridCol w:w="109"/>
        <w:gridCol w:w="261"/>
        <w:gridCol w:w="861"/>
        <w:gridCol w:w="145"/>
        <w:gridCol w:w="109"/>
        <w:gridCol w:w="109"/>
        <w:gridCol w:w="109"/>
        <w:gridCol w:w="829"/>
        <w:gridCol w:w="733"/>
        <w:gridCol w:w="735"/>
        <w:gridCol w:w="109"/>
        <w:gridCol w:w="109"/>
        <w:gridCol w:w="109"/>
        <w:gridCol w:w="650"/>
        <w:gridCol w:w="1397"/>
        <w:gridCol w:w="519"/>
      </w:tblGrid>
      <w:tr>
        <w:trPr/>
        <w:tc>
          <w:tcPr>
            <w:tcW w:w="47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Approximate Dollar Value of Shares that May Yet Be Purchased Under the Plans or Programs </w:t>
            </w:r>
            <w:r>
              <w:rPr>
                <w:rFonts w:ascii="Times New Roman;serif" w:hAnsi="Times New Roman;serif"/>
                <w:b/>
                <w:color w:val="000000"/>
                <w:sz w:val="10"/>
              </w:rPr>
              <w:t>(2)</w:t>
            </w:r>
          </w:p>
        </w:tc>
      </w:tr>
      <w:tr>
        <w:trPr/>
        <w:tc>
          <w:tcPr>
            <w:tcW w:w="13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8,278 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217.41 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8,278 </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332,797 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332,797 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341,075 </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341,075 </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5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Based on trade date.</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On March 27, 2025, we announced that our Board of Directors authorized repurchases of up to $750 million of our common stock. The program has no expiration date and may be utilized over time, with no obligation to repurchase any specific number of shares. We may suspend or discontinue the program at any time. For further details, refer to Note 7—Stockholders’ Equity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54050"/>
                <wp:effectExtent l="0" t="0" r="0" b="0"/>
                <wp:wrapNone/>
                <wp:docPr id="33" name="Frame3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Other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June 15, 2026, each of Kyle Wismans, Chief Financial Officer, and David Bates, Chief Operating Officer, entered into a 10b5-1 trading plan. The trading plan for Mr. Wismans provides for the potential sale of up to 16,378 shares of Company common stock. The trading plan for Mr. Bates provides for the sale of up to 15,456 shares of Company common stock. Amounts may include shares to be earned as performance-based restricted stock unit awards and are presented at their target amounts. The actual number of shares earned, if any, will depend on the relative attainment of the performance metrics. Each of the trading plans will be in effect until the earlier of (i) August 31, 2027 and (ii) the date upon the completion or expiration of all transactions under the trading plan. Each of the trading plans were entered into during an open insider trading window and intended to satisfy the affirmative defense of Rule 10b5-1(c) under the Securities Exchange Act of 1934, as amended, and the Company’s policies regarding transactions in Company securities.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75"/>
        <w:gridCol w:w="242"/>
        <w:gridCol w:w="243"/>
        <w:gridCol w:w="109"/>
        <w:gridCol w:w="109"/>
        <w:gridCol w:w="109"/>
        <w:gridCol w:w="3315"/>
        <w:gridCol w:w="2395"/>
        <w:gridCol w:w="3408"/>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5"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3408" w:type="dxa"/>
            <w:tcBorders/>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r:id="rId3">
              <w:r>
                <w:rPr>
                  <w:rStyle w:val="InternetLink"/>
                  <w:rFonts w:ascii="Times New Roman;serif" w:hAnsi="Times New Roman;serif"/>
                  <w:b w:val="false"/>
                  <w:color w:val="0000FF"/>
                  <w:sz w:val="20"/>
                  <w:u w:val="single"/>
                </w:rPr>
                <w:t>Amendment No. 11 to Credit Agreement, dated as of May 29, 2026, by and among XPO, Inc., the subsidiaries signatory thereto, as guarantors, the lenders party thereto and Morgan Stanley Senior Funding, Inc., as administrative agent and collateral agent (incorporated herein by reference to Exhibit 10.1 to the registrant’s Current Report on Form 8-K filed with the SEC on June 1, 2026).</w:t>
              </w:r>
            </w:hyperlink>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r:id="rId4">
              <w:r>
                <w:rPr>
                  <w:rStyle w:val="InternetLink"/>
                  <w:rFonts w:ascii="Times New Roman;serif" w:hAnsi="Times New Roman;serif"/>
                  <w:b w:val="false"/>
                  <w:color w:val="0000FF"/>
                  <w:sz w:val="20"/>
                  <w:u w:val="single"/>
                </w:rPr>
                <w:t>Senior Secured Term Loan A Credit Agreement, dated as of May 29, 2026, by and among XPO, Inc., the subsidiaries signatory thereto, as guarantors, the lenders party thereto and Wells Fargo Bank, National Association as administrative agent and collateral agent (incorporated herein by reference to Exhibit 10.2 to the registrant’s Current Report on Form 8-K filed with the SEC on June 1, 2026).</w:t>
              </w:r>
            </w:hyperlink>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xpo2026q210-qexx311.htm">
              <w:r>
                <w:rPr>
                  <w:rStyle w:val="InternetLink"/>
                  <w:rFonts w:ascii="Times New Roman;serif" w:hAnsi="Times New Roman;serif"/>
                  <w:b w:val="false"/>
                  <w:color w:val="000080"/>
                  <w:sz w:val="20"/>
                  <w:u w:val="single"/>
                </w:rPr>
                <w:t xml:space="preserve">Certification of the Principal Executive Officer pursuant to Section 302 of the Sarbanes-Oxley Act of 2002, with respect to the registrant’s Quarterly Report on Form 10-Q for the fiscal quarter ended </w:t>
              </w:r>
            </w:hyperlink>
            <w:hyperlink w:anchor="xpo2026q210-qexx311.htm">
              <w:r>
                <w:rPr>
                  <w:rStyle w:val="InternetLink"/>
                  <w:rFonts w:ascii="Times New Roman;serif" w:hAnsi="Times New Roman;serif"/>
                  <w:b w:val="false"/>
                  <w:color w:val="000080"/>
                  <w:sz w:val="20"/>
                  <w:u w:val="single"/>
                </w:rPr>
                <w:t>June 30</w:t>
              </w:r>
            </w:hyperlink>
            <w:hyperlink w:anchor="xpo2026q210-qexx311.htm">
              <w:r>
                <w:rPr>
                  <w:rStyle w:val="InternetLink"/>
                  <w:rFonts w:ascii="Times New Roman;serif" w:hAnsi="Times New Roman;serif"/>
                  <w:b w:val="false"/>
                  <w:color w:val="000080"/>
                  <w:sz w:val="20"/>
                  <w:u w:val="single"/>
                </w:rPr>
                <w:t>, 2026.</w:t>
              </w:r>
            </w:hyperlink>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xpo2026q210-qexx312.htm">
              <w:r>
                <w:rPr>
                  <w:rStyle w:val="InternetLink"/>
                  <w:rFonts w:ascii="Times New Roman;serif" w:hAnsi="Times New Roman;serif"/>
                  <w:b w:val="false"/>
                  <w:color w:val="000080"/>
                  <w:sz w:val="20"/>
                  <w:u w:val="single"/>
                </w:rPr>
                <w:t xml:space="preserve">Certification of the Principal Financial Officer pursuant to Section 302 of the Sarbanes-Oxley Act of 2002, with respect to the registrant’s Quarterly Report on Form 10-Q for the fiscal quarter ended </w:t>
              </w:r>
            </w:hyperlink>
            <w:hyperlink w:anchor="xpo2026q210-qexx312.htm">
              <w:r>
                <w:rPr>
                  <w:rStyle w:val="InternetLink"/>
                  <w:rFonts w:ascii="Times New Roman;serif" w:hAnsi="Times New Roman;serif"/>
                  <w:b w:val="false"/>
                  <w:color w:val="000080"/>
                  <w:sz w:val="20"/>
                  <w:u w:val="single"/>
                </w:rPr>
                <w:t>June 30</w:t>
              </w:r>
            </w:hyperlink>
            <w:hyperlink w:anchor="xpo2026q210-qexx312.htm">
              <w:r>
                <w:rPr>
                  <w:rStyle w:val="InternetLink"/>
                  <w:rFonts w:ascii="Times New Roman;serif" w:hAnsi="Times New Roman;serif"/>
                  <w:b w:val="false"/>
                  <w:color w:val="000080"/>
                  <w:sz w:val="20"/>
                  <w:u w:val="single"/>
                </w:rPr>
                <w:t>, 2026.</w:t>
              </w:r>
            </w:hyperlink>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xpo2026q210-qexx321.htm">
              <w:r>
                <w:rPr>
                  <w:rStyle w:val="InternetLink"/>
                  <w:rFonts w:ascii="Times New Roman;serif" w:hAnsi="Times New Roman;serif"/>
                  <w:b w:val="false"/>
                  <w:color w:val="000080"/>
                  <w:sz w:val="20"/>
                  <w:u w:val="single"/>
                </w:rPr>
                <w:t xml:space="preserve">Certification of the Principal Executive Officer pursuant to Section 906 of the Sarbanes-Oxley Act of 2002, with respect to the registrant’s Quarterly Report on Form 10-Q for the fiscal quarter ended </w:t>
              </w:r>
            </w:hyperlink>
            <w:hyperlink w:anchor="xpo2026q210-qexx321.htm">
              <w:r>
                <w:rPr>
                  <w:rStyle w:val="InternetLink"/>
                  <w:rFonts w:ascii="Times New Roman;serif" w:hAnsi="Times New Roman;serif"/>
                  <w:b w:val="false"/>
                  <w:color w:val="000080"/>
                  <w:sz w:val="20"/>
                  <w:u w:val="single"/>
                </w:rPr>
                <w:t>June 30</w:t>
              </w:r>
            </w:hyperlink>
            <w:hyperlink w:anchor="xpo2026q210-qexx321.htm">
              <w:r>
                <w:rPr>
                  <w:rStyle w:val="InternetLink"/>
                  <w:rFonts w:ascii="Times New Roman;serif" w:hAnsi="Times New Roman;serif"/>
                  <w:b w:val="false"/>
                  <w:color w:val="000080"/>
                  <w:sz w:val="20"/>
                  <w:u w:val="single"/>
                </w:rPr>
                <w:t>, 2026.</w:t>
              </w:r>
            </w:hyperlink>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xpo2026q210-qexx322.htm">
              <w:r>
                <w:rPr>
                  <w:rStyle w:val="InternetLink"/>
                  <w:rFonts w:ascii="Times New Roman;serif" w:hAnsi="Times New Roman;serif"/>
                  <w:b w:val="false"/>
                  <w:color w:val="000080"/>
                  <w:sz w:val="20"/>
                  <w:u w:val="single"/>
                </w:rPr>
                <w:t xml:space="preserve">Certification of the Principal Financial Officer pursuant to Section 906 of the Sarbanes-Oxley Act of 2002, with respect to the registrant’s Quarterly Report on Form 10-Q for the fiscal quarter ended </w:t>
              </w:r>
            </w:hyperlink>
            <w:hyperlink w:anchor="xpo2026q210-qexx322.htm">
              <w:r>
                <w:rPr>
                  <w:rStyle w:val="InternetLink"/>
                  <w:rFonts w:ascii="Times New Roman;serif" w:hAnsi="Times New Roman;serif"/>
                  <w:b w:val="false"/>
                  <w:color w:val="000080"/>
                  <w:sz w:val="20"/>
                  <w:u w:val="single"/>
                </w:rPr>
                <w:t>June 30</w:t>
              </w:r>
            </w:hyperlink>
            <w:hyperlink w:anchor="xpo2026q210-qexx322.htm">
              <w:r>
                <w:rPr>
                  <w:rStyle w:val="InternetLink"/>
                  <w:rFonts w:ascii="Times New Roman;serif" w:hAnsi="Times New Roman;serif"/>
                  <w:b w:val="false"/>
                  <w:color w:val="000080"/>
                  <w:sz w:val="20"/>
                  <w:u w:val="single"/>
                </w:rPr>
                <w:t>, 2026.</w:t>
              </w:r>
            </w:hyperlink>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XBRL Instance Document - the instance document does not appear in the Interactive Data File because its XBRL tags are embedded within the Inline XBRL document.</w:t>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XBRL Taxonomy Extension Schema.</w:t>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XBRL Taxonomy Extension Calculation Linkbase.</w:t>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XBRL Taxonomy Extension Definition Linkbase.</w:t>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XBRL Taxonomy Extension Label Linkbase.</w:t>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XBRL Taxonomy Extension Presentation Linkbase.</w:t>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Cover Page Interactive Data File (formatted as inline XBRL and contained in Exhibit 101).</w:t>
            </w:r>
          </w:p>
        </w:tc>
      </w:tr>
    </w:tbl>
    <w:tbl>
      <w:tblPr>
        <w:tblW w:w="24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77850"/>
                <wp:effectExtent l="0" t="0" r="0" b="0"/>
                <wp:wrapNone/>
                <wp:docPr id="34" name="Frame33"/>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c3876fc1d67a49bbb2d7a0a0a3a95e25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3674" w:type="dxa"/>
        <w:jc w:val="right"/>
        <w:tblInd w:w="0" w:type="dxa"/>
        <w:tblLayout w:type="fixed"/>
        <w:tblCellMar>
          <w:top w:w="28" w:type="dxa"/>
          <w:left w:w="28" w:type="dxa"/>
          <w:bottom w:w="28" w:type="dxa"/>
          <w:right w:w="28" w:type="dxa"/>
        </w:tblCellMar>
      </w:tblPr>
      <w:tblGrid>
        <w:gridCol w:w="151"/>
        <w:gridCol w:w="134"/>
        <w:gridCol w:w="135"/>
        <w:gridCol w:w="951"/>
        <w:gridCol w:w="951"/>
        <w:gridCol w:w="1352"/>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XPO,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Mario Harik</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Mario Harik</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Kyle Wismans</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Kyle Wismans</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54050"/>
                <wp:effectExtent l="0" t="0" r="0" b="0"/>
                <wp:wrapNone/>
                <wp:docPr id="35" name="Frame3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Mario Harik, certify that: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 ended June 30, 2026 of XPO,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964" w:type="dxa"/>
        <w:jc w:val="center"/>
        <w:tblInd w:w="0" w:type="dxa"/>
        <w:tblLayout w:type="fixed"/>
        <w:tblCellMar>
          <w:top w:w="28" w:type="dxa"/>
          <w:left w:w="28" w:type="dxa"/>
          <w:bottom w:w="28" w:type="dxa"/>
          <w:right w:w="28" w:type="dxa"/>
        </w:tblCellMar>
      </w:tblPr>
      <w:tblGrid>
        <w:gridCol w:w="618"/>
        <w:gridCol w:w="544"/>
        <w:gridCol w:w="547"/>
        <w:gridCol w:w="953"/>
        <w:gridCol w:w="953"/>
        <w:gridCol w:w="134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Mario Harik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Mario Harik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Kyle Wismans, certify that: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 ended June 30, 2026 of XPO,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123" w:type="dxa"/>
        <w:jc w:val="center"/>
        <w:tblInd w:w="0" w:type="dxa"/>
        <w:tblLayout w:type="fixed"/>
        <w:tblCellMar>
          <w:top w:w="28" w:type="dxa"/>
          <w:left w:w="28" w:type="dxa"/>
          <w:bottom w:w="28" w:type="dxa"/>
          <w:right w:w="28" w:type="dxa"/>
        </w:tblCellMar>
      </w:tblPr>
      <w:tblGrid>
        <w:gridCol w:w="618"/>
        <w:gridCol w:w="544"/>
        <w:gridCol w:w="547"/>
        <w:gridCol w:w="705"/>
        <w:gridCol w:w="705"/>
        <w:gridCol w:w="100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Kyle Wismans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Kyle Wismans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Solely for the purposes of complying with 18 U.S.C. Section 1350 as adopted pursuant to Section 906 of the Sarbanes-Oxley Act of 2002, I, the undersigned Chief Executive Officer of XPO, Inc. (the “Company”), hereby certify, based on my knowledge, that the Quarterly Report on Form 10-Q of the Company for the quarter ended June 30, 2026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964" w:type="dxa"/>
        <w:jc w:val="left"/>
        <w:tblInd w:w="0" w:type="dxa"/>
        <w:tblLayout w:type="fixed"/>
        <w:tblCellMar>
          <w:top w:w="28" w:type="dxa"/>
          <w:left w:w="28" w:type="dxa"/>
          <w:bottom w:w="28" w:type="dxa"/>
          <w:right w:w="28" w:type="dxa"/>
        </w:tblCellMar>
      </w:tblPr>
      <w:tblGrid>
        <w:gridCol w:w="618"/>
        <w:gridCol w:w="544"/>
        <w:gridCol w:w="547"/>
        <w:gridCol w:w="953"/>
        <w:gridCol w:w="953"/>
        <w:gridCol w:w="134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Mario Harik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Mario Harik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Solely for the purposes of complying with 18 U.S.C. Section 1350 as adopted pursuant to Section 906 of the Sarbanes-Oxley Act of 2002, I, the undersigned Chief Financial Officer of XPO, Inc. (the “Company”), hereby certify, based on my knowledge, that the Quarterly Report on Form 10-Q of the Company for the quarter ended June 30, 2026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123" w:type="dxa"/>
        <w:jc w:val="left"/>
        <w:tblInd w:w="0" w:type="dxa"/>
        <w:tblLayout w:type="fixed"/>
        <w:tblCellMar>
          <w:top w:w="28" w:type="dxa"/>
          <w:left w:w="28" w:type="dxa"/>
          <w:bottom w:w="28" w:type="dxa"/>
          <w:right w:w="28" w:type="dxa"/>
        </w:tblCellMar>
      </w:tblPr>
      <w:tblGrid>
        <w:gridCol w:w="618"/>
        <w:gridCol w:w="544"/>
        <w:gridCol w:w="547"/>
        <w:gridCol w:w="705"/>
        <w:gridCol w:w="705"/>
        <w:gridCol w:w="100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Kyle Wismans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Kyle Wismans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66003/000110465926068522/tm2616097d1_ex10-1.htm" TargetMode="External"/><Relationship Id="rId4" Type="http://schemas.openxmlformats.org/officeDocument/2006/relationships/hyperlink" Target="https://www.sec.gov/Archives/edgar/data/1166003/000110465926068522/tm2616097d1_ex1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16508</Words>
  <Characters>88045</Characters>
  <CharactersWithSpaces>103275</CharactersWithSpaces>
  <Paragraphs>2683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