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3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May 3, 2021</w:t>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XPO LOGISTICS, INC.</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770" w:right="419" w:bottom="1440" w:gutter="0" w:footer="0" w:header="0"/>
        </w:sectPr>
      </w:pPr>
    </w:p>
    <w:p>
      <w:pPr>
        <w:spacing w:after="0" w:line="227"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001-32172</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03-0450326</w:t>
      </w:r>
    </w:p>
    <w:p>
      <w:pPr>
        <w:spacing w:after="0" w:line="105" w:lineRule="exact"/>
        <w:rPr>
          <w:sz w:val="24"/>
          <w:szCs w:val="24"/>
          <w:color w:val="auto"/>
        </w:rPr>
      </w:pPr>
    </w:p>
    <w:p>
      <w:pPr>
        <w:sectPr>
          <w:pgSz w:w="11900" w:h="16838" w:orient="portrait"/>
          <w:cols w:equalWidth="0" w:num="3">
            <w:col w:w="4500" w:space="720"/>
            <w:col w:w="3180" w:space="720"/>
            <w:col w:w="2040"/>
          </w:cols>
          <w:pgMar w:left="320" w:top="770" w:right="419" w:bottom="1440" w:gutter="0" w:footer="0" w:header="0"/>
          <w:type w:val="continuous"/>
        </w:sectPr>
      </w:pPr>
    </w:p>
    <w:p>
      <w:pPr>
        <w:jc w:val="center"/>
        <w:ind w:right="480"/>
        <w:spacing w:after="0"/>
        <w:rPr>
          <w:sz w:val="20"/>
          <w:szCs w:val="20"/>
          <w:color w:val="auto"/>
        </w:rPr>
      </w:pPr>
      <w:r>
        <w:rPr>
          <w:rFonts w:ascii="Arial" w:cs="Arial" w:eastAsia="Arial" w:hAnsi="Arial"/>
          <w:sz w:val="16"/>
          <w:szCs w:val="16"/>
          <w:b w:val="1"/>
          <w:bCs w:val="1"/>
          <w:color w:val="auto"/>
        </w:rPr>
        <w:t>(State or other jurisdiction of</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540" w:space="720"/>
            <w:col w:w="2320"/>
          </w:cols>
          <w:pgMar w:left="320" w:top="770" w:right="419" w:bottom="144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Five American Lane, Greenwich, Connecticut 06831</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(855) 976-6951</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160"/>
          </w:cols>
          <w:pgMar w:left="320" w:top="770" w:right="419" w:bottom="1440" w:gutter="0" w:footer="0" w:header="0"/>
          <w:type w:val="continuous"/>
        </w:sectPr>
      </w:pPr>
    </w:p>
    <w:p>
      <w:pPr>
        <w:spacing w:after="0" w:line="253"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1" w:lineRule="exact"/>
        <w:rPr>
          <w:sz w:val="24"/>
          <w:szCs w:val="24"/>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59" w:lineRule="exact"/>
        <w:rPr>
          <w:rFonts w:ascii="MS PGothic" w:cs="MS PGothic" w:eastAsia="MS PGothic" w:hAnsi="MS PGothic"/>
          <w:sz w:val="18"/>
          <w:szCs w:val="18"/>
          <w:color w:val="auto"/>
        </w:rPr>
      </w:pPr>
    </w:p>
    <w:p>
      <w:pPr>
        <w:ind w:left="360" w:hanging="32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12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5"/>
              </w:rPr>
              <w:t>Title of each class</w:t>
            </w:r>
          </w:p>
        </w:tc>
        <w:tc>
          <w:tcPr>
            <w:tcW w:w="24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Trading symbol(s)</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86"/>
        </w:trPr>
        <w:tc>
          <w:tcPr>
            <w:tcW w:w="39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Common stock, par value $0.001 per share</w:t>
            </w:r>
          </w:p>
        </w:tc>
        <w:tc>
          <w:tcPr>
            <w:tcW w:w="24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XPO</w:t>
            </w: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254" w:lineRule="exact"/>
        <w:rPr>
          <w:sz w:val="24"/>
          <w:szCs w:val="24"/>
          <w:color w:val="auto"/>
        </w:rPr>
      </w:pPr>
    </w:p>
    <w:p>
      <w:pPr>
        <w:ind w:left="40" w:right="80"/>
        <w:spacing w:after="0" w:line="259"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lef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607695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770"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On May 3, 2021, XPO Logistics, Inc. (the “Company”) released a slide presentation expected to be used by the Company in connection with certain future investor presentations, together with a corresponding script. Copies of the script and slide presentation are attached as Exhibit 99.1 and Exhibit 99.2, respectively, to this Current Report on Form 8-K.</w:t>
      </w:r>
    </w:p>
    <w:p>
      <w:pPr>
        <w:spacing w:after="0" w:line="186"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color w:val="auto"/>
        </w:rPr>
        <w:t>The slide presentation and script should be read together and with the Company’s filings with the Securities and Exchange Commission, including the Quarterly Report on Form 10-Q for the fiscal quarter ended March 31, 2021.</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w w:val="99"/>
              </w:rPr>
              <w:t>Item 9.01.</w:t>
            </w:r>
          </w:p>
        </w:tc>
        <w:tc>
          <w:tcPr>
            <w:tcW w:w="100" w:type="dxa"/>
            <w:vAlign w:val="bottom"/>
          </w:tcPr>
          <w:p>
            <w:pPr>
              <w:spacing w:after="0"/>
              <w:rPr>
                <w:sz w:val="20"/>
                <w:szCs w:val="20"/>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7"/>
        </w:trPr>
        <w:tc>
          <w:tcPr>
            <w:tcW w:w="840" w:type="dxa"/>
            <w:vAlign w:val="bottom"/>
            <w:gridSpan w:val="3"/>
          </w:tcPr>
          <w:p>
            <w:pPr>
              <w:spacing w:after="0"/>
              <w:rPr>
                <w:sz w:val="20"/>
                <w:szCs w:val="20"/>
                <w:color w:val="auto"/>
              </w:rPr>
            </w:pPr>
            <w:r>
              <w:rPr>
                <w:rFonts w:ascii="Arial" w:cs="Arial" w:eastAsia="Arial" w:hAnsi="Arial"/>
                <w:sz w:val="18"/>
                <w:szCs w:val="18"/>
                <w:i w:val="1"/>
                <w:iCs w:val="1"/>
                <w:color w:val="auto"/>
                <w:w w:val="91"/>
              </w:rPr>
              <w:t>(d) Exhibits</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427"/>
        </w:trPr>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1"/>
              </w:rPr>
              <w:t>Exhibit No.</w:t>
            </w:r>
          </w:p>
        </w:tc>
        <w:tc>
          <w:tcPr>
            <w:tcW w:w="10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Exhibit Description</w:t>
            </w:r>
          </w:p>
        </w:tc>
      </w:tr>
      <w:tr>
        <w:trPr>
          <w:trHeight w:val="168"/>
        </w:trPr>
        <w:tc>
          <w:tcPr>
            <w:tcW w:w="600" w:type="dxa"/>
            <w:vAlign w:val="bottom"/>
            <w:gridSpan w:val="2"/>
          </w:tcPr>
          <w:p>
            <w:pPr>
              <w:jc w:val="right"/>
              <w:spacing w:after="0" w:line="168"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300" w:type="dxa"/>
            <w:vAlign w:val="bottom"/>
            <w:gridSpan w:val="3"/>
          </w:tcPr>
          <w:p>
            <w:pPr>
              <w:spacing w:after="0" w:line="168" w:lineRule="exact"/>
              <w:rPr>
                <w:rFonts w:ascii="Arial" w:cs="Arial" w:eastAsia="Arial" w:hAnsi="Arial"/>
                <w:sz w:val="18"/>
                <w:szCs w:val="18"/>
                <w:color w:val="0000EE"/>
              </w:rPr>
            </w:pPr>
            <w:hyperlink w:anchor="page4">
              <w:r>
                <w:rPr>
                  <w:rFonts w:ascii="Arial" w:cs="Arial" w:eastAsia="Arial" w:hAnsi="Arial"/>
                  <w:sz w:val="18"/>
                  <w:szCs w:val="18"/>
                  <w:color w:val="0000EE"/>
                </w:rPr>
                <w:t>Investor Presentation Script, dated May 3, 2021</w:t>
              </w:r>
            </w:hyperlink>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93"/>
        </w:trPr>
        <w:tc>
          <w:tcPr>
            <w:tcW w:w="600" w:type="dxa"/>
            <w:vAlign w:val="bottom"/>
            <w:gridSpan w:val="2"/>
          </w:tcPr>
          <w:p>
            <w:pPr>
              <w:jc w:val="right"/>
              <w:spacing w:after="0" w:line="194" w:lineRule="exact"/>
              <w:rPr>
                <w:rFonts w:ascii="Arial" w:cs="Arial" w:eastAsia="Arial" w:hAnsi="Arial"/>
                <w:sz w:val="18"/>
                <w:szCs w:val="18"/>
                <w:color w:val="0000EE"/>
              </w:rPr>
            </w:pPr>
            <w:hyperlink w:anchor="page19">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300" w:type="dxa"/>
            <w:vAlign w:val="bottom"/>
            <w:gridSpan w:val="3"/>
          </w:tcPr>
          <w:p>
            <w:pPr>
              <w:spacing w:after="0" w:line="194" w:lineRule="exact"/>
              <w:rPr>
                <w:rFonts w:ascii="Arial" w:cs="Arial" w:eastAsia="Arial" w:hAnsi="Arial"/>
                <w:sz w:val="18"/>
                <w:szCs w:val="18"/>
                <w:color w:val="0000EE"/>
              </w:rPr>
            </w:pPr>
            <w:hyperlink w:anchor="page19">
              <w:r>
                <w:rPr>
                  <w:rFonts w:ascii="Arial" w:cs="Arial" w:eastAsia="Arial" w:hAnsi="Arial"/>
                  <w:sz w:val="18"/>
                  <w:szCs w:val="18"/>
                  <w:color w:val="0000EE"/>
                </w:rPr>
                <w:t>Investor Presentation, dated May 3, 2021</w:t>
              </w:r>
            </w:hyperlink>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82"/>
        </w:trPr>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3, 2021</w:t>
      </w:r>
      <w:r>
        <w:rPr>
          <w:sz w:val="20"/>
          <w:szCs w:val="20"/>
          <w:color w:val="auto"/>
        </w:rPr>
        <w:tab/>
      </w:r>
      <w:r>
        <w:rPr>
          <w:rFonts w:ascii="Arial" w:cs="Arial" w:eastAsia="Arial" w:hAnsi="Arial"/>
          <w:sz w:val="16"/>
          <w:szCs w:val="16"/>
          <w:color w:val="auto"/>
        </w:rPr>
        <w:t>XPO LOGISTICS, INC.</w:t>
      </w:r>
    </w:p>
    <w:p>
      <w:pPr>
        <w:spacing w:after="0" w:line="22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/s/ Karlis P. Kirsis</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Karlis P. Kirsis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-130175</wp:posOffset>
            </wp:positionV>
            <wp:extent cx="3253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374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563880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00"/>
          </w:cols>
          <w:pgMar w:left="320" w:top="895" w:right="779" w:bottom="1440" w:gutter="0" w:footer="0" w:header="0"/>
        </w:sectPr>
      </w:pPr>
    </w:p>
    <w:bookmarkStart w:id="3" w:name="page4"/>
    <w:bookmarkEnd w:id="3"/>
    <w:p>
      <w:pPr>
        <w:ind w:left="10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2456815" cy="491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6815"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3,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Script and Slides</w:t>
      </w:r>
    </w:p>
    <w:p>
      <w:pPr>
        <w:spacing w:after="0" w:line="224"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i w:val="1"/>
          <w:iCs w:val="1"/>
          <w:color w:val="auto"/>
        </w:rPr>
        <w:t>The following script should be read in conjunction with the accompanying slide presentation, which contains, among other information, source data for certain information set forth in the script.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Thank you for joining us. We’ll start with an overview of XPO Logistics today, and our strategy for driving growth, competitive differentiation and financial returns. We’ll also bring you up to date on some recent developments, including the planned spin-off of our logistics business. And we’ll give you an overview of our record first quarter financial performance, which further increased our momentum after a dramatic rebound from the impact of COVID-19 in 2020.</w:t>
      </w:r>
    </w:p>
    <w:p>
      <w:pPr>
        <w:spacing w:after="0" w:line="18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XPO is one of the largest providers of supply chain services in the world, with over $16 billion in 2020 revenue and an integrated network of people, technology and physical assets. We have 1,621 locations in 30 countries and approximately 140,000 team members, comprised of 108,000 employees and 32,000 temporary workers. We use our network to help over 50,000 customers operate their supply chains most efficiently.</w:t>
      </w:r>
    </w:p>
    <w:p>
      <w:pPr>
        <w:spacing w:after="0" w:line="15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company has two reporting segments: transportation and logistics, each with leadership positions and robust growth prospects. In our transportation segment, we’re a top three less-than-truckload (LTL) provider in North America and the second largest freight brokerage provider globally. In our logistics segment, we’re the second largest contract logistics provider worldwide. Within each segment, our markets are highly diversified and we’re positioned to capitalize on fast-growing areas of demand. Approximately 62% of our 2020 revenue came from our transportation segment, and the remaining 38% came from our logistics segment.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December, we announced that we plan to spin off our logistics segment later this year as a separate publicly traded company. The spin-off — named GXO</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Logistics — will create two, pure-play industry leaders: GXO will be the second largest contract logistics provider in the world, and the remaining company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will be a global provider of less-than-truckload and truck brokerage transportation services. We expect to complete the transaction in the second half of 2021.</w:t>
      </w:r>
    </w:p>
    <w:p>
      <w:pPr>
        <w:spacing w:after="0" w:line="230"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We’re confident that the spin-off, if completed as planned, will enhance the growth prospects of both businesses. Each company will have greater flexibility to tailor strategic decision-making and capital allocations to their end-markets, with the benefit of strong positioning as customer-focused innovators. Each will have its own investor base and pure-play equity currency it can use to attract and retain world-class talent and pursue M&amp;A. We’re in discussions with the rating agencies about our plan to achieve an investment-grade rating for GXO from day one, with XPO to follow.</w:t>
      </w:r>
    </w:p>
    <w:p>
      <w:pPr>
        <w:spacing w:after="0" w:line="388"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The spin-off transaction is subject to various conditions, and may or may not occur, or its terms or timing may be different than originally planned.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Highlights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These are the key factors driving our growth and returns companywide:</w:t>
      </w:r>
    </w:p>
    <w:p>
      <w:pPr>
        <w:spacing w:after="0" w:line="220" w:lineRule="exact"/>
        <w:rPr>
          <w:sz w:val="20"/>
          <w:szCs w:val="20"/>
          <w:color w:val="auto"/>
        </w:rPr>
      </w:pPr>
    </w:p>
    <w:p>
      <w:pPr>
        <w:ind w:left="640" w:right="46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We’re a global leader in logistics and truck brokerage, and a North American leader in less-than-truckload (LTL) transportation, with outsized exposure in verticals that have a history of enduring demand.</w:t>
      </w:r>
    </w:p>
    <w:p>
      <w:pPr>
        <w:spacing w:after="0" w:line="174" w:lineRule="exact"/>
        <w:rPr>
          <w:rFonts w:ascii="Arial" w:cs="Arial" w:eastAsia="Arial" w:hAnsi="Arial"/>
          <w:sz w:val="18"/>
          <w:szCs w:val="18"/>
          <w:color w:val="auto"/>
        </w:rPr>
      </w:pPr>
    </w:p>
    <w:p>
      <w:pPr>
        <w:ind w:left="640" w:right="38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value proposition is a combination of scale, density, expertise and technology that gives us expansive opportunities for organic growth and share gains through accretive M&amp;A.</w:t>
      </w:r>
    </w:p>
    <w:p>
      <w:pPr>
        <w:spacing w:after="0" w:line="174" w:lineRule="exact"/>
        <w:rPr>
          <w:rFonts w:ascii="Arial" w:cs="Arial" w:eastAsia="Arial" w:hAnsi="Arial"/>
          <w:sz w:val="18"/>
          <w:szCs w:val="18"/>
          <w:color w:val="auto"/>
        </w:rPr>
      </w:pPr>
    </w:p>
    <w:p>
      <w:pPr>
        <w:ind w:left="640" w:right="8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logistics, we’re strongly positioned to benefit from the industry’s predominant tailwinds — e-commerce and omnichannel retail, the shift toward supply chain outsourcing and warehouse automation.</w:t>
      </w:r>
    </w:p>
    <w:p>
      <w:pPr>
        <w:spacing w:after="0" w:line="174" w:lineRule="exact"/>
        <w:rPr>
          <w:rFonts w:ascii="Arial" w:cs="Arial" w:eastAsia="Arial" w:hAnsi="Arial"/>
          <w:sz w:val="18"/>
          <w:szCs w:val="18"/>
          <w:color w:val="auto"/>
        </w:rPr>
      </w:pPr>
    </w:p>
    <w:p>
      <w:pPr>
        <w:ind w:left="640" w:right="4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transportation, we have a best-in-class digital brokerage platform that’s driving profitable growth, while in LTL, our technology is expanding our margin, while the start of the rebound in the industrial economy is stimulating demand for our services.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rapid pace of innovation differentiates our service offerings and makes the most of the talent and assets within our organization.</w:t>
      </w:r>
    </w:p>
    <w:p>
      <w:pPr>
        <w:spacing w:after="0" w:line="219" w:lineRule="exact"/>
        <w:rPr>
          <w:rFonts w:ascii="Arial" w:cs="Arial" w:eastAsia="Arial" w:hAnsi="Arial"/>
          <w:sz w:val="18"/>
          <w:szCs w:val="18"/>
          <w:color w:val="auto"/>
        </w:rPr>
      </w:pPr>
    </w:p>
    <w:p>
      <w:pPr>
        <w:ind w:left="640" w:right="20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scale gives us significant operating leverage, purchasing power, the capacity to innovate and the ability to deliver consistent outcomes across multiple markets for large customers.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We’re nimble allocators of capital, with a disciplined focus on returns and an enviable record of creating substantial shareholder value.</w:t>
      </w:r>
    </w:p>
    <w:p>
      <w:pPr>
        <w:spacing w:after="0" w:line="231" w:lineRule="exact"/>
        <w:rPr>
          <w:rFonts w:ascii="Arial" w:cs="Arial" w:eastAsia="Arial" w:hAnsi="Arial"/>
          <w:sz w:val="17"/>
          <w:szCs w:val="17"/>
          <w:color w:val="auto"/>
        </w:rPr>
      </w:pPr>
    </w:p>
    <w:p>
      <w:pPr>
        <w:ind w:left="640" w:right="60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serve customers in diverse verticals with complementary demand patterns, and the majority of our revenue is generated under long-term contracts, making our performance more resilient in economic cycles.</w:t>
      </w:r>
    </w:p>
    <w:p>
      <w:pPr>
        <w:spacing w:after="0" w:line="174" w:lineRule="exact"/>
        <w:rPr>
          <w:rFonts w:ascii="Arial" w:cs="Arial" w:eastAsia="Arial" w:hAnsi="Arial"/>
          <w:sz w:val="18"/>
          <w:szCs w:val="18"/>
          <w:color w:val="auto"/>
        </w:rPr>
      </w:pPr>
    </w:p>
    <w:p>
      <w:pPr>
        <w:ind w:left="640" w:right="86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model is optimized for free cash flow generation in all parts of the cycle; about 70% of our revenue is asset-light, with low maintenance capex.</w:t>
      </w:r>
    </w:p>
    <w:p>
      <w:pPr>
        <w:spacing w:after="0" w:line="174" w:lineRule="exact"/>
        <w:rPr>
          <w:rFonts w:ascii="Arial" w:cs="Arial" w:eastAsia="Arial" w:hAnsi="Arial"/>
          <w:sz w:val="18"/>
          <w:szCs w:val="18"/>
          <w:color w:val="auto"/>
        </w:rPr>
      </w:pPr>
    </w:p>
    <w:p>
      <w:pPr>
        <w:ind w:left="640" w:right="90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secret sauce has always been the world-class people we attract to XPO — not just our 35 most senior executives, but also the 2,500 professionals at the next level with blue-chip industry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Overview</w:t>
      </w:r>
    </w:p>
    <w:p>
      <w:pPr>
        <w:spacing w:after="0" w:line="224"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One of the ways we strengthen our relationships with customers is by empowering our employees to deliver superior service through our technology. Our industry is evolving, and customers want to de-risk their supply chains with more automation and better visibility into the movement of their goods. We’re already well-positioned to meet this demand, because we prioritized digitization and visibility early in our technological development.</w:t>
      </w:r>
    </w:p>
    <w:p>
      <w:pPr>
        <w:spacing w:after="0" w:line="15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We’ve built a highly scalable platform on the cloud that speeds the deployment of new ways to increase efficiency, control costs and leverage our footprint. We can deploy innovations across multiple geographies in a relatively short time, and also take an innovation developed for one vertical and apply it to other verticals to differentiate the value we offer.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5" w:name="page6"/>
    <w:bookmarkEnd w:id="5"/>
    <w:p>
      <w:pPr>
        <w:ind w:right="120"/>
        <w:spacing w:after="0" w:line="255" w:lineRule="auto"/>
        <w:rPr>
          <w:sz w:val="20"/>
          <w:szCs w:val="20"/>
          <w:color w:val="auto"/>
        </w:rPr>
      </w:pPr>
      <w:r>
        <w:rPr>
          <w:rFonts w:ascii="Arial" w:cs="Arial" w:eastAsia="Arial" w:hAnsi="Arial"/>
          <w:sz w:val="18"/>
          <w:szCs w:val="18"/>
          <w:color w:val="auto"/>
        </w:rPr>
        <w:t>We believe that our investment in technology is among the highest in our industry at an annual average of about $500 million. We’re happy to make that commitment, because technology is a high-ROI investment for us, and one that drives our competitive advantage in both transportation and logistics. When our logistics segment spins off as GXO, it will continue to use the intellectual property we’ve developed for those operations through IP assignments and licensing agreements.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supply chain industry is wide open for disruptive thinking and we’re driving positive change. The most significant impacts of our technology to date are in these four areas: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XPO Smart™</w:t>
      </w:r>
    </w:p>
    <w:p>
      <w:pPr>
        <w:spacing w:after="0" w:line="220"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XPO Smart™ is our proprietary suite of workforce planning tools that improve productivity in our logistics sites and LTL docks. The tools help our site managers determine the best staffing levels by shift, day and week, with the optimal mix of full- and part-time labor. Our proprietary analytics “learn” the operations of a specific site and can forecast how a labor management decision today could affect productivity in a future period.</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We’re seeing an average 5% to 7% productivity improvement from XPO Smart™ as we optimize our labor management in a safe and disciplined manner. To date, the tools have been implemented in 100% of our LTL dock operations, over 85% of our North American logistics sites and about 60% of our European logistics sites, with further roll-outs underway. We expect to realize a significant upside from these implementations as we fully utilize XPO Smart™ in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warehouse automation</w:t>
      </w:r>
    </w:p>
    <w:p>
      <w:pPr>
        <w:spacing w:after="0" w:line="22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Intelligent warehouse automation is a priority for our logistics segment. This includes autonomous robots and collaborative robots (cobots), automated sortation systems, automated guided vehicles, goods-to-person systems and wearable smart devices. We integrate these technologies into our operations and control them in-house with our proprietary warehouse management system.</w:t>
      </w:r>
    </w:p>
    <w:p>
      <w:pPr>
        <w:spacing w:after="0" w:line="186"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Advanced automation, robotics and autonomous goods-to-person systems are particularly effective in delivering critical improvements in speed, accuracy and productivity. Importantly, automation also enhances safety and the overall quality of employment.</w:t>
      </w:r>
    </w:p>
    <w:p>
      <w:pPr>
        <w:spacing w:after="0" w:line="17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mid-2020, we opened a fully automated Digital Distribution Warehouse of the Future in the UK, which we co-developed with Nestlé, the world’s largest food and beverage company. This site has the capacity to process more than a million pallets per year — the highest throughput of any facility in Nestlé’s global network. Our European innovation lab is based on the premises, where it functions as both a think tank and a test site for new technologies.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XPO Connect™</w:t>
      </w:r>
    </w:p>
    <w:p>
      <w:pPr>
        <w:spacing w:after="0" w:line="220" w:lineRule="exact"/>
        <w:rPr>
          <w:sz w:val="20"/>
          <w:szCs w:val="20"/>
          <w:color w:val="auto"/>
        </w:rPr>
      </w:pPr>
    </w:p>
    <w:p>
      <w:pPr>
        <w:jc w:val="both"/>
        <w:ind w:right="60"/>
        <w:spacing w:after="0" w:line="281" w:lineRule="auto"/>
        <w:rPr>
          <w:sz w:val="20"/>
          <w:szCs w:val="20"/>
          <w:color w:val="auto"/>
        </w:rPr>
      </w:pPr>
      <w:r>
        <w:rPr>
          <w:rFonts w:ascii="Arial" w:cs="Arial" w:eastAsia="Arial" w:hAnsi="Arial"/>
          <w:sz w:val="17"/>
          <w:szCs w:val="17"/>
          <w:color w:val="auto"/>
        </w:rPr>
        <w:t>XPO Connect™ is our proprietary digital platform that fully automates transportation procurement — it encompasses our Freight Optimizer system, shipper interface, pricing engine, carrier interface and our carrier mobile app. When our customers have truckload freight to move, we use this powerful technology to find the optimal carrier based on a number of parameters, including price, market conditions and load profile.</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6" w:name="page7"/>
    <w:bookmarkEnd w:id="6"/>
    <w:p>
      <w:pPr>
        <w:jc w:val="both"/>
        <w:ind w:right="440"/>
        <w:spacing w:after="0" w:line="255" w:lineRule="auto"/>
        <w:rPr>
          <w:sz w:val="20"/>
          <w:szCs w:val="20"/>
          <w:color w:val="auto"/>
        </w:rPr>
      </w:pPr>
      <w:r>
        <w:rPr>
          <w:rFonts w:ascii="Arial" w:cs="Arial" w:eastAsia="Arial" w:hAnsi="Arial"/>
          <w:sz w:val="18"/>
          <w:szCs w:val="18"/>
          <w:color w:val="auto"/>
        </w:rPr>
        <w:t>Our investment in digitization is making our brokerage business much more efficient and reducing our costs. It enables us to capture share and elevate customer service without large increases in headcount. The technology gives our customers to the flexibility to source reliable truckload capacity at the optimal price, gain insights into market conditions and tender loads at their convenience. Carriers can increase their income and reduce empty miles by having their drivers bid on loads from their trucks, using our mobile app.</w:t>
      </w:r>
    </w:p>
    <w:p>
      <w:pPr>
        <w:spacing w:after="0" w:line="188"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color w:val="auto"/>
        </w:rPr>
        <w:t>In the first quarter, we topped 81,000 truck carriers registered on XPO Connect™, which is an increase of 50% year-over-year. In April, we surpassed 400,000 truck driver downloads of the platform’s mobile app, up from 300,000 just three months earlier.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LTL optimization</w:t>
      </w:r>
    </w:p>
    <w:p>
      <w:pPr>
        <w:spacing w:after="0" w:line="22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less-than-truckload, we’re growing our margin by innovating the way we operate. LTL is a rock-solid industry with strong fundamentals, which gives us the ability to focus our technology on optimizing specific components of the service we provide — primarily linehaul, pickup-and-delivery, pricing and dock productivity. For instance, with intelligent route-building, we can reduce empty miles in our linehaul network and mitigate cargo damage. To boost trailer utilization, our proprietary algorithms arrive at recommendations to fill trailer gaps based on volume and density, taking freight dimensions into account.</w:t>
      </w:r>
    </w:p>
    <w:p>
      <w:pPr>
        <w:spacing w:after="0" w:line="160" w:lineRule="exact"/>
        <w:rPr>
          <w:sz w:val="20"/>
          <w:szCs w:val="20"/>
          <w:color w:val="auto"/>
        </w:rPr>
      </w:pPr>
    </w:p>
    <w:p>
      <w:pPr>
        <w:ind w:right="500"/>
        <w:spacing w:after="0" w:line="333" w:lineRule="auto"/>
        <w:rPr>
          <w:sz w:val="20"/>
          <w:szCs w:val="20"/>
          <w:color w:val="auto"/>
        </w:rPr>
      </w:pPr>
      <w:r>
        <w:rPr>
          <w:rFonts w:ascii="Arial" w:cs="Arial" w:eastAsia="Arial" w:hAnsi="Arial"/>
          <w:sz w:val="16"/>
          <w:szCs w:val="16"/>
          <w:color w:val="auto"/>
        </w:rPr>
        <w:t>Our North American LTL linehaul network moved freight approximately 2.3 million miles a day on average in 2020, which is an enormous lever for efficiency and profitability. From 2015 to 2020, we improved the operating margin by 960 basis points, and we believe there’s a lot more we can gain.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We created XPO in 2011 to provide exceptional value for our customers while generating meaningful returns for our shareholders. The supply chain industry is vast, growing, fragmented and ripe for innovation, with underpenetrated sectors.</w:t>
      </w:r>
    </w:p>
    <w:p>
      <w:pPr>
        <w:spacing w:after="0" w:line="175"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Supply chains are unique by nature. Each one is a network spanning every step a company must take to move its goods from the origin to the end-user. Our customers typically have supply chains that include vendors, manufacturers, labor, assets, technologies, data and other resources.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service offering is asset-light overall, with assets accounting for less than a third of revenue. In 2020, our net capex was 2% of revenue — a notably lower percentage than asset-intensive competitor groups in our industry, such as less-than-truckload, truckload, parcel and rail carriers. The assets we do own or lease are critical components of the customer services we provide, such as 885 logistics sites, and on the transportation side, 552 cross-docks and approximately 13,000 tractors and 35,000 trailers.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market our service offerings using a two-pronged sales strategy: earn a greater share of wallet with our existing customer base and further penetrate high-growth verticals where our expertise and track record give us an advantage.</w:t>
      </w:r>
    </w:p>
    <w:p>
      <w:pPr>
        <w:spacing w:after="0" w:line="388"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7" w:name="page8"/>
    <w:bookmarkEnd w:id="7"/>
    <w:p>
      <w:pPr>
        <w:ind w:right="180"/>
        <w:spacing w:after="0" w:line="300" w:lineRule="auto"/>
        <w:rPr>
          <w:sz w:val="20"/>
          <w:szCs w:val="20"/>
          <w:color w:val="auto"/>
        </w:rPr>
      </w:pPr>
      <w:r>
        <w:rPr>
          <w:rFonts w:ascii="Arial" w:cs="Arial" w:eastAsia="Arial" w:hAnsi="Arial"/>
          <w:sz w:val="17"/>
          <w:szCs w:val="17"/>
          <w:color w:val="auto"/>
        </w:rPr>
        <w:t>Over the past three years, we deepened our bench strength of senior-level sales talent in transportation and logistics in both North America and Europe. We also invested in new training and analytics for our salesforce and sales support personnel in North American LTL.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Logistics Operations</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XPO is at the forefront of a $130 billion logistics industry in North America and Europe combined, of which we have about a 5% share. Our customers include many of the largest and most respected brands in the world — market leaders, such as Apple, Boeing, Coca Cola, Intel, L'Oréal, Nestlé and Nike. The average tenure of our top 20 logistics customers is 15 years.</w:t>
      </w:r>
    </w:p>
    <w:p>
      <w:pPr>
        <w:spacing w:after="0" w:line="18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Our logistics services are differentiated by our ability to deliver technology-enabled, customized solutions, vertical expertise, sophisticated engineering and scale — all of which make us attractive to national and multinational customers. Our footprint stands at approximately 210 million square feet (20 million square meters) of warehouse space.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Within our logistics segment, which we sometimes refer to as supply chain or contract logistics, we’ve identified these key drivers of value creation:</w:t>
      </w:r>
    </w:p>
    <w:p>
      <w:pPr>
        <w:spacing w:after="0" w:line="231" w:lineRule="exact"/>
        <w:rPr>
          <w:sz w:val="20"/>
          <w:szCs w:val="20"/>
          <w:color w:val="auto"/>
        </w:rPr>
      </w:pPr>
    </w:p>
    <w:p>
      <w:pPr>
        <w:ind w:left="640" w:right="26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strong positioning with blue-chip customers who require bespoke solutions, and our ability to grow with them, making a compelling case for outsourcing to us;</w:t>
      </w:r>
    </w:p>
    <w:p>
      <w:pPr>
        <w:spacing w:after="0" w:line="174" w:lineRule="exact"/>
        <w:rPr>
          <w:rFonts w:ascii="Arial" w:cs="Arial" w:eastAsia="Arial" w:hAnsi="Arial"/>
          <w:sz w:val="18"/>
          <w:szCs w:val="18"/>
          <w:color w:val="auto"/>
        </w:rPr>
      </w:pPr>
    </w:p>
    <w:p>
      <w:pPr>
        <w:ind w:left="640" w:right="52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Leading capabilities for e-commerce and reverse logistics management, including the largest outsourced e-fulfillment platform in Europe and expansive capabilities for e-fulfillment, omnichannel logistics and returns management in North America;</w:t>
      </w:r>
    </w:p>
    <w:p>
      <w:pPr>
        <w:spacing w:after="0" w:line="174" w:lineRule="exact"/>
        <w:rPr>
          <w:rFonts w:ascii="Arial" w:cs="Arial" w:eastAsia="Arial" w:hAnsi="Arial"/>
          <w:sz w:val="18"/>
          <w:szCs w:val="18"/>
          <w:color w:val="auto"/>
        </w:rPr>
      </w:pPr>
    </w:p>
    <w:p>
      <w:pPr>
        <w:ind w:left="640" w:right="38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robust technological differentiation, including our proprietary warehouse management platform that integrates robotics and other advanced automation to facilitate agility, visibility, speed, accuracy and control;</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XPO Direct™ network — an innovative, shared-space distribution solution that gives customers a fluid way to position inventory close to target populations, reducing fixed costs and transit times;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large opportunity to grow share in established specializations where we have a longstanding presence and relationships with sectors leaders; and</w:t>
      </w:r>
    </w:p>
    <w:p>
      <w:pPr>
        <w:spacing w:after="0" w:line="242" w:lineRule="exact"/>
        <w:rPr>
          <w:rFonts w:ascii="Arial" w:cs="Arial" w:eastAsia="Arial" w:hAnsi="Arial"/>
          <w:sz w:val="16"/>
          <w:szCs w:val="16"/>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levers for profitable growth and substantial free cash flow, with a long runway for margin expansion.</w:t>
      </w:r>
    </w:p>
    <w:p>
      <w:pPr>
        <w:spacing w:after="0" w:line="22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logistics customers primarily operate in industries that are well-suited for outsourcing, including e-commerce and retail, food and beverage, consumer packaged goods, technology, aerospace, telecommunications, industrial and manufacturing, chemicals, agribusiness, life sciences and healthcare. These are all verticals where we have deep expertise and understand the specific requirements, such as special handling, complex stock-keeping, time-assured deliveries and surge management.</w:t>
      </w:r>
    </w:p>
    <w:p>
      <w:pPr>
        <w:spacing w:after="0" w:line="188"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e-commerce sector, in particular, continues to demonstrate strong, secular growth. Before COVID-19, e-commerce was already growing globally at a double-digit rate, and that growth has accelerated as more consumers opt to purchase goods online. Many retailers, e-tailers and direct-to-consumer manufacturers find it difficult to handle high volumes in-house without compromising service. The solutions we provide allow our customers to focus on their competencies and grow with confidence.</w:t>
      </w:r>
    </w:p>
    <w:p>
      <w:pPr>
        <w:spacing w:after="0" w:line="200" w:lineRule="exact"/>
        <w:rPr>
          <w:sz w:val="20"/>
          <w:szCs w:val="20"/>
          <w:color w:val="auto"/>
        </w:rPr>
      </w:pPr>
    </w:p>
    <w:p>
      <w:pPr>
        <w:spacing w:after="0" w:line="20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color w:val="auto"/>
        </w:rPr>
        <w:t>Many of our e-commerce facilities also manage merchandise returns, known as reverse logistics. This is one of the most highly valued services across multiple customer verticals. Reverse logistics services have become mission-critical for companies with consumer end-markets, as shoppers increasingly test-drive the products they buy online. Depending on the merchandise being returned, our services can include inspection, testing, repackaging, refurbishment, resale or product disposal, as well as refunding and warranty management.</w:t>
      </w:r>
    </w:p>
    <w:p>
      <w:pPr>
        <w:spacing w:after="0" w:line="18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Logistics processes overall are ripe for transformation through technology. Order fulfillment times are compressing, most notably in the direct-to-consumer space. The most cost-effective way to meet the majority of customer expectations is through advanced automation and intelligent machines — robots and cobots, automated sortation systems, automated guided vehicles and goods-to-person systems, which bring inventory to workers for order fulfillment.</w:t>
      </w:r>
    </w:p>
    <w:p>
      <w:pPr>
        <w:spacing w:after="0" w:line="15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We’ve been integrating collaborative robotics and goods-to-person systems into a number of our warehouses to support our employees and improve efficiency. We’re accelerating our deployment of automation, and this is substantially increasing throughput. In 2020, we shipped five times more product units using advanced warehouse robots than we did in 2019.</w:t>
      </w:r>
    </w:p>
    <w:p>
      <w:pPr>
        <w:spacing w:after="0" w:line="18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Robotics are particularly valuable in tight labor markets where wage inflation and labor shortages can erode customer margins. We’ve found that autonomous goods-to-person systems can improve productivity by 4-6x. Cobots, which assist workers with the inventory picking process, have a 2x benefit to productivity on average. Stationary robot arms can repeat demanding tasks with precision 3x faster than would be possible manually.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About 15% to 35% of consumer goods bought online are returned, depending on the product category. This creates peaks in returns at certain times of year.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We’ve been able to shave several days off the reverse process through automation, which accelerates a customer’s ability to return goods to retail for sale.</w:t>
      </w:r>
    </w:p>
    <w:p>
      <w:pPr>
        <w:spacing w:after="0" w:line="23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addition to our investments in automation and analytics, we’ve differentiated XPO from other logistics providers through our ability to create a synchronized warehouse environment across automation solutions. Our proprietary warehouse management platform integrates robotics and other advanced automation into our operations with rigorous control, even when complex, third-party software is involved.</w:t>
      </w:r>
    </w:p>
    <w:p>
      <w:pPr>
        <w:spacing w:after="0" w:line="186"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Our XPO Smart™ workforce management tools are integrated into our warehouse ecosystem and deployed on the cloud. As logistics volumes fluctuate, our site leaders are able to make rapid adjustments to labor levels and improve productivity in real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XPO Direct™</w:t>
      </w:r>
    </w:p>
    <w:p>
      <w:pPr>
        <w:spacing w:after="0" w:line="2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XPO Direct™ is our shared-space distribution network for B2C and B2B customers in North America. This unique solution gives retailers, e-tailers and manufacturers a way to manage fulfillment using our scale, capacity and innovation without the need to add high-fixed-cost distribution centers. Our technology links our facilities, which serve as strategically located stockholding sites and cross-docks that can be utilized by multiple customers at the same time.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XPO Direct™ gives customers the flexibility to reposition inventory within one-day and two-day ground delivery range of approximately 99% of the U.S. population as demand patterns change, and in close proximity to retail stores for inventory replenishment. It gives our customers a strategic way to respond to consumer expectations for shorter fulfillment times and greater service agility. In addition, our customers have the use of our technology for distribution management and our analytics for demand forecasting.</w:t>
      </w:r>
    </w:p>
    <w:p>
      <w:pPr>
        <w:spacing w:after="0" w:line="200" w:lineRule="exact"/>
        <w:rPr>
          <w:sz w:val="20"/>
          <w:szCs w:val="20"/>
          <w:color w:val="auto"/>
        </w:rPr>
      </w:pPr>
    </w:p>
    <w:p>
      <w:pPr>
        <w:spacing w:after="0" w:line="20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Overview of Transportation Operations</w:t>
      </w:r>
    </w:p>
    <w:p>
      <w:pPr>
        <w:spacing w:after="0" w:line="224"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Our other segment — transportation — derives the vast majority of its revenue and profit from less-than-truckload transportation, our largest transportation service line, and truck brokerage.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Less-Than-Truckload (LTL)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company-specific drivers of growth and margin in our LTL business are:</w:t>
      </w:r>
    </w:p>
    <w:p>
      <w:pPr>
        <w:spacing w:after="0" w:line="220" w:lineRule="exact"/>
        <w:rPr>
          <w:sz w:val="20"/>
          <w:szCs w:val="20"/>
          <w:color w:val="auto"/>
        </w:rPr>
      </w:pPr>
    </w:p>
    <w:p>
      <w:pPr>
        <w:ind w:left="640" w:right="4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Critical capacity and national lane density as the #3 LTL provider in North America, the #1 provider in France and Spain, and the #3 provider in the UK;</w:t>
      </w:r>
    </w:p>
    <w:p>
      <w:pPr>
        <w:spacing w:after="0" w:line="174" w:lineRule="exact"/>
        <w:rPr>
          <w:rFonts w:ascii="Arial" w:cs="Arial" w:eastAsia="Arial" w:hAnsi="Arial"/>
          <w:sz w:val="18"/>
          <w:szCs w:val="18"/>
          <w:color w:val="auto"/>
        </w:rPr>
      </w:pPr>
    </w:p>
    <w:p>
      <w:pPr>
        <w:ind w:left="640" w:right="56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Sizable opportunities to further improve profitability beyond the significant gains we’ve already made by using our intelligent technology to optimize linehaul, pickup-and-delivery, pricing and variable labor spend;</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Favorable industry fundamentals, including rational pricing dynamics in North America and the start of a recovery in industrial demand; and</w:t>
      </w:r>
    </w:p>
    <w:p>
      <w:pPr>
        <w:spacing w:after="0" w:line="231" w:lineRule="exact"/>
        <w:rPr>
          <w:rFonts w:ascii="Arial" w:cs="Arial" w:eastAsia="Arial" w:hAnsi="Arial"/>
          <w:sz w:val="17"/>
          <w:szCs w:val="17"/>
          <w:color w:val="auto"/>
        </w:rPr>
      </w:pPr>
    </w:p>
    <w:p>
      <w:pPr>
        <w:ind w:left="640" w:hanging="31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Over 30 years’ experience and deep relationships with customers and partners in our domestic, cross-border and international networks.</w:t>
      </w:r>
    </w:p>
    <w:p>
      <w:pPr>
        <w:spacing w:after="0" w:line="23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LTL operations in North America are asset-based. We provide customers with geographic density and day-definite regional, inter-regional and transcontinental LTL freight services with one of the industry’s largest fleets of tractors and trailers, professional drivers and a national network of terminals. This includes cross-border US service to and from Mexico and Canada, as well as intra-Canada service.</w:t>
      </w:r>
    </w:p>
    <w:p>
      <w:pPr>
        <w:spacing w:after="0" w:line="18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doubled EBITDA in North American LTL within four years of acquiring this business in 2015, and we’ve brought the operation a long way forward. In the first quarter of 2021, our operating ratio was 84.9% and our adjusted operating ratio was 82.6%. Excluding gains from sales of real estate, our LTL adjusted operating ratio improved 220 basis points year-over-year to 84.3%. We’re on track to deliver at least $1 billion of LTL adjusted EBITDA in 2022.</w:t>
      </w:r>
    </w:p>
    <w:p>
      <w:pPr>
        <w:spacing w:after="0" w:line="15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LTL team is laser-focused on on-time, damage-free performance. Using one of the industry’s most modern fleets, we delivered approximately 12.4 million shipments in 2020. We have over 20,000 LTL customers in North America alone, primarily local accounts, and we’re diversifying our base by selling this service across more verticals.</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linehaul network is how we move LTL freight across the country. We use intelligent route-building to increase linehaul fleet utilization, optimize load factor and limit cargo damage. To improve pickup-and-delivery performance, we developed routing and visualization tools that help our dispatchers leverage route density and reduce cost per stop. To optimize pricing, we use elasticity models to adjust for current lane conditions. And we use XPO Smart™ in our yard and dock operations to enhance productivity.</w:t>
      </w:r>
    </w:p>
    <w:p>
      <w:pPr>
        <w:spacing w:after="0" w:line="188"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While each application of our technology delivers its own benefits, we also expect a strong synergistic effect on our LTL business as a whole. For example, when we optimize truck routes, this benefits asset utilization, driver utilization, customer service and yield, and should reduce our carbon footprint.</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 w:name="page11"/>
    <w:bookmarkEnd w:id="10"/>
    <w:p>
      <w:pPr>
        <w:jc w:val="both"/>
        <w:ind w:right="180"/>
        <w:spacing w:after="0" w:line="258" w:lineRule="auto"/>
        <w:rPr>
          <w:sz w:val="20"/>
          <w:szCs w:val="20"/>
          <w:color w:val="auto"/>
        </w:rPr>
      </w:pPr>
      <w:r>
        <w:rPr>
          <w:rFonts w:ascii="Arial" w:cs="Arial" w:eastAsia="Arial" w:hAnsi="Arial"/>
          <w:sz w:val="18"/>
          <w:szCs w:val="18"/>
          <w:color w:val="auto"/>
        </w:rPr>
        <w:t>In Europe, where we’re a leading provider of LTL service in key markets, we utilize a blend of operations that includes asset-based (XPO fleet) and asset-light (contracted carriers), supported by a network of terminals. We have approximately 100 LTL locations serving countries across Europe, and we deliver over 61,000 pallets daily.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Truck Brokerage</w:t>
      </w:r>
    </w:p>
    <w:p>
      <w:pPr>
        <w:spacing w:after="0" w:line="220" w:lineRule="exact"/>
        <w:rPr>
          <w:sz w:val="20"/>
          <w:szCs w:val="20"/>
          <w:color w:val="auto"/>
        </w:rPr>
      </w:pPr>
    </w:p>
    <w:p>
      <w:pPr>
        <w:jc w:val="both"/>
        <w:ind w:right="220"/>
        <w:spacing w:after="0" w:line="333" w:lineRule="auto"/>
        <w:rPr>
          <w:sz w:val="20"/>
          <w:szCs w:val="20"/>
          <w:color w:val="auto"/>
        </w:rPr>
      </w:pPr>
      <w:r>
        <w:rPr>
          <w:rFonts w:ascii="Arial" w:cs="Arial" w:eastAsia="Arial" w:hAnsi="Arial"/>
          <w:sz w:val="16"/>
          <w:szCs w:val="16"/>
          <w:color w:val="auto"/>
        </w:rPr>
        <w:t>Our truck brokerage business has a long track record of outperformance — from 2013 through 2019, in the US, our revenue CAGR of 22% was more than three times the brokerage industry revenue CAGR of 7%. Our growth is being propelled by our scale and technology, and by favorable industry tailwinds:</w:t>
      </w:r>
    </w:p>
    <w:p>
      <w:pPr>
        <w:spacing w:after="0" w:line="130" w:lineRule="exact"/>
        <w:rPr>
          <w:sz w:val="20"/>
          <w:szCs w:val="20"/>
          <w:color w:val="auto"/>
        </w:rPr>
      </w:pPr>
    </w:p>
    <w:p>
      <w:pPr>
        <w:ind w:left="640" w:right="700" w:hanging="313"/>
        <w:spacing w:after="0" w:line="27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offer customers critical capacity on a large scale as the #2 brokerage provider globally, the #3 broker in North America, and a top three transportation company across the UK, France, Spain, Portugal and Morocco;</w:t>
      </w:r>
    </w:p>
    <w:p>
      <w:pPr>
        <w:spacing w:after="0" w:line="174" w:lineRule="exact"/>
        <w:rPr>
          <w:rFonts w:ascii="Arial" w:cs="Arial" w:eastAsia="Arial" w:hAnsi="Arial"/>
          <w:sz w:val="18"/>
          <w:szCs w:val="18"/>
          <w:color w:val="auto"/>
        </w:rPr>
      </w:pPr>
    </w:p>
    <w:p>
      <w:pPr>
        <w:ind w:left="640" w:hanging="313"/>
        <w:spacing w:after="0" w:line="25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Key secular trends are creating growth opportunities for us, including the growing demand for truckload capacity in the e-commerce and omnichannel retail sectors. Another trend is that shippers are increasingly outsourcing to brokers — particularly brokers with digital capabilities like XPO;</w:t>
      </w:r>
    </w:p>
    <w:p>
      <w:pPr>
        <w:spacing w:after="0" w:line="186" w:lineRule="exact"/>
        <w:rPr>
          <w:rFonts w:ascii="Arial" w:cs="Arial" w:eastAsia="Arial" w:hAnsi="Arial"/>
          <w:sz w:val="18"/>
          <w:szCs w:val="18"/>
          <w:color w:val="auto"/>
        </w:rPr>
      </w:pPr>
    </w:p>
    <w:p>
      <w:pPr>
        <w:ind w:left="640" w:right="100" w:hanging="313"/>
        <w:spacing w:after="0" w:line="27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the opportunity to unlock incremental revenue and profit well beyond current levels through our XPO Connect™ digital marketplace, and capture high-margin opportunities with our pricing technology; and</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long-tenured relationships with blue-chip customers are an opportunity to grow wallet share and leverage our reputation in key verticals.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truck brokerage business has a nimble, non-asset model with a variable labor structure that generates substantial return on investment. We can reduce our costs when demand is soft and flex our resources to find trucks as demand returns. Essentially, we place shippers’ freight with qualified carriers, primarily trucking companies. This service is priced for shippers on either a spot market or contract basis. Customers offer loads to us daily via electronic data interchange, APIs, email, telephone and our XPO Connect™ platform.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we had approximately 81,000 independent carriers in our global brokerage network, giving us access to more than a million trucks.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This enormous truckload capacity is a huge differentiator for us, together with our veteran brokerage leaders and our best-in-class technology.</w:t>
      </w:r>
    </w:p>
    <w:p>
      <w:pPr>
        <w:spacing w:after="0" w:line="219"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XPO Connect™ has become one of the most rapidly adopted technologies in the brokerage industry. The value of the platform grows exponentially with every customer, carrier and transaction it touches. Importantly, it continually improves our brokerage service through automation, giving us the ability to manage volume growth without eroding margin.</w:t>
      </w:r>
    </w:p>
    <w:p>
      <w:pPr>
        <w:spacing w:after="0" w:line="18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transportation segment also includes an asset-light last mile logistics service for the home delivery of heavy goods — another sector that’s benefitting from the rapid expansion of e-commerce and omnichannel retail. XPO is the largest provider of last mile logistics for heavy goods in North America, with a growing last mile presence in Europe.</w:t>
      </w:r>
    </w:p>
    <w:p>
      <w:pPr>
        <w:spacing w:after="0" w:line="400"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 Culture with Purpose</w:t>
      </w:r>
    </w:p>
    <w:p>
      <w:pPr>
        <w:spacing w:after="0" w:line="2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conveying our strengths, we believe that equal weight should be given to the human face of XPO. Our company employs over 100,000 extraordinary individuals who have great insights about our customers and our business. The past year was trying at times, but it also brought out the best in Team XPO — our people showed true professionalism by keeping goods moving through supply chains for customers during the pandemic. They know that XPO is 100% committed to their safety.</w:t>
      </w:r>
    </w:p>
    <w:p>
      <w:pPr>
        <w:spacing w:after="0" w:line="18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Our culture is also about being respectful, entrepreneurial, innovative and inclusive. It's about having compassion, being honest and respecting diverse points of view, while operating as a team. We foster emotional safety at work, with robust ethical guidelines that clearly define prohibited behavior, such as harassment, dishonesty, discrimination, workplace violence, bullying, conflicts of interest, insider trading and human trafficking.</w:t>
      </w:r>
    </w:p>
    <w:p>
      <w:pPr>
        <w:spacing w:after="0" w:line="167"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In 2020, we created the role of chief diversity officer, and we routinely reinforce the importance of diversity in our culture through open-door management, the XPO University training curriculum, our Workplace virtual community and equal opportunity hiring policies. We also support diverse causes important to our employees, such as Soles4Souls, Girls With Impact, Workfit programs for differently-abled people and the Susan G. Komen Foundation’s fight against breast cancer. We’re proud to be the official transportation partner for the 2021 Susan G. Komen 3-Day Walks</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44"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Our Pregnancy Care Policy is a gold standard not just for our industry, but for any industry. Any employee of XPO, female or male, who becomes a new parent through birth or adoption can qualify for six weeks of 100% paid leave as the infant's primary caregiver, or two weeks paid leave as the secondary caregiver. In addition, a woman receives up to 20 days of 100% paid prenatal leave for health and wellness and other preparations for her child's arrival.</w:t>
      </w:r>
    </w:p>
    <w:p>
      <w:pPr>
        <w:spacing w:after="0" w:line="15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women employees can request pregnancy accommodations without fear of discrimination. This includes "automatic yes" accommodations, such as changes to work schedules and the timing or frequency of breaks, or assistance with certain tasks. More extensive accommodations are easily determined with input from a doctor. Furthermore, we guarantee that a woman will continue to be paid her regular base wage rate while her pregnancy accommodations are in effect, even if her duties need to be adjusted, and she will remain eligible for wage increases while receiving alternate work arrangements.</w:t>
      </w:r>
    </w:p>
    <w:p>
      <w:pPr>
        <w:spacing w:after="0" w:line="160" w:lineRule="exact"/>
        <w:rPr>
          <w:sz w:val="20"/>
          <w:szCs w:val="20"/>
          <w:color w:val="auto"/>
        </w:rPr>
      </w:pPr>
    </w:p>
    <w:p>
      <w:pPr>
        <w:jc w:val="both"/>
        <w:ind w:right="320"/>
        <w:spacing w:after="0" w:line="258" w:lineRule="auto"/>
        <w:rPr>
          <w:sz w:val="20"/>
          <w:szCs w:val="20"/>
          <w:color w:val="auto"/>
        </w:rPr>
      </w:pPr>
      <w:r>
        <w:rPr>
          <w:rFonts w:ascii="Arial" w:cs="Arial" w:eastAsia="Arial" w:hAnsi="Arial"/>
          <w:sz w:val="18"/>
          <w:szCs w:val="18"/>
          <w:color w:val="auto"/>
        </w:rPr>
        <w:t>We’ve also partnered with a leading healthcare network for women and families to offer supplemental health services from over 1,400 practitioners in 20 specialties via a virtual clinic. In total, more than 30 quality benefits are available to XPO women and families in the US. These include fertility services, prenatal and postpartum care, paid family bonding and a return-to-work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Sustainability</w:t>
      </w:r>
    </w:p>
    <w:p>
      <w:pPr>
        <w:spacing w:after="0" w:line="220" w:lineRule="exact"/>
        <w:rPr>
          <w:sz w:val="20"/>
          <w:szCs w:val="20"/>
          <w:color w:val="auto"/>
        </w:rPr>
      </w:pPr>
    </w:p>
    <w:p>
      <w:pPr>
        <w:ind w:right="320"/>
        <w:spacing w:after="0" w:line="214" w:lineRule="auto"/>
        <w:rPr>
          <w:sz w:val="20"/>
          <w:szCs w:val="20"/>
          <w:color w:val="auto"/>
        </w:rPr>
      </w:pPr>
      <w:r>
        <w:rPr>
          <w:rFonts w:ascii="Arial" w:cs="Arial" w:eastAsia="Arial" w:hAnsi="Arial"/>
          <w:sz w:val="18"/>
          <w:szCs w:val="18"/>
          <w:color w:val="auto"/>
        </w:rPr>
        <w:t xml:space="preserve">Environmental sustainability remains a significant priority for us. In the US, XPO has been named a Top 75 Green Supply Chain Partner by </w:t>
      </w:r>
      <w:r>
        <w:rPr>
          <w:rFonts w:ascii="Arial" w:cs="Arial" w:eastAsia="Arial" w:hAnsi="Arial"/>
          <w:sz w:val="18"/>
          <w:szCs w:val="18"/>
          <w:i w:val="1"/>
          <w:iCs w:val="1"/>
          <w:color w:val="auto"/>
        </w:rPr>
        <w:t>Inbound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Logistics </w:t>
      </w:r>
      <w:r>
        <w:rPr>
          <w:rFonts w:ascii="Arial" w:cs="Arial" w:eastAsia="Arial" w:hAnsi="Arial"/>
          <w:sz w:val="18"/>
          <w:szCs w:val="18"/>
          <w:color w:val="auto"/>
        </w:rPr>
        <w:t>for five consecutive years. In France, we’ve renewed our commitment to the CO</w:t>
      </w:r>
      <w:r>
        <w:rPr>
          <w:rFonts w:ascii="Arial" w:cs="Arial" w:eastAsia="Arial" w:hAnsi="Arial"/>
          <w:sz w:val="29"/>
          <w:szCs w:val="29"/>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for another three years. In Spain, all of our sites meet</w:t>
      </w:r>
      <w:r>
        <w:rPr>
          <w:rFonts w:ascii="Arial" w:cs="Arial" w:eastAsia="Arial" w:hAnsi="Arial"/>
          <w:sz w:val="18"/>
          <w:szCs w:val="18"/>
          <w:i w:val="1"/>
          <w:iCs w:val="1"/>
          <w:color w:val="auto"/>
        </w:rPr>
        <w:t xml:space="preserve"> </w:t>
      </w:r>
      <w:r>
        <w:rPr>
          <w:rFonts w:ascii="Arial" w:cs="Arial" w:eastAsia="Arial" w:hAnsi="Arial"/>
          <w:sz w:val="18"/>
          <w:szCs w:val="18"/>
          <w:color w:val="auto"/>
        </w:rPr>
        <w:t>LEED energy certification standards for 100% consumption of renewable energy.</w:t>
      </w:r>
    </w:p>
    <w:p>
      <w:pPr>
        <w:spacing w:after="0" w:line="200" w:lineRule="exact"/>
        <w:rPr>
          <w:sz w:val="20"/>
          <w:szCs w:val="20"/>
          <w:color w:val="auto"/>
        </w:rPr>
      </w:pPr>
    </w:p>
    <w:p>
      <w:pPr>
        <w:spacing w:after="0" w:line="214"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ind w:right="40"/>
        <w:spacing w:after="0" w:line="258" w:lineRule="auto"/>
        <w:rPr>
          <w:sz w:val="20"/>
          <w:szCs w:val="20"/>
          <w:color w:val="auto"/>
        </w:rPr>
      </w:pPr>
      <w:r>
        <w:rPr>
          <w:rFonts w:ascii="Arial" w:cs="Arial" w:eastAsia="Arial" w:hAnsi="Arial"/>
          <w:sz w:val="18"/>
          <w:szCs w:val="18"/>
          <w:color w:val="auto"/>
        </w:rPr>
        <w:t>A number of our logistics warehouses are ISO 14001-certified, which ensures environmental and other regulatory compliances. The groundbreaking logistics site we created with Nestlé is operating with environmentally friendly ammonia refrigeration systems, energy-saving lighting, air-source heat pumps for administration areas and rainwater harvesting.</w:t>
      </w:r>
    </w:p>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18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In our transportation segment, we’ve made substantial investments in fuel-efficient Freightliner Cascadia tractors in North America; these use EPA 2013-compliant and Greenhouse Gas 2014-compliant selective catalytic reduction (SCR) technology. Our North American LTL locations have energy-saving policies in place and are implementing a phased upgrade to LED lighting.</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modern road fleet in Europe is 98% compliant with Euro V, EEV and Euro VI standards. We also own over 250 natural gas trucks operating in France, the UK, Spain and Portugal, including 80 tractors we purchased in 2020 that use liquified natural gas (LNG). In Spain, we own government-approved mega-trucks to transport freight with fewer trips, and our last mile operations in Europe use electric vehicles for deliveries in certain urban areas, reducing those emissions to zero.</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The development of our culture will continue to be a steady march forward, as it has since our founding in 2011. Our Sustainability Report provides details of our global progress in key areas, including safety, employee engagement, diversity and inclusion, ethics and compliance, environmental protection and governance. The latest report can be downloaded from </w:t>
      </w:r>
      <w:r>
        <w:rPr>
          <w:rFonts w:ascii="Arial" w:cs="Arial" w:eastAsia="Arial" w:hAnsi="Arial"/>
          <w:sz w:val="18"/>
          <w:szCs w:val="18"/>
          <w:u w:val="single" w:color="auto"/>
          <w:color w:val="auto"/>
        </w:rPr>
        <w:t>https://sustainability.xpo.com</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Highlights</w:t>
      </w:r>
      <w:r>
        <w:rPr>
          <w:rFonts w:ascii="Arial" w:cs="Arial" w:eastAsia="Arial" w:hAnsi="Arial"/>
          <w:sz w:val="29"/>
          <w:szCs w:val="29"/>
          <w:color w:val="auto"/>
          <w:vertAlign w:val="superscript"/>
        </w:rPr>
        <w:t>1</w:t>
      </w:r>
    </w:p>
    <w:p>
      <w:pPr>
        <w:spacing w:after="0" w:line="130"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In the first quarter, we reported the highest revenue of any quarter in our history, appreciably outpacing a macro that’s recovering faster than expected. Our net income and adjusted EBITDA were both first quarter records.</w:t>
      </w:r>
    </w:p>
    <w:p>
      <w:pPr>
        <w:spacing w:after="0" w:line="17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truck brokerage business is continuing to outperform the market, powered by the growth of our XPO Connect™ digital platform. Our LTL business has strong momentum; industrial demand is rebounding and our technology is continuing to drive margin improvement. In logistics, our record first quarter revenue of $1.82 billion was propelled by the “big three” logistics tailwinds: e-commerce, outsourcing and warehouse automation.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Financial highlights for the quarter are:</w:t>
      </w:r>
    </w:p>
    <w:p>
      <w:pPr>
        <w:spacing w:after="0" w:line="220" w:lineRule="exact"/>
        <w:rPr>
          <w:sz w:val="20"/>
          <w:szCs w:val="20"/>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$4.77 billion of revenue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 million of operating income</w:t>
      </w:r>
    </w:p>
    <w:p>
      <w:pPr>
        <w:spacing w:after="0" w:line="195"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$115 million of net income</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1787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12" w:lineRule="exact"/>
        <w:rPr>
          <w:sz w:val="20"/>
          <w:szCs w:val="20"/>
          <w:color w:val="auto"/>
        </w:rPr>
      </w:pPr>
    </w:p>
    <w:p>
      <w:pPr>
        <w:ind w:left="120" w:hanging="113"/>
        <w:spacing w:after="0"/>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Reconciliations of non-GAAP financial measures used in this document are provided in the accompanying slide presentation</w:t>
      </w:r>
    </w:p>
    <w:p>
      <w:pPr>
        <w:spacing w:after="0" w:line="43"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Net income attributable to common shareholders</w:t>
      </w:r>
    </w:p>
    <w:p>
      <w:pPr>
        <w:spacing w:after="0" w:line="29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$1.02 diluted earnings per share</w:t>
      </w:r>
    </w:p>
    <w:p>
      <w:pPr>
        <w:spacing w:after="0" w:line="195"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$164 million of adjusted net income</w:t>
      </w:r>
      <w:r>
        <w:rPr>
          <w:rFonts w:ascii="Arial" w:cs="Arial" w:eastAsia="Arial" w:hAnsi="Arial"/>
          <w:sz w:val="29"/>
          <w:szCs w:val="29"/>
          <w:color w:val="auto"/>
          <w:vertAlign w:val="superscript"/>
        </w:rPr>
        <w:t>2</w:t>
      </w:r>
    </w:p>
    <w:p>
      <w:pPr>
        <w:spacing w:after="0" w:line="77" w:lineRule="exact"/>
        <w:rPr>
          <w:rFonts w:ascii="Arial" w:cs="Arial" w:eastAsia="Arial" w:hAnsi="Arial"/>
          <w:sz w:val="36"/>
          <w:szCs w:val="36"/>
          <w:color w:val="auto"/>
          <w:vertAlign w:val="superscript"/>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$1.46 adjusted diluted earnings per share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$443 million of adjusted EBITDA</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$173 million of cash flow from operations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$69 million of free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Raises 2022 Guidance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new full year 2021 targets on May 3, 2021:</w:t>
      </w:r>
    </w:p>
    <w:p>
      <w:pPr>
        <w:spacing w:after="0" w:line="220" w:lineRule="exact"/>
        <w:rPr>
          <w:sz w:val="20"/>
          <w:szCs w:val="20"/>
          <w:color w:val="auto"/>
        </w:rPr>
      </w:pPr>
    </w:p>
    <w:p>
      <w:pPr>
        <w:ind w:left="640" w:right="580" w:hanging="313"/>
        <w:spacing w:after="0" w:line="300"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of $1.825 billion to $1.875 billion, compared with the prior guidance of $1.725 billion to $1.8 billion. The new range for adjusted EBITDA reflects a year-over-year increase in adjusted EBITDA of 31% to 35% from 2020, comprised of:</w:t>
      </w:r>
    </w:p>
    <w:p>
      <w:pPr>
        <w:spacing w:after="0" w:line="15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  28% to 32% growth in adjusted EBITDA in the logistics segment; and</w:t>
      </w:r>
    </w:p>
    <w:p>
      <w:pPr>
        <w:spacing w:after="0" w:line="19"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  30% to 34% growth in adjusted EBITDA in the transportation segment.</w:t>
      </w:r>
    </w:p>
    <w:p>
      <w:pPr>
        <w:spacing w:after="0" w:line="206" w:lineRule="exact"/>
        <w:rPr>
          <w:rFonts w:ascii="Arial" w:cs="Arial" w:eastAsia="Arial" w:hAnsi="Arial"/>
          <w:sz w:val="17"/>
          <w:szCs w:val="17"/>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and amortization of $625 million to $645 million, excluding $145 million of acquisition-related amortization expense;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expense of $270 million to $280 million;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tax rate of 24% to 26%;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diluted EPS of $5.90 to $6.50, up from the prior range of $5.10 to $5.85.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capital expenditures of $650 million to $700 million, up from the prior range of $625 million to $675 million;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capital expenditures of $500 million to $550 million, up from the prior range of $475 million to $525 million;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Free cash flow of $650 million to $725 million, up from the prior range of $600 million to $700 million.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2021 guidance excludes impacts associated with our planned spin-off of the logistics segment; and assumes 113 million diluted shares outstanding.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Position</w:t>
      </w:r>
    </w:p>
    <w:p>
      <w:pPr>
        <w:spacing w:after="0" w:line="22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On March 31, 2021, we had access to approximately $1.7 billion of total liquidity, including $629 million of cash and cash equivalents and $1.1 billion of available borrowing capacity. The company has no significant debt maturing until mid-2023.</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In January 2021, we redeemed $1.2 billion of 6.5% Senior Notes due 2022, using available cash, at a price of 100% of the principal amount plus accrued and unpaid interest.</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Strong Momentum Going Forward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We’re continuing to execute our growth strategy by running the business efficiently, while remaining responsive to changes in our operating environment.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This disciplined focus is a major reason why nearly 70% of Fortune 100 companies rely on our services.</w:t>
      </w:r>
    </w:p>
    <w:p>
      <w:pPr>
        <w:spacing w:after="0" w:line="207"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When we receive awards for excellence from world-class companies, such as Boeing, Corteva, Diebold, Dow, Ford, GM, Nissan, Nordstrom, Owens Corning, Raytheon, The Home Depot and Whirlpool, we know we’re doing our job.</w:t>
      </w:r>
    </w:p>
    <w:p>
      <w:pPr>
        <w:spacing w:after="0" w:line="17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contract with the Tour de France as its official transportation partner has been extended through 2024. This will be the 41st consecutive year we partner with the Tour, and we take great pride in supporting our customer on the world stage. Recently, we were named the official logistics partner for the prestigious IRONMAN triathlons in Europe; our multi-year agreement will commence with our support of more than 20 competitive events this year.</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2016, we made the Fortune 500 list for the first time, and one year later, XPO was named the fastest-growing transportation company on the list. In 2018, </w:t>
      </w:r>
      <w:r>
        <w:rPr>
          <w:rFonts w:ascii="Arial" w:cs="Arial" w:eastAsia="Arial" w:hAnsi="Arial"/>
          <w:sz w:val="18"/>
          <w:szCs w:val="18"/>
          <w:i w:val="1"/>
          <w:iCs w:val="1"/>
          <w:color w:val="auto"/>
        </w:rPr>
        <w:t xml:space="preserve">Fortune </w:t>
      </w:r>
      <w:r>
        <w:rPr>
          <w:rFonts w:ascii="Arial" w:cs="Arial" w:eastAsia="Arial" w:hAnsi="Arial"/>
          <w:sz w:val="18"/>
          <w:szCs w:val="18"/>
          <w:color w:val="auto"/>
        </w:rPr>
        <w:t>named us to their Fortune Future 50 list. Gartner has ranked us as a Magic Quadrant 3PL leader for four consecutive years. In Italy, we’ve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Logistics Company of the Year for innovation three times. </w:t>
      </w:r>
      <w:r>
        <w:rPr>
          <w:rFonts w:ascii="Arial" w:cs="Arial" w:eastAsia="Arial" w:hAnsi="Arial"/>
          <w:sz w:val="18"/>
          <w:szCs w:val="18"/>
          <w:i w:val="1"/>
          <w:iCs w:val="1"/>
          <w:color w:val="auto"/>
        </w:rPr>
        <w:t>Logistics Manager</w:t>
      </w:r>
      <w:r>
        <w:rPr>
          <w:rFonts w:ascii="Arial" w:cs="Arial" w:eastAsia="Arial" w:hAnsi="Arial"/>
          <w:sz w:val="18"/>
          <w:szCs w:val="18"/>
          <w:color w:val="auto"/>
        </w:rPr>
        <w:t xml:space="preserve"> named us 3PL of the Year, and both the Netherlands and France ranked us in the top three 3PLs in their respective countries. </w:t>
      </w:r>
      <w:r>
        <w:rPr>
          <w:rFonts w:ascii="Arial" w:cs="Arial" w:eastAsia="Arial" w:hAnsi="Arial"/>
          <w:sz w:val="18"/>
          <w:szCs w:val="18"/>
          <w:i w:val="1"/>
          <w:iCs w:val="1"/>
          <w:color w:val="auto"/>
        </w:rPr>
        <w:t>Forbes</w:t>
      </w:r>
      <w:r>
        <w:rPr>
          <w:rFonts w:ascii="Arial" w:cs="Arial" w:eastAsia="Arial" w:hAnsi="Arial"/>
          <w:sz w:val="18"/>
          <w:szCs w:val="18"/>
          <w:color w:val="auto"/>
        </w:rPr>
        <w:t xml:space="preserve"> ranked us as the top-performing US company on the Global 2000 and one of the best employers in the US.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named us one of the World's Most Admired Companies for the fourth straight year. And in April, </w:t>
      </w:r>
      <w:r>
        <w:rPr>
          <w:rFonts w:ascii="Arial" w:cs="Arial" w:eastAsia="Arial" w:hAnsi="Arial"/>
          <w:sz w:val="17"/>
          <w:szCs w:val="17"/>
          <w:i w:val="1"/>
          <w:iCs w:val="1"/>
          <w:color w:val="auto"/>
        </w:rPr>
        <w:t>Forbes</w:t>
      </w:r>
      <w:r>
        <w:rPr>
          <w:rFonts w:ascii="Arial" w:cs="Arial" w:eastAsia="Arial" w:hAnsi="Arial"/>
          <w:sz w:val="17"/>
          <w:szCs w:val="17"/>
          <w:color w:val="auto"/>
        </w:rPr>
        <w:t xml:space="preserve"> again named us one of Spain’s best companies to work for. The Financial Times has honored us as a European Diversity Leader, and in 2020, we were named a Winning “W” Company by 2020 Women on Boards for the gender diversity of our board of directors.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ranked us in the top 100 of America's most responsible companies, and Statista named us one of the most socially responsible companies in France. In the UK, XPO was voted one of Glassdoor’s top three best places to work. We thank our employees for creating the culture that has led to these recognitions.</w:t>
      </w:r>
    </w:p>
    <w:p>
      <w:pPr>
        <w:spacing w:after="0" w:line="17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Now we have the industry’s biggest tailwinds at our back in 2021. Based on a first quarter that solidly beat expectations, and the positive sentiment we hear from our customers, we raised our 2021 guidance for adjusted EBITDA to $1.825 to $1.875 billion, which represents 31% to 35% EBITDA growth year-over-year.</w:t>
      </w:r>
    </w:p>
    <w:p>
      <w:pPr>
        <w:spacing w:after="0" w:line="18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In the near-term, we’ll continue to build our GXO leadership team, following our appointment of eight world-class C-suite executives to date. We’re making excellent progress on the spin-off plan overall, including the filing of our confidential initial Form 10 in March.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a lot of reasons to feel bullish about 2021, and we’re off to a very strong start.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interest!</w:t>
      </w:r>
    </w:p>
    <w:p>
      <w:pPr>
        <w:spacing w:after="0" w:line="200" w:lineRule="exact"/>
        <w:rPr>
          <w:sz w:val="20"/>
          <w:szCs w:val="20"/>
          <w:color w:val="auto"/>
        </w:rPr>
      </w:pPr>
    </w:p>
    <w:p>
      <w:pPr>
        <w:spacing w:after="0" w:line="233" w:lineRule="exact"/>
        <w:rPr>
          <w:sz w:val="20"/>
          <w:szCs w:val="20"/>
          <w:color w:val="auto"/>
        </w:rPr>
      </w:pPr>
    </w:p>
    <w:p>
      <w:pPr>
        <w:ind w:left="110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Non-GAAP Financial Measures</w:t>
      </w:r>
    </w:p>
    <w:p>
      <w:pPr>
        <w:spacing w:after="0" w:line="2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As required by the rules of the Securities and Exchange Commission (“SEC”), we provide reconciliations of the non-GAAP financial measures contained in this document to the most directly comparable measure under GAAP, which are set forth in the financial tables attached to the accompanying slide presentation.</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XPO’s non-GAAP financial measures used in this document include: adjusted earnings before interest, taxes, depreciation and amortization (“adjusted EBITDA”) and adjusted EBITDA margin for the three-month periods ended March 31, 2021 and 2020 on a consolidated basis; adjusted EBITDA and adjusted EBITDA excluding truckload for the twelve-month periods ended December 31, 2020, 2019, 2018, 2017, 2016 and 2015; free cash flow for the three-month periods ended March 31, 2021 and 2020, and the twelve-month periods ended December 31, 2020, 2019, 2018, 2017, 2016 and 2015; adjusted net income attributable to common shareholders and adjusted earnings per share (basic and diluted) (“adjusted EPS”) for the three-month periods ended March 31, 2021 and 2020; adjusted EBITDA, adjusted operating income and adjusted operating ratio for our North American less-than-truckload business for the three-month periods ended March 31, 2021 and 2020 and the twelve-month periods ended December 31, 2020, 2019, 2018, 2017, 2016 and 2015; and net debt and net leverage as of March 31, 2021.</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the above adjusted financial measures facilitate analysis of our ongoing business operations because they exclude items that may not be reflective of, or are unrelated to, XPO and its business segments’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Adjusted EBITDA, adjusted net income attributable to common shareholders and adjusted EPS include adjustments for transaction and integration costs, as well as restructuring costs and other adjustments as set forth in the attached tables. Transaction and integration adjustments are generally incremental costs that result from an actual or planned acquisition, divestiture or spin-off and may include transaction costs, consulting fees, retention awards, and internal salaries and wages (to the extent the individuals are assigned full-time to integration and transformation activities) and certain costs related to integrating and converging IT systems. Restructuring costs primarily relate to severance costs associated with business optimization initiatives. Management uses these non-GAAP financial measures in making financial, operating and planning decisions and evaluating XPO’s and each business segment’s ongoing performance.</w:t>
      </w:r>
    </w:p>
    <w:p>
      <w:pPr>
        <w:spacing w:after="0" w:line="16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We believe that free cash flow is an important measure of our ability to repay maturing debt or fund other uses of capital that we believe will enhance stockholder value. We calculate free cash flow as net cash provided by operating activities, less payment for purchases of property and equipment plus proceeds from sale of property and equipment. We believe that adjusted EBITDA, adjusted EBITDA margin and adjusted EBITDA excluding truckload improve comparability from period to period by removing the impact of our capital structure (interest and financing expenses), asset base (depreciation and amortization), tax impacts and other adjustments as set out in the attached tables that management has determined are not reflective of core operating activities and thereby assist investors with assessing trends in our underlying businesses. We believe that adjusted net income attributable to common shareholders and adjusted EPS improve the comparability of our operating results from period to period by removing the impact of certain costs and gains that management has determined are not reflective of our core operating activities, including amortization of acquisition-related intangible assets. We believe that adjusted operating income and adjusted operating ratio for our North American less-than-truckload business improve the comparability of our operating results from period to period by (i) removing the impact of certain transaction and integration and restructuring costs, as well as amortization expenses and</w:t>
      </w:r>
    </w:p>
    <w:p>
      <w:pPr>
        <w:spacing w:after="0" w:line="1" w:lineRule="exact"/>
        <w:rPr>
          <w:sz w:val="20"/>
          <w:szCs w:val="20"/>
          <w:color w:val="auto"/>
        </w:rPr>
      </w:pPr>
    </w:p>
    <w:p>
      <w:pPr>
        <w:ind w:right="80" w:firstLine="7"/>
        <w:spacing w:after="0" w:line="251"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including the impact of pension income incurred in the reporting period as set out in the attached tables. We believe that net debt and net leverage are important measures of our overall liquidity position and are calculated by removing cash and cash equivalents from our reported total debt and reporting net debt as a ratio of our last twelve-month reported adjusted EBITDA.</w:t>
      </w:r>
    </w:p>
    <w:p>
      <w:pPr>
        <w:spacing w:after="0" w:line="200" w:lineRule="exact"/>
        <w:rPr>
          <w:sz w:val="20"/>
          <w:szCs w:val="20"/>
          <w:color w:val="auto"/>
        </w:rPr>
      </w:pPr>
    </w:p>
    <w:p>
      <w:pPr>
        <w:spacing w:after="0" w:line="205" w:lineRule="exact"/>
        <w:rPr>
          <w:sz w:val="20"/>
          <w:szCs w:val="20"/>
          <w:color w:val="auto"/>
        </w:rPr>
      </w:pPr>
    </w:p>
    <w:p>
      <w:pPr>
        <w:ind w:left="110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6" w:name="page17"/>
    <w:bookmarkEnd w:id="16"/>
    <w:p>
      <w:pPr>
        <w:ind w:right="100"/>
        <w:spacing w:after="0" w:line="253" w:lineRule="auto"/>
        <w:rPr>
          <w:sz w:val="20"/>
          <w:szCs w:val="20"/>
          <w:color w:val="auto"/>
        </w:rPr>
      </w:pPr>
      <w:r>
        <w:rPr>
          <w:rFonts w:ascii="Arial" w:cs="Arial" w:eastAsia="Arial" w:hAnsi="Arial"/>
          <w:sz w:val="18"/>
          <w:szCs w:val="18"/>
          <w:color w:val="auto"/>
        </w:rPr>
        <w:t>With respect to our full year 2021 financial targets for adjusted EBITDA, adjusted diluted EPS and free cash flow, a reconciliation of these non-GAAP measures to the corresponding GAAP measures is not available without unreasonable effort due to the variability and complexity of the reconciling items described above that we exclude from these non-GAAP target measures. The variability of these items may have a significant impact on our future GAAP financial results and, as a result, we are unable to prepare the forward-looking statement of income and statement of cash flows prepared in accordance with GAAP that would be required to produce such a reconciliation.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document includes forward-looking statements within the meaning of Section 27A of the Securities Act of 1933, as amended, and Section 21E of the Securities Exchange Act of 1934, as amended, including our future growth prospects for EBITDA in our North American less-than-truckload business, our company's potential profit growth opportunity, our company’s full year 2021 financial targets for adjusted EBITDA, depreciation and amortization (excluding acquisition-related amortization expense), interest expense, effective tax rate, adjusted diluted EPS, gross capital expenditures, net capital expenditures and free cash flow, as well as our company’s planned spin-off of its logistics segment and its plan to pursue an investment-grade credit rating.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17" w:name="page18"/>
    <w:bookmarkEnd w:id="17"/>
    <w:p>
      <w:pPr>
        <w:ind w:right="80"/>
        <w:spacing w:after="0" w:line="281" w:lineRule="auto"/>
        <w:rPr>
          <w:sz w:val="20"/>
          <w:szCs w:val="20"/>
          <w:color w:val="auto"/>
        </w:rPr>
      </w:pPr>
      <w:r>
        <w:rPr>
          <w:rFonts w:ascii="Arial" w:cs="Arial" w:eastAsia="Arial" w:hAnsi="Arial"/>
          <w:sz w:val="16"/>
          <w:szCs w:val="16"/>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economic conditions generally; the severity, magnitude, duration and aftereffects of the COVID-19 pandemic and government responses to the COVID-19 pandemic; our ability to align our investments in capital assets, including equipment, service centers and warehouses, to our customers’ demands; our ability to implement our cost and revenue initiatives; our ability to successfully integrate and realize anticipated synergies, cost savings and profit improvement opportunities with respect to acquired companies; matters related to our intellectual property rights; fluctuations in currency exchange rates; fuel price and fuel surcharge changes; natural disasters, terrorist attacks or similar incidents; risks and uncertainties regarding the potential timing and expected benefits of the proposed spin-off of our logistics segment, including final approval for the proposed spin-off and the risk that the spin-off may not be completed on the terms or timeline currently contemplated, if at all; the impact of the proposed spin-off on the size and business diversity of our company; the ability of the proposed spin-off to qualify for tax-free treatment for U.S. federal income tax purposes; our ability to develop and implement suitable information technology systems and prevent failures in or breaches of such systems; our substantial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litigation, including litigation related to alleged misclassification of independent contractors and securities class actions; risks associated with our self-insured claims; risks associated with defined benefit plans for our current and former employees; and governmental regulation, including trade compliance laws, as well as changes in international trade policies and tax regimes; governmental or political actions, including the United Kingdom’s exit from the European Union; and competition and pricing pressures.</w:t>
      </w:r>
    </w:p>
    <w:p>
      <w:pPr>
        <w:spacing w:after="0" w:line="39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All forward-looking statements set forth in this document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document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18" w:name="page19"/>
    <w:bookmarkEnd w:id="18"/>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183515</wp:posOffset>
            </wp:positionV>
            <wp:extent cx="7196455" cy="5871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913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591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6308090</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6316345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2021-05-03T15:29:19Z</dcterms:created>
  <dcterms:modified xsi:type="dcterms:W3CDTF">2021-05-03T15:29:19Z</dcterms:modified>
</cp:coreProperties>
</file>